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343873" w14:textId="77777777" w:rsidR="0094124E" w:rsidRDefault="0094124E" w:rsidP="0094124E">
      <w:pPr>
        <w:ind w:left="-1418"/>
        <w:sectPr w:rsidR="0094124E" w:rsidSect="00EC6D35">
          <w:headerReference w:type="default" r:id="rId8"/>
          <w:footerReference w:type="default" r:id="rId9"/>
          <w:footerReference w:type="first" r:id="rId10"/>
          <w:type w:val="continuous"/>
          <w:pgSz w:w="11906" w:h="16838"/>
          <w:pgMar w:top="0" w:right="1440" w:bottom="1440" w:left="1440" w:header="0" w:footer="283" w:gutter="0"/>
          <w:cols w:space="708"/>
          <w:titlePg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7EE83492" wp14:editId="2D35B49C">
            <wp:extent cx="7613014" cy="1378324"/>
            <wp:effectExtent l="0" t="0" r="7620" b="0"/>
            <wp:docPr id="2" name="Picture 2" descr="Logo: Australian Government, Department of Communications and the Ar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014" cy="1378324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</wp:inline>
        </w:drawing>
      </w:r>
    </w:p>
    <w:p w14:paraId="6D0C9009" w14:textId="328DBE57" w:rsidR="002117E6" w:rsidRDefault="0083728E" w:rsidP="00791E04">
      <w:pPr>
        <w:pStyle w:val="Heading1"/>
      </w:pPr>
      <w:r w:rsidRPr="0083728E">
        <w:t>Universal Service Guarantee – Fact Sheet</w:t>
      </w:r>
    </w:p>
    <w:p w14:paraId="5EEAB978" w14:textId="3AEEBE01" w:rsidR="0083728E" w:rsidRPr="00F6292B" w:rsidRDefault="0083728E" w:rsidP="00F6292B">
      <w:pPr>
        <w:pStyle w:val="Heading2-notshowing"/>
      </w:pPr>
      <w:bookmarkStart w:id="0" w:name="_Toc471208850"/>
      <w:bookmarkStart w:id="1" w:name="_Toc475458950"/>
      <w:bookmarkStart w:id="2" w:name="_Toc512934154"/>
      <w:r w:rsidRPr="00F6292B">
        <w:t>The Government has announced a new guarantee to give all Australians access to voice and broadband services. Here are some basic facts about the guarantee and services.</w:t>
      </w:r>
      <w:bookmarkStart w:id="3" w:name="_GoBack"/>
      <w:bookmarkEnd w:id="3"/>
    </w:p>
    <w:p w14:paraId="600A06DC" w14:textId="445F42DD" w:rsidR="0083728E" w:rsidRPr="00F6292B" w:rsidRDefault="0083728E" w:rsidP="00F6292B">
      <w:pPr>
        <w:pStyle w:val="Heading2"/>
      </w:pPr>
      <w:r w:rsidRPr="00F6292B">
        <w:t>Broadband services</w:t>
      </w:r>
    </w:p>
    <w:p w14:paraId="2CE1B723" w14:textId="77777777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>NBN Co is providing broadband across Australia to all premises using fixed line (92% of premises), fixed wireless (5%) and satellite technologies (3%).</w:t>
      </w:r>
    </w:p>
    <w:p w14:paraId="6A3B7984" w14:textId="77777777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 xml:space="preserve">NBN Co has prioritised the rollout to premises with poor broadband services, most of which are located in regional and rural areas. Over 98% of premises outside major urban areas can order an NBN service or have construction underway. </w:t>
      </w:r>
    </w:p>
    <w:p w14:paraId="636C56A6" w14:textId="06B19D34" w:rsidR="0083728E" w:rsidRDefault="00C52A6C" w:rsidP="00C52A6C">
      <w:pPr>
        <w:pStyle w:val="Bulletlevel1"/>
      </w:pPr>
      <w:r>
        <w:t>New statutory service provider (SIP) obligations are being enacted, requiring NBN Co (and other SIPs) to make broadband services available to all premises.</w:t>
      </w:r>
    </w:p>
    <w:p w14:paraId="4A320F9C" w14:textId="519B382C" w:rsidR="0083728E" w:rsidRPr="0083728E" w:rsidRDefault="0083728E" w:rsidP="00F6292B">
      <w:pPr>
        <w:pStyle w:val="Heading2"/>
      </w:pPr>
      <w:r w:rsidRPr="0083728E">
        <w:t>Standard Telephone Services (STS)</w:t>
      </w:r>
    </w:p>
    <w:p w14:paraId="76E5D361" w14:textId="77777777" w:rsidR="0083728E" w:rsidRPr="00633D08" w:rsidRDefault="0083728E" w:rsidP="0083728E">
      <w:pPr>
        <w:pStyle w:val="Bulletlevel1"/>
        <w:spacing w:after="120"/>
        <w:contextualSpacing w:val="0"/>
      </w:pPr>
      <w:r w:rsidRPr="00633D08">
        <w:t>Under the USO contract, Telstra must provide fixed voice services to Australian premises on request, and maintain its copper network outside of the NBN fixed line footprint, until 2032.</w:t>
      </w:r>
    </w:p>
    <w:p w14:paraId="69EB3948" w14:textId="77777777" w:rsidR="0083728E" w:rsidRPr="00633D08" w:rsidRDefault="0083728E" w:rsidP="0083728E">
      <w:pPr>
        <w:pStyle w:val="Bulletlevel1"/>
        <w:spacing w:after="120"/>
        <w:contextualSpacing w:val="0"/>
      </w:pPr>
      <w:r w:rsidRPr="00633D08">
        <w:t>At September 2018, Telstra infrastructure supported 600,000 fixed voice services outside the NBN fixed line footprint.</w:t>
      </w:r>
    </w:p>
    <w:p w14:paraId="0001618B" w14:textId="77777777" w:rsidR="0083728E" w:rsidRPr="00633D08" w:rsidRDefault="0083728E" w:rsidP="0083728E">
      <w:pPr>
        <w:pStyle w:val="Bulletlevel1"/>
        <w:spacing w:after="120"/>
        <w:contextualSpacing w:val="0"/>
      </w:pPr>
      <w:r w:rsidRPr="00633D08">
        <w:t>577,000 (96%) of these services were provided using copper land landlines, 21,000 (3%) were provided using terrestrial wireless technologies and 1000 were provided using satellite.</w:t>
      </w:r>
    </w:p>
    <w:p w14:paraId="5007B191" w14:textId="2AEA9277" w:rsidR="0083728E" w:rsidRPr="00633D08" w:rsidRDefault="0083728E" w:rsidP="0083728E">
      <w:pPr>
        <w:pStyle w:val="Bulletlevel1"/>
      </w:pPr>
      <w:r w:rsidRPr="00633D08">
        <w:t>ADSL broadband is also provided with around 235,000 (39%) of the</w:t>
      </w:r>
      <w:r w:rsidR="00260944">
        <w:t>se</w:t>
      </w:r>
      <w:r w:rsidRPr="00633D08">
        <w:t xml:space="preserve"> copper services.</w:t>
      </w:r>
    </w:p>
    <w:p w14:paraId="7D8DA737" w14:textId="3EB31BF6" w:rsidR="0083728E" w:rsidRDefault="0083728E" w:rsidP="00F6292B">
      <w:pPr>
        <w:pStyle w:val="Heading2"/>
      </w:pPr>
      <w:r w:rsidRPr="005C7C48">
        <w:t>Payphones</w:t>
      </w:r>
    </w:p>
    <w:p w14:paraId="5D46EC7F" w14:textId="68E9EE66" w:rsidR="0083728E" w:rsidRDefault="0083728E" w:rsidP="0083728E">
      <w:pPr>
        <w:pStyle w:val="Bulletlevel1"/>
        <w:spacing w:after="120"/>
        <w:contextualSpacing w:val="0"/>
      </w:pPr>
      <w:r>
        <w:t>Under the USO contract, Telstra must make payphones reasonably accessible.</w:t>
      </w:r>
    </w:p>
    <w:p w14:paraId="313AF8BA" w14:textId="77777777" w:rsidR="00C52A6C" w:rsidRPr="00C52A6C" w:rsidRDefault="00C52A6C" w:rsidP="00C52A6C">
      <w:pPr>
        <w:pStyle w:val="Bulletlevel1"/>
        <w:spacing w:after="120"/>
        <w:contextualSpacing w:val="0"/>
      </w:pPr>
      <w:r w:rsidRPr="00C52A6C">
        <w:t xml:space="preserve">At September 2018, there were 15,997 public payphones provided by Telstra under the USO. Over half of these payphones are located in major cities. </w:t>
      </w:r>
    </w:p>
    <w:p w14:paraId="5EA80B06" w14:textId="2E7501D1" w:rsidR="0083728E" w:rsidRDefault="0083728E" w:rsidP="00FB4C6C">
      <w:pPr>
        <w:pStyle w:val="Bulletlevel1"/>
        <w:spacing w:after="120"/>
        <w:contextualSpacing w:val="0"/>
      </w:pPr>
      <w:r>
        <w:t xml:space="preserve">The volume of calls made from public payphones is in steep decline, down 76% from 39.8 million in 2011-12 to 9.7 million in 2017-18. In comparison, </w:t>
      </w:r>
      <w:r w:rsidR="00FB4C6C">
        <w:t>t</w:t>
      </w:r>
      <w:r w:rsidR="00FB4C6C" w:rsidRPr="00FB4C6C">
        <w:t xml:space="preserve">he entire Telstra network (mobile and fixed) </w:t>
      </w:r>
      <w:r>
        <w:t>carries 400 million calls and data sessions per day.</w:t>
      </w:r>
    </w:p>
    <w:p w14:paraId="3E54D720" w14:textId="046F37EA" w:rsidR="0083728E" w:rsidRDefault="00C52A6C" w:rsidP="0083728E">
      <w:pPr>
        <w:pStyle w:val="Bulletlevel1"/>
      </w:pPr>
      <w:r>
        <w:t>A</w:t>
      </w:r>
      <w:r w:rsidR="0083728E">
        <w:t xml:space="preserve">round 200,000 of the more than 8.5 million calls to the Triple Zero each year </w:t>
      </w:r>
      <w:r>
        <w:t>are made from Telstra payphones,</w:t>
      </w:r>
      <w:r w:rsidR="0083728E">
        <w:t xml:space="preserve"> of these only 104,000 (52%) are considered genuine.</w:t>
      </w:r>
    </w:p>
    <w:p w14:paraId="57CDC110" w14:textId="0CA03770" w:rsidR="0083728E" w:rsidRDefault="0083728E" w:rsidP="00F6292B">
      <w:pPr>
        <w:pStyle w:val="Heading2"/>
      </w:pPr>
      <w:r w:rsidRPr="005779C1">
        <w:t>Funding</w:t>
      </w:r>
    </w:p>
    <w:p w14:paraId="3666E60A" w14:textId="77777777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 xml:space="preserve">Under the USO contract, Telstra is paid $270m per annum (GST exclusive) to provide USO services - $40m for payphones, and $230m for fixed voice and copper continuity. </w:t>
      </w:r>
    </w:p>
    <w:p w14:paraId="2493D1E5" w14:textId="77777777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>This amount in not indexed, meaning its value declines in real terms over time. It is tied to the broad obligations on Telstra, not the number of services provided</w:t>
      </w:r>
    </w:p>
    <w:p w14:paraId="55E803E0" w14:textId="14C7DACA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>The Commonwealth contributes $100m per annum, industry contributes the remainder. Telstra contributes the most of any carrier towards the USO – $110.8m in 2017-18 on a pro-rated basis. This is followed by Optus ($32.6m), Vodafone ($12.1m) and others ($15.5m).</w:t>
      </w:r>
    </w:p>
    <w:p w14:paraId="0B7465DF" w14:textId="0C0C195D" w:rsidR="0083728E" w:rsidRDefault="00C52A6C" w:rsidP="00C52A6C">
      <w:pPr>
        <w:pStyle w:val="Bulletlevel1"/>
      </w:pPr>
      <w:r>
        <w:t>New legislation is establishing the Regional Broadband Scheme to support the delivery of NBN Co fixed wireless and satellite broadband services.</w:t>
      </w:r>
    </w:p>
    <w:p w14:paraId="06874A7F" w14:textId="77777777" w:rsidR="0083728E" w:rsidRPr="000B281A" w:rsidRDefault="0083728E" w:rsidP="00F6292B">
      <w:pPr>
        <w:pStyle w:val="Heading2"/>
      </w:pPr>
      <w:r w:rsidRPr="000B281A">
        <w:t>Mobile</w:t>
      </w:r>
    </w:p>
    <w:p w14:paraId="1341E741" w14:textId="77777777" w:rsidR="00C52A6C" w:rsidRDefault="00C52A6C" w:rsidP="00C52A6C">
      <w:pPr>
        <w:pStyle w:val="Bulletlevel1"/>
        <w:spacing w:after="120"/>
        <w:ind w:left="357" w:hanging="357"/>
        <w:contextualSpacing w:val="0"/>
      </w:pPr>
      <w:r>
        <w:t>Mobile services are provided commercially and not included in the USG but Australia’s world class mobile services reach 99.4% of the population and cover around 31% of our landmass.</w:t>
      </w:r>
    </w:p>
    <w:p w14:paraId="30B2E2AB" w14:textId="0C27FDEC" w:rsidR="0083728E" w:rsidRPr="00A866A3" w:rsidRDefault="00C52A6C" w:rsidP="00C52A6C">
      <w:pPr>
        <w:pStyle w:val="Bulletlevel1"/>
        <w:spacing w:after="120"/>
        <w:ind w:left="357" w:hanging="357"/>
        <w:contextualSpacing w:val="0"/>
        <w:rPr>
          <w:rFonts w:ascii="Times New Roman" w:hAnsi="Times New Roman"/>
        </w:rPr>
      </w:pPr>
      <w:r>
        <w:t>Coverage is expanding under the Government’s $220 million Mobile Black Spots Program, which has already delivered 631 base stations across the country and will address more than 5,000 of the 10,000 community nominated blackspots.</w:t>
      </w:r>
      <w:bookmarkEnd w:id="0"/>
      <w:bookmarkEnd w:id="1"/>
      <w:bookmarkEnd w:id="2"/>
    </w:p>
    <w:sectPr w:rsidR="0083728E" w:rsidRPr="00A866A3" w:rsidSect="00EC6D35">
      <w:type w:val="continuous"/>
      <w:pgSz w:w="11906" w:h="16838"/>
      <w:pgMar w:top="1418" w:right="1133" w:bottom="1440" w:left="1440" w:header="51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C6BA2B" w14:textId="77777777" w:rsidR="00194CA1" w:rsidRDefault="00194CA1" w:rsidP="002117E6">
      <w:pPr>
        <w:spacing w:after="0"/>
      </w:pPr>
      <w:r>
        <w:separator/>
      </w:r>
    </w:p>
  </w:endnote>
  <w:endnote w:type="continuationSeparator" w:id="0">
    <w:p w14:paraId="70375483" w14:textId="77777777" w:rsidR="00194CA1" w:rsidRDefault="00194CA1" w:rsidP="002117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64F219" w14:textId="77777777" w:rsidR="00AD7475" w:rsidRDefault="00AD7475" w:rsidP="00AD7475">
    <w:pPr>
      <w:pStyle w:val="Footer"/>
      <w:tabs>
        <w:tab w:val="clear" w:pos="4513"/>
        <w:tab w:val="clear" w:pos="9026"/>
        <w:tab w:val="center" w:pos="4536"/>
        <w:tab w:val="right" w:pos="9356"/>
      </w:tabs>
      <w:ind w:left="-1440" w:right="-23"/>
    </w:pPr>
    <w:r>
      <w:rPr>
        <w:noProof/>
        <w:lang w:eastAsia="en-AU"/>
      </w:rPr>
      <w:drawing>
        <wp:inline distT="0" distB="0" distL="0" distR="0" wp14:anchorId="679B3818" wp14:editId="48C3D38D">
          <wp:extent cx="7596000" cy="400057"/>
          <wp:effectExtent l="0" t="0" r="5080" b="0"/>
          <wp:docPr id="3" name="Picture 3" descr="Decorative banner with departmental logo." title="Decorative banner with departmental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0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9A8811F" w14:textId="77777777" w:rsidR="00AD7475" w:rsidRPr="0037566A" w:rsidRDefault="00AD7475" w:rsidP="00AD7475">
    <w:pPr>
      <w:pStyle w:val="Footer"/>
      <w:tabs>
        <w:tab w:val="clear" w:pos="4513"/>
        <w:tab w:val="clear" w:pos="9026"/>
        <w:tab w:val="center" w:pos="4536"/>
        <w:tab w:val="right" w:pos="9356"/>
      </w:tabs>
      <w:ind w:right="-23"/>
      <w:rPr>
        <w:sz w:val="18"/>
        <w:szCs w:val="18"/>
      </w:rPr>
    </w:pPr>
    <w:r>
      <w:tab/>
    </w:r>
    <w:hyperlink r:id="rId2" w:history="1">
      <w:r w:rsidRPr="002725BE">
        <w:rPr>
          <w:rStyle w:val="Hyperlink"/>
          <w:sz w:val="18"/>
          <w:szCs w:val="18"/>
        </w:rPr>
        <w:t>www.communications.gov.au</w:t>
      </w:r>
    </w:hyperlink>
  </w:p>
  <w:p w14:paraId="306E6C83" w14:textId="00E1DFE8" w:rsidR="00AD7475" w:rsidRPr="002117E6" w:rsidRDefault="00260944" w:rsidP="00AD7475">
    <w:pPr>
      <w:pStyle w:val="Footer"/>
      <w:tabs>
        <w:tab w:val="clear" w:pos="4513"/>
        <w:tab w:val="clear" w:pos="9026"/>
        <w:tab w:val="center" w:pos="4536"/>
        <w:tab w:val="right" w:pos="9356"/>
      </w:tabs>
      <w:ind w:right="-23"/>
      <w:rPr>
        <w:rStyle w:val="Hyperlink"/>
        <w:color w:val="auto"/>
        <w:sz w:val="18"/>
        <w:szCs w:val="18"/>
      </w:rPr>
    </w:pPr>
    <w:r>
      <w:rPr>
        <w:sz w:val="18"/>
        <w:szCs w:val="18"/>
      </w:rPr>
      <w:t>USG Fact Sheet 30/11/18</w:t>
    </w:r>
    <w:r w:rsidR="00AD7475">
      <w:rPr>
        <w:sz w:val="18"/>
        <w:szCs w:val="18"/>
      </w:rPr>
      <w:tab/>
    </w:r>
    <w:hyperlink r:id="rId3" w:history="1">
      <w:r w:rsidR="00AD7475" w:rsidRPr="0037566A">
        <w:rPr>
          <w:rStyle w:val="Hyperlink"/>
          <w:sz w:val="18"/>
          <w:szCs w:val="18"/>
        </w:rPr>
        <w:t>www.arts.gov.au</w:t>
      </w:r>
    </w:hyperlink>
    <w:r w:rsidR="00AD7475" w:rsidRPr="0037566A">
      <w:rPr>
        <w:sz w:val="18"/>
        <w:szCs w:val="18"/>
      </w:rPr>
      <w:tab/>
    </w:r>
    <w:sdt>
      <w:sdtPr>
        <w:rPr>
          <w:sz w:val="18"/>
          <w:szCs w:val="18"/>
        </w:rPr>
        <w:id w:val="1667052596"/>
        <w:docPartObj>
          <w:docPartGallery w:val="Page Numbers (Top of Page)"/>
          <w:docPartUnique/>
        </w:docPartObj>
      </w:sdtPr>
      <w:sdtEndPr/>
      <w:sdtContent>
        <w:r w:rsidR="00AD7475" w:rsidRPr="0037566A">
          <w:rPr>
            <w:sz w:val="18"/>
            <w:szCs w:val="18"/>
          </w:rPr>
          <w:t xml:space="preserve">Page </w:t>
        </w:r>
        <w:r w:rsidR="00AD7475" w:rsidRPr="0037566A">
          <w:rPr>
            <w:bCs/>
            <w:sz w:val="18"/>
            <w:szCs w:val="18"/>
          </w:rPr>
          <w:fldChar w:fldCharType="begin"/>
        </w:r>
        <w:r w:rsidR="00AD7475" w:rsidRPr="0037566A">
          <w:rPr>
            <w:bCs/>
            <w:sz w:val="18"/>
            <w:szCs w:val="18"/>
          </w:rPr>
          <w:instrText xml:space="preserve"> PAGE </w:instrText>
        </w:r>
        <w:r w:rsidR="00AD7475" w:rsidRPr="0037566A">
          <w:rPr>
            <w:bCs/>
            <w:sz w:val="18"/>
            <w:szCs w:val="18"/>
          </w:rPr>
          <w:fldChar w:fldCharType="separate"/>
        </w:r>
        <w:r w:rsidR="00F6292B">
          <w:rPr>
            <w:bCs/>
            <w:noProof/>
            <w:sz w:val="18"/>
            <w:szCs w:val="18"/>
          </w:rPr>
          <w:t>2</w:t>
        </w:r>
        <w:r w:rsidR="00AD7475" w:rsidRPr="0037566A">
          <w:rPr>
            <w:bCs/>
            <w:sz w:val="18"/>
            <w:szCs w:val="18"/>
          </w:rPr>
          <w:fldChar w:fldCharType="end"/>
        </w:r>
        <w:r w:rsidR="00AD7475" w:rsidRPr="0037566A">
          <w:rPr>
            <w:sz w:val="18"/>
            <w:szCs w:val="18"/>
          </w:rPr>
          <w:t xml:space="preserve"> of </w:t>
        </w:r>
        <w:r w:rsidR="00AD7475" w:rsidRPr="0037566A">
          <w:rPr>
            <w:bCs/>
            <w:sz w:val="18"/>
            <w:szCs w:val="18"/>
          </w:rPr>
          <w:fldChar w:fldCharType="begin"/>
        </w:r>
        <w:r w:rsidR="00AD7475" w:rsidRPr="0037566A">
          <w:rPr>
            <w:bCs/>
            <w:sz w:val="18"/>
            <w:szCs w:val="18"/>
          </w:rPr>
          <w:instrText xml:space="preserve"> NUMPAGES  </w:instrText>
        </w:r>
        <w:r w:rsidR="00AD7475" w:rsidRPr="0037566A">
          <w:rPr>
            <w:bCs/>
            <w:sz w:val="18"/>
            <w:szCs w:val="18"/>
          </w:rPr>
          <w:fldChar w:fldCharType="separate"/>
        </w:r>
        <w:r w:rsidR="00F6292B">
          <w:rPr>
            <w:bCs/>
            <w:noProof/>
            <w:sz w:val="18"/>
            <w:szCs w:val="18"/>
          </w:rPr>
          <w:t>2</w:t>
        </w:r>
        <w:r w:rsidR="00AD7475" w:rsidRPr="0037566A">
          <w:rPr>
            <w:bCs/>
            <w:sz w:val="18"/>
            <w:szCs w:val="18"/>
          </w:rPr>
          <w:fldChar w:fldCharType="end"/>
        </w:r>
      </w:sdtContent>
    </w:sdt>
  </w:p>
  <w:p w14:paraId="1745A6CC" w14:textId="77777777" w:rsidR="00AD7475" w:rsidRPr="002117E6" w:rsidRDefault="00AD7475" w:rsidP="00AD7475">
    <w:pPr>
      <w:pStyle w:val="Footer"/>
      <w:tabs>
        <w:tab w:val="clear" w:pos="4513"/>
        <w:tab w:val="clear" w:pos="9026"/>
        <w:tab w:val="center" w:pos="4536"/>
        <w:tab w:val="right" w:pos="9356"/>
      </w:tabs>
      <w:ind w:right="-23"/>
      <w:rPr>
        <w:rStyle w:val="Hyperlink"/>
        <w:color w:val="auto"/>
        <w:sz w:val="18"/>
        <w:szCs w:val="18"/>
      </w:rPr>
    </w:pPr>
    <w:r>
      <w:tab/>
    </w:r>
    <w:hyperlink r:id="rId4" w:history="1">
      <w:r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FFF483" w14:textId="77777777" w:rsidR="00791E04" w:rsidRDefault="00791E04" w:rsidP="00EC6D35">
    <w:pPr>
      <w:pStyle w:val="Footer"/>
      <w:tabs>
        <w:tab w:val="clear" w:pos="4513"/>
        <w:tab w:val="clear" w:pos="9026"/>
        <w:tab w:val="center" w:pos="4536"/>
        <w:tab w:val="right" w:pos="9498"/>
      </w:tabs>
      <w:ind w:left="-1440" w:right="-613"/>
    </w:pPr>
    <w:r>
      <w:rPr>
        <w:noProof/>
        <w:lang w:eastAsia="en-AU"/>
      </w:rPr>
      <w:drawing>
        <wp:inline distT="0" distB="0" distL="0" distR="0" wp14:anchorId="1B97921B" wp14:editId="20CCCD08">
          <wp:extent cx="7596000" cy="400057"/>
          <wp:effectExtent l="0" t="0" r="5080" b="0"/>
          <wp:docPr id="4" name="Picture 4" descr="Decorative banner with departmental logo." title="Decorative banner with departmental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0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D5433BC" w14:textId="77777777" w:rsidR="00791E04" w:rsidRPr="0037566A" w:rsidRDefault="00791E04" w:rsidP="00EC6D35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sz w:val="18"/>
        <w:szCs w:val="18"/>
      </w:rPr>
    </w:pPr>
    <w:r>
      <w:tab/>
    </w:r>
    <w:hyperlink r:id="rId2" w:history="1">
      <w:r w:rsidRPr="002725BE">
        <w:rPr>
          <w:rStyle w:val="Hyperlink"/>
          <w:sz w:val="18"/>
          <w:szCs w:val="18"/>
        </w:rPr>
        <w:t>www.communications.gov.au</w:t>
      </w:r>
    </w:hyperlink>
  </w:p>
  <w:p w14:paraId="62518DBC" w14:textId="3A9D0512" w:rsidR="00791E04" w:rsidRPr="002117E6" w:rsidRDefault="00F6292B" w:rsidP="00EC6D35">
    <w:pPr>
      <w:pStyle w:val="Footer"/>
      <w:tabs>
        <w:tab w:val="clear" w:pos="4513"/>
        <w:tab w:val="clear" w:pos="9026"/>
        <w:tab w:val="center" w:pos="4536"/>
        <w:tab w:val="right" w:pos="9498"/>
      </w:tabs>
      <w:ind w:right="-46"/>
      <w:rPr>
        <w:rStyle w:val="Hyperlink"/>
        <w:color w:val="auto"/>
        <w:sz w:val="18"/>
        <w:szCs w:val="18"/>
      </w:rPr>
    </w:pPr>
    <w:r w:rsidRPr="00F6292B">
      <w:rPr>
        <w:rStyle w:val="Hyperlink"/>
        <w:b/>
        <w:sz w:val="18"/>
        <w:szCs w:val="18"/>
        <w:u w:val="none"/>
      </w:rPr>
      <w:t>Universal Service Guarantee – Fact Sheet</w:t>
    </w:r>
    <w:r w:rsidR="00791E04">
      <w:rPr>
        <w:sz w:val="18"/>
        <w:szCs w:val="18"/>
      </w:rPr>
      <w:tab/>
    </w:r>
    <w:hyperlink r:id="rId3" w:history="1">
      <w:r w:rsidR="00791E04" w:rsidRPr="0037566A">
        <w:rPr>
          <w:rStyle w:val="Hyperlink"/>
          <w:sz w:val="18"/>
          <w:szCs w:val="18"/>
        </w:rPr>
        <w:t>www.arts.gov.au</w:t>
      </w:r>
    </w:hyperlink>
    <w:r w:rsidR="00791E04" w:rsidRPr="0037566A">
      <w:rPr>
        <w:sz w:val="18"/>
        <w:szCs w:val="18"/>
      </w:rPr>
      <w:tab/>
    </w:r>
    <w:sdt>
      <w:sdtPr>
        <w:rPr>
          <w:sz w:val="18"/>
          <w:szCs w:val="18"/>
        </w:rPr>
        <w:id w:val="-287442349"/>
        <w:docPartObj>
          <w:docPartGallery w:val="Page Numbers (Top of Page)"/>
          <w:docPartUnique/>
        </w:docPartObj>
      </w:sdtPr>
      <w:sdtEndPr/>
      <w:sdtContent>
        <w:r w:rsidR="00791E04" w:rsidRPr="0037566A">
          <w:rPr>
            <w:sz w:val="18"/>
            <w:szCs w:val="18"/>
          </w:rPr>
          <w:t xml:space="preserve">Page </w:t>
        </w:r>
        <w:r w:rsidR="00791E04" w:rsidRPr="0037566A">
          <w:rPr>
            <w:bCs/>
            <w:sz w:val="18"/>
            <w:szCs w:val="18"/>
          </w:rPr>
          <w:fldChar w:fldCharType="begin"/>
        </w:r>
        <w:r w:rsidR="00791E04" w:rsidRPr="0037566A">
          <w:rPr>
            <w:bCs/>
            <w:sz w:val="18"/>
            <w:szCs w:val="18"/>
          </w:rPr>
          <w:instrText xml:space="preserve"> PAGE </w:instrText>
        </w:r>
        <w:r w:rsidR="00791E04" w:rsidRPr="0037566A">
          <w:rPr>
            <w:bCs/>
            <w:sz w:val="18"/>
            <w:szCs w:val="18"/>
          </w:rPr>
          <w:fldChar w:fldCharType="separate"/>
        </w:r>
        <w:r>
          <w:rPr>
            <w:bCs/>
            <w:noProof/>
            <w:sz w:val="18"/>
            <w:szCs w:val="18"/>
          </w:rPr>
          <w:t>1</w:t>
        </w:r>
        <w:r w:rsidR="00791E04" w:rsidRPr="0037566A">
          <w:rPr>
            <w:bCs/>
            <w:sz w:val="18"/>
            <w:szCs w:val="18"/>
          </w:rPr>
          <w:fldChar w:fldCharType="end"/>
        </w:r>
        <w:r w:rsidR="00791E04" w:rsidRPr="0037566A">
          <w:rPr>
            <w:sz w:val="18"/>
            <w:szCs w:val="18"/>
          </w:rPr>
          <w:t xml:space="preserve"> of </w:t>
        </w:r>
        <w:r w:rsidR="00791E04" w:rsidRPr="0037566A">
          <w:rPr>
            <w:bCs/>
            <w:sz w:val="18"/>
            <w:szCs w:val="18"/>
          </w:rPr>
          <w:fldChar w:fldCharType="begin"/>
        </w:r>
        <w:r w:rsidR="00791E04" w:rsidRPr="0037566A">
          <w:rPr>
            <w:bCs/>
            <w:sz w:val="18"/>
            <w:szCs w:val="18"/>
          </w:rPr>
          <w:instrText xml:space="preserve"> NUMPAGES  </w:instrText>
        </w:r>
        <w:r w:rsidR="00791E04" w:rsidRPr="0037566A">
          <w:rPr>
            <w:bCs/>
            <w:sz w:val="18"/>
            <w:szCs w:val="18"/>
          </w:rPr>
          <w:fldChar w:fldCharType="separate"/>
        </w:r>
        <w:r>
          <w:rPr>
            <w:bCs/>
            <w:noProof/>
            <w:sz w:val="18"/>
            <w:szCs w:val="18"/>
          </w:rPr>
          <w:t>2</w:t>
        </w:r>
        <w:r w:rsidR="00791E04" w:rsidRPr="0037566A">
          <w:rPr>
            <w:bCs/>
            <w:sz w:val="18"/>
            <w:szCs w:val="18"/>
          </w:rPr>
          <w:fldChar w:fldCharType="end"/>
        </w:r>
      </w:sdtContent>
    </w:sdt>
  </w:p>
  <w:p w14:paraId="6DB7485A" w14:textId="77777777" w:rsidR="00791E04" w:rsidRPr="002117E6" w:rsidRDefault="00791E04" w:rsidP="00EC6D35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rStyle w:val="Hyperlink"/>
        <w:color w:val="auto"/>
        <w:sz w:val="18"/>
        <w:szCs w:val="18"/>
      </w:rPr>
    </w:pPr>
    <w:r>
      <w:tab/>
    </w:r>
    <w:hyperlink r:id="rId4" w:history="1">
      <w:r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6F666C" w14:textId="77777777" w:rsidR="00194CA1" w:rsidRDefault="00194CA1" w:rsidP="002117E6">
      <w:pPr>
        <w:spacing w:after="0"/>
      </w:pPr>
      <w:r>
        <w:separator/>
      </w:r>
    </w:p>
  </w:footnote>
  <w:footnote w:type="continuationSeparator" w:id="0">
    <w:p w14:paraId="0C8DC267" w14:textId="77777777" w:rsidR="00194CA1" w:rsidRDefault="00194CA1" w:rsidP="002117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10321D" w14:textId="0439DD1A" w:rsidR="00791E04" w:rsidRPr="00AD7475" w:rsidRDefault="00791E04" w:rsidP="001D7905">
    <w:pPr>
      <w:pStyle w:val="Header"/>
      <w:tabs>
        <w:tab w:val="clear" w:pos="9026"/>
        <w:tab w:val="right" w:pos="9333"/>
      </w:tabs>
      <w:ind w:right="-46"/>
      <w:rPr>
        <w:color w:val="001C40"/>
      </w:rPr>
    </w:pPr>
    <w:r w:rsidRPr="00AD7475">
      <w:rPr>
        <w:color w:val="001C40"/>
      </w:rPr>
      <w:t>Department of Communications and the Arts</w:t>
    </w:r>
    <w:r w:rsidRPr="00AD7475">
      <w:rPr>
        <w:color w:val="001C40"/>
      </w:rPr>
      <w:tab/>
    </w:r>
    <w:r w:rsidRPr="00AD7475">
      <w:rPr>
        <w:color w:val="001C40"/>
      </w:rPr>
      <w:tab/>
    </w:r>
    <w:r w:rsidR="0083728E">
      <w:rPr>
        <w:color w:val="001C40"/>
      </w:rPr>
      <w:t>December 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37613"/>
    <w:multiLevelType w:val="hybridMultilevel"/>
    <w:tmpl w:val="2B48B512"/>
    <w:lvl w:ilvl="0" w:tplc="69AC7252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053D89"/>
    <w:multiLevelType w:val="hybridMultilevel"/>
    <w:tmpl w:val="E4F8A6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2F2D20"/>
    <w:multiLevelType w:val="hybridMultilevel"/>
    <w:tmpl w:val="1AC69F2C"/>
    <w:lvl w:ilvl="0" w:tplc="8DEAB1F2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cs="Calibri" w:hint="default"/>
        <w:bCs w:val="0"/>
        <w:iCs w:val="0"/>
        <w:caps w:val="0"/>
        <w:strike w:val="0"/>
        <w:dstrike w:val="0"/>
        <w:vanish w:val="0"/>
        <w:color w:val="0F293A"/>
        <w:sz w:val="22"/>
        <w:szCs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6C1EFC"/>
    <w:multiLevelType w:val="hybridMultilevel"/>
    <w:tmpl w:val="BC4C34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8146DF"/>
    <w:multiLevelType w:val="hybridMultilevel"/>
    <w:tmpl w:val="51F489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2"/>
  </w:num>
  <w:num w:numId="8">
    <w:abstractNumId w:val="2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stylePaneFormatFilter w:val="3828" w:allStyles="0" w:customStyles="0" w:latentStyles="0" w:stylesInUse="1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022"/>
    <w:rsid w:val="00012EF1"/>
    <w:rsid w:val="0003770F"/>
    <w:rsid w:val="000D4507"/>
    <w:rsid w:val="00111A64"/>
    <w:rsid w:val="001471EA"/>
    <w:rsid w:val="001472FC"/>
    <w:rsid w:val="001736CC"/>
    <w:rsid w:val="00185E9F"/>
    <w:rsid w:val="00194CA1"/>
    <w:rsid w:val="0019701B"/>
    <w:rsid w:val="001D7905"/>
    <w:rsid w:val="002117E6"/>
    <w:rsid w:val="00260944"/>
    <w:rsid w:val="00273E99"/>
    <w:rsid w:val="00290FEC"/>
    <w:rsid w:val="00293DD6"/>
    <w:rsid w:val="002F3895"/>
    <w:rsid w:val="00327F06"/>
    <w:rsid w:val="00335334"/>
    <w:rsid w:val="00336DDD"/>
    <w:rsid w:val="00381364"/>
    <w:rsid w:val="003B5B1D"/>
    <w:rsid w:val="003C1E76"/>
    <w:rsid w:val="003F495D"/>
    <w:rsid w:val="00400E77"/>
    <w:rsid w:val="004021A8"/>
    <w:rsid w:val="00450D6E"/>
    <w:rsid w:val="00544465"/>
    <w:rsid w:val="00561190"/>
    <w:rsid w:val="005658F1"/>
    <w:rsid w:val="00565B47"/>
    <w:rsid w:val="0057494F"/>
    <w:rsid w:val="00575A5A"/>
    <w:rsid w:val="005932D0"/>
    <w:rsid w:val="00597F9B"/>
    <w:rsid w:val="0061446D"/>
    <w:rsid w:val="00625397"/>
    <w:rsid w:val="0064138E"/>
    <w:rsid w:val="006A2F0E"/>
    <w:rsid w:val="006F06FD"/>
    <w:rsid w:val="00705B86"/>
    <w:rsid w:val="00753BB6"/>
    <w:rsid w:val="00791E04"/>
    <w:rsid w:val="007A4B0F"/>
    <w:rsid w:val="008169A6"/>
    <w:rsid w:val="00827B24"/>
    <w:rsid w:val="00834DE8"/>
    <w:rsid w:val="0083728E"/>
    <w:rsid w:val="008646E6"/>
    <w:rsid w:val="00866475"/>
    <w:rsid w:val="008A4B1F"/>
    <w:rsid w:val="008D4E53"/>
    <w:rsid w:val="009313D2"/>
    <w:rsid w:val="0094124E"/>
    <w:rsid w:val="009B7EF0"/>
    <w:rsid w:val="009E12E4"/>
    <w:rsid w:val="00A22246"/>
    <w:rsid w:val="00A241FE"/>
    <w:rsid w:val="00A35CD0"/>
    <w:rsid w:val="00A606B1"/>
    <w:rsid w:val="00A866A3"/>
    <w:rsid w:val="00A9206A"/>
    <w:rsid w:val="00AA38E6"/>
    <w:rsid w:val="00AD7475"/>
    <w:rsid w:val="00AE4F02"/>
    <w:rsid w:val="00B049A4"/>
    <w:rsid w:val="00B1045C"/>
    <w:rsid w:val="00B43C56"/>
    <w:rsid w:val="00B55747"/>
    <w:rsid w:val="00B85281"/>
    <w:rsid w:val="00B96893"/>
    <w:rsid w:val="00B972D5"/>
    <w:rsid w:val="00BA0A5A"/>
    <w:rsid w:val="00BC329E"/>
    <w:rsid w:val="00BC7D72"/>
    <w:rsid w:val="00BE7E66"/>
    <w:rsid w:val="00BF58CC"/>
    <w:rsid w:val="00C16794"/>
    <w:rsid w:val="00C240E2"/>
    <w:rsid w:val="00C451EE"/>
    <w:rsid w:val="00C52A6C"/>
    <w:rsid w:val="00C55F55"/>
    <w:rsid w:val="00CC75CC"/>
    <w:rsid w:val="00D03AE2"/>
    <w:rsid w:val="00D31022"/>
    <w:rsid w:val="00D92957"/>
    <w:rsid w:val="00DC0983"/>
    <w:rsid w:val="00DC2DFA"/>
    <w:rsid w:val="00DD5D52"/>
    <w:rsid w:val="00DF7F99"/>
    <w:rsid w:val="00E43894"/>
    <w:rsid w:val="00E97404"/>
    <w:rsid w:val="00EA2F26"/>
    <w:rsid w:val="00EA5BA4"/>
    <w:rsid w:val="00EA6D34"/>
    <w:rsid w:val="00EB40A5"/>
    <w:rsid w:val="00EC6D35"/>
    <w:rsid w:val="00ED7DC2"/>
    <w:rsid w:val="00EF61B4"/>
    <w:rsid w:val="00F3567E"/>
    <w:rsid w:val="00F408EE"/>
    <w:rsid w:val="00F6292B"/>
    <w:rsid w:val="00F7051B"/>
    <w:rsid w:val="00FB4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9A444C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1E76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9206A"/>
    <w:pPr>
      <w:keepNext/>
      <w:spacing w:before="240" w:after="240"/>
      <w:outlineLvl w:val="0"/>
    </w:pPr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paragraph" w:styleId="Heading2">
    <w:name w:val="heading 2"/>
    <w:basedOn w:val="Heading4"/>
    <w:next w:val="Normal"/>
    <w:link w:val="Heading2Char"/>
    <w:uiPriority w:val="9"/>
    <w:unhideWhenUsed/>
    <w:qFormat/>
    <w:rsid w:val="00F6292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91E04"/>
    <w:pPr>
      <w:keepNext/>
      <w:spacing w:after="120"/>
      <w:outlineLvl w:val="2"/>
    </w:pPr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91E04"/>
    <w:pPr>
      <w:keepNext/>
      <w:keepLines/>
      <w:spacing w:after="120"/>
      <w:outlineLvl w:val="3"/>
    </w:pPr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91E04"/>
    <w:pPr>
      <w:keepNext/>
      <w:keepLines/>
      <w:spacing w:after="60"/>
      <w:outlineLvl w:val="4"/>
    </w:pPr>
    <w:rPr>
      <w:rFonts w:asciiTheme="majorHAnsi" w:eastAsiaTheme="majorEastAsia" w:hAnsiTheme="majorHAnsi" w:cstheme="majorBidi"/>
      <w:b/>
      <w:color w:val="001C4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91E04"/>
    <w:pPr>
      <w:keepNext/>
      <w:keepLines/>
      <w:spacing w:after="60"/>
      <w:outlineLvl w:val="5"/>
    </w:pPr>
    <w:rPr>
      <w:rFonts w:asciiTheme="majorHAnsi" w:eastAsiaTheme="majorEastAsia" w:hAnsiTheme="majorHAnsi" w:cstheme="majorBidi"/>
      <w:b/>
      <w:i/>
      <w:iCs/>
      <w:color w:val="001C4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91E0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001C4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91E0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001C40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91E0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/>
      <w:iCs/>
      <w:color w:val="001C40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206A"/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F6292B"/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791E04"/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BF58CC"/>
    <w:rPr>
      <w:color w:val="155589"/>
      <w:u w:val="single"/>
    </w:rPr>
  </w:style>
  <w:style w:type="paragraph" w:customStyle="1" w:styleId="Bulletlevel1">
    <w:name w:val="Bullet level 1"/>
    <w:basedOn w:val="Normal"/>
    <w:qFormat/>
    <w:rsid w:val="002117E6"/>
    <w:pPr>
      <w:numPr>
        <w:numId w:val="1"/>
      </w:numPr>
      <w:contextualSpacing/>
    </w:pPr>
    <w:rPr>
      <w:rFonts w:eastAsiaTheme="minorHAnsi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012EF1"/>
    <w:pPr>
      <w:ind w:left="567"/>
    </w:pPr>
    <w:rPr>
      <w:rFonts w:eastAsiaTheme="minorHAnsi"/>
      <w:i/>
      <w:iCs/>
      <w:color w:val="626E81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012EF1"/>
    <w:rPr>
      <w:rFonts w:eastAsiaTheme="minorHAnsi"/>
      <w:i/>
      <w:iCs/>
      <w:color w:val="626E81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7E6"/>
  </w:style>
  <w:style w:type="paragraph" w:styleId="Footer">
    <w:name w:val="footer"/>
    <w:basedOn w:val="Normal"/>
    <w:link w:val="Foot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7E6"/>
  </w:style>
  <w:style w:type="character" w:customStyle="1" w:styleId="Heading4Char">
    <w:name w:val="Heading 4 Char"/>
    <w:basedOn w:val="DefaultParagraphFont"/>
    <w:link w:val="Heading4"/>
    <w:uiPriority w:val="9"/>
    <w:rsid w:val="00791E04"/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91E04"/>
    <w:rPr>
      <w:rFonts w:asciiTheme="majorHAnsi" w:eastAsiaTheme="majorEastAsia" w:hAnsiTheme="majorHAnsi" w:cstheme="majorBidi"/>
      <w:b/>
      <w:color w:val="001C40"/>
    </w:rPr>
  </w:style>
  <w:style w:type="table" w:styleId="TableGrid">
    <w:name w:val="Table Grid"/>
    <w:basedOn w:val="TableNormal"/>
    <w:uiPriority w:val="39"/>
    <w:rsid w:val="002117E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012EF1"/>
    <w:pPr>
      <w:keepNext/>
      <w:spacing w:after="0"/>
    </w:pPr>
    <w:rPr>
      <w:rFonts w:asciiTheme="majorHAnsi" w:eastAsiaTheme="minorHAnsi" w:hAnsiTheme="majorHAnsi"/>
      <w:b/>
      <w:color w:val="626E81"/>
      <w:lang w:eastAsia="en-US"/>
    </w:rPr>
  </w:style>
  <w:style w:type="paragraph" w:customStyle="1" w:styleId="Tabletextcentred">
    <w:name w:val="Table text centred"/>
    <w:basedOn w:val="Normal"/>
    <w:next w:val="NoSpacing"/>
    <w:rsid w:val="002117E6"/>
    <w:pPr>
      <w:spacing w:after="0"/>
      <w:jc w:val="center"/>
    </w:pPr>
    <w:rPr>
      <w:rFonts w:eastAsia="Times New Roman" w:cs="Times New Roman"/>
      <w:szCs w:val="20"/>
      <w:lang w:eastAsia="en-US"/>
    </w:rPr>
  </w:style>
  <w:style w:type="paragraph" w:customStyle="1" w:styleId="Tablerowcolumnheadingcentred">
    <w:name w:val="Table row/column heading centred"/>
    <w:basedOn w:val="Normal"/>
    <w:next w:val="Normal"/>
    <w:rsid w:val="002117E6"/>
    <w:pPr>
      <w:spacing w:after="0"/>
      <w:jc w:val="center"/>
    </w:pPr>
    <w:rPr>
      <w:rFonts w:eastAsia="Times New Roman" w:cs="Times New Roman"/>
      <w:b/>
      <w:bCs/>
      <w:szCs w:val="20"/>
      <w:lang w:eastAsia="en-US"/>
    </w:rPr>
  </w:style>
  <w:style w:type="paragraph" w:customStyle="1" w:styleId="Tabletext">
    <w:name w:val="Table text"/>
    <w:basedOn w:val="Tabletextcentred"/>
    <w:qFormat/>
    <w:rsid w:val="002117E6"/>
    <w:pPr>
      <w:jc w:val="left"/>
    </w:pPr>
  </w:style>
  <w:style w:type="paragraph" w:styleId="NoSpacing">
    <w:name w:val="No Spacing"/>
    <w:uiPriority w:val="1"/>
    <w:qFormat/>
    <w:rsid w:val="002117E6"/>
    <w:pPr>
      <w:spacing w:after="0" w:line="240" w:lineRule="auto"/>
    </w:pPr>
  </w:style>
  <w:style w:type="paragraph" w:customStyle="1" w:styleId="Tablerowcolumnheading">
    <w:name w:val="Table row/column heading"/>
    <w:basedOn w:val="Normal"/>
    <w:next w:val="Normal"/>
    <w:rsid w:val="002117E6"/>
    <w:pPr>
      <w:spacing w:after="0"/>
    </w:pPr>
    <w:rPr>
      <w:rFonts w:eastAsia="Times New Roman" w:cs="Times New Roman"/>
      <w:b/>
      <w:bCs/>
      <w:szCs w:val="20"/>
      <w:lang w:eastAsia="en-US"/>
    </w:rPr>
  </w:style>
  <w:style w:type="paragraph" w:customStyle="1" w:styleId="Checkboxemptybulletpoint">
    <w:name w:val="Check box empty bullet point"/>
    <w:basedOn w:val="Bulletlevel1"/>
    <w:qFormat/>
    <w:rsid w:val="002117E6"/>
    <w:pPr>
      <w:numPr>
        <w:numId w:val="2"/>
      </w:numPr>
      <w:spacing w:after="0"/>
      <w:ind w:left="567" w:hanging="567"/>
    </w:pPr>
  </w:style>
  <w:style w:type="character" w:customStyle="1" w:styleId="Heading6Char">
    <w:name w:val="Heading 6 Char"/>
    <w:basedOn w:val="DefaultParagraphFont"/>
    <w:link w:val="Heading6"/>
    <w:uiPriority w:val="9"/>
    <w:rsid w:val="00791E04"/>
    <w:rPr>
      <w:rFonts w:asciiTheme="majorHAnsi" w:eastAsiaTheme="majorEastAsia" w:hAnsiTheme="majorHAnsi" w:cstheme="majorBidi"/>
      <w:b/>
      <w:i/>
      <w:iCs/>
      <w:color w:val="001C40"/>
    </w:rPr>
  </w:style>
  <w:style w:type="character" w:customStyle="1" w:styleId="Heading7Char">
    <w:name w:val="Heading 7 Char"/>
    <w:basedOn w:val="DefaultParagraphFont"/>
    <w:link w:val="Heading7"/>
    <w:uiPriority w:val="9"/>
    <w:rsid w:val="00791E04"/>
    <w:rPr>
      <w:rFonts w:asciiTheme="majorHAnsi" w:eastAsiaTheme="majorEastAsia" w:hAnsiTheme="majorHAnsi" w:cstheme="majorBidi"/>
      <w:b/>
      <w:i/>
      <w:iCs/>
      <w:color w:val="001C40"/>
    </w:rPr>
  </w:style>
  <w:style w:type="character" w:customStyle="1" w:styleId="Heading8Char">
    <w:name w:val="Heading 8 Char"/>
    <w:basedOn w:val="DefaultParagraphFont"/>
    <w:link w:val="Heading8"/>
    <w:uiPriority w:val="9"/>
    <w:rsid w:val="00791E04"/>
    <w:rPr>
      <w:rFonts w:asciiTheme="majorHAnsi" w:eastAsiaTheme="majorEastAsia" w:hAnsiTheme="majorHAnsi" w:cstheme="majorBidi"/>
      <w:b/>
      <w:color w:val="001C40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791E04"/>
    <w:rPr>
      <w:rFonts w:asciiTheme="majorHAnsi" w:eastAsiaTheme="majorEastAsia" w:hAnsiTheme="majorHAnsi" w:cstheme="majorBidi"/>
      <w:b/>
      <w:i/>
      <w:iCs/>
      <w:color w:val="001C40"/>
      <w:szCs w:val="21"/>
    </w:rPr>
  </w:style>
  <w:style w:type="character" w:styleId="PlaceholderText">
    <w:name w:val="Placeholder Text"/>
    <w:basedOn w:val="DefaultParagraphFont"/>
    <w:uiPriority w:val="99"/>
    <w:semiHidden/>
    <w:rsid w:val="0064138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B7EF0"/>
    <w:rPr>
      <w:color w:val="155589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4124E"/>
    <w:rPr>
      <w:color w:val="808080"/>
      <w:shd w:val="clear" w:color="auto" w:fill="E6E6E6"/>
    </w:rPr>
  </w:style>
  <w:style w:type="paragraph" w:customStyle="1" w:styleId="Heading2-notshowing">
    <w:name w:val="Heading 2 - not showing"/>
    <w:basedOn w:val="Heading2"/>
    <w:qFormat/>
    <w:rsid w:val="00F6292B"/>
    <w:pPr>
      <w:jc w:val="center"/>
    </w:pPr>
    <w:rPr>
      <w:rFonts w:ascii="Calibri Light" w:eastAsia="Times New Roman" w:hAnsi="Calibri Light" w:cs="Times New Roman"/>
      <w:color w:val="0C7CAA" w:themeColor="accent1" w:themeShade="80"/>
      <w:lang w:eastAsia="en-AU"/>
    </w:rPr>
  </w:style>
  <w:style w:type="paragraph" w:customStyle="1" w:styleId="Heading3-notshowing">
    <w:name w:val="Heading 3 - not showing"/>
    <w:basedOn w:val="Heading3"/>
    <w:qFormat/>
    <w:rsid w:val="00D03AE2"/>
    <w:rPr>
      <w:sz w:val="28"/>
    </w:rPr>
  </w:style>
  <w:style w:type="paragraph" w:styleId="TOC1">
    <w:name w:val="toc 1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before="120" w:after="0"/>
    </w:pPr>
    <w:rPr>
      <w:b/>
      <w:color w:val="0F293A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567"/>
    </w:pPr>
  </w:style>
  <w:style w:type="paragraph" w:styleId="TOC3">
    <w:name w:val="toc 3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1134"/>
    </w:pPr>
  </w:style>
  <w:style w:type="paragraph" w:styleId="TOC4">
    <w:name w:val="toc 4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</w:pPr>
  </w:style>
  <w:style w:type="paragraph" w:customStyle="1" w:styleId="Sourcenote">
    <w:name w:val="Source / note"/>
    <w:basedOn w:val="Normal"/>
    <w:next w:val="Normal"/>
    <w:qFormat/>
    <w:rsid w:val="00012EF1"/>
    <w:rPr>
      <w:color w:val="626E81"/>
      <w:sz w:val="20"/>
      <w:szCs w:val="20"/>
    </w:rPr>
  </w:style>
  <w:style w:type="paragraph" w:styleId="ListParagraph">
    <w:name w:val="List Paragraph"/>
    <w:basedOn w:val="Normal"/>
    <w:uiPriority w:val="34"/>
    <w:qFormat/>
    <w:rsid w:val="00C16794"/>
    <w:pPr>
      <w:numPr>
        <w:numId w:val="3"/>
      </w:numPr>
      <w:ind w:left="567" w:hanging="567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012EF1"/>
    <w:pPr>
      <w:spacing w:after="0"/>
      <w:ind w:left="113" w:hanging="113"/>
    </w:pPr>
    <w:rPr>
      <w:color w:val="626E8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12EF1"/>
    <w:rPr>
      <w:color w:val="626E8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B5B1D"/>
    <w:rPr>
      <w:vertAlign w:val="superscript"/>
    </w:rPr>
  </w:style>
  <w:style w:type="character" w:customStyle="1" w:styleId="superscriptfootnotereference">
    <w:name w:val="superscript footnote reference"/>
    <w:basedOn w:val="FootnoteReference"/>
    <w:uiPriority w:val="1"/>
    <w:qFormat/>
    <w:rsid w:val="003B5B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theme/theme1.xml><?xml version="1.0" encoding="utf-8"?>
<a:theme xmlns:a="http://schemas.openxmlformats.org/drawingml/2006/main" name="Office Theme">
  <a:themeElements>
    <a:clrScheme name="DoCA">
      <a:dk1>
        <a:srgbClr val="000000"/>
      </a:dk1>
      <a:lt1>
        <a:srgbClr val="FFFFFF"/>
      </a:lt1>
      <a:dk2>
        <a:srgbClr val="155589"/>
      </a:dk2>
      <a:lt2>
        <a:srgbClr val="E4E4E4"/>
      </a:lt2>
      <a:accent1>
        <a:srgbClr val="77D1F5"/>
      </a:accent1>
      <a:accent2>
        <a:srgbClr val="4EB2B5"/>
      </a:accent2>
      <a:accent3>
        <a:srgbClr val="959ACD"/>
      </a:accent3>
      <a:accent4>
        <a:srgbClr val="1177AD"/>
      </a:accent4>
      <a:accent5>
        <a:srgbClr val="BADB98"/>
      </a:accent5>
      <a:accent6>
        <a:srgbClr val="626E81"/>
      </a:accent6>
      <a:hlink>
        <a:srgbClr val="155589"/>
      </a:hlink>
      <a:folHlink>
        <a:srgbClr val="155589"/>
      </a:folHlink>
    </a:clrScheme>
    <a:fontScheme name="DoCA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8DF8A7-3A0F-4656-9D19-CC1C42490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F001A91A.dotm</Template>
  <TotalTime>0</TotalTime>
  <Pages>2</Pages>
  <Words>475</Words>
  <Characters>2712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Universal Service Guarantee – Fact Sheet</dc:title>
  <dc:subject/>
  <dc:creator/>
  <cp:keywords/>
  <dc:description/>
  <cp:lastModifiedBy/>
  <cp:revision>1</cp:revision>
  <dcterms:created xsi:type="dcterms:W3CDTF">2018-12-03T06:15:00Z</dcterms:created>
  <dcterms:modified xsi:type="dcterms:W3CDTF">2018-12-03T06:15:00Z</dcterms:modified>
</cp:coreProperties>
</file>