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F0D7E" w14:textId="18B04504" w:rsidR="007A0E7E" w:rsidRPr="00240067" w:rsidRDefault="00F66251" w:rsidP="00240067">
      <w:pPr>
        <w:pStyle w:val="Heading1"/>
      </w:pPr>
      <w:bookmarkStart w:id="0" w:name="_Toc55831837"/>
      <w:bookmarkStart w:id="1" w:name="_GoBack"/>
      <w:r w:rsidRPr="00240067">
        <w:t xml:space="preserve">Funding to support </w:t>
      </w:r>
      <w:r w:rsidR="00AA7426" w:rsidRPr="00240067">
        <w:t>television and online coverage</w:t>
      </w:r>
      <w:r w:rsidRPr="00240067">
        <w:t xml:space="preserve"> of under</w:t>
      </w:r>
      <w:r w:rsidR="00AA7426" w:rsidRPr="00240067">
        <w:t>-</w:t>
      </w:r>
      <w:r w:rsidRPr="00240067">
        <w:t>represented sports</w:t>
      </w:r>
      <w:r w:rsidR="00240067" w:rsidRPr="00240067">
        <w:t xml:space="preserve"> </w:t>
      </w:r>
      <w:r w:rsidR="007A0E7E" w:rsidRPr="00240067">
        <w:t>Guidelines</w:t>
      </w:r>
      <w:bookmarkEnd w:id="0"/>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unding to support television and online coverage of under-represented sports Guidelines details"/>
      </w:tblPr>
      <w:tblGrid>
        <w:gridCol w:w="2977"/>
        <w:gridCol w:w="6404"/>
      </w:tblGrid>
      <w:tr w:rsidR="007A0E7E" w:rsidRPr="007040EB" w14:paraId="3FEFB05D" w14:textId="77777777" w:rsidTr="006E4722">
        <w:trPr>
          <w:cantSplit/>
        </w:trPr>
        <w:tc>
          <w:tcPr>
            <w:tcW w:w="2977" w:type="dxa"/>
          </w:tcPr>
          <w:bookmarkEnd w:id="1"/>
          <w:p w14:paraId="77CB0EDE" w14:textId="77777777" w:rsidR="007A0E7E" w:rsidRPr="007040EB" w:rsidRDefault="007A0E7E" w:rsidP="00B3770E">
            <w:pPr>
              <w:spacing w:line="240" w:lineRule="auto"/>
            </w:pPr>
            <w:r w:rsidRPr="007040EB">
              <w:t xml:space="preserve">Commonwealth policy </w:t>
            </w:r>
            <w:r w:rsidR="009D6477">
              <w:t xml:space="preserve">and administering </w:t>
            </w:r>
            <w:r w:rsidRPr="007040EB">
              <w:t>entity</w:t>
            </w:r>
            <w:r>
              <w:t>:</w:t>
            </w:r>
          </w:p>
        </w:tc>
        <w:tc>
          <w:tcPr>
            <w:tcW w:w="6404" w:type="dxa"/>
            <w:shd w:val="clear" w:color="auto" w:fill="auto"/>
          </w:tcPr>
          <w:p w14:paraId="44064772" w14:textId="77777777" w:rsidR="007A0E7E" w:rsidRPr="00EE2079" w:rsidRDefault="009D6477" w:rsidP="00B3770E">
            <w:pPr>
              <w:spacing w:line="240" w:lineRule="auto"/>
            </w:pPr>
            <w:r w:rsidRPr="009D6477">
              <w:t>Department of Infrastructure, Transport, Regional Development and Communications</w:t>
            </w:r>
          </w:p>
        </w:tc>
      </w:tr>
      <w:tr w:rsidR="007A0E7E" w:rsidRPr="007040EB" w14:paraId="5F869F87" w14:textId="77777777" w:rsidTr="006E4722">
        <w:trPr>
          <w:cantSplit/>
        </w:trPr>
        <w:tc>
          <w:tcPr>
            <w:tcW w:w="2977" w:type="dxa"/>
          </w:tcPr>
          <w:p w14:paraId="694DB25B" w14:textId="77777777" w:rsidR="007A0E7E" w:rsidRPr="007040EB" w:rsidRDefault="007A0E7E" w:rsidP="00B3770E">
            <w:pPr>
              <w:spacing w:line="240" w:lineRule="auto"/>
              <w:jc w:val="both"/>
            </w:pPr>
            <w:r w:rsidRPr="007040EB">
              <w:t>Enquir</w:t>
            </w:r>
            <w:r>
              <w:t>i</w:t>
            </w:r>
            <w:r w:rsidRPr="007040EB">
              <w:t>es</w:t>
            </w:r>
            <w:r>
              <w:t>:</w:t>
            </w:r>
          </w:p>
        </w:tc>
        <w:tc>
          <w:tcPr>
            <w:tcW w:w="6404" w:type="dxa"/>
            <w:shd w:val="clear" w:color="auto" w:fill="auto"/>
          </w:tcPr>
          <w:p w14:paraId="64C02D57" w14:textId="77777777" w:rsidR="00EB6627" w:rsidRDefault="007A0E7E" w:rsidP="00EB6627">
            <w:pPr>
              <w:spacing w:line="240" w:lineRule="auto"/>
            </w:pPr>
            <w:r w:rsidRPr="002C7BB1">
              <w:t>If you have any questions, please contact</w:t>
            </w:r>
            <w:r w:rsidR="00EB6627">
              <w:t>:</w:t>
            </w:r>
            <w:r w:rsidRPr="002C7BB1">
              <w:t xml:space="preserve"> </w:t>
            </w:r>
          </w:p>
          <w:p w14:paraId="3B984C1B" w14:textId="77777777" w:rsidR="00EB6627" w:rsidRDefault="005460DD" w:rsidP="00EB6627">
            <w:pPr>
              <w:spacing w:line="240" w:lineRule="auto"/>
            </w:pPr>
            <w:r>
              <w:t>Director, </w:t>
            </w:r>
            <w:r w:rsidR="00EB6627">
              <w:t>Media Incentives S</w:t>
            </w:r>
            <w:r>
              <w:t>ection</w:t>
            </w:r>
            <w:r w:rsidR="00EB6627">
              <w:t>,</w:t>
            </w:r>
            <w:r>
              <w:t xml:space="preserve"> </w:t>
            </w:r>
            <w:r w:rsidR="009D6477" w:rsidRPr="009D6477">
              <w:t xml:space="preserve">Department of Infrastructure, Transport, Regional Development and Communications </w:t>
            </w:r>
          </w:p>
          <w:p w14:paraId="5CAC780E" w14:textId="77777777" w:rsidR="00EB6627" w:rsidRPr="002C7BB1" w:rsidRDefault="00EB6627" w:rsidP="00EB6627">
            <w:pPr>
              <w:spacing w:line="240" w:lineRule="auto"/>
            </w:pPr>
            <w:r>
              <w:t xml:space="preserve">Phone: </w:t>
            </w:r>
            <w:r w:rsidRPr="00EB6627">
              <w:t>6271 1400</w:t>
            </w:r>
          </w:p>
        </w:tc>
      </w:tr>
      <w:tr w:rsidR="007A0E7E" w:rsidRPr="007040EB" w14:paraId="78A841FD" w14:textId="77777777" w:rsidTr="006E4722">
        <w:trPr>
          <w:cantSplit/>
        </w:trPr>
        <w:tc>
          <w:tcPr>
            <w:tcW w:w="2977" w:type="dxa"/>
          </w:tcPr>
          <w:p w14:paraId="4AA2F434" w14:textId="77777777" w:rsidR="007A0E7E" w:rsidRPr="007040EB" w:rsidRDefault="007A0E7E" w:rsidP="00B3770E">
            <w:pPr>
              <w:spacing w:line="240" w:lineRule="auto"/>
              <w:jc w:val="both"/>
            </w:pPr>
            <w:r w:rsidRPr="007040EB">
              <w:t>Date guidelines released</w:t>
            </w:r>
            <w:r>
              <w:t>:</w:t>
            </w:r>
          </w:p>
        </w:tc>
        <w:tc>
          <w:tcPr>
            <w:tcW w:w="6404" w:type="dxa"/>
            <w:shd w:val="clear" w:color="auto" w:fill="auto"/>
          </w:tcPr>
          <w:p w14:paraId="687F59E3" w14:textId="77777777" w:rsidR="007A0E7E" w:rsidRPr="00EB5E03" w:rsidRDefault="00436216" w:rsidP="00EE2079">
            <w:pPr>
              <w:spacing w:line="240" w:lineRule="auto"/>
              <w:rPr>
                <w:color w:val="1C1C1C" w:themeColor="text2"/>
              </w:rPr>
            </w:pPr>
            <w:r w:rsidRPr="00EB5E03">
              <w:rPr>
                <w:color w:val="1C1C1C" w:themeColor="text2"/>
              </w:rPr>
              <w:t>December</w:t>
            </w:r>
            <w:r w:rsidR="00EE2079" w:rsidRPr="00EB5E03">
              <w:rPr>
                <w:color w:val="1C1C1C" w:themeColor="text2"/>
              </w:rPr>
              <w:t xml:space="preserve"> </w:t>
            </w:r>
            <w:r w:rsidR="00F66251" w:rsidRPr="00EB5E03">
              <w:rPr>
                <w:color w:val="1C1C1C" w:themeColor="text2"/>
              </w:rPr>
              <w:t xml:space="preserve">2017 </w:t>
            </w:r>
            <w:r w:rsidR="009D6477" w:rsidRPr="00EB5E03">
              <w:rPr>
                <w:color w:val="1C1C1C" w:themeColor="text2"/>
              </w:rPr>
              <w:t>and updated June 2020</w:t>
            </w:r>
          </w:p>
        </w:tc>
      </w:tr>
      <w:tr w:rsidR="007A0E7E" w14:paraId="1148539C" w14:textId="77777777" w:rsidTr="006E4722">
        <w:trPr>
          <w:cantSplit/>
        </w:trPr>
        <w:tc>
          <w:tcPr>
            <w:tcW w:w="2977" w:type="dxa"/>
          </w:tcPr>
          <w:p w14:paraId="69F86FA8" w14:textId="77777777" w:rsidR="007A0E7E" w:rsidRPr="007040EB" w:rsidRDefault="007A0E7E" w:rsidP="007A0E7E">
            <w:pPr>
              <w:spacing w:line="240" w:lineRule="auto"/>
              <w:jc w:val="both"/>
            </w:pPr>
            <w:r>
              <w:t>Type of Grant Opportunity</w:t>
            </w:r>
          </w:p>
        </w:tc>
        <w:tc>
          <w:tcPr>
            <w:tcW w:w="6404" w:type="dxa"/>
            <w:shd w:val="clear" w:color="auto" w:fill="auto"/>
          </w:tcPr>
          <w:p w14:paraId="7AE07DD5" w14:textId="77777777" w:rsidR="007A0E7E" w:rsidRPr="002C7BB1" w:rsidRDefault="007A0E7E" w:rsidP="00B3770E">
            <w:pPr>
              <w:spacing w:line="240" w:lineRule="auto"/>
            </w:pPr>
            <w:r>
              <w:t>One off ad-hoc process</w:t>
            </w:r>
          </w:p>
        </w:tc>
      </w:tr>
    </w:tbl>
    <w:p w14:paraId="13270BA9" w14:textId="77777777" w:rsidR="00D607FC" w:rsidRDefault="000C2A48" w:rsidP="00D607FC">
      <w:r>
        <w:br w:type="page"/>
      </w:r>
    </w:p>
    <w:p w14:paraId="64CD24BC" w14:textId="77777777" w:rsidR="006E4722" w:rsidRPr="006903D3" w:rsidRDefault="006E4722" w:rsidP="006E4722">
      <w:pPr>
        <w:pStyle w:val="Heading2notshowing"/>
      </w:pPr>
      <w:bookmarkStart w:id="2" w:name="_Toc464643010"/>
      <w:r w:rsidRPr="006903D3">
        <w:lastRenderedPageBreak/>
        <w:t>Contents</w:t>
      </w:r>
    </w:p>
    <w:p w14:paraId="32614F74" w14:textId="02F79704" w:rsidR="006E4722" w:rsidRDefault="006E4722" w:rsidP="006E4722">
      <w:pPr>
        <w:pStyle w:val="TOC1"/>
        <w:rPr>
          <w:rFonts w:eastAsiaTheme="minorEastAsia"/>
          <w:sz w:val="22"/>
          <w:lang w:eastAsia="en-AU"/>
        </w:rPr>
      </w:pPr>
      <w:r>
        <w:rPr>
          <w:rFonts w:ascii="Calibri" w:eastAsia="PMingLiU" w:hAnsi="Calibri" w:cs="Mangal"/>
          <w:b/>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b/>
          <w:color w:val="0F293A"/>
          <w:sz w:val="24"/>
        </w:rPr>
        <w:fldChar w:fldCharType="separate"/>
      </w:r>
      <w:hyperlink w:anchor="_Toc55832185" w:history="1">
        <w:r w:rsidRPr="00534D55">
          <w:rPr>
            <w:rStyle w:val="Hyperlink"/>
          </w:rPr>
          <w:t>1.</w:t>
        </w:r>
        <w:r>
          <w:rPr>
            <w:rFonts w:eastAsiaTheme="minorEastAsia"/>
            <w:sz w:val="22"/>
            <w:lang w:eastAsia="en-AU"/>
          </w:rPr>
          <w:tab/>
        </w:r>
        <w:r w:rsidRPr="00534D55">
          <w:rPr>
            <w:rStyle w:val="Hyperlink"/>
          </w:rPr>
          <w:t>Funding to support television and online coverage of under-represented sports: overview and objectives</w:t>
        </w:r>
        <w:r>
          <w:rPr>
            <w:webHidden/>
          </w:rPr>
          <w:tab/>
        </w:r>
        <w:r>
          <w:rPr>
            <w:webHidden/>
          </w:rPr>
          <w:fldChar w:fldCharType="begin"/>
        </w:r>
        <w:r>
          <w:rPr>
            <w:webHidden/>
          </w:rPr>
          <w:instrText xml:space="preserve"> PAGEREF _Toc55832185 \h </w:instrText>
        </w:r>
        <w:r>
          <w:rPr>
            <w:webHidden/>
          </w:rPr>
        </w:r>
        <w:r>
          <w:rPr>
            <w:webHidden/>
          </w:rPr>
          <w:fldChar w:fldCharType="separate"/>
        </w:r>
        <w:r>
          <w:rPr>
            <w:webHidden/>
          </w:rPr>
          <w:t>3</w:t>
        </w:r>
        <w:r>
          <w:rPr>
            <w:webHidden/>
          </w:rPr>
          <w:fldChar w:fldCharType="end"/>
        </w:r>
      </w:hyperlink>
    </w:p>
    <w:p w14:paraId="5A31E5FD" w14:textId="2F47B17C" w:rsidR="006E4722" w:rsidRDefault="006E4722" w:rsidP="006E4722">
      <w:pPr>
        <w:pStyle w:val="TOC1"/>
        <w:rPr>
          <w:rFonts w:eastAsiaTheme="minorEastAsia"/>
          <w:sz w:val="22"/>
          <w:lang w:eastAsia="en-AU"/>
        </w:rPr>
      </w:pPr>
      <w:hyperlink w:anchor="_Toc55832186" w:history="1">
        <w:r w:rsidRPr="00534D55">
          <w:rPr>
            <w:rStyle w:val="Hyperlink"/>
          </w:rPr>
          <w:t>2.</w:t>
        </w:r>
        <w:r>
          <w:rPr>
            <w:rFonts w:eastAsiaTheme="minorEastAsia"/>
            <w:sz w:val="22"/>
            <w:lang w:eastAsia="en-AU"/>
          </w:rPr>
          <w:tab/>
        </w:r>
        <w:r w:rsidRPr="00534D55">
          <w:rPr>
            <w:rStyle w:val="Hyperlink"/>
          </w:rPr>
          <w:t>Grant selection process</w:t>
        </w:r>
        <w:r>
          <w:rPr>
            <w:webHidden/>
          </w:rPr>
          <w:tab/>
        </w:r>
        <w:r>
          <w:rPr>
            <w:webHidden/>
          </w:rPr>
          <w:fldChar w:fldCharType="begin"/>
        </w:r>
        <w:r>
          <w:rPr>
            <w:webHidden/>
          </w:rPr>
          <w:instrText xml:space="preserve"> PAGEREF _Toc55832186 \h </w:instrText>
        </w:r>
        <w:r>
          <w:rPr>
            <w:webHidden/>
          </w:rPr>
        </w:r>
        <w:r>
          <w:rPr>
            <w:webHidden/>
          </w:rPr>
          <w:fldChar w:fldCharType="separate"/>
        </w:r>
        <w:r>
          <w:rPr>
            <w:webHidden/>
          </w:rPr>
          <w:t>3</w:t>
        </w:r>
        <w:r>
          <w:rPr>
            <w:webHidden/>
          </w:rPr>
          <w:fldChar w:fldCharType="end"/>
        </w:r>
      </w:hyperlink>
    </w:p>
    <w:p w14:paraId="4750FFE0" w14:textId="37333B32" w:rsidR="006E4722" w:rsidRDefault="006E4722" w:rsidP="006E4722">
      <w:pPr>
        <w:pStyle w:val="TOC2"/>
        <w:ind w:left="1134"/>
        <w:rPr>
          <w:rFonts w:eastAsiaTheme="minorEastAsia"/>
          <w:noProof/>
          <w:lang w:eastAsia="en-AU"/>
        </w:rPr>
      </w:pPr>
      <w:hyperlink w:anchor="_Toc55832187" w:history="1">
        <w:r w:rsidRPr="00534D55">
          <w:rPr>
            <w:rStyle w:val="Hyperlink"/>
            <w:noProof/>
          </w:rPr>
          <w:t>A.</w:t>
        </w:r>
        <w:r>
          <w:rPr>
            <w:rFonts w:eastAsiaTheme="minorEastAsia"/>
            <w:noProof/>
            <w:lang w:eastAsia="en-AU"/>
          </w:rPr>
          <w:tab/>
        </w:r>
        <w:r w:rsidRPr="00534D55">
          <w:rPr>
            <w:rStyle w:val="Hyperlink"/>
            <w:noProof/>
          </w:rPr>
          <w:t>Demonstrated understanding of the need for the funded activity for each identified target sport.</w:t>
        </w:r>
        <w:r>
          <w:rPr>
            <w:noProof/>
            <w:webHidden/>
          </w:rPr>
          <w:tab/>
        </w:r>
        <w:r>
          <w:rPr>
            <w:noProof/>
            <w:webHidden/>
          </w:rPr>
          <w:fldChar w:fldCharType="begin"/>
        </w:r>
        <w:r>
          <w:rPr>
            <w:noProof/>
            <w:webHidden/>
          </w:rPr>
          <w:instrText xml:space="preserve"> PAGEREF _Toc55832187 \h </w:instrText>
        </w:r>
        <w:r>
          <w:rPr>
            <w:noProof/>
            <w:webHidden/>
          </w:rPr>
        </w:r>
        <w:r>
          <w:rPr>
            <w:noProof/>
            <w:webHidden/>
          </w:rPr>
          <w:fldChar w:fldCharType="separate"/>
        </w:r>
        <w:r>
          <w:rPr>
            <w:noProof/>
            <w:webHidden/>
          </w:rPr>
          <w:t>4</w:t>
        </w:r>
        <w:r>
          <w:rPr>
            <w:noProof/>
            <w:webHidden/>
          </w:rPr>
          <w:fldChar w:fldCharType="end"/>
        </w:r>
      </w:hyperlink>
    </w:p>
    <w:p w14:paraId="0975182F" w14:textId="24A84A48" w:rsidR="006E4722" w:rsidRDefault="006E4722" w:rsidP="006E4722">
      <w:pPr>
        <w:pStyle w:val="TOC2"/>
        <w:ind w:left="1134"/>
        <w:rPr>
          <w:rFonts w:eastAsiaTheme="minorEastAsia"/>
          <w:noProof/>
          <w:lang w:eastAsia="en-AU"/>
        </w:rPr>
      </w:pPr>
      <w:hyperlink w:anchor="_Toc55832188" w:history="1">
        <w:r w:rsidRPr="00534D55">
          <w:rPr>
            <w:rStyle w:val="Hyperlink"/>
            <w:noProof/>
          </w:rPr>
          <w:t>B.</w:t>
        </w:r>
        <w:r>
          <w:rPr>
            <w:rFonts w:eastAsiaTheme="minorEastAsia"/>
            <w:noProof/>
            <w:lang w:eastAsia="en-AU"/>
          </w:rPr>
          <w:tab/>
        </w:r>
        <w:r w:rsidRPr="00534D55">
          <w:rPr>
            <w:rStyle w:val="Hyperlink"/>
            <w:noProof/>
          </w:rPr>
          <w:t>Description of how the implementation of the program will achieve the activity objectives for all stakeholders, including value for money within the grant funding.</w:t>
        </w:r>
        <w:r>
          <w:rPr>
            <w:noProof/>
            <w:webHidden/>
          </w:rPr>
          <w:tab/>
        </w:r>
        <w:r>
          <w:rPr>
            <w:noProof/>
            <w:webHidden/>
          </w:rPr>
          <w:fldChar w:fldCharType="begin"/>
        </w:r>
        <w:r>
          <w:rPr>
            <w:noProof/>
            <w:webHidden/>
          </w:rPr>
          <w:instrText xml:space="preserve"> PAGEREF _Toc55832188 \h </w:instrText>
        </w:r>
        <w:r>
          <w:rPr>
            <w:noProof/>
            <w:webHidden/>
          </w:rPr>
        </w:r>
        <w:r>
          <w:rPr>
            <w:noProof/>
            <w:webHidden/>
          </w:rPr>
          <w:fldChar w:fldCharType="separate"/>
        </w:r>
        <w:r>
          <w:rPr>
            <w:noProof/>
            <w:webHidden/>
          </w:rPr>
          <w:t>4</w:t>
        </w:r>
        <w:r>
          <w:rPr>
            <w:noProof/>
            <w:webHidden/>
          </w:rPr>
          <w:fldChar w:fldCharType="end"/>
        </w:r>
      </w:hyperlink>
    </w:p>
    <w:p w14:paraId="6C2D7473" w14:textId="2C055B44" w:rsidR="006E4722" w:rsidRDefault="006E4722" w:rsidP="006E4722">
      <w:pPr>
        <w:pStyle w:val="TOC2"/>
        <w:ind w:left="1134"/>
        <w:rPr>
          <w:rFonts w:eastAsiaTheme="minorEastAsia"/>
          <w:noProof/>
          <w:lang w:eastAsia="en-AU"/>
        </w:rPr>
      </w:pPr>
      <w:hyperlink w:anchor="_Toc55832189" w:history="1">
        <w:r w:rsidRPr="00534D55">
          <w:rPr>
            <w:rStyle w:val="Hyperlink"/>
            <w:noProof/>
          </w:rPr>
          <w:t>C.</w:t>
        </w:r>
        <w:r>
          <w:rPr>
            <w:rFonts w:eastAsiaTheme="minorEastAsia"/>
            <w:noProof/>
            <w:lang w:eastAsia="en-AU"/>
          </w:rPr>
          <w:tab/>
        </w:r>
        <w:r w:rsidRPr="00534D55">
          <w:rPr>
            <w:rStyle w:val="Hyperlink"/>
            <w:noProof/>
          </w:rPr>
          <w:t>Demonstrated experience in effectively developing, delivering, managing and monitoring similar initiatives to give confidence it will achieve program objectives for all stakeholders.</w:t>
        </w:r>
        <w:r>
          <w:rPr>
            <w:noProof/>
            <w:webHidden/>
          </w:rPr>
          <w:tab/>
        </w:r>
        <w:r>
          <w:rPr>
            <w:noProof/>
            <w:webHidden/>
          </w:rPr>
          <w:fldChar w:fldCharType="begin"/>
        </w:r>
        <w:r>
          <w:rPr>
            <w:noProof/>
            <w:webHidden/>
          </w:rPr>
          <w:instrText xml:space="preserve"> PAGEREF _Toc55832189 \h </w:instrText>
        </w:r>
        <w:r>
          <w:rPr>
            <w:noProof/>
            <w:webHidden/>
          </w:rPr>
        </w:r>
        <w:r>
          <w:rPr>
            <w:noProof/>
            <w:webHidden/>
          </w:rPr>
          <w:fldChar w:fldCharType="separate"/>
        </w:r>
        <w:r>
          <w:rPr>
            <w:noProof/>
            <w:webHidden/>
          </w:rPr>
          <w:t>4</w:t>
        </w:r>
        <w:r>
          <w:rPr>
            <w:noProof/>
            <w:webHidden/>
          </w:rPr>
          <w:fldChar w:fldCharType="end"/>
        </w:r>
      </w:hyperlink>
    </w:p>
    <w:p w14:paraId="26D95484" w14:textId="46124A2B" w:rsidR="006E4722" w:rsidRDefault="006E4722" w:rsidP="006E4722">
      <w:pPr>
        <w:pStyle w:val="TOC2"/>
        <w:ind w:left="1134"/>
        <w:rPr>
          <w:rFonts w:eastAsiaTheme="minorEastAsia"/>
          <w:noProof/>
          <w:lang w:eastAsia="en-AU"/>
        </w:rPr>
      </w:pPr>
      <w:hyperlink w:anchor="_Toc55832190" w:history="1">
        <w:r w:rsidRPr="00534D55">
          <w:rPr>
            <w:rStyle w:val="Hyperlink"/>
            <w:noProof/>
          </w:rPr>
          <w:t>D.</w:t>
        </w:r>
        <w:r>
          <w:rPr>
            <w:rFonts w:eastAsiaTheme="minorEastAsia"/>
            <w:noProof/>
            <w:lang w:eastAsia="en-AU"/>
          </w:rPr>
          <w:tab/>
        </w:r>
        <w:r w:rsidRPr="00534D55">
          <w:rPr>
            <w:rStyle w:val="Hyperlink"/>
            <w:noProof/>
          </w:rPr>
          <w:t>Demonstrated capacity and capability to deliver the program objectives in the identified sports and their wider communities.</w:t>
        </w:r>
        <w:r>
          <w:rPr>
            <w:noProof/>
            <w:webHidden/>
          </w:rPr>
          <w:tab/>
        </w:r>
        <w:r>
          <w:rPr>
            <w:noProof/>
            <w:webHidden/>
          </w:rPr>
          <w:fldChar w:fldCharType="begin"/>
        </w:r>
        <w:r>
          <w:rPr>
            <w:noProof/>
            <w:webHidden/>
          </w:rPr>
          <w:instrText xml:space="preserve"> PAGEREF _Toc55832190 \h </w:instrText>
        </w:r>
        <w:r>
          <w:rPr>
            <w:noProof/>
            <w:webHidden/>
          </w:rPr>
        </w:r>
        <w:r>
          <w:rPr>
            <w:noProof/>
            <w:webHidden/>
          </w:rPr>
          <w:fldChar w:fldCharType="separate"/>
        </w:r>
        <w:r>
          <w:rPr>
            <w:noProof/>
            <w:webHidden/>
          </w:rPr>
          <w:t>5</w:t>
        </w:r>
        <w:r>
          <w:rPr>
            <w:noProof/>
            <w:webHidden/>
          </w:rPr>
          <w:fldChar w:fldCharType="end"/>
        </w:r>
      </w:hyperlink>
    </w:p>
    <w:p w14:paraId="7A8C25CA" w14:textId="0BD5FBCC" w:rsidR="006E4722" w:rsidRDefault="006E4722">
      <w:pPr>
        <w:pStyle w:val="TOC1"/>
        <w:rPr>
          <w:rFonts w:eastAsiaTheme="minorEastAsia"/>
          <w:sz w:val="22"/>
          <w:lang w:eastAsia="en-AU"/>
        </w:rPr>
      </w:pPr>
      <w:hyperlink w:anchor="_Toc55832191" w:history="1">
        <w:r w:rsidRPr="00534D55">
          <w:rPr>
            <w:rStyle w:val="Hyperlink"/>
          </w:rPr>
          <w:t>3.</w:t>
        </w:r>
        <w:r>
          <w:rPr>
            <w:rFonts w:eastAsiaTheme="minorEastAsia"/>
            <w:sz w:val="22"/>
            <w:lang w:eastAsia="en-AU"/>
          </w:rPr>
          <w:tab/>
        </w:r>
        <w:r w:rsidRPr="00534D55">
          <w:rPr>
            <w:rStyle w:val="Hyperlink"/>
          </w:rPr>
          <w:t>Who will approve the grant?</w:t>
        </w:r>
        <w:r>
          <w:rPr>
            <w:webHidden/>
          </w:rPr>
          <w:tab/>
        </w:r>
        <w:r>
          <w:rPr>
            <w:webHidden/>
          </w:rPr>
          <w:fldChar w:fldCharType="begin"/>
        </w:r>
        <w:r>
          <w:rPr>
            <w:webHidden/>
          </w:rPr>
          <w:instrText xml:space="preserve"> PAGEREF _Toc55832191 \h </w:instrText>
        </w:r>
        <w:r>
          <w:rPr>
            <w:webHidden/>
          </w:rPr>
        </w:r>
        <w:r>
          <w:rPr>
            <w:webHidden/>
          </w:rPr>
          <w:fldChar w:fldCharType="separate"/>
        </w:r>
        <w:r>
          <w:rPr>
            <w:webHidden/>
          </w:rPr>
          <w:t>5</w:t>
        </w:r>
        <w:r>
          <w:rPr>
            <w:webHidden/>
          </w:rPr>
          <w:fldChar w:fldCharType="end"/>
        </w:r>
      </w:hyperlink>
    </w:p>
    <w:p w14:paraId="6D92AE6A" w14:textId="72085D8A" w:rsidR="006E4722" w:rsidRDefault="006E4722">
      <w:pPr>
        <w:pStyle w:val="TOC1"/>
        <w:rPr>
          <w:rFonts w:eastAsiaTheme="minorEastAsia"/>
          <w:sz w:val="22"/>
          <w:lang w:eastAsia="en-AU"/>
        </w:rPr>
      </w:pPr>
      <w:hyperlink w:anchor="_Toc55832192" w:history="1">
        <w:r w:rsidRPr="00534D55">
          <w:rPr>
            <w:rStyle w:val="Hyperlink"/>
          </w:rPr>
          <w:t>4.</w:t>
        </w:r>
        <w:r>
          <w:rPr>
            <w:rFonts w:eastAsiaTheme="minorEastAsia"/>
            <w:sz w:val="22"/>
            <w:lang w:eastAsia="en-AU"/>
          </w:rPr>
          <w:tab/>
        </w:r>
        <w:r w:rsidRPr="00534D55">
          <w:rPr>
            <w:rStyle w:val="Hyperlink"/>
          </w:rPr>
          <w:t>Announcement of grants</w:t>
        </w:r>
        <w:r>
          <w:rPr>
            <w:webHidden/>
          </w:rPr>
          <w:tab/>
        </w:r>
        <w:r>
          <w:rPr>
            <w:webHidden/>
          </w:rPr>
          <w:fldChar w:fldCharType="begin"/>
        </w:r>
        <w:r>
          <w:rPr>
            <w:webHidden/>
          </w:rPr>
          <w:instrText xml:space="preserve"> PAGEREF _Toc55832192 \h </w:instrText>
        </w:r>
        <w:r>
          <w:rPr>
            <w:webHidden/>
          </w:rPr>
        </w:r>
        <w:r>
          <w:rPr>
            <w:webHidden/>
          </w:rPr>
          <w:fldChar w:fldCharType="separate"/>
        </w:r>
        <w:r>
          <w:rPr>
            <w:webHidden/>
          </w:rPr>
          <w:t>6</w:t>
        </w:r>
        <w:r>
          <w:rPr>
            <w:webHidden/>
          </w:rPr>
          <w:fldChar w:fldCharType="end"/>
        </w:r>
      </w:hyperlink>
    </w:p>
    <w:p w14:paraId="2F3A1869" w14:textId="0BA0CFCE" w:rsidR="006E4722" w:rsidRDefault="006E4722">
      <w:pPr>
        <w:pStyle w:val="TOC1"/>
        <w:rPr>
          <w:rFonts w:eastAsiaTheme="minorEastAsia"/>
          <w:sz w:val="22"/>
          <w:lang w:eastAsia="en-AU"/>
        </w:rPr>
      </w:pPr>
      <w:hyperlink w:anchor="_Toc55832193" w:history="1">
        <w:r w:rsidRPr="00534D55">
          <w:rPr>
            <w:rStyle w:val="Hyperlink"/>
          </w:rPr>
          <w:t>5.</w:t>
        </w:r>
        <w:r>
          <w:rPr>
            <w:rFonts w:eastAsiaTheme="minorEastAsia"/>
            <w:sz w:val="22"/>
            <w:lang w:eastAsia="en-AU"/>
          </w:rPr>
          <w:tab/>
        </w:r>
        <w:r w:rsidRPr="00534D55">
          <w:rPr>
            <w:rStyle w:val="Hyperlink"/>
          </w:rPr>
          <w:t>Grant acquittal and reporting</w:t>
        </w:r>
        <w:r>
          <w:rPr>
            <w:webHidden/>
          </w:rPr>
          <w:tab/>
        </w:r>
        <w:r>
          <w:rPr>
            <w:webHidden/>
          </w:rPr>
          <w:fldChar w:fldCharType="begin"/>
        </w:r>
        <w:r>
          <w:rPr>
            <w:webHidden/>
          </w:rPr>
          <w:instrText xml:space="preserve"> PAGEREF _Toc55832193 \h </w:instrText>
        </w:r>
        <w:r>
          <w:rPr>
            <w:webHidden/>
          </w:rPr>
        </w:r>
        <w:r>
          <w:rPr>
            <w:webHidden/>
          </w:rPr>
          <w:fldChar w:fldCharType="separate"/>
        </w:r>
        <w:r>
          <w:rPr>
            <w:webHidden/>
          </w:rPr>
          <w:t>6</w:t>
        </w:r>
        <w:r>
          <w:rPr>
            <w:webHidden/>
          </w:rPr>
          <w:fldChar w:fldCharType="end"/>
        </w:r>
      </w:hyperlink>
    </w:p>
    <w:p w14:paraId="62C75061" w14:textId="401B184A" w:rsidR="006E4722" w:rsidRDefault="006E4722">
      <w:pPr>
        <w:pStyle w:val="TOC1"/>
        <w:rPr>
          <w:rFonts w:eastAsiaTheme="minorEastAsia"/>
          <w:sz w:val="22"/>
          <w:lang w:eastAsia="en-AU"/>
        </w:rPr>
      </w:pPr>
      <w:hyperlink w:anchor="_Toc55832194" w:history="1">
        <w:r w:rsidRPr="00534D55">
          <w:rPr>
            <w:rStyle w:val="Hyperlink"/>
          </w:rPr>
          <w:t>6.</w:t>
        </w:r>
        <w:r>
          <w:rPr>
            <w:rFonts w:eastAsiaTheme="minorEastAsia"/>
            <w:sz w:val="22"/>
            <w:lang w:eastAsia="en-AU"/>
          </w:rPr>
          <w:tab/>
        </w:r>
        <w:r w:rsidRPr="00534D55">
          <w:rPr>
            <w:rStyle w:val="Hyperlink"/>
          </w:rPr>
          <w:t>Grant evaluation</w:t>
        </w:r>
        <w:r>
          <w:rPr>
            <w:webHidden/>
          </w:rPr>
          <w:tab/>
        </w:r>
        <w:r>
          <w:rPr>
            <w:webHidden/>
          </w:rPr>
          <w:fldChar w:fldCharType="begin"/>
        </w:r>
        <w:r>
          <w:rPr>
            <w:webHidden/>
          </w:rPr>
          <w:instrText xml:space="preserve"> PAGEREF _Toc55832194 \h </w:instrText>
        </w:r>
        <w:r>
          <w:rPr>
            <w:webHidden/>
          </w:rPr>
        </w:r>
        <w:r>
          <w:rPr>
            <w:webHidden/>
          </w:rPr>
          <w:fldChar w:fldCharType="separate"/>
        </w:r>
        <w:r>
          <w:rPr>
            <w:webHidden/>
          </w:rPr>
          <w:t>6</w:t>
        </w:r>
        <w:r>
          <w:rPr>
            <w:webHidden/>
          </w:rPr>
          <w:fldChar w:fldCharType="end"/>
        </w:r>
      </w:hyperlink>
    </w:p>
    <w:p w14:paraId="554C8272" w14:textId="6FE25177" w:rsidR="009D3B91" w:rsidRDefault="006E4722" w:rsidP="00240067">
      <w:r>
        <w:fldChar w:fldCharType="end"/>
      </w:r>
    </w:p>
    <w:p w14:paraId="585C455B" w14:textId="77777777" w:rsidR="009D3B91" w:rsidRDefault="009D3B91">
      <w:pPr>
        <w:suppressAutoHyphens w:val="0"/>
        <w:spacing w:before="0" w:after="120" w:line="440" w:lineRule="atLeast"/>
      </w:pPr>
      <w:r>
        <w:br w:type="page"/>
      </w:r>
    </w:p>
    <w:p w14:paraId="578B7B7F" w14:textId="77777777" w:rsidR="007D1D4F" w:rsidRPr="00C0584B" w:rsidRDefault="00126D45" w:rsidP="00240067">
      <w:pPr>
        <w:pStyle w:val="Heading2"/>
      </w:pPr>
      <w:bookmarkStart w:id="3" w:name="_Toc55831838"/>
      <w:bookmarkStart w:id="4" w:name="_Toc55832185"/>
      <w:r w:rsidRPr="00C0584B">
        <w:lastRenderedPageBreak/>
        <w:t xml:space="preserve">Funding to support </w:t>
      </w:r>
      <w:r w:rsidR="00CD1906">
        <w:t xml:space="preserve">television and online coverage </w:t>
      </w:r>
      <w:r w:rsidRPr="00C0584B">
        <w:t>of under</w:t>
      </w:r>
      <w:r w:rsidR="00027DFC">
        <w:t>-</w:t>
      </w:r>
      <w:r w:rsidRPr="00C0584B">
        <w:t>represented sports</w:t>
      </w:r>
      <w:r w:rsidR="005E3798">
        <w:t>:</w:t>
      </w:r>
      <w:r w:rsidR="007D1D4F" w:rsidRPr="00C0584B">
        <w:t xml:space="preserve"> overview and objectives</w:t>
      </w:r>
      <w:bookmarkEnd w:id="2"/>
      <w:bookmarkEnd w:id="3"/>
      <w:bookmarkEnd w:id="4"/>
    </w:p>
    <w:p w14:paraId="1D0D90FA" w14:textId="77777777" w:rsidR="00C13325" w:rsidRPr="00C0584B" w:rsidRDefault="007D1D4F" w:rsidP="00C13325">
      <w:pPr>
        <w:spacing w:after="120"/>
      </w:pPr>
      <w:r w:rsidRPr="00C0584B">
        <w:t xml:space="preserve">The objective of the </w:t>
      </w:r>
      <w:r w:rsidR="008364AE" w:rsidRPr="00C0584B">
        <w:t>grant opportunity</w:t>
      </w:r>
      <w:r w:rsidRPr="00C0584B">
        <w:t xml:space="preserve"> </w:t>
      </w:r>
      <w:r w:rsidR="00144F3C">
        <w:t xml:space="preserve">is to </w:t>
      </w:r>
      <w:r w:rsidR="009F6296" w:rsidRPr="009F6296">
        <w:t>support television and online coverage of under-represented sports, includin</w:t>
      </w:r>
      <w:r w:rsidR="009A6258">
        <w:t xml:space="preserve">g women’s sports, niche sports </w:t>
      </w:r>
      <w:r w:rsidR="009F6296" w:rsidRPr="009F6296">
        <w:t>and emerging sports that exhibit high levels of community involvement and participation</w:t>
      </w:r>
      <w:r w:rsidR="00C13325" w:rsidRPr="00C0584B">
        <w:t>.</w:t>
      </w:r>
    </w:p>
    <w:p w14:paraId="2C7F987E" w14:textId="77777777" w:rsidR="00826301" w:rsidRPr="00F206A2" w:rsidRDefault="00584DCF" w:rsidP="00C13325">
      <w:pPr>
        <w:spacing w:after="120"/>
        <w:rPr>
          <w:color w:val="1C1C1C" w:themeColor="text2"/>
        </w:rPr>
      </w:pPr>
      <w:r w:rsidRPr="00F206A2">
        <w:rPr>
          <w:color w:val="1C1C1C" w:themeColor="text2"/>
        </w:rPr>
        <w:t>Th</w:t>
      </w:r>
      <w:r w:rsidR="00144F3C" w:rsidRPr="00F206A2">
        <w:rPr>
          <w:color w:val="1C1C1C" w:themeColor="text2"/>
        </w:rPr>
        <w:t xml:space="preserve">is </w:t>
      </w:r>
      <w:r w:rsidRPr="00F206A2">
        <w:rPr>
          <w:color w:val="1C1C1C" w:themeColor="text2"/>
        </w:rPr>
        <w:t xml:space="preserve">funding was </w:t>
      </w:r>
      <w:r w:rsidR="00EB6627" w:rsidRPr="00F206A2">
        <w:rPr>
          <w:color w:val="1C1C1C" w:themeColor="text2"/>
        </w:rPr>
        <w:t xml:space="preserve">first </w:t>
      </w:r>
      <w:r w:rsidRPr="00F206A2">
        <w:rPr>
          <w:color w:val="1C1C1C" w:themeColor="text2"/>
        </w:rPr>
        <w:t xml:space="preserve">announced </w:t>
      </w:r>
      <w:r w:rsidR="007B3A6F" w:rsidRPr="00F206A2">
        <w:rPr>
          <w:color w:val="1C1C1C" w:themeColor="text2"/>
        </w:rPr>
        <w:t xml:space="preserve">in the 2017-18 Budget </w:t>
      </w:r>
      <w:r w:rsidRPr="00F206A2">
        <w:rPr>
          <w:color w:val="1C1C1C" w:themeColor="text2"/>
        </w:rPr>
        <w:t>on 6 May</w:t>
      </w:r>
      <w:r w:rsidR="00CD6B53" w:rsidRPr="00F206A2">
        <w:rPr>
          <w:color w:val="1C1C1C" w:themeColor="text2"/>
        </w:rPr>
        <w:t xml:space="preserve"> 2017</w:t>
      </w:r>
      <w:r w:rsidR="007B3A6F" w:rsidRPr="00F206A2">
        <w:rPr>
          <w:color w:val="1C1C1C" w:themeColor="text2"/>
        </w:rPr>
        <w:t>,</w:t>
      </w:r>
      <w:r w:rsidRPr="00F206A2">
        <w:rPr>
          <w:color w:val="1C1C1C" w:themeColor="text2"/>
        </w:rPr>
        <w:t xml:space="preserve"> </w:t>
      </w:r>
      <w:r w:rsidR="007B3A6F" w:rsidRPr="00F206A2">
        <w:rPr>
          <w:color w:val="1C1C1C" w:themeColor="text2"/>
        </w:rPr>
        <w:t>as an element of the Broadcasting and Content Reform Package</w:t>
      </w:r>
      <w:r w:rsidR="00EB6627" w:rsidRPr="00F206A2">
        <w:rPr>
          <w:color w:val="1C1C1C" w:themeColor="text2"/>
        </w:rPr>
        <w:t>.</w:t>
      </w:r>
      <w:r w:rsidR="007B3A6F" w:rsidRPr="00F206A2">
        <w:rPr>
          <w:color w:val="1C1C1C" w:themeColor="text2"/>
        </w:rPr>
        <w:t xml:space="preserve"> </w:t>
      </w:r>
      <w:r w:rsidR="001C531E" w:rsidRPr="00F206A2">
        <w:rPr>
          <w:color w:val="1C1C1C" w:themeColor="text2"/>
        </w:rPr>
        <w:t xml:space="preserve">The </w:t>
      </w:r>
      <w:r w:rsidR="00EB6627" w:rsidRPr="00F206A2">
        <w:rPr>
          <w:color w:val="1C1C1C" w:themeColor="text2"/>
        </w:rPr>
        <w:t xml:space="preserve">first tranche of </w:t>
      </w:r>
      <w:r w:rsidR="001C531E" w:rsidRPr="00F206A2">
        <w:rPr>
          <w:color w:val="1C1C1C" w:themeColor="text2"/>
        </w:rPr>
        <w:t xml:space="preserve">funding </w:t>
      </w:r>
      <w:r w:rsidR="00ED01E7" w:rsidRPr="00F206A2">
        <w:rPr>
          <w:color w:val="1C1C1C" w:themeColor="text2"/>
        </w:rPr>
        <w:t xml:space="preserve">of $30 million </w:t>
      </w:r>
      <w:r w:rsidR="001C531E" w:rsidRPr="00F206A2">
        <w:rPr>
          <w:color w:val="1C1C1C" w:themeColor="text2"/>
        </w:rPr>
        <w:t>w</w:t>
      </w:r>
      <w:r w:rsidR="00EB6627" w:rsidRPr="00F206A2">
        <w:rPr>
          <w:color w:val="1C1C1C" w:themeColor="text2"/>
        </w:rPr>
        <w:t>as</w:t>
      </w:r>
      <w:r w:rsidR="001C531E" w:rsidRPr="00F206A2">
        <w:rPr>
          <w:color w:val="1C1C1C" w:themeColor="text2"/>
        </w:rPr>
        <w:t xml:space="preserve"> </w:t>
      </w:r>
      <w:r w:rsidR="00EB6627" w:rsidRPr="00F206A2">
        <w:rPr>
          <w:color w:val="1C1C1C" w:themeColor="text2"/>
        </w:rPr>
        <w:t>for the</w:t>
      </w:r>
      <w:r w:rsidR="001C531E" w:rsidRPr="00F206A2">
        <w:rPr>
          <w:color w:val="1C1C1C" w:themeColor="text2"/>
        </w:rPr>
        <w:t xml:space="preserve"> four </w:t>
      </w:r>
      <w:r w:rsidR="00EB6627" w:rsidRPr="00F206A2">
        <w:rPr>
          <w:color w:val="1C1C1C" w:themeColor="text2"/>
        </w:rPr>
        <w:t xml:space="preserve">financial </w:t>
      </w:r>
      <w:r w:rsidR="001C531E" w:rsidRPr="00F206A2">
        <w:rPr>
          <w:color w:val="1C1C1C" w:themeColor="text2"/>
        </w:rPr>
        <w:t>years</w:t>
      </w:r>
      <w:r w:rsidR="00EB6627" w:rsidRPr="00F206A2">
        <w:rPr>
          <w:color w:val="1C1C1C" w:themeColor="text2"/>
        </w:rPr>
        <w:t xml:space="preserve"> to 30 June 2021. </w:t>
      </w:r>
    </w:p>
    <w:p w14:paraId="3609F32A" w14:textId="77777777" w:rsidR="00584DCF" w:rsidRPr="00F206A2" w:rsidRDefault="00EB6627" w:rsidP="00C13325">
      <w:pPr>
        <w:spacing w:after="120"/>
        <w:rPr>
          <w:color w:val="1C1C1C" w:themeColor="text2"/>
        </w:rPr>
      </w:pPr>
      <w:r w:rsidRPr="00F206A2">
        <w:rPr>
          <w:color w:val="1C1C1C" w:themeColor="text2"/>
        </w:rPr>
        <w:t xml:space="preserve">In June 2020, an additional </w:t>
      </w:r>
      <w:r w:rsidR="00826301" w:rsidRPr="00F206A2">
        <w:rPr>
          <w:color w:val="1C1C1C" w:themeColor="text2"/>
        </w:rPr>
        <w:t xml:space="preserve">$10 </w:t>
      </w:r>
      <w:r w:rsidRPr="00F206A2">
        <w:rPr>
          <w:color w:val="1C1C1C" w:themeColor="text2"/>
        </w:rPr>
        <w:t>million was added to the grant to accelerate program outcomes and expand the program through to June 202</w:t>
      </w:r>
      <w:r w:rsidR="00826301" w:rsidRPr="00F206A2">
        <w:rPr>
          <w:color w:val="1C1C1C" w:themeColor="text2"/>
        </w:rPr>
        <w:t>3.</w:t>
      </w:r>
      <w:r w:rsidR="001C531E" w:rsidRPr="00F206A2">
        <w:rPr>
          <w:color w:val="1C1C1C" w:themeColor="text2"/>
        </w:rPr>
        <w:t xml:space="preserve"> </w:t>
      </w:r>
    </w:p>
    <w:p w14:paraId="36C2607C" w14:textId="77777777" w:rsidR="00741EF2" w:rsidRDefault="007D1D4F" w:rsidP="007F75D7">
      <w:pPr>
        <w:spacing w:after="120"/>
      </w:pPr>
      <w:r w:rsidRPr="00F206A2">
        <w:rPr>
          <w:color w:val="1C1C1C" w:themeColor="text2"/>
        </w:rPr>
        <w:t xml:space="preserve">The expected outcome of the grant activity </w:t>
      </w:r>
      <w:r w:rsidR="00901414" w:rsidRPr="00F206A2">
        <w:rPr>
          <w:color w:val="1C1C1C" w:themeColor="text2"/>
        </w:rPr>
        <w:t>is</w:t>
      </w:r>
      <w:r w:rsidRPr="00F206A2">
        <w:rPr>
          <w:color w:val="1C1C1C" w:themeColor="text2"/>
        </w:rPr>
        <w:t xml:space="preserve"> </w:t>
      </w:r>
      <w:r w:rsidR="009F6296" w:rsidRPr="00F206A2">
        <w:rPr>
          <w:color w:val="1C1C1C" w:themeColor="text2"/>
        </w:rPr>
        <w:t xml:space="preserve">increased television </w:t>
      </w:r>
      <w:r w:rsidR="009F6296" w:rsidRPr="009F6296">
        <w:t>and online coverage of under-represented sports, including women’s sports, niche sports, and emerging sports that exhibit high levels of community involvement and participation</w:t>
      </w:r>
      <w:r w:rsidR="00C13325" w:rsidRPr="00C0584B">
        <w:t xml:space="preserve">. </w:t>
      </w:r>
    </w:p>
    <w:p w14:paraId="59FC40CC" w14:textId="77777777" w:rsidR="00801327" w:rsidRPr="00801327" w:rsidRDefault="00CD6B53" w:rsidP="007F75D7">
      <w:pPr>
        <w:spacing w:after="120"/>
        <w:rPr>
          <w:rFonts w:cstheme="minorHAnsi"/>
        </w:rPr>
      </w:pPr>
      <w:r>
        <w:rPr>
          <w:rFonts w:cstheme="minorHAnsi"/>
        </w:rPr>
        <w:t>S</w:t>
      </w:r>
      <w:r w:rsidR="00801327" w:rsidRPr="00801327">
        <w:rPr>
          <w:rFonts w:cstheme="minorHAnsi"/>
        </w:rPr>
        <w:t>econdary or ancillary benefits</w:t>
      </w:r>
      <w:r>
        <w:rPr>
          <w:rFonts w:cstheme="minorHAnsi"/>
        </w:rPr>
        <w:t xml:space="preserve"> expected to flow from the grant </w:t>
      </w:r>
      <w:r w:rsidR="00801327" w:rsidRPr="00801327">
        <w:rPr>
          <w:rFonts w:cstheme="minorHAnsi"/>
        </w:rPr>
        <w:t>includ</w:t>
      </w:r>
      <w:r>
        <w:rPr>
          <w:rFonts w:cstheme="minorHAnsi"/>
        </w:rPr>
        <w:t>e</w:t>
      </w:r>
      <w:r w:rsidR="00801327" w:rsidRPr="00801327">
        <w:rPr>
          <w:rFonts w:cstheme="minorHAnsi"/>
        </w:rPr>
        <w:t xml:space="preserve"> the following: </w:t>
      </w:r>
    </w:p>
    <w:p w14:paraId="3D4EC473" w14:textId="3678A9B5" w:rsidR="00801327" w:rsidRPr="00801327" w:rsidRDefault="00801327" w:rsidP="00801327">
      <w:pPr>
        <w:pStyle w:val="ListParagraph"/>
        <w:numPr>
          <w:ilvl w:val="0"/>
          <w:numId w:val="41"/>
        </w:numPr>
        <w:spacing w:after="120"/>
        <w:rPr>
          <w:rFonts w:asciiTheme="minorHAnsi" w:hAnsiTheme="minorHAnsi" w:cstheme="minorHAnsi"/>
        </w:rPr>
      </w:pPr>
      <w:r w:rsidRPr="00801327">
        <w:rPr>
          <w:rFonts w:asciiTheme="minorHAnsi" w:hAnsiTheme="minorHAnsi" w:cstheme="minorHAnsi"/>
        </w:rPr>
        <w:t>an increase in the ability for women’s, niche and emerging sports to grow participation, levels of community en</w:t>
      </w:r>
      <w:r w:rsidR="00240067">
        <w:rPr>
          <w:rFonts w:asciiTheme="minorHAnsi" w:hAnsiTheme="minorHAnsi" w:cstheme="minorHAnsi"/>
        </w:rPr>
        <w:t>gagement, and their fan bases;</w:t>
      </w:r>
    </w:p>
    <w:p w14:paraId="11D350AA" w14:textId="77777777" w:rsidR="00801327" w:rsidRPr="00801327" w:rsidRDefault="00801327" w:rsidP="00801327">
      <w:pPr>
        <w:pStyle w:val="ListParagraph"/>
        <w:numPr>
          <w:ilvl w:val="0"/>
          <w:numId w:val="41"/>
        </w:numPr>
        <w:spacing w:after="120"/>
        <w:rPr>
          <w:rFonts w:asciiTheme="minorHAnsi" w:hAnsiTheme="minorHAnsi" w:cstheme="minorHAnsi"/>
        </w:rPr>
      </w:pPr>
      <w:r w:rsidRPr="00801327">
        <w:rPr>
          <w:rFonts w:asciiTheme="minorHAnsi" w:hAnsiTheme="minorHAnsi" w:cstheme="minorHAnsi"/>
        </w:rPr>
        <w:t>an increase in the ability for women’s</w:t>
      </w:r>
      <w:r w:rsidR="009F6296">
        <w:rPr>
          <w:rFonts w:asciiTheme="minorHAnsi" w:hAnsiTheme="minorHAnsi" w:cstheme="minorHAnsi"/>
        </w:rPr>
        <w:t xml:space="preserve"> sports</w:t>
      </w:r>
      <w:r w:rsidRPr="00801327">
        <w:rPr>
          <w:rFonts w:asciiTheme="minorHAnsi" w:hAnsiTheme="minorHAnsi" w:cstheme="minorHAnsi"/>
        </w:rPr>
        <w:t>, niche</w:t>
      </w:r>
      <w:r w:rsidR="009F6296">
        <w:rPr>
          <w:rFonts w:asciiTheme="minorHAnsi" w:hAnsiTheme="minorHAnsi" w:cstheme="minorHAnsi"/>
        </w:rPr>
        <w:t xml:space="preserve"> sports</w:t>
      </w:r>
      <w:r w:rsidRPr="00801327">
        <w:rPr>
          <w:rFonts w:asciiTheme="minorHAnsi" w:hAnsiTheme="minorHAnsi" w:cstheme="minorHAnsi"/>
        </w:rPr>
        <w:t xml:space="preserve"> and emerging sports to commercialise their content; and </w:t>
      </w:r>
    </w:p>
    <w:p w14:paraId="72CA37E9" w14:textId="77777777" w:rsidR="00801327" w:rsidRPr="00801327" w:rsidRDefault="00801327" w:rsidP="00801327">
      <w:pPr>
        <w:pStyle w:val="ListParagraph"/>
        <w:numPr>
          <w:ilvl w:val="0"/>
          <w:numId w:val="41"/>
        </w:numPr>
        <w:spacing w:after="120"/>
        <w:rPr>
          <w:rFonts w:asciiTheme="minorHAnsi" w:hAnsiTheme="minorHAnsi" w:cstheme="minorHAnsi"/>
        </w:rPr>
      </w:pPr>
      <w:r w:rsidRPr="00801327">
        <w:rPr>
          <w:rFonts w:asciiTheme="minorHAnsi" w:hAnsiTheme="minorHAnsi" w:cstheme="minorHAnsi"/>
        </w:rPr>
        <w:t>providing an opportunity to establish role models and pathways for aspiring athletes in the community, particularly young women.</w:t>
      </w:r>
    </w:p>
    <w:p w14:paraId="52CFE1A6" w14:textId="77777777" w:rsidR="007D1D4F" w:rsidRPr="000F576B" w:rsidRDefault="007D1D4F" w:rsidP="007D1D4F">
      <w:pPr>
        <w:spacing w:after="120"/>
      </w:pPr>
      <w:bookmarkStart w:id="5" w:name="_Toc421777592"/>
      <w:bookmarkStart w:id="6" w:name="_Ref421785111"/>
      <w:r w:rsidRPr="000F576B">
        <w:t xml:space="preserve">The </w:t>
      </w:r>
      <w:r>
        <w:t>grant</w:t>
      </w:r>
      <w:r w:rsidRPr="000F576B">
        <w:t xml:space="preserve"> will be undertaken in accordance with the </w:t>
      </w:r>
      <w:r w:rsidRPr="000F576B">
        <w:rPr>
          <w:i/>
        </w:rPr>
        <w:t xml:space="preserve">Commonwealth Grants Rules and Guidelines (CGRGs) </w:t>
      </w:r>
      <w:hyperlink r:id="rId11" w:history="1">
        <w:r w:rsidR="00826301">
          <w:rPr>
            <w:rStyle w:val="Hyperlink"/>
          </w:rPr>
          <w:t>https://www.finance.gov.au/government/commonwealth-grants/commonwealth-grants-rules-guidelines</w:t>
        </w:r>
      </w:hyperlink>
      <w:r w:rsidR="00826301">
        <w:t xml:space="preserve"> </w:t>
      </w:r>
    </w:p>
    <w:p w14:paraId="0C108ED3" w14:textId="77777777" w:rsidR="007D1D4F" w:rsidRPr="00B72EE8" w:rsidRDefault="007D1D4F" w:rsidP="00240067">
      <w:pPr>
        <w:pStyle w:val="Heading2"/>
      </w:pPr>
      <w:bookmarkStart w:id="7" w:name="_Toc464643011"/>
      <w:bookmarkStart w:id="8" w:name="_Toc55831839"/>
      <w:bookmarkStart w:id="9" w:name="_Toc55832186"/>
      <w:r>
        <w:t>Grant selection process</w:t>
      </w:r>
      <w:bookmarkEnd w:id="5"/>
      <w:bookmarkEnd w:id="6"/>
      <w:bookmarkEnd w:id="7"/>
      <w:bookmarkEnd w:id="8"/>
      <w:bookmarkEnd w:id="9"/>
    </w:p>
    <w:p w14:paraId="7243EF3E" w14:textId="77777777" w:rsidR="007D1D4F" w:rsidRPr="00C0584B" w:rsidRDefault="007D1D4F" w:rsidP="007D1D4F">
      <w:r w:rsidRPr="00C0584B">
        <w:t>This grant opportunity has been established as a one-off</w:t>
      </w:r>
      <w:r w:rsidR="00B3770E" w:rsidRPr="00C0584B">
        <w:t xml:space="preserve"> or ad hoc</w:t>
      </w:r>
      <w:r w:rsidRPr="00C0584B">
        <w:t xml:space="preserve"> grant. The </w:t>
      </w:r>
      <w:r w:rsidR="00CD6B53">
        <w:t>Government</w:t>
      </w:r>
      <w:r w:rsidR="00CD6B53" w:rsidRPr="00C0584B">
        <w:t xml:space="preserve"> </w:t>
      </w:r>
      <w:r w:rsidRPr="00C0584B">
        <w:t xml:space="preserve">considers that this is an appropriate type of selection process considering the nature of the granting activity is specifically dependent on </w:t>
      </w:r>
      <w:r w:rsidR="00A8217F" w:rsidRPr="00C0584B">
        <w:t>Fox Sports’ expertise in sports coverage and broadcasting</w:t>
      </w:r>
      <w:r w:rsidR="00B3770E" w:rsidRPr="00C0584B">
        <w:t>.</w:t>
      </w:r>
    </w:p>
    <w:p w14:paraId="333E1F60" w14:textId="22100343" w:rsidR="00C5272E" w:rsidRPr="00C0584B" w:rsidRDefault="00A8217F" w:rsidP="007D1D4F">
      <w:r w:rsidRPr="00C0584B">
        <w:t>Fox Sports was selected for direct offer as its business model is well placed to enhance the levels of coverage of under</w:t>
      </w:r>
      <w:r w:rsidR="009A6258">
        <w:t>-</w:t>
      </w:r>
      <w:r w:rsidRPr="00C0584B">
        <w:t>represented sports, with expertise in developing and transmitting sports coverage through its linear and on-demand su</w:t>
      </w:r>
      <w:r w:rsidR="009D3B91">
        <w:t>bscription television services.</w:t>
      </w:r>
    </w:p>
    <w:p w14:paraId="71467778" w14:textId="77777777" w:rsidR="00A8217F" w:rsidRDefault="00A8217F" w:rsidP="007D1D4F">
      <w:r w:rsidRPr="00EB5E03">
        <w:rPr>
          <w:color w:val="1C1C1C" w:themeColor="text2"/>
        </w:rPr>
        <w:t xml:space="preserve">Fox Sports provides extensive and comprehensive coverage of domestic and international sports, including six dedicated sports channels and a wide range of sports news and reporting. This mix of </w:t>
      </w:r>
      <w:r w:rsidRPr="00C0584B">
        <w:t xml:space="preserve">sports extends to some lower-profile sports and events that receive </w:t>
      </w:r>
      <w:r w:rsidRPr="00C0584B">
        <w:lastRenderedPageBreak/>
        <w:t xml:space="preserve">little or no free-to-air television coverage. As such, Fox Sports is well-placed to use the funding to extend and develop the </w:t>
      </w:r>
      <w:r w:rsidR="00CD1906">
        <w:t xml:space="preserve">media coverage </w:t>
      </w:r>
      <w:r w:rsidRPr="00C0584B">
        <w:t>of women’s and niche sports.</w:t>
      </w:r>
    </w:p>
    <w:p w14:paraId="37622F61" w14:textId="6D65557E" w:rsidR="005B4F63" w:rsidRPr="00EB5E03" w:rsidRDefault="005B4F63" w:rsidP="005B4F63">
      <w:pPr>
        <w:spacing w:line="276" w:lineRule="auto"/>
        <w:rPr>
          <w:color w:val="1C1C1C" w:themeColor="text2"/>
        </w:rPr>
      </w:pPr>
      <w:r w:rsidRPr="00EB5E03">
        <w:rPr>
          <w:color w:val="1C1C1C" w:themeColor="text2"/>
        </w:rPr>
        <w:t>The Fox</w:t>
      </w:r>
      <w:r w:rsidR="001C219F">
        <w:rPr>
          <w:color w:val="1C1C1C" w:themeColor="text2"/>
        </w:rPr>
        <w:t xml:space="preserve"> Sports</w:t>
      </w:r>
      <w:r w:rsidRPr="00EB5E03">
        <w:rPr>
          <w:color w:val="1C1C1C" w:themeColor="text2"/>
        </w:rPr>
        <w:t xml:space="preserve"> proposal</w:t>
      </w:r>
      <w:r w:rsidR="002F0A8A" w:rsidRPr="00EB5E03">
        <w:rPr>
          <w:color w:val="1C1C1C" w:themeColor="text2"/>
        </w:rPr>
        <w:t xml:space="preserve"> </w:t>
      </w:r>
      <w:r w:rsidRPr="00EB5E03">
        <w:rPr>
          <w:color w:val="1C1C1C" w:themeColor="text2"/>
        </w:rPr>
        <w:t xml:space="preserve">will need to </w:t>
      </w:r>
      <w:r w:rsidR="002F0A8A" w:rsidRPr="00EB5E03">
        <w:rPr>
          <w:color w:val="1C1C1C" w:themeColor="text2"/>
        </w:rPr>
        <w:t>effectively address the following four criteria for the program:</w:t>
      </w:r>
    </w:p>
    <w:p w14:paraId="4CC06E96" w14:textId="12403017" w:rsidR="005B4F63" w:rsidRPr="00EB5E03" w:rsidRDefault="005B4F63" w:rsidP="00240067">
      <w:pPr>
        <w:pStyle w:val="Heading3"/>
      </w:pPr>
      <w:bookmarkStart w:id="10" w:name="_Toc55831840"/>
      <w:bookmarkStart w:id="11" w:name="_Toc55832187"/>
      <w:r w:rsidRPr="00EB5E03">
        <w:t>D</w:t>
      </w:r>
      <w:r w:rsidR="002F0A8A" w:rsidRPr="00EB5E03">
        <w:t>emonstrate</w:t>
      </w:r>
      <w:r w:rsidRPr="00EB5E03">
        <w:t>d</w:t>
      </w:r>
      <w:r w:rsidR="002F0A8A" w:rsidRPr="00EB5E03">
        <w:t xml:space="preserve"> understanding of the need for the funded activity for each identified target sport</w:t>
      </w:r>
      <w:r w:rsidR="00240067">
        <w:t>.</w:t>
      </w:r>
      <w:bookmarkEnd w:id="10"/>
      <w:bookmarkEnd w:id="11"/>
    </w:p>
    <w:p w14:paraId="0D5F3BE0" w14:textId="6EFD9E00" w:rsidR="002F0A8A" w:rsidRPr="00EB5E03" w:rsidRDefault="002F0A8A" w:rsidP="00240067">
      <w:pPr>
        <w:spacing w:line="276" w:lineRule="auto"/>
        <w:ind w:left="567"/>
        <w:rPr>
          <w:color w:val="1C1C1C" w:themeColor="text2"/>
        </w:rPr>
      </w:pPr>
      <w:r w:rsidRPr="00EB5E03">
        <w:rPr>
          <w:color w:val="1C1C1C" w:themeColor="text2"/>
        </w:rPr>
        <w:t>Fox</w:t>
      </w:r>
      <w:r w:rsidR="001C219F">
        <w:rPr>
          <w:color w:val="1C1C1C" w:themeColor="text2"/>
        </w:rPr>
        <w:t xml:space="preserve"> Sports</w:t>
      </w:r>
      <w:r w:rsidRPr="00EB5E03">
        <w:rPr>
          <w:color w:val="1C1C1C" w:themeColor="text2"/>
        </w:rPr>
        <w:t xml:space="preserve"> </w:t>
      </w:r>
      <w:r w:rsidR="005B4F63" w:rsidRPr="00EB5E03">
        <w:rPr>
          <w:color w:val="1C1C1C" w:themeColor="text2"/>
        </w:rPr>
        <w:t>will need to</w:t>
      </w:r>
      <w:r w:rsidRPr="00EB5E03">
        <w:rPr>
          <w:color w:val="1C1C1C" w:themeColor="text2"/>
        </w:rPr>
        <w:t xml:space="preserve"> identif</w:t>
      </w:r>
      <w:r w:rsidR="005B4F63" w:rsidRPr="00EB5E03">
        <w:rPr>
          <w:color w:val="1C1C1C" w:themeColor="text2"/>
        </w:rPr>
        <w:t>y</w:t>
      </w:r>
      <w:r w:rsidRPr="00EB5E03">
        <w:rPr>
          <w:color w:val="1C1C1C" w:themeColor="text2"/>
        </w:rPr>
        <w:t xml:space="preserve"> and demonstrate an awareness of the specific needs of the target sports and provide evidence about the needs of each sport. It</w:t>
      </w:r>
      <w:r w:rsidR="005B4F63" w:rsidRPr="00EB5E03">
        <w:rPr>
          <w:color w:val="1C1C1C" w:themeColor="text2"/>
        </w:rPr>
        <w:t xml:space="preserve"> will need to</w:t>
      </w:r>
      <w:r w:rsidRPr="00EB5E03">
        <w:rPr>
          <w:color w:val="1C1C1C" w:themeColor="text2"/>
        </w:rPr>
        <w:t xml:space="preserve"> provide evidence that each sport has high participation rates or anticipates high growth in emerging needs; is identified as a priority area and has poor access to media coverage today. Fox</w:t>
      </w:r>
      <w:r w:rsidR="001C219F">
        <w:rPr>
          <w:color w:val="1C1C1C" w:themeColor="text2"/>
        </w:rPr>
        <w:t xml:space="preserve"> Sports</w:t>
      </w:r>
      <w:r w:rsidRPr="00EB5E03">
        <w:rPr>
          <w:color w:val="1C1C1C" w:themeColor="text2"/>
        </w:rPr>
        <w:t xml:space="preserve"> </w:t>
      </w:r>
      <w:r w:rsidR="005B4F63" w:rsidRPr="00EB5E03">
        <w:rPr>
          <w:color w:val="1C1C1C" w:themeColor="text2"/>
        </w:rPr>
        <w:t>will need to</w:t>
      </w:r>
      <w:r w:rsidRPr="00EB5E03">
        <w:rPr>
          <w:color w:val="1C1C1C" w:themeColor="text2"/>
        </w:rPr>
        <w:t xml:space="preserve"> demonstrate strategies to respond to the emerging needs in the target sports such as flexible service provision, collaboration and linkages with other organisations and service providers and demonstrate how the service will benefit each target sport and community including intended benefits and evidence to support the service approach.</w:t>
      </w:r>
    </w:p>
    <w:p w14:paraId="1988A983" w14:textId="77777777" w:rsidR="002F0A8A" w:rsidRPr="00EB5E03" w:rsidRDefault="005B4F63" w:rsidP="00240067">
      <w:pPr>
        <w:pStyle w:val="Heading3"/>
      </w:pPr>
      <w:bookmarkStart w:id="12" w:name="_Toc55831841"/>
      <w:bookmarkStart w:id="13" w:name="_Toc55832188"/>
      <w:r w:rsidRPr="00EB5E03">
        <w:t>Description of</w:t>
      </w:r>
      <w:r w:rsidR="002F0A8A" w:rsidRPr="00EB5E03">
        <w:t xml:space="preserve"> how the implementation of the program will achieve the activity objectives for all stakeholders, including value for money within the grant funding.</w:t>
      </w:r>
      <w:bookmarkEnd w:id="12"/>
      <w:bookmarkEnd w:id="13"/>
      <w:r w:rsidR="002F0A8A" w:rsidRPr="00EB5E03">
        <w:t xml:space="preserve"> </w:t>
      </w:r>
    </w:p>
    <w:p w14:paraId="2ADBD5B7" w14:textId="388DFD41" w:rsidR="002F0A8A" w:rsidRPr="00EB5E03" w:rsidRDefault="002F0A8A" w:rsidP="00240067">
      <w:pPr>
        <w:spacing w:line="276" w:lineRule="auto"/>
        <w:ind w:left="567"/>
        <w:rPr>
          <w:color w:val="1C1C1C" w:themeColor="text2"/>
        </w:rPr>
      </w:pPr>
      <w:r w:rsidRPr="00EB5E03">
        <w:rPr>
          <w:color w:val="1C1C1C" w:themeColor="text2"/>
        </w:rPr>
        <w:t>Fox</w:t>
      </w:r>
      <w:r w:rsidR="001C219F">
        <w:rPr>
          <w:color w:val="1C1C1C" w:themeColor="text2"/>
        </w:rPr>
        <w:t xml:space="preserve"> Sports</w:t>
      </w:r>
      <w:r w:rsidR="005B4F63" w:rsidRPr="00EB5E03">
        <w:rPr>
          <w:color w:val="1C1C1C" w:themeColor="text2"/>
        </w:rPr>
        <w:t xml:space="preserve"> will need to</w:t>
      </w:r>
      <w:r w:rsidRPr="00EB5E03">
        <w:rPr>
          <w:color w:val="1C1C1C" w:themeColor="text2"/>
        </w:rPr>
        <w:t xml:space="preserve"> demonstrate a clear understanding of the activity’s objectives and support</w:t>
      </w:r>
      <w:r w:rsidR="005B4F63" w:rsidRPr="00EB5E03">
        <w:rPr>
          <w:color w:val="1C1C1C" w:themeColor="text2"/>
        </w:rPr>
        <w:t xml:space="preserve"> this with</w:t>
      </w:r>
      <w:r w:rsidRPr="00EB5E03">
        <w:rPr>
          <w:color w:val="1C1C1C" w:themeColor="text2"/>
        </w:rPr>
        <w:t xml:space="preserve"> evidence. It </w:t>
      </w:r>
      <w:r w:rsidR="005B4F63" w:rsidRPr="00EB5E03">
        <w:rPr>
          <w:color w:val="1C1C1C" w:themeColor="text2"/>
        </w:rPr>
        <w:t>will need to</w:t>
      </w:r>
      <w:r w:rsidRPr="00EB5E03">
        <w:rPr>
          <w:color w:val="1C1C1C" w:themeColor="text2"/>
        </w:rPr>
        <w:t xml:space="preserve"> provide a clear and detailed description of how the program will be implemented, including evidence of how the program will achieve value for money. It </w:t>
      </w:r>
      <w:r w:rsidR="005B4F63" w:rsidRPr="00EB5E03">
        <w:rPr>
          <w:color w:val="1C1C1C" w:themeColor="text2"/>
        </w:rPr>
        <w:t>must</w:t>
      </w:r>
      <w:r w:rsidRPr="00EB5E03">
        <w:rPr>
          <w:color w:val="1C1C1C" w:themeColor="text2"/>
        </w:rPr>
        <w:t xml:space="preserve"> specif</w:t>
      </w:r>
      <w:r w:rsidR="005B4F63" w:rsidRPr="00EB5E03">
        <w:rPr>
          <w:color w:val="1C1C1C" w:themeColor="text2"/>
        </w:rPr>
        <w:t>y</w:t>
      </w:r>
      <w:r w:rsidRPr="00EB5E03">
        <w:rPr>
          <w:color w:val="1C1C1C" w:themeColor="text2"/>
        </w:rPr>
        <w:t xml:space="preserve"> the linkages between proposed outcomes and projected deliverables, the benefit to the target sports and their communities and the amount of funding sought. It </w:t>
      </w:r>
      <w:r w:rsidR="005B4F63" w:rsidRPr="00EB5E03">
        <w:rPr>
          <w:color w:val="1C1C1C" w:themeColor="text2"/>
        </w:rPr>
        <w:t>must identify</w:t>
      </w:r>
      <w:r w:rsidRPr="00EB5E03">
        <w:rPr>
          <w:color w:val="1C1C1C" w:themeColor="text2"/>
        </w:rPr>
        <w:t xml:space="preserve"> strategies to demonstrate how the program objectives will be met; describe how the program will complement existing services and resources within the community and described links with the community and target sports including established relationships with stakeholders, relevant organisations, clients, and other service providers.</w:t>
      </w:r>
    </w:p>
    <w:p w14:paraId="4EA2A020" w14:textId="77777777" w:rsidR="002F0A8A" w:rsidRPr="00EB5E03" w:rsidRDefault="005B4F63" w:rsidP="00240067">
      <w:pPr>
        <w:pStyle w:val="Heading3"/>
      </w:pPr>
      <w:bookmarkStart w:id="14" w:name="_Toc55831842"/>
      <w:bookmarkStart w:id="15" w:name="_Toc55832189"/>
      <w:r w:rsidRPr="00EB5E03">
        <w:t>D</w:t>
      </w:r>
      <w:r w:rsidR="002F0A8A" w:rsidRPr="00EB5E03">
        <w:t>emonstrated experience in effectively developing, delivering, managing and monitoring similar initiatives to give confidence it will achieve program objectives for all stakeholders.</w:t>
      </w:r>
      <w:bookmarkEnd w:id="14"/>
      <w:bookmarkEnd w:id="15"/>
    </w:p>
    <w:p w14:paraId="4FE5D2E0" w14:textId="727926E5" w:rsidR="00970DB4" w:rsidRPr="00EB5E03" w:rsidRDefault="00970DB4" w:rsidP="00240067">
      <w:pPr>
        <w:spacing w:line="276" w:lineRule="auto"/>
        <w:ind w:left="567"/>
        <w:rPr>
          <w:color w:val="1C1C1C" w:themeColor="text2"/>
        </w:rPr>
      </w:pPr>
      <w:r w:rsidRPr="00EB5E03">
        <w:rPr>
          <w:color w:val="1C1C1C" w:themeColor="text2"/>
        </w:rPr>
        <w:t>Fox</w:t>
      </w:r>
      <w:r w:rsidR="001C219F">
        <w:rPr>
          <w:color w:val="1C1C1C" w:themeColor="text2"/>
        </w:rPr>
        <w:t xml:space="preserve"> Sports</w:t>
      </w:r>
      <w:r w:rsidRPr="00EB5E03">
        <w:rPr>
          <w:color w:val="1C1C1C" w:themeColor="text2"/>
        </w:rPr>
        <w:t xml:space="preserve"> will need to clearly define the way in which it will plan, develop, deliver, manage and monitor the program. It will need to demonstrate its experience in establishing and delivering similar types of services. It must demonstrate an understanding of the proposed outcomes of the program and how it will establish and maintain services in the identified sports. It should outline its stakeholder engagement and relationship management processes to ensure effective delivery of the program. Evidence of how it will engage with the community when planning and delivering services will need to be provided and there will need to be clear strategies for how it will provide ongoing assessment to ensure it meets the identified outcomes including the use of key performance indicators and reporting arrangements.</w:t>
      </w:r>
    </w:p>
    <w:p w14:paraId="0233FCFB" w14:textId="77777777" w:rsidR="00970DB4" w:rsidRPr="00EB5E03" w:rsidRDefault="00970DB4" w:rsidP="00240067">
      <w:pPr>
        <w:pStyle w:val="Heading3"/>
      </w:pPr>
      <w:bookmarkStart w:id="16" w:name="_Toc55831843"/>
      <w:bookmarkStart w:id="17" w:name="_Toc55832190"/>
      <w:r w:rsidRPr="00EB5E03">
        <w:lastRenderedPageBreak/>
        <w:t>Demonstrated capacity and capability to deliver the program objectives in the identified sports and their wider communities.</w:t>
      </w:r>
      <w:bookmarkEnd w:id="16"/>
      <w:bookmarkEnd w:id="17"/>
    </w:p>
    <w:p w14:paraId="1F7CD04C" w14:textId="31FECDC5" w:rsidR="002F0A8A" w:rsidRPr="00EB5E03" w:rsidRDefault="005B4F63" w:rsidP="00240067">
      <w:pPr>
        <w:ind w:left="567"/>
        <w:rPr>
          <w:color w:val="1C1C1C" w:themeColor="text2"/>
        </w:rPr>
      </w:pPr>
      <w:r w:rsidRPr="00EB5E03">
        <w:rPr>
          <w:color w:val="1C1C1C" w:themeColor="text2"/>
        </w:rPr>
        <w:t>Fox</w:t>
      </w:r>
      <w:r w:rsidR="001C219F">
        <w:rPr>
          <w:color w:val="1C1C1C" w:themeColor="text2"/>
        </w:rPr>
        <w:t xml:space="preserve"> Sports</w:t>
      </w:r>
      <w:r w:rsidRPr="00EB5E03">
        <w:rPr>
          <w:color w:val="1C1C1C" w:themeColor="text2"/>
        </w:rPr>
        <w:t xml:space="preserve"> will need to</w:t>
      </w:r>
      <w:r w:rsidR="002F0A8A" w:rsidRPr="00EB5E03">
        <w:rPr>
          <w:color w:val="1C1C1C" w:themeColor="text2"/>
        </w:rPr>
        <w:t xml:space="preserve"> demonstrate relevant expertise, skills, qualifications and experience in its executive and for those that will be involved in the management and delivery of services. It </w:t>
      </w:r>
      <w:r w:rsidRPr="00EB5E03">
        <w:rPr>
          <w:color w:val="1C1C1C" w:themeColor="text2"/>
        </w:rPr>
        <w:t>will need to outline</w:t>
      </w:r>
      <w:r w:rsidR="002F0A8A" w:rsidRPr="00EB5E03">
        <w:rPr>
          <w:color w:val="1C1C1C" w:themeColor="text2"/>
        </w:rPr>
        <w:t xml:space="preserve"> the governance arrangements for the program and demonstrate that governance principles and processes to support service delivery are in place across all aspects of the organisation. </w:t>
      </w:r>
      <w:r w:rsidRPr="00EB5E03">
        <w:rPr>
          <w:color w:val="1C1C1C" w:themeColor="text2"/>
        </w:rPr>
        <w:t>D</w:t>
      </w:r>
      <w:r w:rsidR="002F0A8A" w:rsidRPr="00EB5E03">
        <w:rPr>
          <w:color w:val="1C1C1C" w:themeColor="text2"/>
        </w:rPr>
        <w:t>escriptions of relevant expertise, skills, qualifications and experience, including broad structure of the organisation, as well as business management, relevant expertise and leadership</w:t>
      </w:r>
      <w:r w:rsidRPr="00EB5E03">
        <w:rPr>
          <w:color w:val="1C1C1C" w:themeColor="text2"/>
        </w:rPr>
        <w:t xml:space="preserve"> will be required. Fox</w:t>
      </w:r>
      <w:r w:rsidR="001C219F">
        <w:rPr>
          <w:color w:val="1C1C1C" w:themeColor="text2"/>
        </w:rPr>
        <w:t xml:space="preserve"> Sports </w:t>
      </w:r>
      <w:r w:rsidRPr="00EB5E03">
        <w:rPr>
          <w:color w:val="1C1C1C" w:themeColor="text2"/>
        </w:rPr>
        <w:t>will need to</w:t>
      </w:r>
      <w:r w:rsidR="002F0A8A" w:rsidRPr="00EB5E03">
        <w:rPr>
          <w:color w:val="1C1C1C" w:themeColor="text2"/>
        </w:rPr>
        <w:t xml:space="preserve"> demonstrate how the expertise, skills, qualifications and experience will contribute to the effective and efficient delivery of the program and the continuous improvement and evaluation of the day-to-day management of the program.</w:t>
      </w:r>
    </w:p>
    <w:p w14:paraId="124FC669" w14:textId="15D34E08" w:rsidR="007D1D4F" w:rsidRDefault="007D1D4F" w:rsidP="00240067">
      <w:pPr>
        <w:pStyle w:val="Heading2"/>
      </w:pPr>
      <w:bookmarkStart w:id="18" w:name="_Toc421777611"/>
      <w:bookmarkStart w:id="19" w:name="_Toc421777601"/>
      <w:bookmarkStart w:id="20" w:name="_Toc414983554"/>
      <w:bookmarkStart w:id="21" w:name="_Toc414983971"/>
      <w:bookmarkStart w:id="22" w:name="_Toc414984731"/>
      <w:bookmarkStart w:id="23" w:name="_Toc414984825"/>
      <w:bookmarkStart w:id="24" w:name="_Toc414984929"/>
      <w:bookmarkStart w:id="25" w:name="_Toc414985033"/>
      <w:bookmarkStart w:id="26" w:name="_Toc414985136"/>
      <w:bookmarkStart w:id="27" w:name="_Toc414985238"/>
      <w:bookmarkStart w:id="28" w:name="_Toc464643016"/>
      <w:bookmarkStart w:id="29" w:name="_Toc55831844"/>
      <w:bookmarkStart w:id="30" w:name="_Toc55832191"/>
      <w:bookmarkEnd w:id="20"/>
      <w:bookmarkEnd w:id="21"/>
      <w:bookmarkEnd w:id="22"/>
      <w:bookmarkEnd w:id="23"/>
      <w:bookmarkEnd w:id="24"/>
      <w:bookmarkEnd w:id="25"/>
      <w:bookmarkEnd w:id="26"/>
      <w:bookmarkEnd w:id="27"/>
      <w:r>
        <w:t>Who will approve the grant?</w:t>
      </w:r>
      <w:bookmarkEnd w:id="28"/>
      <w:bookmarkEnd w:id="29"/>
      <w:bookmarkEnd w:id="30"/>
    </w:p>
    <w:p w14:paraId="197B699D" w14:textId="77777777" w:rsidR="007D1D4F" w:rsidRPr="00C0584B" w:rsidRDefault="007D1D4F" w:rsidP="007D1D4F">
      <w:r w:rsidRPr="00C0584B">
        <w:t xml:space="preserve">The </w:t>
      </w:r>
      <w:r w:rsidR="00826301" w:rsidRPr="00826301">
        <w:t xml:space="preserve">Minister for Communications, Cyber Safety and the Arts </w:t>
      </w:r>
      <w:r w:rsidRPr="00C0584B">
        <w:t>will make the final decision to approve a grant.</w:t>
      </w:r>
    </w:p>
    <w:p w14:paraId="2E8F59BE" w14:textId="77777777" w:rsidR="007D1D4F" w:rsidRPr="00C0584B" w:rsidRDefault="007D1D4F" w:rsidP="007D1D4F">
      <w:r w:rsidRPr="00C0584B">
        <w:t xml:space="preserve">The </w:t>
      </w:r>
      <w:r w:rsidR="00082D9B" w:rsidRPr="00C0584B">
        <w:t>Minister</w:t>
      </w:r>
      <w:r w:rsidRPr="00C0584B">
        <w:t>’s decision is final in all matters, including:</w:t>
      </w:r>
    </w:p>
    <w:p w14:paraId="4C72A038" w14:textId="77777777" w:rsidR="007D1D4F" w:rsidRPr="00C0584B" w:rsidRDefault="007D1D4F" w:rsidP="00240067">
      <w:pPr>
        <w:pStyle w:val="Bullet1"/>
      </w:pPr>
      <w:r w:rsidRPr="00C0584B">
        <w:t>the approval of the grant</w:t>
      </w:r>
      <w:r w:rsidR="00490399">
        <w:t>;</w:t>
      </w:r>
    </w:p>
    <w:p w14:paraId="64796825" w14:textId="77777777" w:rsidR="009A6258" w:rsidRDefault="007D1D4F" w:rsidP="00240067">
      <w:pPr>
        <w:pStyle w:val="Bullet1"/>
      </w:pPr>
      <w:r w:rsidRPr="00C0584B">
        <w:t>the grant funding amount to be awarded</w:t>
      </w:r>
      <w:r w:rsidR="00490399">
        <w:t>; and</w:t>
      </w:r>
    </w:p>
    <w:p w14:paraId="209D518C" w14:textId="77777777" w:rsidR="007D1D4F" w:rsidRPr="009A6258" w:rsidRDefault="007D1D4F" w:rsidP="00240067">
      <w:pPr>
        <w:pStyle w:val="Bullet1"/>
      </w:pPr>
      <w:r w:rsidRPr="009A6258">
        <w:t xml:space="preserve">the terms and conditions of the grant. </w:t>
      </w:r>
    </w:p>
    <w:p w14:paraId="4E4E363C" w14:textId="77777777" w:rsidR="007D1D4F" w:rsidRPr="00C0584B" w:rsidRDefault="007D1D4F" w:rsidP="007D1D4F">
      <w:r w:rsidRPr="00C0584B">
        <w:t xml:space="preserve">The </w:t>
      </w:r>
      <w:r w:rsidR="00082D9B" w:rsidRPr="00C0584B">
        <w:t>Minister</w:t>
      </w:r>
      <w:r w:rsidRPr="00C0584B">
        <w:t xml:space="preserve"> must not approve funding if they reasonably consider the program funding available across financial years will not accommodate the funding offer, and/or if the </w:t>
      </w:r>
      <w:r w:rsidR="00CD6B53">
        <w:t>commitment</w:t>
      </w:r>
      <w:r w:rsidR="00CD6B53" w:rsidRPr="00C0584B">
        <w:t xml:space="preserve"> </w:t>
      </w:r>
      <w:r w:rsidRPr="00C0584B">
        <w:t xml:space="preserve">does not represent value </w:t>
      </w:r>
      <w:r w:rsidR="00F71E84">
        <w:t>for</w:t>
      </w:r>
      <w:r w:rsidRPr="00C0584B">
        <w:t xml:space="preserve"> money. </w:t>
      </w:r>
    </w:p>
    <w:p w14:paraId="2983757D" w14:textId="77777777" w:rsidR="007D1D4F" w:rsidRPr="00C0584B" w:rsidRDefault="007D1D4F" w:rsidP="007D1D4F">
      <w:r w:rsidRPr="00C0584B">
        <w:t>There is no appeal mechanism for decisions to approve or not approve a grant.</w:t>
      </w:r>
    </w:p>
    <w:p w14:paraId="333F0025" w14:textId="77777777" w:rsidR="007D1D4F" w:rsidRPr="00B72EE8" w:rsidRDefault="003518CE" w:rsidP="00240067">
      <w:pPr>
        <w:pStyle w:val="Bullet2"/>
      </w:pPr>
      <w:r>
        <w:t>The grant agreement</w:t>
      </w:r>
    </w:p>
    <w:p w14:paraId="12F56D13" w14:textId="77777777" w:rsidR="007D1D4F" w:rsidRPr="00C0584B" w:rsidRDefault="005914DE" w:rsidP="007D1D4F">
      <w:pPr>
        <w:spacing w:before="60"/>
      </w:pPr>
      <w:bookmarkStart w:id="31" w:name="_Toc453237031"/>
      <w:bookmarkStart w:id="32" w:name="_Toc421777623"/>
      <w:bookmarkEnd w:id="18"/>
      <w:bookmarkEnd w:id="19"/>
      <w:r>
        <w:t xml:space="preserve">The funding recipient </w:t>
      </w:r>
      <w:r w:rsidR="007D1D4F" w:rsidRPr="00C0584B">
        <w:t xml:space="preserve">must enter into a legally binding grant agreement with the Commonwealth represented by </w:t>
      </w:r>
      <w:r w:rsidR="004A3BB8" w:rsidRPr="00C0584B">
        <w:t xml:space="preserve">the Department of </w:t>
      </w:r>
      <w:r w:rsidR="00826301" w:rsidRPr="009D6477">
        <w:t>Infrastructure, Transport, Regional Development and Communications</w:t>
      </w:r>
      <w:r w:rsidR="007D1D4F" w:rsidRPr="00C0584B">
        <w:t>.</w:t>
      </w:r>
      <w:r w:rsidR="00D217B0" w:rsidRPr="00C0584B">
        <w:t xml:space="preserve"> The </w:t>
      </w:r>
      <w:r w:rsidR="004A3BB8" w:rsidRPr="00C0584B">
        <w:t>Department</w:t>
      </w:r>
      <w:r w:rsidR="007D1D4F" w:rsidRPr="00C0584B">
        <w:t xml:space="preserve"> will use the </w:t>
      </w:r>
      <w:hyperlink r:id="rId12" w:history="1">
        <w:r w:rsidR="009A6258" w:rsidRPr="006504E7">
          <w:rPr>
            <w:rStyle w:val="Hyperlink"/>
            <w:i/>
            <w:u w:val="none"/>
          </w:rPr>
          <w:t>Commonwealth Low-Risk Grant Agreement Template</w:t>
        </w:r>
      </w:hyperlink>
      <w:r w:rsidR="00D217B0" w:rsidRPr="00C0584B">
        <w:rPr>
          <w:rStyle w:val="highlightedtextChar"/>
          <w:color w:val="auto"/>
        </w:rPr>
        <w:t>.</w:t>
      </w:r>
      <w:r w:rsidR="00D217B0" w:rsidRPr="00C0584B">
        <w:t xml:space="preserve"> </w:t>
      </w:r>
      <w:r w:rsidR="007D1D4F" w:rsidRPr="00C0584B">
        <w:t xml:space="preserve">Standard terms and conditions for the grant agreement will apply and cannot be changed. A schedule may be used to outline the specific grant </w:t>
      </w:r>
      <w:r w:rsidR="006504E7">
        <w:t xml:space="preserve">requirements. </w:t>
      </w:r>
      <w:r w:rsidR="007D1D4F" w:rsidRPr="00C0584B">
        <w:t>Any additional conditions attached to the grant will be identified in the grant offer or during the grant agreement negotiations.</w:t>
      </w:r>
    </w:p>
    <w:p w14:paraId="6C663F60" w14:textId="77777777" w:rsidR="007D1D4F" w:rsidRPr="00C0584B" w:rsidRDefault="007D1D4F" w:rsidP="007D1D4F">
      <w:r w:rsidRPr="00C0584B">
        <w:t xml:space="preserve">The successful applicant will be required to: </w:t>
      </w:r>
    </w:p>
    <w:p w14:paraId="299A3F09" w14:textId="77777777" w:rsidR="0005107D" w:rsidRDefault="00CD6B53" w:rsidP="00D217B0">
      <w:pPr>
        <w:pStyle w:val="Bullet1"/>
        <w:rPr>
          <w:rFonts w:cstheme="minorHAnsi"/>
        </w:rPr>
      </w:pPr>
      <w:r>
        <w:rPr>
          <w:rFonts w:cstheme="minorHAnsi"/>
        </w:rPr>
        <w:t>p</w:t>
      </w:r>
      <w:r w:rsidR="0005107D">
        <w:rPr>
          <w:rFonts w:cstheme="minorHAnsi"/>
        </w:rPr>
        <w:t>rovid</w:t>
      </w:r>
      <w:r>
        <w:rPr>
          <w:rFonts w:cstheme="minorHAnsi"/>
        </w:rPr>
        <w:t>e</w:t>
      </w:r>
      <w:r w:rsidR="0005107D">
        <w:rPr>
          <w:rFonts w:cstheme="minorHAnsi"/>
        </w:rPr>
        <w:t xml:space="preserve"> a</w:t>
      </w:r>
      <w:r w:rsidR="00C0357B">
        <w:rPr>
          <w:rFonts w:cstheme="minorHAnsi"/>
        </w:rPr>
        <w:t xml:space="preserve"> </w:t>
      </w:r>
      <w:r w:rsidR="0005107D">
        <w:rPr>
          <w:rFonts w:cstheme="minorHAnsi"/>
        </w:rPr>
        <w:t>Strategic Roadmap (work plan) each year</w:t>
      </w:r>
      <w:r>
        <w:rPr>
          <w:rFonts w:cstheme="minorHAnsi"/>
        </w:rPr>
        <w:t xml:space="preserve"> for agreement</w:t>
      </w:r>
      <w:r w:rsidR="00734587" w:rsidRPr="00734587">
        <w:rPr>
          <w:rFonts w:cstheme="minorHAnsi"/>
        </w:rPr>
        <w:t xml:space="preserve"> </w:t>
      </w:r>
      <w:r w:rsidR="00734587">
        <w:rPr>
          <w:rFonts w:cstheme="minorHAnsi"/>
        </w:rPr>
        <w:t>with the Department</w:t>
      </w:r>
      <w:r w:rsidR="0005107D">
        <w:rPr>
          <w:rFonts w:cstheme="minorHAnsi"/>
        </w:rPr>
        <w:t>;</w:t>
      </w:r>
    </w:p>
    <w:p w14:paraId="1D710B2C" w14:textId="77777777" w:rsidR="00A6788D" w:rsidRPr="00C0584B" w:rsidRDefault="00A6788D" w:rsidP="00D217B0">
      <w:pPr>
        <w:pStyle w:val="Bullet1"/>
        <w:rPr>
          <w:rFonts w:cstheme="minorHAnsi"/>
        </w:rPr>
      </w:pPr>
      <w:r w:rsidRPr="00C0584B">
        <w:rPr>
          <w:rFonts w:cstheme="minorHAnsi"/>
        </w:rPr>
        <w:t xml:space="preserve">provide </w:t>
      </w:r>
      <w:r w:rsidR="0005107D">
        <w:rPr>
          <w:rFonts w:cstheme="minorHAnsi"/>
        </w:rPr>
        <w:t>performance reports a</w:t>
      </w:r>
      <w:r w:rsidRPr="00C0584B">
        <w:rPr>
          <w:rFonts w:cstheme="minorHAnsi"/>
        </w:rPr>
        <w:t xml:space="preserve">gainst </w:t>
      </w:r>
      <w:r w:rsidR="0005107D">
        <w:rPr>
          <w:rFonts w:cstheme="minorHAnsi"/>
        </w:rPr>
        <w:t>the Strategic Roadmap</w:t>
      </w:r>
      <w:r w:rsidR="00670EBC">
        <w:rPr>
          <w:rFonts w:cstheme="minorHAnsi"/>
        </w:rPr>
        <w:t xml:space="preserve"> for </w:t>
      </w:r>
      <w:r w:rsidR="006504E7">
        <w:rPr>
          <w:rFonts w:cstheme="minorHAnsi"/>
        </w:rPr>
        <w:t>each relevant year of the agreement and for the full term of the grant</w:t>
      </w:r>
      <w:r w:rsidRPr="00C0584B">
        <w:rPr>
          <w:rFonts w:cstheme="minorHAnsi"/>
        </w:rPr>
        <w:t>;</w:t>
      </w:r>
      <w:r w:rsidR="001D5A13">
        <w:rPr>
          <w:rFonts w:cstheme="minorHAnsi"/>
        </w:rPr>
        <w:t xml:space="preserve"> </w:t>
      </w:r>
    </w:p>
    <w:p w14:paraId="14C654BA" w14:textId="77777777" w:rsidR="001D5A13" w:rsidRDefault="00A6788D" w:rsidP="00D217B0">
      <w:pPr>
        <w:pStyle w:val="Bullet1"/>
        <w:rPr>
          <w:rFonts w:cstheme="minorHAnsi"/>
        </w:rPr>
      </w:pPr>
      <w:r w:rsidRPr="00C0584B">
        <w:rPr>
          <w:rFonts w:cstheme="minorHAnsi"/>
        </w:rPr>
        <w:lastRenderedPageBreak/>
        <w:t xml:space="preserve">provide </w:t>
      </w:r>
      <w:r w:rsidR="004D7F5D" w:rsidRPr="00C0584B">
        <w:rPr>
          <w:rFonts w:cstheme="minorHAnsi"/>
        </w:rPr>
        <w:t xml:space="preserve">statements to </w:t>
      </w:r>
      <w:r w:rsidR="006504E7">
        <w:rPr>
          <w:rFonts w:cstheme="minorHAnsi"/>
        </w:rPr>
        <w:t xml:space="preserve">certify that the </w:t>
      </w:r>
      <w:r w:rsidR="004D7F5D" w:rsidRPr="00C0584B">
        <w:rPr>
          <w:rFonts w:cstheme="minorHAnsi"/>
        </w:rPr>
        <w:t>funding</w:t>
      </w:r>
      <w:r w:rsidR="0005107D">
        <w:rPr>
          <w:rFonts w:cstheme="minorHAnsi"/>
        </w:rPr>
        <w:t xml:space="preserve"> </w:t>
      </w:r>
      <w:r w:rsidR="006504E7">
        <w:rPr>
          <w:rFonts w:cstheme="minorHAnsi"/>
        </w:rPr>
        <w:t xml:space="preserve">has been acquitted </w:t>
      </w:r>
      <w:r w:rsidR="0005107D">
        <w:rPr>
          <w:rFonts w:cstheme="minorHAnsi"/>
        </w:rPr>
        <w:t>in accordance with the grant agreement and Strategic Roadmap</w:t>
      </w:r>
      <w:r w:rsidR="006504E7">
        <w:rPr>
          <w:rFonts w:cstheme="minorHAnsi"/>
        </w:rPr>
        <w:t xml:space="preserve"> for each relevant year of the agreement</w:t>
      </w:r>
      <w:r w:rsidR="001D5A13">
        <w:rPr>
          <w:rFonts w:cstheme="minorHAnsi"/>
        </w:rPr>
        <w:t>; and</w:t>
      </w:r>
    </w:p>
    <w:p w14:paraId="17AD30D3" w14:textId="77777777" w:rsidR="007D1D4F" w:rsidRPr="00C0584B" w:rsidRDefault="001D5A13" w:rsidP="001D5A13">
      <w:pPr>
        <w:pStyle w:val="Bullet1"/>
        <w:rPr>
          <w:rFonts w:cstheme="minorHAnsi"/>
        </w:rPr>
      </w:pPr>
      <w:r>
        <w:rPr>
          <w:rFonts w:cstheme="minorHAnsi"/>
        </w:rPr>
        <w:t>a</w:t>
      </w:r>
      <w:r w:rsidRPr="001D5A13">
        <w:rPr>
          <w:rFonts w:cstheme="minorHAnsi"/>
        </w:rPr>
        <w:t>udited financial statements for the full term of the grant</w:t>
      </w:r>
      <w:r w:rsidR="004D7F5D" w:rsidRPr="00C0584B">
        <w:rPr>
          <w:rFonts w:cstheme="minorHAnsi"/>
        </w:rPr>
        <w:t>.</w:t>
      </w:r>
    </w:p>
    <w:p w14:paraId="6A36CC8A" w14:textId="77777777" w:rsidR="007D1D4F" w:rsidRPr="00EB5E03" w:rsidRDefault="007D1D4F" w:rsidP="007D1D4F">
      <w:pPr>
        <w:rPr>
          <w:color w:val="1C1C1C" w:themeColor="text2"/>
          <w:lang w:eastAsia="en-AU"/>
        </w:rPr>
      </w:pPr>
      <w:r w:rsidRPr="0047121A">
        <w:t>The</w:t>
      </w:r>
      <w:r w:rsidR="00D217B0" w:rsidRPr="0047121A">
        <w:t xml:space="preserve"> </w:t>
      </w:r>
      <w:r w:rsidR="00A32FA5" w:rsidRPr="0047121A">
        <w:t>Department</w:t>
      </w:r>
      <w:r w:rsidRPr="0047121A">
        <w:t xml:space="preserve"> will negotiate </w:t>
      </w:r>
      <w:r w:rsidR="00A32FA5" w:rsidRPr="0047121A">
        <w:t>an agreement</w:t>
      </w:r>
      <w:r w:rsidRPr="0047121A">
        <w:t xml:space="preserve"> with </w:t>
      </w:r>
      <w:r w:rsidR="000C17F5" w:rsidRPr="0047121A">
        <w:t>the Grantee</w:t>
      </w:r>
      <w:r w:rsidR="00F71E84" w:rsidRPr="0047121A">
        <w:t xml:space="preserve">. </w:t>
      </w:r>
      <w:r w:rsidR="00F71E84" w:rsidRPr="00EB5E03">
        <w:rPr>
          <w:color w:val="1C1C1C" w:themeColor="text2"/>
        </w:rPr>
        <w:t xml:space="preserve">This </w:t>
      </w:r>
      <w:r w:rsidR="00826301" w:rsidRPr="00EB5E03">
        <w:rPr>
          <w:color w:val="1C1C1C" w:themeColor="text2"/>
        </w:rPr>
        <w:t xml:space="preserve">original </w:t>
      </w:r>
      <w:r w:rsidR="00E045AA" w:rsidRPr="00EB5E03">
        <w:rPr>
          <w:color w:val="1C1C1C" w:themeColor="text2"/>
        </w:rPr>
        <w:t xml:space="preserve">grant agreement </w:t>
      </w:r>
      <w:r w:rsidR="00826301" w:rsidRPr="00EB5E03">
        <w:rPr>
          <w:color w:val="1C1C1C" w:themeColor="text2"/>
        </w:rPr>
        <w:t>was</w:t>
      </w:r>
      <w:r w:rsidR="00E045AA" w:rsidRPr="00EB5E03">
        <w:rPr>
          <w:color w:val="1C1C1C" w:themeColor="text2"/>
        </w:rPr>
        <w:t xml:space="preserve"> </w:t>
      </w:r>
      <w:r w:rsidR="00F71E84" w:rsidRPr="00EB5E03">
        <w:rPr>
          <w:color w:val="1C1C1C" w:themeColor="text2"/>
        </w:rPr>
        <w:t xml:space="preserve">finalised </w:t>
      </w:r>
      <w:r w:rsidR="00E045AA" w:rsidRPr="00EB5E03">
        <w:rPr>
          <w:color w:val="1C1C1C" w:themeColor="text2"/>
        </w:rPr>
        <w:t>in</w:t>
      </w:r>
      <w:r w:rsidR="00F71E84" w:rsidRPr="00EB5E03">
        <w:rPr>
          <w:color w:val="1C1C1C" w:themeColor="text2"/>
        </w:rPr>
        <w:t xml:space="preserve"> </w:t>
      </w:r>
      <w:r w:rsidR="00672898" w:rsidRPr="00EB5E03">
        <w:rPr>
          <w:color w:val="1C1C1C" w:themeColor="text2"/>
        </w:rPr>
        <w:t>December 2017</w:t>
      </w:r>
      <w:r w:rsidR="00826301" w:rsidRPr="00EB5E03">
        <w:rPr>
          <w:color w:val="1C1C1C" w:themeColor="text2"/>
        </w:rPr>
        <w:t xml:space="preserve"> and the variation to the agreement is expected to be finalised in June 2020</w:t>
      </w:r>
      <w:r w:rsidRPr="00EB5E03">
        <w:rPr>
          <w:color w:val="1C1C1C" w:themeColor="text2"/>
        </w:rPr>
        <w:t>.</w:t>
      </w:r>
      <w:r w:rsidRPr="00EB5E03">
        <w:rPr>
          <w:rStyle w:val="Strong"/>
          <w:b w:val="0"/>
          <w:color w:val="1C1C1C" w:themeColor="text2"/>
        </w:rPr>
        <w:t xml:space="preserve"> </w:t>
      </w:r>
    </w:p>
    <w:p w14:paraId="5351CBAF" w14:textId="77777777" w:rsidR="007D1D4F" w:rsidRPr="00C0584B" w:rsidRDefault="007D1D4F" w:rsidP="007D1D4F">
      <w:r w:rsidRPr="00C0584B">
        <w:rPr>
          <w:lang w:eastAsia="en-AU"/>
        </w:rPr>
        <w:t xml:space="preserve">Where a grantee fails to meet the obligations of the grant agreement, </w:t>
      </w:r>
      <w:r w:rsidRPr="00C0584B">
        <w:t>the</w:t>
      </w:r>
      <w:r w:rsidRPr="00C0584B">
        <w:rPr>
          <w:lang w:eastAsia="en-AU"/>
        </w:rPr>
        <w:t xml:space="preserve"> </w:t>
      </w:r>
      <w:r w:rsidRPr="00C0584B">
        <w:t xml:space="preserve">relevant Commonwealth entity </w:t>
      </w:r>
      <w:r w:rsidRPr="00C0584B">
        <w:rPr>
          <w:lang w:eastAsia="en-AU"/>
        </w:rPr>
        <w:t>may</w:t>
      </w:r>
      <w:r w:rsidRPr="00C0584B">
        <w:t xml:space="preserve"> </w:t>
      </w:r>
      <w:r w:rsidR="007A3416" w:rsidRPr="00C0584B">
        <w:t>terminate the agreement and recover funding as per the grant agreement</w:t>
      </w:r>
      <w:r w:rsidRPr="00C0584B">
        <w:t xml:space="preserve">. </w:t>
      </w:r>
    </w:p>
    <w:p w14:paraId="03FFD497" w14:textId="77777777" w:rsidR="007D1D4F" w:rsidRPr="00C0584B" w:rsidRDefault="007D1D4F" w:rsidP="007D1D4F">
      <w:pPr>
        <w:rPr>
          <w:bCs/>
          <w:lang w:eastAsia="en-AU"/>
        </w:rPr>
      </w:pPr>
      <w:r w:rsidRPr="00C0584B">
        <w:rPr>
          <w:bCs/>
          <w:lang w:eastAsia="en-AU"/>
        </w:rPr>
        <w:t xml:space="preserve">Financial commitments should not be made until a grant agreement has been executed by the Commonwealth. </w:t>
      </w:r>
    </w:p>
    <w:p w14:paraId="088B5A6F" w14:textId="77777777" w:rsidR="007D1D4F" w:rsidRDefault="007D1D4F" w:rsidP="00240067">
      <w:pPr>
        <w:pStyle w:val="Heading2"/>
      </w:pPr>
      <w:bookmarkStart w:id="33" w:name="_Toc464643019"/>
      <w:bookmarkStart w:id="34" w:name="_Toc55831845"/>
      <w:bookmarkStart w:id="35" w:name="_Toc55832192"/>
      <w:r w:rsidRPr="001607E9">
        <w:t>Announcement</w:t>
      </w:r>
      <w:r>
        <w:t xml:space="preserve"> of grants</w:t>
      </w:r>
      <w:bookmarkEnd w:id="31"/>
      <w:bookmarkEnd w:id="33"/>
      <w:bookmarkEnd w:id="34"/>
      <w:bookmarkEnd w:id="35"/>
    </w:p>
    <w:p w14:paraId="651902ED" w14:textId="77777777" w:rsidR="007D1D4F" w:rsidRDefault="007D1D4F" w:rsidP="007D1D4F">
      <w:pPr>
        <w:spacing w:before="60"/>
        <w:rPr>
          <w:i/>
        </w:rPr>
      </w:pPr>
      <w:r>
        <w:t>Grants awarded will be listed</w:t>
      </w:r>
      <w:r w:rsidRPr="00B72EE8">
        <w:t xml:space="preserve"> on</w:t>
      </w:r>
      <w:r>
        <w:t xml:space="preserve"> the GrantConnect</w:t>
      </w:r>
      <w:r w:rsidRPr="000A572F">
        <w:t xml:space="preserve"> website</w:t>
      </w:r>
      <w:r>
        <w:t xml:space="preserve"> </w:t>
      </w:r>
      <w:r w:rsidRPr="000A572F">
        <w:t>14</w:t>
      </w:r>
      <w:r>
        <w:t xml:space="preserve"> d</w:t>
      </w:r>
      <w:r w:rsidRPr="000A572F">
        <w:t xml:space="preserve">ays </w:t>
      </w:r>
      <w:r>
        <w:t>after</w:t>
      </w:r>
      <w:r w:rsidRPr="000A572F">
        <w:t xml:space="preserve"> </w:t>
      </w:r>
      <w:r>
        <w:t xml:space="preserve">the date of effect as required by Section 5.3 of the </w:t>
      </w:r>
      <w:r w:rsidRPr="004B48A7">
        <w:rPr>
          <w:i/>
        </w:rPr>
        <w:t>CGRGs.</w:t>
      </w:r>
      <w:r w:rsidRPr="00F27CA7">
        <w:rPr>
          <w:i/>
        </w:rPr>
        <w:t xml:space="preserve"> </w:t>
      </w:r>
    </w:p>
    <w:p w14:paraId="0B923D8E" w14:textId="049F365E" w:rsidR="007D1D4F" w:rsidRPr="00B72EE8" w:rsidDel="00D505A5" w:rsidRDefault="007D1D4F" w:rsidP="00240067">
      <w:pPr>
        <w:pStyle w:val="Heading2"/>
      </w:pPr>
      <w:bookmarkStart w:id="36" w:name="_Toc464643020"/>
      <w:bookmarkStart w:id="37" w:name="_Toc55831846"/>
      <w:bookmarkStart w:id="38" w:name="_Toc55832193"/>
      <w:r>
        <w:t>Grant acquittal and reporting</w:t>
      </w:r>
      <w:bookmarkEnd w:id="36"/>
      <w:bookmarkEnd w:id="37"/>
      <w:bookmarkEnd w:id="38"/>
    </w:p>
    <w:p w14:paraId="045022F1" w14:textId="77777777" w:rsidR="007D1D4F" w:rsidRPr="00C0584B" w:rsidRDefault="007D1D4F" w:rsidP="007D1D4F">
      <w:pPr>
        <w:rPr>
          <w:rFonts w:cstheme="minorHAnsi"/>
        </w:rPr>
      </w:pPr>
      <w:r w:rsidRPr="00C0584B">
        <w:rPr>
          <w:rFonts w:cstheme="minorHAnsi"/>
        </w:rPr>
        <w:t>The grantee must submit reports in line with the</w:t>
      </w:r>
      <w:r w:rsidRPr="00C0584B" w:rsidDel="00D505A5">
        <w:rPr>
          <w:rFonts w:cstheme="minorHAnsi"/>
        </w:rPr>
        <w:t xml:space="preserve"> timeframes </w:t>
      </w:r>
      <w:r w:rsidRPr="00C0584B">
        <w:rPr>
          <w:rFonts w:cstheme="minorHAnsi"/>
        </w:rPr>
        <w:t xml:space="preserve">in the </w:t>
      </w:r>
      <w:hyperlink r:id="rId13" w:history="1">
        <w:r w:rsidRPr="00C0584B">
          <w:rPr>
            <w:rFonts w:cstheme="minorHAnsi"/>
          </w:rPr>
          <w:t>grant agreement</w:t>
        </w:r>
      </w:hyperlink>
      <w:r w:rsidR="000C17F5">
        <w:rPr>
          <w:rFonts w:cstheme="minorHAnsi"/>
        </w:rPr>
        <w:t xml:space="preserve">. </w:t>
      </w:r>
      <w:r w:rsidRPr="00C0584B">
        <w:rPr>
          <w:rFonts w:cstheme="minorHAnsi"/>
        </w:rPr>
        <w:t xml:space="preserve">Reports will include: </w:t>
      </w:r>
    </w:p>
    <w:p w14:paraId="11592D6D" w14:textId="77777777" w:rsidR="00B97D71" w:rsidRPr="00C0584B" w:rsidRDefault="00734587" w:rsidP="007E3778">
      <w:pPr>
        <w:pStyle w:val="Bullet1"/>
        <w:rPr>
          <w:rFonts w:cstheme="minorHAnsi"/>
        </w:rPr>
      </w:pPr>
      <w:r>
        <w:rPr>
          <w:rFonts w:cstheme="minorHAnsi"/>
        </w:rPr>
        <w:t>A P</w:t>
      </w:r>
      <w:r w:rsidR="007E3778" w:rsidRPr="007E3778">
        <w:rPr>
          <w:rFonts w:cstheme="minorHAnsi"/>
        </w:rPr>
        <w:t xml:space="preserve">erformance </w:t>
      </w:r>
      <w:r>
        <w:rPr>
          <w:rFonts w:cstheme="minorHAnsi"/>
        </w:rPr>
        <w:t>R</w:t>
      </w:r>
      <w:r w:rsidR="007E3778" w:rsidRPr="007E3778">
        <w:rPr>
          <w:rFonts w:cstheme="minorHAnsi"/>
        </w:rPr>
        <w:t xml:space="preserve">eport against the Strategic Roadmap for </w:t>
      </w:r>
      <w:r>
        <w:rPr>
          <w:rFonts w:cstheme="minorHAnsi"/>
        </w:rPr>
        <w:t>each</w:t>
      </w:r>
      <w:r w:rsidR="007E3778" w:rsidRPr="007E3778">
        <w:rPr>
          <w:rFonts w:cstheme="minorHAnsi"/>
        </w:rPr>
        <w:t xml:space="preserve"> </w:t>
      </w:r>
      <w:r w:rsidR="000C17F5">
        <w:rPr>
          <w:rFonts w:cstheme="minorHAnsi"/>
        </w:rPr>
        <w:t>year of the agreement and for the full term of the grant</w:t>
      </w:r>
      <w:r w:rsidR="00B97D71" w:rsidRPr="00C0584B">
        <w:rPr>
          <w:rFonts w:cstheme="minorHAnsi"/>
        </w:rPr>
        <w:t>; and</w:t>
      </w:r>
    </w:p>
    <w:p w14:paraId="25307914" w14:textId="77777777" w:rsidR="001D5A13" w:rsidRDefault="007E3778" w:rsidP="008D426B">
      <w:pPr>
        <w:pStyle w:val="Bullet1"/>
        <w:rPr>
          <w:rFonts w:cstheme="minorHAnsi"/>
        </w:rPr>
      </w:pPr>
      <w:r w:rsidRPr="007E3778">
        <w:rPr>
          <w:rFonts w:cstheme="minorHAnsi"/>
        </w:rPr>
        <w:t xml:space="preserve">statements </w:t>
      </w:r>
      <w:r w:rsidR="000C17F5">
        <w:rPr>
          <w:rFonts w:cstheme="minorHAnsi"/>
        </w:rPr>
        <w:t xml:space="preserve">that </w:t>
      </w:r>
      <w:r w:rsidR="008D426B" w:rsidRPr="008D426B">
        <w:rPr>
          <w:rFonts w:cstheme="minorHAnsi"/>
        </w:rPr>
        <w:t xml:space="preserve">certify that </w:t>
      </w:r>
      <w:r w:rsidR="008D426B">
        <w:rPr>
          <w:rFonts w:cstheme="minorHAnsi"/>
        </w:rPr>
        <w:t>g</w:t>
      </w:r>
      <w:r w:rsidR="008D426B" w:rsidRPr="008D426B">
        <w:rPr>
          <w:rFonts w:cstheme="minorHAnsi"/>
        </w:rPr>
        <w:t xml:space="preserve">rant money received during the relevant financial year has been spent for the purposes of the </w:t>
      </w:r>
      <w:r w:rsidR="008D426B">
        <w:rPr>
          <w:rFonts w:cstheme="minorHAnsi"/>
        </w:rPr>
        <w:t>objective</w:t>
      </w:r>
      <w:r w:rsidR="008D426B" w:rsidRPr="008D426B">
        <w:rPr>
          <w:rFonts w:cstheme="minorHAnsi"/>
        </w:rPr>
        <w:t xml:space="preserve"> and in accordance with the </w:t>
      </w:r>
      <w:r w:rsidR="008D426B">
        <w:rPr>
          <w:rFonts w:cstheme="minorHAnsi"/>
        </w:rPr>
        <w:t>grant a</w:t>
      </w:r>
      <w:r w:rsidR="008D426B" w:rsidRPr="008D426B">
        <w:rPr>
          <w:rFonts w:cstheme="minorHAnsi"/>
        </w:rPr>
        <w:t>greement and the relevant Strategic Roadmap</w:t>
      </w:r>
      <w:r w:rsidR="001D5A13">
        <w:rPr>
          <w:rFonts w:cstheme="minorHAnsi"/>
        </w:rPr>
        <w:t xml:space="preserve">; and </w:t>
      </w:r>
    </w:p>
    <w:p w14:paraId="4FA1BCDF" w14:textId="77777777" w:rsidR="00B97D71" w:rsidRPr="00C0584B" w:rsidRDefault="00714B19" w:rsidP="007E3778">
      <w:pPr>
        <w:pStyle w:val="Bullet1"/>
        <w:rPr>
          <w:rFonts w:cstheme="minorHAnsi"/>
        </w:rPr>
      </w:pPr>
      <w:r>
        <w:rPr>
          <w:rFonts w:cstheme="minorHAnsi"/>
        </w:rPr>
        <w:t>a</w:t>
      </w:r>
      <w:r w:rsidR="001D5A13">
        <w:rPr>
          <w:rFonts w:cstheme="minorHAnsi"/>
        </w:rPr>
        <w:t>udited financial statements for the full term of the grant</w:t>
      </w:r>
      <w:r w:rsidR="00B97D71" w:rsidRPr="00C0584B">
        <w:rPr>
          <w:rFonts w:cstheme="minorHAnsi"/>
        </w:rPr>
        <w:t>.</w:t>
      </w:r>
    </w:p>
    <w:p w14:paraId="0AD7913B" w14:textId="77777777" w:rsidR="007D1D4F" w:rsidRPr="00C0584B" w:rsidRDefault="007D1D4F" w:rsidP="007D1D4F">
      <w:pPr>
        <w:rPr>
          <w:rFonts w:cstheme="minorHAnsi"/>
        </w:rPr>
      </w:pPr>
      <w:r w:rsidRPr="00C0584B">
        <w:rPr>
          <w:rFonts w:cstheme="minorHAnsi"/>
        </w:rPr>
        <w:t>The grantee</w:t>
      </w:r>
      <w:r w:rsidRPr="00C0584B" w:rsidDel="00D505A5">
        <w:rPr>
          <w:rFonts w:cstheme="minorHAnsi"/>
        </w:rPr>
        <w:t xml:space="preserve"> </w:t>
      </w:r>
      <w:r w:rsidRPr="00C0584B">
        <w:rPr>
          <w:rFonts w:cstheme="minorHAnsi"/>
        </w:rPr>
        <w:t>will also be</w:t>
      </w:r>
      <w:r w:rsidRPr="00C0584B" w:rsidDel="00D505A5">
        <w:rPr>
          <w:rFonts w:cstheme="minorHAnsi"/>
        </w:rPr>
        <w:t xml:space="preserve"> responsible for:</w:t>
      </w:r>
    </w:p>
    <w:p w14:paraId="0AEB2C39" w14:textId="77777777" w:rsidR="007D1D4F" w:rsidRPr="00C0584B" w:rsidDel="00D505A5" w:rsidRDefault="007D1D4F" w:rsidP="00D217B0">
      <w:pPr>
        <w:pStyle w:val="Bullet1"/>
        <w:rPr>
          <w:rFonts w:cstheme="minorHAnsi"/>
        </w:rPr>
      </w:pPr>
      <w:r w:rsidRPr="00C0584B">
        <w:rPr>
          <w:rFonts w:cstheme="minorHAnsi"/>
        </w:rPr>
        <w:t>meeting</w:t>
      </w:r>
      <w:r w:rsidRPr="00C0584B" w:rsidDel="00D505A5">
        <w:rPr>
          <w:rFonts w:cstheme="minorHAnsi"/>
        </w:rPr>
        <w:t xml:space="preserve"> the terms and conditions of the grant agreement </w:t>
      </w:r>
      <w:r w:rsidRPr="00C0584B">
        <w:rPr>
          <w:rFonts w:cstheme="minorHAnsi"/>
        </w:rPr>
        <w:t>and managing the</w:t>
      </w:r>
      <w:r w:rsidRPr="00C0584B" w:rsidDel="00D505A5">
        <w:rPr>
          <w:rFonts w:cstheme="minorHAnsi"/>
        </w:rPr>
        <w:t xml:space="preserve"> activity efficient</w:t>
      </w:r>
      <w:r w:rsidRPr="00C0584B">
        <w:rPr>
          <w:rFonts w:cstheme="minorHAnsi"/>
        </w:rPr>
        <w:t>ly</w:t>
      </w:r>
      <w:r w:rsidRPr="00C0584B" w:rsidDel="00D505A5">
        <w:rPr>
          <w:rFonts w:cstheme="minorHAnsi"/>
        </w:rPr>
        <w:t xml:space="preserve"> and effective</w:t>
      </w:r>
      <w:r w:rsidRPr="00C0584B">
        <w:rPr>
          <w:rFonts w:cstheme="minorHAnsi"/>
        </w:rPr>
        <w:t>ly</w:t>
      </w:r>
      <w:r w:rsidR="00734587">
        <w:rPr>
          <w:rFonts w:cstheme="minorHAnsi"/>
        </w:rPr>
        <w:t xml:space="preserve">; and </w:t>
      </w:r>
    </w:p>
    <w:p w14:paraId="7B0C4B7D" w14:textId="77777777" w:rsidR="007D1D4F" w:rsidRPr="00C0584B" w:rsidDel="00D505A5" w:rsidRDefault="007D1D4F" w:rsidP="00D217B0">
      <w:pPr>
        <w:pStyle w:val="Bullet1"/>
        <w:rPr>
          <w:rFonts w:cstheme="minorHAnsi"/>
        </w:rPr>
      </w:pPr>
      <w:r w:rsidRPr="00C0584B" w:rsidDel="00D505A5">
        <w:rPr>
          <w:rFonts w:cstheme="minorHAnsi"/>
        </w:rPr>
        <w:t xml:space="preserve">complying with record keeping, reporting and acquittal requirements </w:t>
      </w:r>
      <w:r w:rsidRPr="00C0584B">
        <w:rPr>
          <w:rFonts w:cstheme="minorHAnsi"/>
        </w:rPr>
        <w:t>as set out in the grant agreement</w:t>
      </w:r>
      <w:r w:rsidR="00620794">
        <w:rPr>
          <w:rFonts w:cstheme="minorHAnsi"/>
        </w:rPr>
        <w:t>.</w:t>
      </w:r>
    </w:p>
    <w:p w14:paraId="21B8F0E0" w14:textId="708AB6D5" w:rsidR="002F13E7" w:rsidRPr="00B72EE8" w:rsidDel="00D505A5" w:rsidRDefault="002F13E7" w:rsidP="00240067">
      <w:pPr>
        <w:pStyle w:val="Heading2"/>
      </w:pPr>
      <w:bookmarkStart w:id="39" w:name="_Toc55831847"/>
      <w:bookmarkStart w:id="40" w:name="_Toc55832194"/>
      <w:r>
        <w:t>Grant evaluation</w:t>
      </w:r>
      <w:bookmarkEnd w:id="39"/>
      <w:bookmarkEnd w:id="40"/>
    </w:p>
    <w:p w14:paraId="6D7B553A" w14:textId="50DAC1B4" w:rsidR="00486804" w:rsidRPr="00F206A2" w:rsidRDefault="002F13E7" w:rsidP="00F206A2">
      <w:pPr>
        <w:pStyle w:val="Bullet1"/>
        <w:numPr>
          <w:ilvl w:val="0"/>
          <w:numId w:val="0"/>
        </w:numPr>
        <w:rPr>
          <w:rFonts w:cstheme="minorHAnsi"/>
        </w:rPr>
      </w:pPr>
      <w:r w:rsidRPr="00C0584B">
        <w:t xml:space="preserve">The </w:t>
      </w:r>
      <w:r w:rsidR="00FA1FF6" w:rsidRPr="00C0584B">
        <w:t>Department</w:t>
      </w:r>
      <w:r w:rsidRPr="00C0584B">
        <w:t xml:space="preserve"> will evaluate the grant program to measure how well the outcomes and objectives have been achieved. </w:t>
      </w:r>
      <w:r w:rsidR="00D2351C">
        <w:t xml:space="preserve">The </w:t>
      </w:r>
      <w:r w:rsidRPr="00C0584B">
        <w:t xml:space="preserve">grant agreement requires </w:t>
      </w:r>
      <w:r w:rsidR="00D2351C">
        <w:t xml:space="preserve">the </w:t>
      </w:r>
      <w:r w:rsidR="007D11A3">
        <w:t>grantee</w:t>
      </w:r>
      <w:r w:rsidR="00D2351C">
        <w:t xml:space="preserve"> t</w:t>
      </w:r>
      <w:r w:rsidRPr="00C0584B">
        <w:t>o provide information</w:t>
      </w:r>
      <w:r w:rsidR="00FA1FF6" w:rsidRPr="00C0584B">
        <w:t xml:space="preserve"> through performance reporting</w:t>
      </w:r>
      <w:r w:rsidRPr="00C0584B">
        <w:t xml:space="preserve"> to help with this evaluation.</w:t>
      </w:r>
      <w:bookmarkStart w:id="41" w:name="_Toc359405288"/>
      <w:bookmarkEnd w:id="32"/>
      <w:bookmarkEnd w:id="41"/>
    </w:p>
    <w:sectPr w:rsidR="00486804" w:rsidRPr="00F206A2" w:rsidSect="00C53EB6">
      <w:footerReference w:type="default" r:id="rId14"/>
      <w:headerReference w:type="first" r:id="rId15"/>
      <w:footerReference w:type="first" r:id="rId16"/>
      <w:type w:val="continuous"/>
      <w:pgSz w:w="11906" w:h="16838" w:code="9"/>
      <w:pgMar w:top="2268" w:right="1418" w:bottom="1418" w:left="1418" w:header="56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73E55" w14:textId="77777777" w:rsidR="00C3357C" w:rsidRDefault="00C3357C" w:rsidP="00EF4574">
      <w:pPr>
        <w:spacing w:before="0" w:after="0" w:line="240" w:lineRule="auto"/>
      </w:pPr>
      <w:r>
        <w:separator/>
      </w:r>
    </w:p>
    <w:p w14:paraId="4BEF379E" w14:textId="77777777" w:rsidR="00C3357C" w:rsidRDefault="00C3357C"/>
  </w:endnote>
  <w:endnote w:type="continuationSeparator" w:id="0">
    <w:p w14:paraId="26CC7018" w14:textId="77777777" w:rsidR="00C3357C" w:rsidRDefault="00C3357C" w:rsidP="00EF4574">
      <w:pPr>
        <w:spacing w:before="0" w:after="0" w:line="240" w:lineRule="auto"/>
      </w:pPr>
      <w:r>
        <w:continuationSeparator/>
      </w:r>
    </w:p>
    <w:p w14:paraId="0BF503FE" w14:textId="77777777" w:rsidR="00C3357C" w:rsidRDefault="00C33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5CFE4" w14:textId="125B5E8E" w:rsidR="00954D6F" w:rsidRDefault="009D3B91">
    <w:pPr>
      <w:pStyle w:val="Footer"/>
      <w:jc w:val="right"/>
    </w:pPr>
    <w:sdt>
      <w:sdtPr>
        <w:id w:val="-336622359"/>
        <w:docPartObj>
          <w:docPartGallery w:val="Page Numbers (Bottom of Page)"/>
          <w:docPartUnique/>
        </w:docPartObj>
      </w:sdtPr>
      <w:sdtEndPr>
        <w:rPr>
          <w:noProof/>
        </w:rPr>
      </w:sdtEndPr>
      <w:sdtContent>
        <w:r w:rsidR="00954D6F">
          <w:fldChar w:fldCharType="begin"/>
        </w:r>
        <w:r w:rsidR="00954D6F">
          <w:instrText xml:space="preserve"> PAGE   \* MERGEFORMAT </w:instrText>
        </w:r>
        <w:r w:rsidR="00954D6F">
          <w:fldChar w:fldCharType="separate"/>
        </w:r>
        <w:r>
          <w:rPr>
            <w:noProof/>
          </w:rPr>
          <w:t>2</w:t>
        </w:r>
        <w:r w:rsidR="00954D6F">
          <w:rPr>
            <w:noProof/>
          </w:rPr>
          <w:fldChar w:fldCharType="end"/>
        </w:r>
      </w:sdtContent>
    </w:sdt>
  </w:p>
  <w:p w14:paraId="5DE55590" w14:textId="77777777" w:rsidR="00B3770E" w:rsidRPr="00954D6F" w:rsidRDefault="00EB6627" w:rsidP="0091151E">
    <w:pPr>
      <w:pStyle w:val="Footer"/>
      <w:rPr>
        <w:rStyle w:val="Classification"/>
        <w:b w:val="0"/>
        <w:sz w:val="16"/>
        <w:szCs w:val="16"/>
      </w:rPr>
    </w:pPr>
    <w:r>
      <w:t>June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804B" w14:textId="67E190AF" w:rsidR="009D3B91" w:rsidRDefault="009D3B91" w:rsidP="009D3B91">
    <w:pPr>
      <w:pStyle w:val="Footer"/>
      <w:jc w:val="right"/>
    </w:pPr>
    <w:sdt>
      <w:sdtPr>
        <w:id w:val="-17528024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066BAC72" w14:textId="77777777" w:rsidR="009D3B91" w:rsidRPr="00954D6F" w:rsidRDefault="009D3B91" w:rsidP="009D3B91">
    <w:pPr>
      <w:pStyle w:val="Footer"/>
      <w:rPr>
        <w:rStyle w:val="Classification"/>
        <w:b w:val="0"/>
        <w:sz w:val="16"/>
        <w:szCs w:val="16"/>
      </w:rPr>
    </w:pPr>
    <w:r>
      <w:t>June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F09A5" w14:textId="77777777" w:rsidR="00C3357C" w:rsidRDefault="00C3357C" w:rsidP="0020122A">
      <w:pPr>
        <w:pStyle w:val="FootnoteSeparator"/>
      </w:pPr>
    </w:p>
  </w:footnote>
  <w:footnote w:type="continuationSeparator" w:id="0">
    <w:p w14:paraId="11F69F81" w14:textId="77777777" w:rsidR="00C3357C" w:rsidRDefault="00C3357C" w:rsidP="00EF4574">
      <w:pPr>
        <w:spacing w:before="0" w:after="0" w:line="240" w:lineRule="auto"/>
      </w:pPr>
      <w:r>
        <w:continuationSeparator/>
      </w:r>
    </w:p>
    <w:p w14:paraId="3D51C3B2" w14:textId="77777777" w:rsidR="00C3357C" w:rsidRDefault="00C335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E3AE" w14:textId="0E47395C" w:rsidR="00B3770E" w:rsidRPr="00FA73F2" w:rsidRDefault="00FA73F2" w:rsidP="00FA73F2">
    <w:pPr>
      <w:pStyle w:val="Header"/>
      <w:ind w:left="7200"/>
      <w:jc w:val="center"/>
      <w:rPr>
        <w:b/>
        <w:sz w:val="20"/>
        <w:szCs w:val="20"/>
      </w:rPr>
    </w:pPr>
    <w:r w:rsidRPr="00FA73F2">
      <w:rPr>
        <w:b/>
        <w:sz w:val="20"/>
        <w:szCs w:val="20"/>
      </w:rPr>
      <w:t>ATTACHMMENT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72E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527F3"/>
    <w:multiLevelType w:val="hybridMultilevel"/>
    <w:tmpl w:val="AE824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8152D"/>
    <w:multiLevelType w:val="hybridMultilevel"/>
    <w:tmpl w:val="437A0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BC17735"/>
    <w:multiLevelType w:val="hybridMultilevel"/>
    <w:tmpl w:val="394A4498"/>
    <w:lvl w:ilvl="0" w:tplc="080C16A2">
      <w:start w:val="1"/>
      <w:numFmt w:val="upperLetter"/>
      <w:pStyle w:val="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B9B159F"/>
    <w:multiLevelType w:val="multilevel"/>
    <w:tmpl w:val="2F1215F0"/>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C7372BF"/>
    <w:multiLevelType w:val="hybridMultilevel"/>
    <w:tmpl w:val="A3EAB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392454"/>
    <w:multiLevelType w:val="hybridMultilevel"/>
    <w:tmpl w:val="CC7418CE"/>
    <w:lvl w:ilvl="0" w:tplc="2E6AE4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BB443CE"/>
    <w:multiLevelType w:val="hybridMultilevel"/>
    <w:tmpl w:val="DE980C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C2540A4"/>
    <w:multiLevelType w:val="hybridMultilevel"/>
    <w:tmpl w:val="281AF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2E40526"/>
    <w:multiLevelType w:val="hybridMultilevel"/>
    <w:tmpl w:val="5DA27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055109"/>
    <w:multiLevelType w:val="hybridMultilevel"/>
    <w:tmpl w:val="8C926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033DFA"/>
    <w:multiLevelType w:val="hybridMultilevel"/>
    <w:tmpl w:val="744887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3D44A4B"/>
    <w:multiLevelType w:val="hybridMultilevel"/>
    <w:tmpl w:val="E1786C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BA81D65"/>
    <w:multiLevelType w:val="hybridMultilevel"/>
    <w:tmpl w:val="C288534E"/>
    <w:lvl w:ilvl="0" w:tplc="635C59D8">
      <w:numFmt w:val="bullet"/>
      <w:lvlText w:val="•"/>
      <w:lvlJc w:val="left"/>
      <w:pPr>
        <w:ind w:left="720" w:hanging="720"/>
      </w:pPr>
      <w:rPr>
        <w:rFonts w:ascii="Calibri" w:eastAsia="Times New Roman" w:hAnsi="Calibri" w:cs="Times New Roman" w:hint="default"/>
        <w:b/>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9" w15:restartNumberingAfterBreak="0">
    <w:nsid w:val="7F2E546E"/>
    <w:multiLevelType w:val="hybridMultilevel"/>
    <w:tmpl w:val="81C8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9"/>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25"/>
  </w:num>
  <w:num w:numId="23">
    <w:abstractNumId w:val="24"/>
  </w:num>
  <w:num w:numId="24">
    <w:abstractNumId w:val="14"/>
  </w:num>
  <w:num w:numId="25">
    <w:abstractNumId w:val="27"/>
  </w:num>
  <w:num w:numId="26">
    <w:abstractNumId w:val="10"/>
  </w:num>
  <w:num w:numId="27">
    <w:abstractNumId w:val="28"/>
  </w:num>
  <w:num w:numId="28">
    <w:abstractNumId w:val="21"/>
  </w:num>
  <w:num w:numId="29">
    <w:abstractNumId w:val="26"/>
  </w:num>
  <w:num w:numId="30">
    <w:abstractNumId w:val="26"/>
  </w:num>
  <w:num w:numId="31">
    <w:abstractNumId w:val="26"/>
  </w:num>
  <w:num w:numId="32">
    <w:abstractNumId w:val="23"/>
  </w:num>
  <w:num w:numId="33">
    <w:abstractNumId w:val="26"/>
  </w:num>
  <w:num w:numId="34">
    <w:abstractNumId w:val="20"/>
  </w:num>
  <w:num w:numId="35">
    <w:abstractNumId w:val="26"/>
  </w:num>
  <w:num w:numId="36">
    <w:abstractNumId w:val="26"/>
  </w:num>
  <w:num w:numId="37">
    <w:abstractNumId w:val="26"/>
  </w:num>
  <w:num w:numId="38">
    <w:abstractNumId w:val="18"/>
  </w:num>
  <w:num w:numId="39">
    <w:abstractNumId w:val="26"/>
  </w:num>
  <w:num w:numId="40">
    <w:abstractNumId w:val="17"/>
  </w:num>
  <w:num w:numId="41">
    <w:abstractNumId w:val="1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2782F"/>
    <w:rsid w:val="00027DFC"/>
    <w:rsid w:val="00036D0C"/>
    <w:rsid w:val="00036D2E"/>
    <w:rsid w:val="00041302"/>
    <w:rsid w:val="0005107D"/>
    <w:rsid w:val="00054E4D"/>
    <w:rsid w:val="00060073"/>
    <w:rsid w:val="000603C7"/>
    <w:rsid w:val="000829F4"/>
    <w:rsid w:val="00082D9B"/>
    <w:rsid w:val="0009587D"/>
    <w:rsid w:val="000A4B30"/>
    <w:rsid w:val="000A6A8B"/>
    <w:rsid w:val="000C17F5"/>
    <w:rsid w:val="000C2A48"/>
    <w:rsid w:val="000C5F75"/>
    <w:rsid w:val="000C6610"/>
    <w:rsid w:val="000D60B1"/>
    <w:rsid w:val="000E42C9"/>
    <w:rsid w:val="000F7C2F"/>
    <w:rsid w:val="00101D27"/>
    <w:rsid w:val="00126D45"/>
    <w:rsid w:val="00136530"/>
    <w:rsid w:val="00144F3C"/>
    <w:rsid w:val="001541EA"/>
    <w:rsid w:val="00161062"/>
    <w:rsid w:val="001612A4"/>
    <w:rsid w:val="001B16A2"/>
    <w:rsid w:val="001B1B4E"/>
    <w:rsid w:val="001C219F"/>
    <w:rsid w:val="001C4483"/>
    <w:rsid w:val="001C531E"/>
    <w:rsid w:val="001D5A13"/>
    <w:rsid w:val="001D7EB4"/>
    <w:rsid w:val="001E1DC0"/>
    <w:rsid w:val="001E44F4"/>
    <w:rsid w:val="0020122A"/>
    <w:rsid w:val="00201C8E"/>
    <w:rsid w:val="00240067"/>
    <w:rsid w:val="00274590"/>
    <w:rsid w:val="0028602A"/>
    <w:rsid w:val="00286E1E"/>
    <w:rsid w:val="002A0634"/>
    <w:rsid w:val="002A53A4"/>
    <w:rsid w:val="002A6F22"/>
    <w:rsid w:val="002C65C1"/>
    <w:rsid w:val="002F0A8A"/>
    <w:rsid w:val="002F13E7"/>
    <w:rsid w:val="00301144"/>
    <w:rsid w:val="0030340C"/>
    <w:rsid w:val="003148B7"/>
    <w:rsid w:val="003158C3"/>
    <w:rsid w:val="003274CD"/>
    <w:rsid w:val="0035119D"/>
    <w:rsid w:val="003518CE"/>
    <w:rsid w:val="00397A09"/>
    <w:rsid w:val="003A71C5"/>
    <w:rsid w:val="003B4F12"/>
    <w:rsid w:val="003C63AC"/>
    <w:rsid w:val="003E3974"/>
    <w:rsid w:val="003F3756"/>
    <w:rsid w:val="004218F6"/>
    <w:rsid w:val="00423F31"/>
    <w:rsid w:val="00431899"/>
    <w:rsid w:val="00436216"/>
    <w:rsid w:val="0044674D"/>
    <w:rsid w:val="00461E45"/>
    <w:rsid w:val="0047121A"/>
    <w:rsid w:val="00486804"/>
    <w:rsid w:val="004870A5"/>
    <w:rsid w:val="00490399"/>
    <w:rsid w:val="004A3BB8"/>
    <w:rsid w:val="004B3775"/>
    <w:rsid w:val="004B6D8D"/>
    <w:rsid w:val="004B7850"/>
    <w:rsid w:val="004C2A06"/>
    <w:rsid w:val="004D7F5D"/>
    <w:rsid w:val="004E058F"/>
    <w:rsid w:val="004E3B87"/>
    <w:rsid w:val="00510921"/>
    <w:rsid w:val="00510AD3"/>
    <w:rsid w:val="00513348"/>
    <w:rsid w:val="00516145"/>
    <w:rsid w:val="00533B5D"/>
    <w:rsid w:val="005460DD"/>
    <w:rsid w:val="00551CAD"/>
    <w:rsid w:val="005570E8"/>
    <w:rsid w:val="00574478"/>
    <w:rsid w:val="0057480E"/>
    <w:rsid w:val="00584DCF"/>
    <w:rsid w:val="005914DE"/>
    <w:rsid w:val="005970EA"/>
    <w:rsid w:val="005B4F63"/>
    <w:rsid w:val="005C37F0"/>
    <w:rsid w:val="005D2D36"/>
    <w:rsid w:val="005D5BD1"/>
    <w:rsid w:val="005E3798"/>
    <w:rsid w:val="00617526"/>
    <w:rsid w:val="00620794"/>
    <w:rsid w:val="00623BA1"/>
    <w:rsid w:val="006250F1"/>
    <w:rsid w:val="006346BC"/>
    <w:rsid w:val="006504E7"/>
    <w:rsid w:val="00650FF4"/>
    <w:rsid w:val="00666291"/>
    <w:rsid w:val="0066652A"/>
    <w:rsid w:val="00670EBC"/>
    <w:rsid w:val="00672898"/>
    <w:rsid w:val="00682167"/>
    <w:rsid w:val="00683933"/>
    <w:rsid w:val="006C42AF"/>
    <w:rsid w:val="006C4DD1"/>
    <w:rsid w:val="006E4722"/>
    <w:rsid w:val="00711D8E"/>
    <w:rsid w:val="00712672"/>
    <w:rsid w:val="00714B19"/>
    <w:rsid w:val="00715E18"/>
    <w:rsid w:val="00717472"/>
    <w:rsid w:val="00720C66"/>
    <w:rsid w:val="00727ED3"/>
    <w:rsid w:val="00733E22"/>
    <w:rsid w:val="00734587"/>
    <w:rsid w:val="00734E3F"/>
    <w:rsid w:val="00736985"/>
    <w:rsid w:val="00737A13"/>
    <w:rsid w:val="00741EF2"/>
    <w:rsid w:val="00766EA0"/>
    <w:rsid w:val="00782526"/>
    <w:rsid w:val="007A0E7E"/>
    <w:rsid w:val="007A3416"/>
    <w:rsid w:val="007B3A6F"/>
    <w:rsid w:val="007B5200"/>
    <w:rsid w:val="007B6200"/>
    <w:rsid w:val="007C6FC3"/>
    <w:rsid w:val="007D11A3"/>
    <w:rsid w:val="007D1D4F"/>
    <w:rsid w:val="007E3778"/>
    <w:rsid w:val="007F75D7"/>
    <w:rsid w:val="00801327"/>
    <w:rsid w:val="00801B9F"/>
    <w:rsid w:val="0081798B"/>
    <w:rsid w:val="00826301"/>
    <w:rsid w:val="00826DB9"/>
    <w:rsid w:val="008364AE"/>
    <w:rsid w:val="008427AD"/>
    <w:rsid w:val="008434E5"/>
    <w:rsid w:val="00864AF7"/>
    <w:rsid w:val="00880B3F"/>
    <w:rsid w:val="00883D80"/>
    <w:rsid w:val="008910B3"/>
    <w:rsid w:val="008947DB"/>
    <w:rsid w:val="008B62C7"/>
    <w:rsid w:val="008D426B"/>
    <w:rsid w:val="008D4A99"/>
    <w:rsid w:val="008F68EF"/>
    <w:rsid w:val="00901414"/>
    <w:rsid w:val="0091151E"/>
    <w:rsid w:val="00954D6F"/>
    <w:rsid w:val="00970DB4"/>
    <w:rsid w:val="009A0AF2"/>
    <w:rsid w:val="009A2DA7"/>
    <w:rsid w:val="009A6258"/>
    <w:rsid w:val="009B4D3B"/>
    <w:rsid w:val="009C28E0"/>
    <w:rsid w:val="009D3B91"/>
    <w:rsid w:val="009D58F1"/>
    <w:rsid w:val="009D6477"/>
    <w:rsid w:val="009D7407"/>
    <w:rsid w:val="009E0866"/>
    <w:rsid w:val="009F6296"/>
    <w:rsid w:val="00A20E8E"/>
    <w:rsid w:val="00A24A62"/>
    <w:rsid w:val="00A31C9F"/>
    <w:rsid w:val="00A32FA5"/>
    <w:rsid w:val="00A3713D"/>
    <w:rsid w:val="00A6788D"/>
    <w:rsid w:val="00A8217F"/>
    <w:rsid w:val="00AA7426"/>
    <w:rsid w:val="00AB19CF"/>
    <w:rsid w:val="00AC164A"/>
    <w:rsid w:val="00AF2050"/>
    <w:rsid w:val="00B26E52"/>
    <w:rsid w:val="00B3770E"/>
    <w:rsid w:val="00B42AA4"/>
    <w:rsid w:val="00B62512"/>
    <w:rsid w:val="00B6262C"/>
    <w:rsid w:val="00B97D71"/>
    <w:rsid w:val="00BB26C5"/>
    <w:rsid w:val="00BC5401"/>
    <w:rsid w:val="00BF4DE6"/>
    <w:rsid w:val="00C0357B"/>
    <w:rsid w:val="00C0584B"/>
    <w:rsid w:val="00C13325"/>
    <w:rsid w:val="00C2643D"/>
    <w:rsid w:val="00C3357C"/>
    <w:rsid w:val="00C3647B"/>
    <w:rsid w:val="00C42CDE"/>
    <w:rsid w:val="00C5272E"/>
    <w:rsid w:val="00C53EB6"/>
    <w:rsid w:val="00C768B1"/>
    <w:rsid w:val="00CA37B1"/>
    <w:rsid w:val="00CA4823"/>
    <w:rsid w:val="00CB1959"/>
    <w:rsid w:val="00CC6F98"/>
    <w:rsid w:val="00CD1906"/>
    <w:rsid w:val="00CD1F73"/>
    <w:rsid w:val="00CD6B53"/>
    <w:rsid w:val="00CD7C50"/>
    <w:rsid w:val="00D0296C"/>
    <w:rsid w:val="00D217B0"/>
    <w:rsid w:val="00D22869"/>
    <w:rsid w:val="00D2351C"/>
    <w:rsid w:val="00D2632C"/>
    <w:rsid w:val="00D27E0A"/>
    <w:rsid w:val="00D46D82"/>
    <w:rsid w:val="00D607FC"/>
    <w:rsid w:val="00D75693"/>
    <w:rsid w:val="00D90FCE"/>
    <w:rsid w:val="00DB6D69"/>
    <w:rsid w:val="00DC430B"/>
    <w:rsid w:val="00DE0075"/>
    <w:rsid w:val="00DF25F7"/>
    <w:rsid w:val="00DF7226"/>
    <w:rsid w:val="00E045AA"/>
    <w:rsid w:val="00E357B7"/>
    <w:rsid w:val="00E477B5"/>
    <w:rsid w:val="00E53800"/>
    <w:rsid w:val="00E6081F"/>
    <w:rsid w:val="00E957A9"/>
    <w:rsid w:val="00EA04B2"/>
    <w:rsid w:val="00EA20F3"/>
    <w:rsid w:val="00EB5B5C"/>
    <w:rsid w:val="00EB5E03"/>
    <w:rsid w:val="00EB6627"/>
    <w:rsid w:val="00ED01E7"/>
    <w:rsid w:val="00ED43D1"/>
    <w:rsid w:val="00EE2079"/>
    <w:rsid w:val="00EE4EE1"/>
    <w:rsid w:val="00EF06FC"/>
    <w:rsid w:val="00EF4574"/>
    <w:rsid w:val="00F1128A"/>
    <w:rsid w:val="00F206A2"/>
    <w:rsid w:val="00F2100D"/>
    <w:rsid w:val="00F2684E"/>
    <w:rsid w:val="00F66251"/>
    <w:rsid w:val="00F71E84"/>
    <w:rsid w:val="00F729EF"/>
    <w:rsid w:val="00F77CAE"/>
    <w:rsid w:val="00F820DC"/>
    <w:rsid w:val="00F9197C"/>
    <w:rsid w:val="00F96BB9"/>
    <w:rsid w:val="00FA1FF6"/>
    <w:rsid w:val="00FA73F2"/>
    <w:rsid w:val="00FB44AA"/>
    <w:rsid w:val="00FB501D"/>
    <w:rsid w:val="00FC5DB2"/>
    <w:rsid w:val="00FE5E82"/>
    <w:rsid w:val="00FE6D51"/>
    <w:rsid w:val="00FF2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4CB2AB"/>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067"/>
    <w:pPr>
      <w:suppressAutoHyphens/>
      <w:spacing w:before="180" w:after="60" w:line="280" w:lineRule="atLeast"/>
    </w:pPr>
  </w:style>
  <w:style w:type="paragraph" w:styleId="Heading1">
    <w:name w:val="heading 1"/>
    <w:basedOn w:val="Normal"/>
    <w:next w:val="Normal"/>
    <w:link w:val="Heading1Char"/>
    <w:uiPriority w:val="9"/>
    <w:qFormat/>
    <w:rsid w:val="00240067"/>
    <w:pPr>
      <w:keepLines/>
      <w:spacing w:before="3000" w:after="120" w:line="480" w:lineRule="atLeast"/>
      <w:contextualSpacing/>
      <w:jc w:val="right"/>
      <w:outlineLvl w:val="0"/>
    </w:pPr>
    <w:rPr>
      <w:rFonts w:asciiTheme="majorHAnsi" w:eastAsiaTheme="majorEastAsia" w:hAnsiTheme="majorHAnsi" w:cstheme="majorBidi"/>
      <w:bCs/>
      <w:color w:val="963721" w:themeColor="accent3" w:themeShade="BF"/>
      <w:kern w:val="28"/>
      <w:sz w:val="40"/>
      <w:szCs w:val="52"/>
    </w:rPr>
  </w:style>
  <w:style w:type="paragraph" w:styleId="Heading2">
    <w:name w:val="heading 2"/>
    <w:basedOn w:val="Heading2Numbered"/>
    <w:next w:val="Normal"/>
    <w:link w:val="Heading2Char"/>
    <w:uiPriority w:val="9"/>
    <w:unhideWhenUsed/>
    <w:qFormat/>
    <w:rsid w:val="00240067"/>
    <w:pPr>
      <w:outlineLvl w:val="1"/>
    </w:pPr>
  </w:style>
  <w:style w:type="paragraph" w:styleId="Heading3">
    <w:name w:val="heading 3"/>
    <w:basedOn w:val="ListParagraph"/>
    <w:next w:val="Normal"/>
    <w:link w:val="Heading3Char"/>
    <w:uiPriority w:val="9"/>
    <w:unhideWhenUsed/>
    <w:qFormat/>
    <w:rsid w:val="00240067"/>
    <w:pPr>
      <w:keepNext/>
      <w:numPr>
        <w:numId w:val="42"/>
      </w:numPr>
      <w:spacing w:before="120"/>
      <w:ind w:left="567" w:hanging="567"/>
      <w:outlineLvl w:val="2"/>
    </w:pPr>
    <w:rPr>
      <w:rFonts w:asciiTheme="majorHAnsi" w:hAnsiTheme="majorHAnsi" w:cstheme="majorHAnsi"/>
      <w:color w:val="1C1C1C" w:themeColor="text2"/>
      <w:u w:val="single"/>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CF7F60"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9B4D2E"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067"/>
    <w:rPr>
      <w:rFonts w:asciiTheme="majorHAnsi" w:eastAsiaTheme="majorEastAsia" w:hAnsiTheme="majorHAnsi" w:cstheme="majorBidi"/>
      <w:bCs/>
      <w:color w:val="963721" w:themeColor="accent3" w:themeShade="BF"/>
      <w:kern w:val="28"/>
      <w:sz w:val="40"/>
      <w:szCs w:val="52"/>
    </w:rPr>
  </w:style>
  <w:style w:type="character" w:customStyle="1" w:styleId="Heading2Char">
    <w:name w:val="Heading 2 Char"/>
    <w:basedOn w:val="DefaultParagraphFont"/>
    <w:link w:val="Heading2"/>
    <w:uiPriority w:val="9"/>
    <w:rsid w:val="00240067"/>
    <w:rPr>
      <w:rFonts w:asciiTheme="majorHAnsi" w:eastAsiaTheme="majorEastAsia" w:hAnsiTheme="majorHAnsi" w:cstheme="majorBidi"/>
      <w:bCs/>
      <w:color w:val="963721" w:themeColor="accent3" w:themeShade="BF"/>
      <w:kern w:val="28"/>
      <w:sz w:val="40"/>
      <w:szCs w:val="52"/>
    </w:rPr>
  </w:style>
  <w:style w:type="character" w:customStyle="1" w:styleId="Heading3Char">
    <w:name w:val="Heading 3 Char"/>
    <w:basedOn w:val="DefaultParagraphFont"/>
    <w:link w:val="Heading3"/>
    <w:uiPriority w:val="9"/>
    <w:rsid w:val="00240067"/>
    <w:rPr>
      <w:rFonts w:asciiTheme="majorHAnsi" w:eastAsia="Times New Roman" w:hAnsiTheme="majorHAnsi" w:cstheme="majorHAnsi"/>
      <w:color w:val="1C1C1C" w:themeColor="text2"/>
      <w:u w:val="single"/>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spacing w:before="8400"/>
    </w:p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240067"/>
    <w:pPr>
      <w:numPr>
        <w:numId w:val="1"/>
      </w:numPr>
      <w:spacing w:before="120"/>
      <w:ind w:left="567" w:hanging="567"/>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3"/>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1Numbered"/>
    <w:next w:val="Normal"/>
    <w:qFormat/>
    <w:rsid w:val="00240067"/>
    <w:pPr>
      <w:spacing w:before="0"/>
      <w:jc w:val="left"/>
    </w:pPr>
  </w:style>
  <w:style w:type="paragraph" w:customStyle="1" w:styleId="Heading3Numbered">
    <w:name w:val="Heading 3 Numbered"/>
    <w:basedOn w:val="Heading3"/>
    <w:next w:val="Normal"/>
    <w:qFormat/>
    <w:rsid w:val="001D7EB4"/>
    <w:pPr>
      <w:numPr>
        <w:ilvl w:val="2"/>
        <w:numId w:val="5"/>
      </w:numPr>
    </w:p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240067"/>
    <w:pPr>
      <w:tabs>
        <w:tab w:val="right" w:pos="9072"/>
      </w:tabs>
      <w:spacing w:after="180" w:line="230" w:lineRule="atLeast"/>
      <w:ind w:left="567" w:hanging="567"/>
    </w:pPr>
    <w:rPr>
      <w:noProof/>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E7BFAF"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CF7F60"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9B4D2E"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9B4D2E"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AF2EE" w:themeColor="accent1" w:themeTint="33"/>
        <w:left w:val="single" w:sz="4" w:space="14" w:color="FAF2EE" w:themeColor="accent1" w:themeTint="33"/>
        <w:bottom w:val="single" w:sz="4" w:space="14" w:color="FAF2EE" w:themeColor="accent1" w:themeTint="33"/>
        <w:right w:val="single" w:sz="4" w:space="14" w:color="FAF2EE" w:themeColor="accent1" w:themeTint="33"/>
      </w:pBdr>
      <w:shd w:val="clear" w:color="auto" w:fill="FAF2EE"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E7BFAF" w:themeColor="accent1"/>
        <w:left w:val="single" w:sz="4" w:space="14" w:color="E7BFAF" w:themeColor="accent1"/>
        <w:bottom w:val="single" w:sz="4" w:space="14" w:color="E7BFAF" w:themeColor="accent1"/>
        <w:right w:val="single" w:sz="4" w:space="14" w:color="E7BFAF" w:themeColor="accent1"/>
      </w:pBdr>
      <w:shd w:val="clear" w:color="auto" w:fill="E7BFA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7A0E7E"/>
    <w:pPr>
      <w:spacing w:line="240" w:lineRule="auto"/>
    </w:pPr>
    <w:rPr>
      <w:b/>
      <w:color w:val="963721" w:themeColor="accent3" w:themeShade="BF"/>
    </w:rPr>
  </w:style>
  <w:style w:type="paragraph" w:styleId="ListParagraph">
    <w:name w:val="List Paragraph"/>
    <w:aliases w:val="Recommendation,List Paragraph1,List Paragraph11"/>
    <w:basedOn w:val="Normal"/>
    <w:link w:val="ListParagraphChar"/>
    <w:uiPriority w:val="34"/>
    <w:qFormat/>
    <w:rsid w:val="007D1D4F"/>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D1D4F"/>
    <w:rPr>
      <w:rFonts w:ascii="Calibri" w:eastAsia="Times New Roman" w:hAnsi="Calibri" w:cs="Times New Roman"/>
    </w:rPr>
  </w:style>
  <w:style w:type="paragraph" w:styleId="NoSpacing">
    <w:name w:val="No Spacing"/>
    <w:aliases w:val="Norma tablel"/>
    <w:link w:val="NoSpacingChar"/>
    <w:uiPriority w:val="1"/>
    <w:qFormat/>
    <w:rsid w:val="007D1D4F"/>
    <w:pPr>
      <w:spacing w:after="0" w:line="240" w:lineRule="auto"/>
    </w:pPr>
    <w:rPr>
      <w:rFonts w:ascii="Calibri" w:eastAsia="Times New Roman" w:hAnsi="Calibri" w:cs="Times New Roman"/>
    </w:rPr>
  </w:style>
  <w:style w:type="paragraph" w:styleId="ListBullet">
    <w:name w:val="List Bullet"/>
    <w:basedOn w:val="Normal"/>
    <w:uiPriority w:val="99"/>
    <w:rsid w:val="007D1D4F"/>
    <w:pPr>
      <w:numPr>
        <w:numId w:val="24"/>
      </w:numPr>
      <w:suppressAutoHyphens w:val="0"/>
      <w:spacing w:before="200" w:after="200" w:line="276" w:lineRule="auto"/>
      <w:contextualSpacing/>
    </w:pPr>
    <w:rPr>
      <w:rFonts w:ascii="Calibri" w:eastAsia="Times New Roman" w:hAnsi="Calibri" w:cs="Times New Roman"/>
      <w:sz w:val="20"/>
      <w:szCs w:val="20"/>
      <w:lang w:val="en-US" w:bidi="en-US"/>
    </w:rPr>
  </w:style>
  <w:style w:type="character" w:customStyle="1" w:styleId="NoSpacingChar">
    <w:name w:val="No Spacing Char"/>
    <w:aliases w:val="Norma tablel Char"/>
    <w:basedOn w:val="DefaultParagraphFont"/>
    <w:link w:val="NoSpacing"/>
    <w:uiPriority w:val="1"/>
    <w:rsid w:val="007D1D4F"/>
    <w:rPr>
      <w:rFonts w:ascii="Calibri" w:eastAsia="Times New Roman" w:hAnsi="Calibri" w:cs="Times New Roman"/>
    </w:rPr>
  </w:style>
  <w:style w:type="paragraph" w:customStyle="1" w:styleId="highlightedtext">
    <w:name w:val="highlighted text"/>
    <w:basedOn w:val="Normal"/>
    <w:link w:val="highlightedtextChar"/>
    <w:qFormat/>
    <w:rsid w:val="00D217B0"/>
    <w:pPr>
      <w:pBdr>
        <w:top w:val="single" w:sz="4" w:space="1" w:color="auto"/>
        <w:left w:val="single" w:sz="4" w:space="4" w:color="auto"/>
        <w:bottom w:val="single" w:sz="4" w:space="1" w:color="auto"/>
        <w:right w:val="single" w:sz="4" w:space="4" w:color="auto"/>
      </w:pBdr>
      <w:spacing w:after="0"/>
      <w:jc w:val="center"/>
    </w:pPr>
    <w:rPr>
      <w:b/>
      <w:color w:val="642416" w:themeColor="accent3" w:themeShade="80"/>
    </w:rPr>
  </w:style>
  <w:style w:type="character" w:customStyle="1" w:styleId="highlightedtextChar">
    <w:name w:val="highlighted text Char"/>
    <w:basedOn w:val="DefaultParagraphFont"/>
    <w:link w:val="highlightedtext"/>
    <w:rsid w:val="00D217B0"/>
    <w:rPr>
      <w:b/>
      <w:color w:val="642416" w:themeColor="accent3" w:themeShade="80"/>
    </w:rPr>
  </w:style>
  <w:style w:type="paragraph" w:styleId="BalloonText">
    <w:name w:val="Balloon Text"/>
    <w:basedOn w:val="Normal"/>
    <w:link w:val="BalloonTextChar"/>
    <w:uiPriority w:val="99"/>
    <w:semiHidden/>
    <w:unhideWhenUsed/>
    <w:rsid w:val="00883D8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D80"/>
    <w:rPr>
      <w:rFonts w:ascii="Segoe UI" w:hAnsi="Segoe UI" w:cs="Segoe UI"/>
      <w:sz w:val="18"/>
      <w:szCs w:val="18"/>
    </w:rPr>
  </w:style>
  <w:style w:type="character" w:styleId="FollowedHyperlink">
    <w:name w:val="FollowedHyperlink"/>
    <w:basedOn w:val="DefaultParagraphFont"/>
    <w:uiPriority w:val="99"/>
    <w:semiHidden/>
    <w:unhideWhenUsed/>
    <w:rsid w:val="007B5200"/>
    <w:rPr>
      <w:color w:val="954F72" w:themeColor="followedHyperlink"/>
      <w:u w:val="single"/>
    </w:rPr>
  </w:style>
  <w:style w:type="character" w:styleId="CommentReference">
    <w:name w:val="annotation reference"/>
    <w:basedOn w:val="DefaultParagraphFont"/>
    <w:uiPriority w:val="99"/>
    <w:semiHidden/>
    <w:unhideWhenUsed/>
    <w:rsid w:val="00CD7C50"/>
    <w:rPr>
      <w:sz w:val="16"/>
      <w:szCs w:val="16"/>
    </w:rPr>
  </w:style>
  <w:style w:type="paragraph" w:styleId="CommentText">
    <w:name w:val="annotation text"/>
    <w:basedOn w:val="Normal"/>
    <w:link w:val="CommentTextChar"/>
    <w:uiPriority w:val="99"/>
    <w:semiHidden/>
    <w:unhideWhenUsed/>
    <w:rsid w:val="00CD7C50"/>
    <w:pPr>
      <w:spacing w:line="240" w:lineRule="auto"/>
    </w:pPr>
    <w:rPr>
      <w:sz w:val="20"/>
      <w:szCs w:val="20"/>
    </w:rPr>
  </w:style>
  <w:style w:type="character" w:customStyle="1" w:styleId="CommentTextChar">
    <w:name w:val="Comment Text Char"/>
    <w:basedOn w:val="DefaultParagraphFont"/>
    <w:link w:val="CommentText"/>
    <w:uiPriority w:val="99"/>
    <w:semiHidden/>
    <w:rsid w:val="00CD7C50"/>
    <w:rPr>
      <w:sz w:val="20"/>
      <w:szCs w:val="20"/>
    </w:rPr>
  </w:style>
  <w:style w:type="paragraph" w:styleId="CommentSubject">
    <w:name w:val="annotation subject"/>
    <w:basedOn w:val="CommentText"/>
    <w:next w:val="CommentText"/>
    <w:link w:val="CommentSubjectChar"/>
    <w:uiPriority w:val="99"/>
    <w:semiHidden/>
    <w:unhideWhenUsed/>
    <w:rsid w:val="00CD7C50"/>
    <w:rPr>
      <w:b/>
      <w:bCs/>
    </w:rPr>
  </w:style>
  <w:style w:type="character" w:customStyle="1" w:styleId="CommentSubjectChar">
    <w:name w:val="Comment Subject Char"/>
    <w:basedOn w:val="CommentTextChar"/>
    <w:link w:val="CommentSubject"/>
    <w:uiPriority w:val="99"/>
    <w:semiHidden/>
    <w:rsid w:val="00CD7C50"/>
    <w:rPr>
      <w:b/>
      <w:bCs/>
      <w:sz w:val="20"/>
      <w:szCs w:val="20"/>
    </w:rPr>
  </w:style>
  <w:style w:type="paragraph" w:styleId="Revision">
    <w:name w:val="Revision"/>
    <w:hidden/>
    <w:uiPriority w:val="99"/>
    <w:semiHidden/>
    <w:rsid w:val="00CD6B53"/>
    <w:pPr>
      <w:spacing w:after="0" w:line="240" w:lineRule="auto"/>
    </w:pPr>
  </w:style>
  <w:style w:type="paragraph" w:customStyle="1" w:styleId="Heading2notshowing">
    <w:name w:val="Heading 2—not showing"/>
    <w:basedOn w:val="Normal"/>
    <w:next w:val="Normal"/>
    <w:qFormat/>
    <w:rsid w:val="006E4722"/>
    <w:pPr>
      <w:keepNext/>
      <w:suppressAutoHyphens w:val="0"/>
      <w:spacing w:before="0" w:after="120" w:line="240" w:lineRule="auto"/>
      <w:outlineLvl w:val="1"/>
    </w:pPr>
    <w:rPr>
      <w:rFonts w:ascii="Segoe UI Semibold" w:eastAsia="MingLiU" w:hAnsi="Segoe UI Semibold" w:cs="Segoe UI Semibold"/>
      <w:color w:val="4C5564"/>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7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prod.protected.ind/User/user03/LLau2/insert%20link%20he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nance.gov.au/financial-framework/financial-management-policy-guidance/grants/grant-agreement-template-projec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ance.gov.au/government/commonwealth-grants/commonwealth-grants-rules-guidelin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Finance 4 Pink">
  <a:themeElements>
    <a:clrScheme name="Finance - Pink">
      <a:dk1>
        <a:sysClr val="windowText" lastClr="000000"/>
      </a:dk1>
      <a:lt1>
        <a:sysClr val="window" lastClr="FFFFFF"/>
      </a:lt1>
      <a:dk2>
        <a:srgbClr val="1C1C1C"/>
      </a:dk2>
      <a:lt2>
        <a:srgbClr val="E2E3E2"/>
      </a:lt2>
      <a:accent1>
        <a:srgbClr val="E7BFAF"/>
      </a:accent1>
      <a:accent2>
        <a:srgbClr val="D7876E"/>
      </a:accent2>
      <a:accent3>
        <a:srgbClr val="C94A2C"/>
      </a:accent3>
      <a:accent4>
        <a:srgbClr val="645493"/>
      </a:accent4>
      <a:accent5>
        <a:srgbClr val="E8B600"/>
      </a:accent5>
      <a:accent6>
        <a:srgbClr val="19806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4 Pink" id="{DA21FC05-256C-4427-9F36-AED5CBD3D2CE}" vid="{809E16D3-CB34-4764-A2CB-7FECE11F97F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53DE609AF204C8CD31DD16F36B69C" ma:contentTypeVersion="0" ma:contentTypeDescription="Create a new document." ma:contentTypeScope="" ma:versionID="9e649bb3d69d0f8805bb1abdf3f3b05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15F25-D080-47B4-9EED-AD924FDD8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B57115-0A39-4A1C-8965-6A6FF46B3E65}">
  <ds:schemaRefs>
    <ds:schemaRef ds:uri="http://schemas.microsoft.com/sharepoint/v3/contenttype/forms"/>
  </ds:schemaRefs>
</ds:datastoreItem>
</file>

<file path=customXml/itemProps3.xml><?xml version="1.0" encoding="utf-8"?>
<ds:datastoreItem xmlns:ds="http://schemas.openxmlformats.org/officeDocument/2006/customXml" ds:itemID="{4E50A3CE-BFFE-415A-A318-2B3BF8C25EA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85F250F1-B3E4-4F99-BD4D-B2A7B8A6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Funding to support television and online coverage of under-represented sports Guidelines</vt:lpstr>
    </vt:vector>
  </TitlesOfParts>
  <Company>Department of Infrastructure, Transport, Regional Development and Communications</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to support television and online coverage of under-represented sports Guidelines</dc:title>
  <dc:subject/>
  <dc:creator>Department of Infrastructure, Transport, Regional Development and Communications</dc:creator>
  <cp:keywords/>
  <dc:description/>
  <cp:lastModifiedBy>Hall, Theresa</cp:lastModifiedBy>
  <cp:revision>4</cp:revision>
  <cp:lastPrinted>2020-06-17T03:49:00Z</cp:lastPrinted>
  <dcterms:created xsi:type="dcterms:W3CDTF">2020-10-22T01:21:00Z</dcterms:created>
  <dcterms:modified xsi:type="dcterms:W3CDTF">2020-11-09T05:50:00Z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0x01010031A53DE609AF204C8CD31DD16F36B69C</vt:lpwstr>
  </property>
  <property fmtid="{D5CDD505-2E9C-101B-9397-08002B2CF9AE}" pid="3" name="TrimRevisionNumber">
    <vt:i4>1</vt:i4>
  </property>
</Properties>
</file>