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65637" w14:textId="77777777" w:rsidR="0075055C" w:rsidRPr="000442B1" w:rsidRDefault="0075055C" w:rsidP="0075055C">
      <w:pPr>
        <w:pStyle w:val="Heading1"/>
        <w:jc w:val="center"/>
        <w:rPr>
          <w:color w:val="auto"/>
          <w:sz w:val="36"/>
          <w:lang w:val="en-GB"/>
        </w:rPr>
      </w:pPr>
      <w:r w:rsidRPr="000442B1">
        <w:rPr>
          <w:color w:val="auto"/>
          <w:sz w:val="36"/>
          <w:lang w:val="en-GB"/>
        </w:rPr>
        <w:t>Explanatory Note</w:t>
      </w:r>
    </w:p>
    <w:p w14:paraId="25E68746" w14:textId="77777777" w:rsidR="0075055C" w:rsidRPr="000442B1" w:rsidRDefault="0075055C" w:rsidP="0075055C">
      <w:pPr>
        <w:jc w:val="center"/>
        <w:rPr>
          <w:rFonts w:cs="Calibri"/>
          <w:sz w:val="24"/>
          <w:szCs w:val="24"/>
          <w:lang w:eastAsia="en-AU"/>
        </w:rPr>
      </w:pPr>
      <w:r w:rsidRPr="000442B1">
        <w:rPr>
          <w:sz w:val="24"/>
          <w:szCs w:val="24"/>
          <w:lang w:eastAsia="en-AU"/>
        </w:rPr>
        <w:t xml:space="preserve">Issued by the Authority of </w:t>
      </w:r>
      <w:r w:rsidR="00C81E64" w:rsidRPr="000442B1">
        <w:rPr>
          <w:sz w:val="24"/>
          <w:szCs w:val="24"/>
          <w:lang w:eastAsia="en-AU"/>
        </w:rPr>
        <w:t>the Minister for Communications</w:t>
      </w:r>
      <w:r w:rsidR="00A73A9D" w:rsidRPr="000442B1">
        <w:rPr>
          <w:sz w:val="24"/>
          <w:szCs w:val="24"/>
          <w:lang w:eastAsia="en-AU"/>
        </w:rPr>
        <w:t>, Cyber Safety and the Arts</w:t>
      </w:r>
    </w:p>
    <w:p w14:paraId="17E055AF" w14:textId="77777777" w:rsidR="0075055C" w:rsidRPr="000442B1" w:rsidRDefault="0075055C" w:rsidP="0075055C">
      <w:pPr>
        <w:spacing w:after="100" w:afterAutospacing="1" w:line="360" w:lineRule="auto"/>
        <w:contextualSpacing/>
        <w:jc w:val="center"/>
        <w:rPr>
          <w:i/>
          <w:sz w:val="24"/>
          <w:szCs w:val="24"/>
          <w:lang w:eastAsia="en-AU"/>
        </w:rPr>
      </w:pPr>
      <w:r w:rsidRPr="000442B1">
        <w:rPr>
          <w:i/>
          <w:sz w:val="24"/>
          <w:szCs w:val="24"/>
          <w:lang w:eastAsia="en-AU"/>
        </w:rPr>
        <w:t>Telecommunications Act 1997</w:t>
      </w:r>
    </w:p>
    <w:p w14:paraId="1443D878" w14:textId="77777777" w:rsidR="0075055C" w:rsidRPr="000442B1" w:rsidRDefault="0075055C" w:rsidP="0075055C">
      <w:pPr>
        <w:jc w:val="center"/>
        <w:rPr>
          <w:i/>
          <w:sz w:val="2"/>
          <w:lang w:eastAsia="en-AU"/>
        </w:rPr>
      </w:pPr>
    </w:p>
    <w:p w14:paraId="09D4286C" w14:textId="77777777" w:rsidR="0075055C" w:rsidRPr="000442B1" w:rsidRDefault="004B5049" w:rsidP="001740EF">
      <w:pPr>
        <w:jc w:val="center"/>
        <w:outlineLvl w:val="0"/>
        <w:rPr>
          <w:i/>
          <w:sz w:val="28"/>
          <w:szCs w:val="28"/>
          <w:lang w:eastAsia="en-AU"/>
        </w:rPr>
      </w:pPr>
      <w:r w:rsidRPr="004B5049">
        <w:rPr>
          <w:i/>
          <w:sz w:val="28"/>
          <w:szCs w:val="28"/>
          <w:lang w:eastAsia="en-AU"/>
        </w:rPr>
        <w:t>Telecommunications (Network Exemption—</w:t>
      </w:r>
      <w:proofErr w:type="spellStart"/>
      <w:r w:rsidRPr="004B5049">
        <w:rPr>
          <w:i/>
          <w:sz w:val="28"/>
          <w:szCs w:val="28"/>
          <w:lang w:eastAsia="en-AU"/>
        </w:rPr>
        <w:t>TransACT</w:t>
      </w:r>
      <w:proofErr w:type="spellEnd"/>
      <w:r w:rsidRPr="004B5049">
        <w:rPr>
          <w:i/>
          <w:sz w:val="28"/>
          <w:szCs w:val="28"/>
          <w:lang w:eastAsia="en-AU"/>
        </w:rPr>
        <w:t xml:space="preserve"> Very Small Scale Networks) Instrument 2012 (Amendment No.1 of 2020)</w:t>
      </w:r>
    </w:p>
    <w:p w14:paraId="2B1F6CE2" w14:textId="77777777" w:rsidR="008F2593" w:rsidRPr="000442B1" w:rsidRDefault="00B40F09" w:rsidP="001740EF">
      <w:pPr>
        <w:pStyle w:val="Heading2"/>
      </w:pPr>
      <w:r w:rsidRPr="000442B1">
        <w:t>Authority</w:t>
      </w:r>
    </w:p>
    <w:p w14:paraId="6FA0F609" w14:textId="6BE415E7" w:rsidR="00C56CCC" w:rsidRDefault="00B40F09" w:rsidP="008F2593">
      <w:pPr>
        <w:rPr>
          <w:sz w:val="24"/>
          <w:szCs w:val="24"/>
        </w:rPr>
      </w:pPr>
      <w:r w:rsidRPr="000442B1">
        <w:rPr>
          <w:sz w:val="24"/>
          <w:szCs w:val="24"/>
        </w:rPr>
        <w:t>Subsection 141A(</w:t>
      </w:r>
      <w:r w:rsidR="003E3D22" w:rsidRPr="000442B1">
        <w:rPr>
          <w:sz w:val="24"/>
          <w:szCs w:val="24"/>
        </w:rPr>
        <w:t>1</w:t>
      </w:r>
      <w:r w:rsidRPr="000442B1">
        <w:rPr>
          <w:sz w:val="24"/>
          <w:szCs w:val="24"/>
        </w:rPr>
        <w:t xml:space="preserve">) of the </w:t>
      </w:r>
      <w:r w:rsidRPr="000442B1">
        <w:rPr>
          <w:i/>
          <w:sz w:val="24"/>
          <w:szCs w:val="24"/>
        </w:rPr>
        <w:t>Telecommunications Act 1997</w:t>
      </w:r>
      <w:r w:rsidRPr="000442B1">
        <w:rPr>
          <w:sz w:val="24"/>
          <w:szCs w:val="24"/>
        </w:rPr>
        <w:t xml:space="preserve"> (the Act) confer</w:t>
      </w:r>
      <w:r w:rsidR="003E3D22" w:rsidRPr="000442B1">
        <w:rPr>
          <w:sz w:val="24"/>
          <w:szCs w:val="24"/>
        </w:rPr>
        <w:t>red</w:t>
      </w:r>
      <w:r w:rsidRPr="000442B1">
        <w:rPr>
          <w:sz w:val="24"/>
          <w:szCs w:val="24"/>
        </w:rPr>
        <w:t xml:space="preserve"> power on the Minister to exempt specified</w:t>
      </w:r>
      <w:r w:rsidR="00FC2741" w:rsidRPr="000442B1">
        <w:rPr>
          <w:sz w:val="24"/>
          <w:szCs w:val="24"/>
        </w:rPr>
        <w:t xml:space="preserve"> local access</w:t>
      </w:r>
      <w:r w:rsidRPr="000442B1">
        <w:rPr>
          <w:sz w:val="24"/>
          <w:szCs w:val="24"/>
        </w:rPr>
        <w:t xml:space="preserve"> </w:t>
      </w:r>
      <w:r w:rsidR="003E3D22" w:rsidRPr="000442B1">
        <w:rPr>
          <w:sz w:val="24"/>
          <w:szCs w:val="24"/>
        </w:rPr>
        <w:t>networks</w:t>
      </w:r>
      <w:r w:rsidRPr="000442B1">
        <w:rPr>
          <w:sz w:val="24"/>
          <w:szCs w:val="24"/>
        </w:rPr>
        <w:t xml:space="preserve"> from the </w:t>
      </w:r>
      <w:r w:rsidR="00B61F50">
        <w:rPr>
          <w:sz w:val="24"/>
          <w:szCs w:val="24"/>
        </w:rPr>
        <w:t xml:space="preserve">wholesale </w:t>
      </w:r>
      <w:r w:rsidR="00F90C5C" w:rsidRPr="000442B1">
        <w:rPr>
          <w:sz w:val="24"/>
          <w:szCs w:val="24"/>
        </w:rPr>
        <w:t xml:space="preserve">Layer </w:t>
      </w:r>
      <w:r w:rsidRPr="000442B1">
        <w:rPr>
          <w:sz w:val="24"/>
          <w:szCs w:val="24"/>
        </w:rPr>
        <w:t xml:space="preserve">2 </w:t>
      </w:r>
      <w:proofErr w:type="spellStart"/>
      <w:r w:rsidRPr="000442B1">
        <w:rPr>
          <w:sz w:val="24"/>
          <w:szCs w:val="24"/>
        </w:rPr>
        <w:t>bitstream</w:t>
      </w:r>
      <w:proofErr w:type="spellEnd"/>
      <w:r w:rsidRPr="000442B1">
        <w:rPr>
          <w:sz w:val="24"/>
          <w:szCs w:val="24"/>
        </w:rPr>
        <w:t xml:space="preserve"> requirements of section 141 of the Act.</w:t>
      </w:r>
      <w:r w:rsidR="00C14869" w:rsidRPr="000442B1">
        <w:rPr>
          <w:sz w:val="24"/>
          <w:szCs w:val="24"/>
        </w:rPr>
        <w:t xml:space="preserve"> </w:t>
      </w:r>
      <w:r w:rsidR="00625CC4" w:rsidRPr="000442B1">
        <w:rPr>
          <w:sz w:val="24"/>
          <w:szCs w:val="24"/>
        </w:rPr>
        <w:t xml:space="preserve">The </w:t>
      </w:r>
      <w:r w:rsidR="00625CC4" w:rsidRPr="000442B1">
        <w:rPr>
          <w:i/>
          <w:sz w:val="24"/>
          <w:szCs w:val="24"/>
        </w:rPr>
        <w:t xml:space="preserve">Telecommunications Legislation Amendment (Competition and Consumer) Act 2020 </w:t>
      </w:r>
      <w:r w:rsidR="00625CC4" w:rsidRPr="000442B1">
        <w:rPr>
          <w:sz w:val="24"/>
          <w:szCs w:val="24"/>
        </w:rPr>
        <w:t>repealed Part 7 of the Act containing s</w:t>
      </w:r>
      <w:r w:rsidR="003E5A8D">
        <w:rPr>
          <w:sz w:val="24"/>
          <w:szCs w:val="24"/>
        </w:rPr>
        <w:t xml:space="preserve">ection </w:t>
      </w:r>
      <w:r w:rsidR="00625CC4" w:rsidRPr="000442B1">
        <w:rPr>
          <w:sz w:val="24"/>
          <w:szCs w:val="24"/>
        </w:rPr>
        <w:t>14</w:t>
      </w:r>
      <w:r w:rsidR="00AD4712">
        <w:rPr>
          <w:sz w:val="24"/>
          <w:szCs w:val="24"/>
        </w:rPr>
        <w:t>1. H</w:t>
      </w:r>
      <w:r w:rsidR="00DD1E57">
        <w:rPr>
          <w:sz w:val="24"/>
          <w:szCs w:val="24"/>
        </w:rPr>
        <w:t xml:space="preserve">owever, </w:t>
      </w:r>
      <w:proofErr w:type="spellStart"/>
      <w:r w:rsidR="00DD1E57">
        <w:rPr>
          <w:sz w:val="24"/>
          <w:szCs w:val="24"/>
        </w:rPr>
        <w:t>s</w:t>
      </w:r>
      <w:r w:rsidR="00BA6817" w:rsidRPr="000442B1">
        <w:rPr>
          <w:sz w:val="24"/>
          <w:szCs w:val="24"/>
        </w:rPr>
        <w:t>ub</w:t>
      </w:r>
      <w:r w:rsidR="00DD1E57">
        <w:rPr>
          <w:sz w:val="24"/>
          <w:szCs w:val="24"/>
        </w:rPr>
        <w:t>item</w:t>
      </w:r>
      <w:proofErr w:type="spellEnd"/>
      <w:r w:rsidR="00BA6817" w:rsidRPr="000442B1">
        <w:rPr>
          <w:sz w:val="24"/>
          <w:szCs w:val="24"/>
        </w:rPr>
        <w:t xml:space="preserve"> 27(1) of </w:t>
      </w:r>
      <w:r w:rsidR="00DD1E57">
        <w:rPr>
          <w:sz w:val="24"/>
          <w:szCs w:val="24"/>
        </w:rPr>
        <w:t>Schedule</w:t>
      </w:r>
      <w:r w:rsidR="00AD4712">
        <w:rPr>
          <w:sz w:val="24"/>
          <w:szCs w:val="24"/>
        </w:rPr>
        <w:t xml:space="preserve"> </w:t>
      </w:r>
      <w:r w:rsidR="000B0A5E">
        <w:rPr>
          <w:sz w:val="24"/>
          <w:szCs w:val="24"/>
        </w:rPr>
        <w:t xml:space="preserve">1 </w:t>
      </w:r>
      <w:r w:rsidR="00AD4712">
        <w:rPr>
          <w:sz w:val="24"/>
          <w:szCs w:val="24"/>
        </w:rPr>
        <w:t>to</w:t>
      </w:r>
      <w:r w:rsidR="00DD1E57">
        <w:rPr>
          <w:sz w:val="24"/>
          <w:szCs w:val="24"/>
        </w:rPr>
        <w:t xml:space="preserve"> </w:t>
      </w:r>
      <w:r w:rsidR="00BA6817" w:rsidRPr="000442B1">
        <w:rPr>
          <w:sz w:val="24"/>
          <w:szCs w:val="24"/>
        </w:rPr>
        <w:t xml:space="preserve">the </w:t>
      </w:r>
      <w:r w:rsidR="00DD1E57" w:rsidRPr="000442B1">
        <w:rPr>
          <w:i/>
          <w:sz w:val="24"/>
          <w:szCs w:val="24"/>
        </w:rPr>
        <w:t>Telecommunications Legislation Amendment (Competition and Consumer) Act 2020</w:t>
      </w:r>
      <w:r w:rsidR="00DD1E57">
        <w:rPr>
          <w:i/>
          <w:sz w:val="24"/>
          <w:szCs w:val="24"/>
        </w:rPr>
        <w:t xml:space="preserve"> </w:t>
      </w:r>
      <w:r w:rsidR="00BA6817" w:rsidRPr="000442B1">
        <w:rPr>
          <w:sz w:val="24"/>
          <w:szCs w:val="24"/>
        </w:rPr>
        <w:t>provides for existing exemption instruments, including their associated conditions, granted under s141A(1) of Part 7 of the Act</w:t>
      </w:r>
      <w:r w:rsidR="00BC0B7A">
        <w:rPr>
          <w:sz w:val="24"/>
          <w:szCs w:val="24"/>
        </w:rPr>
        <w:t xml:space="preserve">, </w:t>
      </w:r>
      <w:r w:rsidR="00BA6817" w:rsidRPr="000442B1">
        <w:rPr>
          <w:sz w:val="24"/>
          <w:szCs w:val="24"/>
        </w:rPr>
        <w:t>to continue to have effect</w:t>
      </w:r>
      <w:r w:rsidR="00DD1E57">
        <w:rPr>
          <w:sz w:val="24"/>
          <w:szCs w:val="24"/>
        </w:rPr>
        <w:t xml:space="preserve"> as if they had been made under subsection 144(1) of the Act</w:t>
      </w:r>
      <w:r w:rsidR="00BA6817" w:rsidRPr="000442B1">
        <w:rPr>
          <w:sz w:val="24"/>
          <w:szCs w:val="24"/>
        </w:rPr>
        <w:t>.</w:t>
      </w:r>
    </w:p>
    <w:p w14:paraId="0D0BB29B" w14:textId="6D258334" w:rsidR="00B40F09" w:rsidRPr="000442B1" w:rsidRDefault="00A80A09" w:rsidP="008F2593">
      <w:pPr>
        <w:rPr>
          <w:sz w:val="24"/>
          <w:szCs w:val="24"/>
        </w:rPr>
      </w:pPr>
      <w:r w:rsidRPr="000442B1">
        <w:rPr>
          <w:sz w:val="24"/>
          <w:szCs w:val="24"/>
        </w:rPr>
        <w:t>Subsection 144(</w:t>
      </w:r>
      <w:r w:rsidR="003E3D22" w:rsidRPr="000442B1">
        <w:rPr>
          <w:sz w:val="24"/>
          <w:szCs w:val="24"/>
        </w:rPr>
        <w:t>1</w:t>
      </w:r>
      <w:r w:rsidRPr="000442B1">
        <w:rPr>
          <w:sz w:val="24"/>
          <w:szCs w:val="24"/>
        </w:rPr>
        <w:t xml:space="preserve">) of the Act confers power on the Minister to exempt specified </w:t>
      </w:r>
      <w:r w:rsidR="00FC2741" w:rsidRPr="000442B1">
        <w:rPr>
          <w:sz w:val="24"/>
          <w:szCs w:val="24"/>
        </w:rPr>
        <w:t xml:space="preserve">local access </w:t>
      </w:r>
      <w:r w:rsidR="003E3D22" w:rsidRPr="000442B1">
        <w:rPr>
          <w:sz w:val="24"/>
          <w:szCs w:val="24"/>
        </w:rPr>
        <w:t>networks</w:t>
      </w:r>
      <w:r w:rsidRPr="000442B1">
        <w:rPr>
          <w:sz w:val="24"/>
          <w:szCs w:val="24"/>
        </w:rPr>
        <w:t xml:space="preserve"> from the wholesale</w:t>
      </w:r>
      <w:r w:rsidR="005D5870" w:rsidRPr="000442B1">
        <w:rPr>
          <w:sz w:val="24"/>
          <w:szCs w:val="24"/>
        </w:rPr>
        <w:t>-</w:t>
      </w:r>
      <w:r w:rsidRPr="000442B1">
        <w:rPr>
          <w:sz w:val="24"/>
          <w:szCs w:val="24"/>
        </w:rPr>
        <w:t>only requirements of section 143 of the Act.</w:t>
      </w:r>
      <w:r w:rsidR="00AB522B">
        <w:rPr>
          <w:sz w:val="24"/>
          <w:szCs w:val="24"/>
        </w:rPr>
        <w:t xml:space="preserve"> </w:t>
      </w:r>
      <w:r w:rsidR="00362311">
        <w:rPr>
          <w:sz w:val="24"/>
          <w:szCs w:val="24"/>
        </w:rPr>
        <w:t>S</w:t>
      </w:r>
      <w:r w:rsidR="00700503" w:rsidRPr="000442B1">
        <w:rPr>
          <w:sz w:val="24"/>
          <w:szCs w:val="24"/>
        </w:rPr>
        <w:t>ubsection</w:t>
      </w:r>
      <w:r w:rsidR="003E5A8D">
        <w:rPr>
          <w:sz w:val="24"/>
          <w:szCs w:val="24"/>
        </w:rPr>
        <w:t> </w:t>
      </w:r>
      <w:r w:rsidR="008F2593" w:rsidRPr="000442B1">
        <w:rPr>
          <w:sz w:val="24"/>
          <w:szCs w:val="24"/>
        </w:rPr>
        <w:t>14</w:t>
      </w:r>
      <w:r w:rsidR="005E2F10" w:rsidRPr="000442B1">
        <w:rPr>
          <w:sz w:val="24"/>
          <w:szCs w:val="24"/>
        </w:rPr>
        <w:t>4(4) provide</w:t>
      </w:r>
      <w:r w:rsidR="003E5A8D">
        <w:rPr>
          <w:sz w:val="24"/>
          <w:szCs w:val="24"/>
        </w:rPr>
        <w:t>s</w:t>
      </w:r>
      <w:r w:rsidR="005E2F10" w:rsidRPr="000442B1">
        <w:rPr>
          <w:sz w:val="24"/>
          <w:szCs w:val="24"/>
        </w:rPr>
        <w:t xml:space="preserve"> that the related ex</w:t>
      </w:r>
      <w:r w:rsidR="008F2593" w:rsidRPr="000442B1">
        <w:rPr>
          <w:sz w:val="24"/>
          <w:szCs w:val="24"/>
        </w:rPr>
        <w:t>e</w:t>
      </w:r>
      <w:r w:rsidR="005E2F10" w:rsidRPr="000442B1">
        <w:rPr>
          <w:sz w:val="24"/>
          <w:szCs w:val="24"/>
        </w:rPr>
        <w:t>m</w:t>
      </w:r>
      <w:r w:rsidR="008F2593" w:rsidRPr="000442B1">
        <w:rPr>
          <w:sz w:val="24"/>
          <w:szCs w:val="24"/>
        </w:rPr>
        <w:t xml:space="preserve">ption instrument may be unconditional or subject to such conditions (if </w:t>
      </w:r>
      <w:proofErr w:type="gramStart"/>
      <w:r w:rsidR="008F2593" w:rsidRPr="000442B1">
        <w:rPr>
          <w:sz w:val="24"/>
          <w:szCs w:val="24"/>
        </w:rPr>
        <w:t>any)</w:t>
      </w:r>
      <w:proofErr w:type="gramEnd"/>
      <w:r w:rsidR="008F2593" w:rsidRPr="000442B1">
        <w:rPr>
          <w:sz w:val="24"/>
          <w:szCs w:val="24"/>
        </w:rPr>
        <w:t xml:space="preserve"> as are specified in the instrument. </w:t>
      </w:r>
    </w:p>
    <w:p w14:paraId="14CF9730" w14:textId="77777777" w:rsidR="0071130A" w:rsidRPr="00CB6F2E" w:rsidRDefault="0071130A">
      <w:pPr>
        <w:rPr>
          <w:sz w:val="24"/>
          <w:szCs w:val="24"/>
        </w:rPr>
      </w:pPr>
      <w:r w:rsidRPr="00CB6F2E">
        <w:rPr>
          <w:sz w:val="24"/>
          <w:szCs w:val="24"/>
        </w:rPr>
        <w:t xml:space="preserve">This Instrument is not a legislative instrument for the purposes of the </w:t>
      </w:r>
      <w:r w:rsidRPr="00CB6F2E">
        <w:rPr>
          <w:i/>
          <w:sz w:val="24"/>
          <w:szCs w:val="24"/>
        </w:rPr>
        <w:t>Legislati</w:t>
      </w:r>
      <w:r w:rsidR="00577C30" w:rsidRPr="00CB6F2E">
        <w:rPr>
          <w:i/>
          <w:sz w:val="24"/>
          <w:szCs w:val="24"/>
        </w:rPr>
        <w:t>on</w:t>
      </w:r>
      <w:r w:rsidR="008C2193" w:rsidRPr="00CB6F2E">
        <w:rPr>
          <w:i/>
          <w:sz w:val="24"/>
          <w:szCs w:val="24"/>
        </w:rPr>
        <w:t> </w:t>
      </w:r>
      <w:r w:rsidRPr="00CB6F2E">
        <w:rPr>
          <w:i/>
          <w:sz w:val="24"/>
          <w:szCs w:val="24"/>
        </w:rPr>
        <w:t>Act 2003</w:t>
      </w:r>
      <w:r w:rsidR="00700503" w:rsidRPr="00CB6F2E">
        <w:rPr>
          <w:sz w:val="24"/>
          <w:szCs w:val="24"/>
        </w:rPr>
        <w:t xml:space="preserve"> (see subsection</w:t>
      </w:r>
      <w:r w:rsidRPr="00CB6F2E">
        <w:rPr>
          <w:sz w:val="24"/>
          <w:szCs w:val="24"/>
        </w:rPr>
        <w:t xml:space="preserve"> 144(6) of the Act).</w:t>
      </w:r>
    </w:p>
    <w:p w14:paraId="7AE7CCB9" w14:textId="77777777" w:rsidR="00350D5A" w:rsidRPr="00AD4712" w:rsidRDefault="00350D5A" w:rsidP="001740EF">
      <w:pPr>
        <w:pStyle w:val="Heading2"/>
      </w:pPr>
      <w:r w:rsidRPr="00CB6F2E">
        <w:t>Pu</w:t>
      </w:r>
      <w:r w:rsidRPr="00AD4712">
        <w:t>rpose</w:t>
      </w:r>
    </w:p>
    <w:p w14:paraId="29A5CF91" w14:textId="77C53594" w:rsidR="005E2F10" w:rsidRPr="00B7407F" w:rsidRDefault="00350D5A">
      <w:pPr>
        <w:rPr>
          <w:sz w:val="24"/>
          <w:szCs w:val="24"/>
        </w:rPr>
      </w:pPr>
      <w:proofErr w:type="gramStart"/>
      <w:r w:rsidRPr="00CB6F2E">
        <w:rPr>
          <w:sz w:val="24"/>
          <w:szCs w:val="24"/>
        </w:rPr>
        <w:t>The purpose of this</w:t>
      </w:r>
      <w:r w:rsidR="00CB6F2E" w:rsidRPr="00CB6F2E">
        <w:rPr>
          <w:sz w:val="24"/>
          <w:szCs w:val="24"/>
        </w:rPr>
        <w:t xml:space="preserve"> </w:t>
      </w:r>
      <w:r w:rsidR="00CB6F2E">
        <w:rPr>
          <w:sz w:val="24"/>
          <w:szCs w:val="24"/>
        </w:rPr>
        <w:t>amendment is to provide an extension to the exemptions granted</w:t>
      </w:r>
      <w:r w:rsidR="00B642EC" w:rsidRPr="00CB6F2E">
        <w:rPr>
          <w:sz w:val="24"/>
          <w:szCs w:val="24"/>
        </w:rPr>
        <w:t xml:space="preserve"> </w:t>
      </w:r>
      <w:r w:rsidR="00B642EC" w:rsidRPr="00931C2D">
        <w:rPr>
          <w:sz w:val="24"/>
          <w:szCs w:val="24"/>
        </w:rPr>
        <w:t>through the</w:t>
      </w:r>
      <w:r w:rsidR="00C56CCC" w:rsidRPr="00931C2D">
        <w:rPr>
          <w:sz w:val="24"/>
          <w:szCs w:val="24"/>
        </w:rPr>
        <w:t xml:space="preserve"> </w:t>
      </w:r>
      <w:r w:rsidR="00C56CCC" w:rsidRPr="00931C2D">
        <w:rPr>
          <w:i/>
          <w:sz w:val="24"/>
          <w:szCs w:val="24"/>
        </w:rPr>
        <w:t>Teleco</w:t>
      </w:r>
      <w:r w:rsidR="00786D8C">
        <w:rPr>
          <w:i/>
          <w:sz w:val="24"/>
          <w:szCs w:val="24"/>
        </w:rPr>
        <w:t>mmunications (Network Exemption–</w:t>
      </w:r>
      <w:proofErr w:type="spellStart"/>
      <w:r w:rsidR="004B5049" w:rsidRPr="00931C2D">
        <w:rPr>
          <w:i/>
          <w:sz w:val="24"/>
          <w:szCs w:val="24"/>
        </w:rPr>
        <w:t>TransACT</w:t>
      </w:r>
      <w:proofErr w:type="spellEnd"/>
      <w:r w:rsidR="004B5049" w:rsidRPr="00931C2D">
        <w:rPr>
          <w:i/>
          <w:sz w:val="24"/>
          <w:szCs w:val="24"/>
        </w:rPr>
        <w:t xml:space="preserve"> Very Small Scale Networks</w:t>
      </w:r>
      <w:r w:rsidR="00C56CCC" w:rsidRPr="00931C2D">
        <w:rPr>
          <w:i/>
          <w:sz w:val="24"/>
          <w:szCs w:val="24"/>
        </w:rPr>
        <w:t>) Instrument 2012</w:t>
      </w:r>
      <w:r w:rsidR="00CB6F2E" w:rsidRPr="00931C2D">
        <w:rPr>
          <w:sz w:val="24"/>
          <w:szCs w:val="24"/>
        </w:rPr>
        <w:t xml:space="preserve"> </w:t>
      </w:r>
      <w:r w:rsidR="00931C2D" w:rsidRPr="00931C2D">
        <w:rPr>
          <w:sz w:val="24"/>
          <w:szCs w:val="24"/>
        </w:rPr>
        <w:t xml:space="preserve">to TPG Telecom Ltd (ACN 093 058 069) </w:t>
      </w:r>
      <w:r w:rsidR="00F96D70" w:rsidRPr="00931C2D">
        <w:rPr>
          <w:sz w:val="24"/>
          <w:szCs w:val="24"/>
        </w:rPr>
        <w:t>from the requirements of Parts</w:t>
      </w:r>
      <w:r w:rsidR="00DD0ADB" w:rsidRPr="00931C2D">
        <w:rPr>
          <w:sz w:val="24"/>
          <w:szCs w:val="24"/>
        </w:rPr>
        <w:t xml:space="preserve"> 7 and</w:t>
      </w:r>
      <w:r w:rsidR="00F96D70" w:rsidRPr="00931C2D">
        <w:rPr>
          <w:sz w:val="24"/>
          <w:szCs w:val="24"/>
        </w:rPr>
        <w:t xml:space="preserve"> 8 of the</w:t>
      </w:r>
      <w:r w:rsidR="00EE1A5C" w:rsidRPr="00931C2D">
        <w:rPr>
          <w:sz w:val="24"/>
          <w:szCs w:val="24"/>
        </w:rPr>
        <w:t xml:space="preserve"> </w:t>
      </w:r>
      <w:r w:rsidR="003E3D22" w:rsidRPr="00931C2D">
        <w:rPr>
          <w:i/>
          <w:sz w:val="24"/>
          <w:szCs w:val="24"/>
        </w:rPr>
        <w:t>Telecommunications</w:t>
      </w:r>
      <w:r w:rsidR="003E5A8D" w:rsidRPr="00931C2D">
        <w:rPr>
          <w:i/>
          <w:sz w:val="24"/>
          <w:szCs w:val="24"/>
        </w:rPr>
        <w:t> </w:t>
      </w:r>
      <w:r w:rsidR="00EE1A5C" w:rsidRPr="00931C2D">
        <w:rPr>
          <w:i/>
          <w:sz w:val="24"/>
          <w:szCs w:val="24"/>
        </w:rPr>
        <w:t>Act</w:t>
      </w:r>
      <w:r w:rsidR="003E3D22" w:rsidRPr="00931C2D">
        <w:rPr>
          <w:i/>
          <w:sz w:val="24"/>
          <w:szCs w:val="24"/>
        </w:rPr>
        <w:t xml:space="preserve"> 1997</w:t>
      </w:r>
      <w:r w:rsidR="00EC4D88" w:rsidRPr="00931C2D">
        <w:rPr>
          <w:sz w:val="24"/>
          <w:szCs w:val="24"/>
        </w:rPr>
        <w:t xml:space="preserve"> for its </w:t>
      </w:r>
      <w:r w:rsidR="004B5049" w:rsidRPr="00931C2D">
        <w:rPr>
          <w:sz w:val="24"/>
          <w:szCs w:val="24"/>
        </w:rPr>
        <w:t xml:space="preserve">extensions to </w:t>
      </w:r>
      <w:r w:rsidR="00D450AD" w:rsidRPr="00931C2D">
        <w:rPr>
          <w:sz w:val="24"/>
          <w:szCs w:val="24"/>
        </w:rPr>
        <w:t xml:space="preserve">certain </w:t>
      </w:r>
      <w:r w:rsidR="004B5049" w:rsidRPr="00931C2D">
        <w:rPr>
          <w:sz w:val="24"/>
          <w:szCs w:val="24"/>
        </w:rPr>
        <w:t xml:space="preserve">superfast networks located in </w:t>
      </w:r>
      <w:r w:rsidR="009524CE" w:rsidRPr="00931C2D">
        <w:rPr>
          <w:sz w:val="24"/>
          <w:szCs w:val="24"/>
        </w:rPr>
        <w:t>Canberra</w:t>
      </w:r>
      <w:r w:rsidR="004B5049" w:rsidRPr="00931C2D">
        <w:rPr>
          <w:sz w:val="24"/>
          <w:szCs w:val="24"/>
        </w:rPr>
        <w:t>, Ballarat, Geelong and Mildura</w:t>
      </w:r>
      <w:r w:rsidR="00D450AD" w:rsidRPr="00931C2D">
        <w:rPr>
          <w:sz w:val="24"/>
          <w:szCs w:val="24"/>
        </w:rPr>
        <w:t xml:space="preserve"> now owned by TPG Telecom Limited (TPG)</w:t>
      </w:r>
      <w:r w:rsidRPr="00931C2D">
        <w:rPr>
          <w:sz w:val="24"/>
          <w:szCs w:val="24"/>
        </w:rPr>
        <w:t>.</w:t>
      </w:r>
      <w:proofErr w:type="gramEnd"/>
      <w:r w:rsidR="003E3D22" w:rsidRPr="00CB6F2E" w:rsidDel="003E3D22">
        <w:rPr>
          <w:sz w:val="24"/>
          <w:szCs w:val="24"/>
          <w:vertAlign w:val="superscript"/>
        </w:rPr>
        <w:t xml:space="preserve"> </w:t>
      </w:r>
    </w:p>
    <w:p w14:paraId="5918B8FA" w14:textId="77777777" w:rsidR="00350D5A" w:rsidRPr="00B7407F" w:rsidRDefault="00350D5A" w:rsidP="001740EF">
      <w:pPr>
        <w:pStyle w:val="Heading2"/>
      </w:pPr>
      <w:r w:rsidRPr="00B7407F">
        <w:lastRenderedPageBreak/>
        <w:t>Background</w:t>
      </w:r>
    </w:p>
    <w:p w14:paraId="083681B8" w14:textId="76A845B6" w:rsidR="00094A9C" w:rsidRDefault="00F04AAB" w:rsidP="00094A9C">
      <w:pPr>
        <w:rPr>
          <w:sz w:val="24"/>
          <w:szCs w:val="24"/>
        </w:rPr>
      </w:pPr>
      <w:proofErr w:type="spellStart"/>
      <w:r>
        <w:rPr>
          <w:sz w:val="24"/>
          <w:szCs w:val="24"/>
        </w:rPr>
        <w:t>TransACT</w:t>
      </w:r>
      <w:proofErr w:type="spellEnd"/>
      <w:r w:rsidRPr="00473138">
        <w:rPr>
          <w:sz w:val="24"/>
          <w:szCs w:val="24"/>
        </w:rPr>
        <w:t xml:space="preserve"> </w:t>
      </w:r>
      <w:r w:rsidR="00076021" w:rsidRPr="00473138">
        <w:rPr>
          <w:sz w:val="24"/>
          <w:szCs w:val="24"/>
        </w:rPr>
        <w:t xml:space="preserve">first requested exemptions from Part 7 and Part 8 of the Act for </w:t>
      </w:r>
      <w:r w:rsidR="00EC11BA">
        <w:rPr>
          <w:sz w:val="24"/>
          <w:szCs w:val="24"/>
        </w:rPr>
        <w:t>its</w:t>
      </w:r>
      <w:r w:rsidR="006B42DF">
        <w:rPr>
          <w:sz w:val="24"/>
          <w:szCs w:val="24"/>
        </w:rPr>
        <w:t xml:space="preserve"> very </w:t>
      </w:r>
      <w:proofErr w:type="gramStart"/>
      <w:r w:rsidR="006B42DF">
        <w:rPr>
          <w:sz w:val="24"/>
          <w:szCs w:val="24"/>
        </w:rPr>
        <w:t>small scale</w:t>
      </w:r>
      <w:proofErr w:type="gramEnd"/>
      <w:r w:rsidR="006B42DF">
        <w:rPr>
          <w:sz w:val="24"/>
          <w:szCs w:val="24"/>
        </w:rPr>
        <w:t xml:space="preserve"> </w:t>
      </w:r>
      <w:r w:rsidR="00E3193D" w:rsidRPr="00473138">
        <w:rPr>
          <w:sz w:val="24"/>
          <w:szCs w:val="24"/>
        </w:rPr>
        <w:t>network</w:t>
      </w:r>
      <w:r w:rsidR="009524CE">
        <w:rPr>
          <w:sz w:val="24"/>
          <w:szCs w:val="24"/>
        </w:rPr>
        <w:t>s</w:t>
      </w:r>
      <w:r w:rsidR="006B42DF">
        <w:rPr>
          <w:rStyle w:val="FootnoteReference"/>
          <w:sz w:val="24"/>
          <w:szCs w:val="24"/>
        </w:rPr>
        <w:footnoteReference w:id="2"/>
      </w:r>
      <w:r w:rsidR="00E3193D" w:rsidRPr="00473138">
        <w:rPr>
          <w:sz w:val="24"/>
          <w:szCs w:val="24"/>
        </w:rPr>
        <w:t xml:space="preserve"> in </w:t>
      </w:r>
      <w:r w:rsidR="00076021" w:rsidRPr="00473138">
        <w:rPr>
          <w:sz w:val="24"/>
          <w:szCs w:val="24"/>
        </w:rPr>
        <w:t xml:space="preserve">2011. </w:t>
      </w:r>
      <w:r w:rsidR="009524CE">
        <w:rPr>
          <w:sz w:val="24"/>
          <w:szCs w:val="24"/>
        </w:rPr>
        <w:t>The</w:t>
      </w:r>
      <w:r w:rsidR="00076021" w:rsidRPr="00473138">
        <w:rPr>
          <w:sz w:val="24"/>
          <w:szCs w:val="24"/>
        </w:rPr>
        <w:t xml:space="preserve"> original request was granted by the then Minister for </w:t>
      </w:r>
      <w:r w:rsidR="00E22597">
        <w:rPr>
          <w:sz w:val="24"/>
          <w:szCs w:val="24"/>
        </w:rPr>
        <w:t>Communications</w:t>
      </w:r>
      <w:r w:rsidR="00EF718B">
        <w:rPr>
          <w:sz w:val="24"/>
          <w:szCs w:val="24"/>
        </w:rPr>
        <w:t xml:space="preserve"> </w:t>
      </w:r>
      <w:r w:rsidR="00076021" w:rsidRPr="00473138">
        <w:rPr>
          <w:sz w:val="24"/>
          <w:szCs w:val="24"/>
        </w:rPr>
        <w:t xml:space="preserve">on </w:t>
      </w:r>
      <w:r w:rsidR="006B42DF">
        <w:rPr>
          <w:sz w:val="24"/>
          <w:szCs w:val="24"/>
        </w:rPr>
        <w:t>10</w:t>
      </w:r>
      <w:r w:rsidR="00076021" w:rsidRPr="00473138">
        <w:rPr>
          <w:sz w:val="24"/>
          <w:szCs w:val="24"/>
        </w:rPr>
        <w:t xml:space="preserve"> </w:t>
      </w:r>
      <w:r w:rsidR="006B42DF">
        <w:rPr>
          <w:sz w:val="24"/>
          <w:szCs w:val="24"/>
        </w:rPr>
        <w:t>April</w:t>
      </w:r>
      <w:r w:rsidR="006B42DF" w:rsidRPr="00473138">
        <w:rPr>
          <w:sz w:val="24"/>
          <w:szCs w:val="24"/>
        </w:rPr>
        <w:t xml:space="preserve"> </w:t>
      </w:r>
      <w:r w:rsidR="00076021" w:rsidRPr="00473138">
        <w:rPr>
          <w:sz w:val="24"/>
          <w:szCs w:val="24"/>
        </w:rPr>
        <w:t>2012, taking effect from 12 April 2012</w:t>
      </w:r>
      <w:r w:rsidR="00CB6F2E">
        <w:rPr>
          <w:sz w:val="24"/>
          <w:szCs w:val="24"/>
        </w:rPr>
        <w:t xml:space="preserve"> through the </w:t>
      </w:r>
      <w:r w:rsidR="00CB6F2E">
        <w:rPr>
          <w:i/>
          <w:sz w:val="24"/>
          <w:szCs w:val="24"/>
        </w:rPr>
        <w:t>Telecommunications (Network Exemption –</w:t>
      </w:r>
      <w:r w:rsidR="00380383">
        <w:rPr>
          <w:i/>
          <w:sz w:val="24"/>
          <w:szCs w:val="24"/>
        </w:rPr>
        <w:t xml:space="preserve"> </w:t>
      </w:r>
      <w:proofErr w:type="spellStart"/>
      <w:r w:rsidR="006B42DF">
        <w:rPr>
          <w:i/>
          <w:sz w:val="24"/>
          <w:szCs w:val="24"/>
        </w:rPr>
        <w:t>TransACT</w:t>
      </w:r>
      <w:proofErr w:type="spellEnd"/>
      <w:r w:rsidR="006B42DF">
        <w:rPr>
          <w:i/>
          <w:sz w:val="24"/>
          <w:szCs w:val="24"/>
        </w:rPr>
        <w:t xml:space="preserve"> Very Small Scale Networks</w:t>
      </w:r>
      <w:r w:rsidR="00CB6F2E">
        <w:rPr>
          <w:i/>
          <w:sz w:val="24"/>
          <w:szCs w:val="24"/>
        </w:rPr>
        <w:t>) Instrument 2012</w:t>
      </w:r>
      <w:r w:rsidR="002C2E30" w:rsidRPr="00473138">
        <w:rPr>
          <w:sz w:val="24"/>
          <w:szCs w:val="24"/>
        </w:rPr>
        <w:t>.</w:t>
      </w:r>
      <w:r w:rsidR="00E22597">
        <w:rPr>
          <w:sz w:val="24"/>
          <w:szCs w:val="24"/>
        </w:rPr>
        <w:t xml:space="preserve"> </w:t>
      </w:r>
      <w:r w:rsidR="002E0DB9" w:rsidRPr="00AD4712">
        <w:rPr>
          <w:sz w:val="24"/>
          <w:szCs w:val="24"/>
        </w:rPr>
        <w:t xml:space="preserve">The original cessation date for the instrument was </w:t>
      </w:r>
      <w:r w:rsidR="00AC6D6C" w:rsidRPr="00AC6D6C">
        <w:rPr>
          <w:sz w:val="24"/>
          <w:szCs w:val="24"/>
        </w:rPr>
        <w:t>until the Designated Day</w:t>
      </w:r>
      <w:r w:rsidR="00BC0B7A">
        <w:rPr>
          <w:sz w:val="24"/>
          <w:szCs w:val="24"/>
        </w:rPr>
        <w:t xml:space="preserve"> (as defined </w:t>
      </w:r>
      <w:r w:rsidR="00AC6D6C" w:rsidRPr="00AC6D6C">
        <w:rPr>
          <w:sz w:val="24"/>
          <w:szCs w:val="24"/>
        </w:rPr>
        <w:t>under s577A of the Act</w:t>
      </w:r>
      <w:r w:rsidR="00BC0B7A">
        <w:rPr>
          <w:sz w:val="24"/>
          <w:szCs w:val="24"/>
        </w:rPr>
        <w:t xml:space="preserve">), which </w:t>
      </w:r>
      <w:r w:rsidR="00AC6D6C" w:rsidRPr="00AC6D6C">
        <w:rPr>
          <w:sz w:val="24"/>
          <w:szCs w:val="24"/>
        </w:rPr>
        <w:t>was 1 July 2018 at the time the exemption was granted.</w:t>
      </w:r>
      <w:r w:rsidR="00094A9C">
        <w:rPr>
          <w:sz w:val="24"/>
          <w:szCs w:val="24"/>
        </w:rPr>
        <w:t xml:space="preserve"> </w:t>
      </w:r>
      <w:r w:rsidR="00094A9C" w:rsidRPr="003C0954">
        <w:rPr>
          <w:sz w:val="24"/>
          <w:szCs w:val="24"/>
        </w:rPr>
        <w:t xml:space="preserve">At present, the ‘Designated Day’ </w:t>
      </w:r>
      <w:proofErr w:type="gramStart"/>
      <w:r w:rsidR="00094A9C" w:rsidRPr="003C0954">
        <w:rPr>
          <w:sz w:val="24"/>
          <w:szCs w:val="24"/>
        </w:rPr>
        <w:t>is set</w:t>
      </w:r>
      <w:proofErr w:type="gramEnd"/>
      <w:r w:rsidR="00094A9C" w:rsidRPr="003C0954">
        <w:rPr>
          <w:sz w:val="24"/>
          <w:szCs w:val="24"/>
        </w:rPr>
        <w:t xml:space="preserve"> to 1 July 2020. </w:t>
      </w:r>
    </w:p>
    <w:p w14:paraId="30A50E78" w14:textId="5FF38163" w:rsidR="00B61F50" w:rsidRDefault="00B61F50" w:rsidP="00B61F50">
      <w:pPr>
        <w:rPr>
          <w:sz w:val="24"/>
          <w:szCs w:val="24"/>
        </w:rPr>
      </w:pPr>
      <w:r w:rsidRPr="002C2B6F">
        <w:rPr>
          <w:sz w:val="24"/>
          <w:szCs w:val="24"/>
        </w:rPr>
        <w:t xml:space="preserve">On 8 April 2020, </w:t>
      </w:r>
      <w:r>
        <w:rPr>
          <w:sz w:val="24"/>
          <w:szCs w:val="24"/>
        </w:rPr>
        <w:t>TPG Telecom Ltd</w:t>
      </w:r>
      <w:r>
        <w:rPr>
          <w:rStyle w:val="FootnoteReference"/>
          <w:sz w:val="24"/>
          <w:szCs w:val="24"/>
        </w:rPr>
        <w:footnoteReference w:id="3"/>
      </w:r>
      <w:r w:rsidR="00AF1FF1">
        <w:rPr>
          <w:sz w:val="24"/>
          <w:szCs w:val="24"/>
        </w:rPr>
        <w:t xml:space="preserve"> </w:t>
      </w:r>
      <w:r w:rsidR="009524CE">
        <w:rPr>
          <w:sz w:val="24"/>
          <w:szCs w:val="24"/>
        </w:rPr>
        <w:t xml:space="preserve">(TPG) </w:t>
      </w:r>
      <w:r w:rsidRPr="002C2B6F">
        <w:rPr>
          <w:sz w:val="24"/>
          <w:szCs w:val="24"/>
        </w:rPr>
        <w:t>requested an extension to the Parts 7 and 8 exemptions</w:t>
      </w:r>
      <w:r>
        <w:rPr>
          <w:sz w:val="24"/>
          <w:szCs w:val="24"/>
        </w:rPr>
        <w:t xml:space="preserve">. </w:t>
      </w:r>
      <w:r w:rsidRPr="00473138">
        <w:rPr>
          <w:sz w:val="24"/>
          <w:szCs w:val="24"/>
        </w:rPr>
        <w:t>In accordance with subsection</w:t>
      </w:r>
      <w:r>
        <w:rPr>
          <w:sz w:val="24"/>
          <w:szCs w:val="24"/>
        </w:rPr>
        <w:t xml:space="preserve"> </w:t>
      </w:r>
      <w:r w:rsidRPr="00473138">
        <w:rPr>
          <w:sz w:val="24"/>
          <w:szCs w:val="24"/>
        </w:rPr>
        <w:t xml:space="preserve">144(5) of the Act, the Minister wrote to the Chairs of the </w:t>
      </w:r>
      <w:r>
        <w:rPr>
          <w:sz w:val="24"/>
          <w:szCs w:val="24"/>
        </w:rPr>
        <w:t>Australian Competition and Consumer Commission (</w:t>
      </w:r>
      <w:r w:rsidRPr="00473138">
        <w:rPr>
          <w:sz w:val="24"/>
          <w:szCs w:val="24"/>
        </w:rPr>
        <w:t>ACCC</w:t>
      </w:r>
      <w:r>
        <w:rPr>
          <w:sz w:val="24"/>
          <w:szCs w:val="24"/>
        </w:rPr>
        <w:t>)</w:t>
      </w:r>
      <w:r w:rsidRPr="00473138">
        <w:rPr>
          <w:sz w:val="24"/>
          <w:szCs w:val="24"/>
        </w:rPr>
        <w:t xml:space="preserve"> and the Australian Communications and Media Authority (ACMA) to seek their comments on </w:t>
      </w:r>
      <w:r>
        <w:rPr>
          <w:sz w:val="24"/>
          <w:szCs w:val="24"/>
        </w:rPr>
        <w:t>TPG’s</w:t>
      </w:r>
      <w:r w:rsidRPr="00473138">
        <w:rPr>
          <w:sz w:val="24"/>
          <w:szCs w:val="24"/>
        </w:rPr>
        <w:t xml:space="preserve"> extension request. </w:t>
      </w:r>
      <w:r w:rsidRPr="00FB47B4">
        <w:rPr>
          <w:sz w:val="24"/>
          <w:szCs w:val="24"/>
        </w:rPr>
        <w:t xml:space="preserve">On </w:t>
      </w:r>
      <w:r w:rsidRPr="00525DFA">
        <w:rPr>
          <w:sz w:val="24"/>
          <w:szCs w:val="24"/>
        </w:rPr>
        <w:t>2 June 2020</w:t>
      </w:r>
      <w:r w:rsidRPr="00FB47B4">
        <w:rPr>
          <w:sz w:val="24"/>
          <w:szCs w:val="24"/>
        </w:rPr>
        <w:t>, the</w:t>
      </w:r>
      <w:r w:rsidRPr="00473138">
        <w:rPr>
          <w:sz w:val="24"/>
          <w:szCs w:val="24"/>
        </w:rPr>
        <w:t xml:space="preserve"> ACCC and the ACMA separately provided advice regarding </w:t>
      </w:r>
      <w:r>
        <w:rPr>
          <w:sz w:val="24"/>
          <w:szCs w:val="24"/>
        </w:rPr>
        <w:t>TPG’s</w:t>
      </w:r>
      <w:r w:rsidRPr="00473138">
        <w:rPr>
          <w:sz w:val="24"/>
          <w:szCs w:val="24"/>
        </w:rPr>
        <w:t xml:space="preserve"> request.</w:t>
      </w:r>
      <w:r w:rsidR="000178C9">
        <w:rPr>
          <w:sz w:val="24"/>
          <w:szCs w:val="24"/>
        </w:rPr>
        <w:t xml:space="preserve"> Neither the ACCC nor the ACMA opposed the extension</w:t>
      </w:r>
      <w:r w:rsidR="00362311">
        <w:rPr>
          <w:sz w:val="24"/>
          <w:szCs w:val="24"/>
        </w:rPr>
        <w:t>, with the ACMA noting there was no technical regulation considerations preventing extension.</w:t>
      </w:r>
      <w:r w:rsidR="00E3768F">
        <w:rPr>
          <w:sz w:val="24"/>
          <w:szCs w:val="24"/>
        </w:rPr>
        <w:t xml:space="preserve"> </w:t>
      </w:r>
    </w:p>
    <w:p w14:paraId="4728CD63" w14:textId="27EB7C5D" w:rsidR="00B61F50" w:rsidRDefault="00B61F50" w:rsidP="00B61F50">
      <w:pPr>
        <w:rPr>
          <w:sz w:val="24"/>
          <w:szCs w:val="24"/>
        </w:rPr>
      </w:pPr>
      <w:r w:rsidRPr="00CD3701">
        <w:rPr>
          <w:sz w:val="24"/>
          <w:szCs w:val="24"/>
        </w:rPr>
        <w:t xml:space="preserve">The Department </w:t>
      </w:r>
      <w:r>
        <w:rPr>
          <w:sz w:val="24"/>
          <w:szCs w:val="24"/>
        </w:rPr>
        <w:t>of Infrastructure, Transport, Regional Development and Communications</w:t>
      </w:r>
      <w:r w:rsidRPr="00CD3701">
        <w:rPr>
          <w:sz w:val="24"/>
          <w:szCs w:val="24"/>
        </w:rPr>
        <w:t xml:space="preserve"> consulted </w:t>
      </w:r>
      <w:r w:rsidR="00BC0B7A">
        <w:rPr>
          <w:sz w:val="24"/>
          <w:szCs w:val="24"/>
        </w:rPr>
        <w:t xml:space="preserve">(on behalf of the Minister) </w:t>
      </w:r>
      <w:r>
        <w:rPr>
          <w:sz w:val="24"/>
          <w:szCs w:val="24"/>
        </w:rPr>
        <w:t xml:space="preserve">on the extension </w:t>
      </w:r>
      <w:r w:rsidR="00BC0B7A">
        <w:rPr>
          <w:sz w:val="24"/>
          <w:szCs w:val="24"/>
        </w:rPr>
        <w:t xml:space="preserve">request </w:t>
      </w:r>
      <w:proofErr w:type="gramStart"/>
      <w:r w:rsidRPr="00CD3701">
        <w:rPr>
          <w:sz w:val="24"/>
          <w:szCs w:val="24"/>
        </w:rPr>
        <w:t>with the public through a request for submissions through the Department’s website</w:t>
      </w:r>
      <w:proofErr w:type="gramEnd"/>
      <w:r w:rsidRPr="00CD3701">
        <w:rPr>
          <w:sz w:val="24"/>
          <w:szCs w:val="24"/>
        </w:rPr>
        <w:t>.</w:t>
      </w:r>
      <w:r w:rsidR="00362311">
        <w:rPr>
          <w:sz w:val="24"/>
          <w:szCs w:val="24"/>
        </w:rPr>
        <w:t xml:space="preserve"> The consultation process received one response, not opposing the exemption, but raising concerns abou</w:t>
      </w:r>
      <w:r w:rsidR="00C37BE1">
        <w:rPr>
          <w:sz w:val="24"/>
          <w:szCs w:val="24"/>
        </w:rPr>
        <w:t>t cellular</w:t>
      </w:r>
      <w:r w:rsidR="00E95671">
        <w:rPr>
          <w:sz w:val="24"/>
          <w:szCs w:val="24"/>
        </w:rPr>
        <w:t xml:space="preserve"> </w:t>
      </w:r>
      <w:r w:rsidR="00362311">
        <w:rPr>
          <w:sz w:val="24"/>
          <w:szCs w:val="24"/>
        </w:rPr>
        <w:t xml:space="preserve">service quality. </w:t>
      </w:r>
      <w:r w:rsidR="00E22597">
        <w:rPr>
          <w:sz w:val="24"/>
          <w:szCs w:val="24"/>
        </w:rPr>
        <w:t xml:space="preserve">In its response, ACMA noted there was no technical regulation considerations preventing extension. </w:t>
      </w:r>
      <w:r>
        <w:rPr>
          <w:sz w:val="24"/>
          <w:szCs w:val="24"/>
        </w:rPr>
        <w:t xml:space="preserve">In the intervening period, the </w:t>
      </w:r>
      <w:r w:rsidRPr="00525DFA">
        <w:rPr>
          <w:i/>
          <w:sz w:val="24"/>
          <w:szCs w:val="24"/>
        </w:rPr>
        <w:t xml:space="preserve">Telecommunications Legislation Amendment (Competition and Consumer) Act 2020 </w:t>
      </w:r>
      <w:r w:rsidR="00BC0B7A">
        <w:rPr>
          <w:sz w:val="24"/>
          <w:szCs w:val="24"/>
        </w:rPr>
        <w:t xml:space="preserve">(TLA Act) </w:t>
      </w:r>
      <w:r>
        <w:rPr>
          <w:sz w:val="24"/>
          <w:szCs w:val="24"/>
        </w:rPr>
        <w:t>received Royal Assent</w:t>
      </w:r>
      <w:r w:rsidR="0024372E">
        <w:rPr>
          <w:sz w:val="24"/>
          <w:szCs w:val="24"/>
        </w:rPr>
        <w:t xml:space="preserve"> on 25</w:t>
      </w:r>
      <w:r w:rsidR="00D450AD">
        <w:rPr>
          <w:sz w:val="24"/>
          <w:szCs w:val="24"/>
        </w:rPr>
        <w:t> </w:t>
      </w:r>
      <w:r w:rsidR="0024372E">
        <w:rPr>
          <w:sz w:val="24"/>
          <w:szCs w:val="24"/>
        </w:rPr>
        <w:t>May 2020</w:t>
      </w:r>
      <w:r>
        <w:rPr>
          <w:sz w:val="24"/>
          <w:szCs w:val="24"/>
        </w:rPr>
        <w:t xml:space="preserve">. </w:t>
      </w:r>
    </w:p>
    <w:p w14:paraId="035C26DC" w14:textId="19D61E69" w:rsidR="00B61F50" w:rsidRPr="00525DFA" w:rsidRDefault="00B61F50" w:rsidP="00B61F50">
      <w:pPr>
        <w:rPr>
          <w:sz w:val="24"/>
          <w:szCs w:val="24"/>
        </w:rPr>
      </w:pPr>
      <w:proofErr w:type="gramStart"/>
      <w:r w:rsidRPr="00FB47B4">
        <w:rPr>
          <w:sz w:val="24"/>
          <w:szCs w:val="24"/>
        </w:rPr>
        <w:t>The Minister subsequently deci</w:t>
      </w:r>
      <w:r w:rsidRPr="00D871CD">
        <w:rPr>
          <w:sz w:val="24"/>
          <w:szCs w:val="24"/>
        </w:rPr>
        <w:t>ded to extend the exemptions</w:t>
      </w:r>
      <w:r w:rsidR="005268BF">
        <w:rPr>
          <w:sz w:val="24"/>
          <w:szCs w:val="24"/>
        </w:rPr>
        <w:t xml:space="preserve"> </w:t>
      </w:r>
      <w:r w:rsidRPr="00D871CD">
        <w:rPr>
          <w:sz w:val="24"/>
          <w:szCs w:val="24"/>
        </w:rPr>
        <w:t xml:space="preserve">until the earlier of the </w:t>
      </w:r>
      <w:r w:rsidRPr="00525DFA">
        <w:rPr>
          <w:sz w:val="24"/>
          <w:szCs w:val="24"/>
        </w:rPr>
        <w:t xml:space="preserve">day immediately after a functional separation undertaking or a deemed standard functional separation undertaking relating to local access lines forming part of a </w:t>
      </w:r>
      <w:proofErr w:type="spellStart"/>
      <w:r w:rsidRPr="00525DFA">
        <w:rPr>
          <w:sz w:val="24"/>
          <w:szCs w:val="24"/>
        </w:rPr>
        <w:t>TransACT</w:t>
      </w:r>
      <w:proofErr w:type="spellEnd"/>
      <w:r w:rsidRPr="00525DFA">
        <w:rPr>
          <w:sz w:val="24"/>
          <w:szCs w:val="24"/>
        </w:rPr>
        <w:t xml:space="preserve"> </w:t>
      </w:r>
      <w:r>
        <w:rPr>
          <w:sz w:val="24"/>
          <w:szCs w:val="24"/>
        </w:rPr>
        <w:t>Very Small Scale</w:t>
      </w:r>
      <w:r w:rsidRPr="00525DFA">
        <w:rPr>
          <w:sz w:val="24"/>
          <w:szCs w:val="24"/>
        </w:rPr>
        <w:t xml:space="preserve"> Network first comes into force for the purposes of Part 8 of the Act; </w:t>
      </w:r>
      <w:r w:rsidR="00E22597">
        <w:rPr>
          <w:sz w:val="24"/>
          <w:szCs w:val="24"/>
        </w:rPr>
        <w:t xml:space="preserve">and </w:t>
      </w:r>
      <w:r w:rsidR="00E22597" w:rsidRPr="00FD5306">
        <w:rPr>
          <w:sz w:val="24"/>
          <w:szCs w:val="24"/>
        </w:rPr>
        <w:t>the second anniversary of the day on which the TLA Act received the Royal Assent (</w:t>
      </w:r>
      <w:r w:rsidR="00E22597">
        <w:rPr>
          <w:sz w:val="24"/>
          <w:szCs w:val="24"/>
        </w:rPr>
        <w:t xml:space="preserve">which occurred on 25 </w:t>
      </w:r>
      <w:r w:rsidR="00E22597" w:rsidRPr="00FD5306">
        <w:rPr>
          <w:sz w:val="24"/>
          <w:szCs w:val="24"/>
        </w:rPr>
        <w:t xml:space="preserve">May </w:t>
      </w:r>
      <w:r w:rsidR="00E22597">
        <w:rPr>
          <w:sz w:val="24"/>
          <w:szCs w:val="24"/>
        </w:rPr>
        <w:t>2020</w:t>
      </w:r>
      <w:r w:rsidR="00E22597" w:rsidRPr="00FD5306">
        <w:rPr>
          <w:sz w:val="24"/>
          <w:szCs w:val="24"/>
        </w:rPr>
        <w:t>)</w:t>
      </w:r>
      <w:r w:rsidRPr="00525DFA">
        <w:rPr>
          <w:sz w:val="24"/>
          <w:szCs w:val="24"/>
        </w:rPr>
        <w:t>.</w:t>
      </w:r>
      <w:proofErr w:type="gramEnd"/>
      <w:r w:rsidRPr="00525DFA">
        <w:rPr>
          <w:sz w:val="24"/>
          <w:szCs w:val="24"/>
        </w:rPr>
        <w:t xml:space="preserve"> </w:t>
      </w:r>
    </w:p>
    <w:p w14:paraId="014B7BE0" w14:textId="718D8DEF" w:rsidR="00B61F50" w:rsidRDefault="00BC0B7A" w:rsidP="00B61F50">
      <w:pPr>
        <w:rPr>
          <w:sz w:val="24"/>
          <w:szCs w:val="24"/>
        </w:rPr>
      </w:pPr>
      <w:proofErr w:type="gramStart"/>
      <w:r>
        <w:rPr>
          <w:sz w:val="24"/>
          <w:szCs w:val="24"/>
        </w:rPr>
        <w:t>As a result</w:t>
      </w:r>
      <w:proofErr w:type="gramEnd"/>
      <w:r>
        <w:rPr>
          <w:sz w:val="24"/>
          <w:szCs w:val="24"/>
        </w:rPr>
        <w:t xml:space="preserve"> of the Minister’s decision, i</w:t>
      </w:r>
      <w:r w:rsidR="00B61F50" w:rsidRPr="00525DFA">
        <w:rPr>
          <w:sz w:val="24"/>
          <w:szCs w:val="24"/>
        </w:rPr>
        <w:t xml:space="preserve">n effect, TPG will have approximately two years to agree with the </w:t>
      </w:r>
      <w:r w:rsidR="00094A9C">
        <w:rPr>
          <w:sz w:val="24"/>
          <w:szCs w:val="24"/>
        </w:rPr>
        <w:t xml:space="preserve">ACCC </w:t>
      </w:r>
      <w:r w:rsidR="00B61F50">
        <w:rPr>
          <w:sz w:val="24"/>
          <w:szCs w:val="24"/>
        </w:rPr>
        <w:t>on</w:t>
      </w:r>
      <w:r w:rsidR="00B61F50" w:rsidRPr="00525DFA">
        <w:rPr>
          <w:sz w:val="24"/>
          <w:szCs w:val="24"/>
        </w:rPr>
        <w:t xml:space="preserve"> a functional separation undertaking in relation to the </w:t>
      </w:r>
      <w:r>
        <w:rPr>
          <w:sz w:val="24"/>
          <w:szCs w:val="24"/>
        </w:rPr>
        <w:t xml:space="preserve">local access lines </w:t>
      </w:r>
      <w:r w:rsidR="007000E5">
        <w:rPr>
          <w:sz w:val="24"/>
          <w:szCs w:val="24"/>
        </w:rPr>
        <w:t xml:space="preserve">forming part </w:t>
      </w:r>
      <w:r w:rsidR="00094A9C">
        <w:rPr>
          <w:sz w:val="24"/>
          <w:szCs w:val="24"/>
        </w:rPr>
        <w:t>o</w:t>
      </w:r>
      <w:r w:rsidR="007000E5">
        <w:rPr>
          <w:sz w:val="24"/>
          <w:szCs w:val="24"/>
        </w:rPr>
        <w:t xml:space="preserve">f the exempted </w:t>
      </w:r>
      <w:r w:rsidR="00B61F50" w:rsidRPr="00525DFA">
        <w:rPr>
          <w:sz w:val="24"/>
          <w:szCs w:val="24"/>
        </w:rPr>
        <w:t>networks before the exempt</w:t>
      </w:r>
      <w:r w:rsidR="00B61F50">
        <w:rPr>
          <w:sz w:val="24"/>
          <w:szCs w:val="24"/>
        </w:rPr>
        <w:t>i</w:t>
      </w:r>
      <w:r w:rsidR="00B61F50" w:rsidRPr="00525DFA">
        <w:rPr>
          <w:sz w:val="24"/>
          <w:szCs w:val="24"/>
        </w:rPr>
        <w:t xml:space="preserve">on expires. </w:t>
      </w:r>
    </w:p>
    <w:p w14:paraId="479390BC" w14:textId="7A8BF0A8" w:rsidR="0019499D" w:rsidRPr="00473138" w:rsidRDefault="00094A9C" w:rsidP="001740EF">
      <w:pPr>
        <w:pStyle w:val="Heading3"/>
      </w:pPr>
      <w:proofErr w:type="gramStart"/>
      <w:r>
        <w:lastRenderedPageBreak/>
        <w:t xml:space="preserve">Clause </w:t>
      </w:r>
      <w:r w:rsidRPr="00473138">
        <w:t xml:space="preserve"> </w:t>
      </w:r>
      <w:r w:rsidR="0019499D" w:rsidRPr="00473138">
        <w:t>1</w:t>
      </w:r>
      <w:proofErr w:type="gramEnd"/>
      <w:r w:rsidR="0019499D" w:rsidRPr="00473138">
        <w:t xml:space="preserve"> – Name of Exemption Instrument</w:t>
      </w:r>
    </w:p>
    <w:p w14:paraId="03245BAF" w14:textId="20E36F38" w:rsidR="0019499D" w:rsidRDefault="00094A9C" w:rsidP="0019499D">
      <w:pPr>
        <w:rPr>
          <w:i/>
          <w:sz w:val="24"/>
          <w:szCs w:val="24"/>
        </w:rPr>
      </w:pPr>
      <w:r>
        <w:rPr>
          <w:sz w:val="24"/>
          <w:szCs w:val="24"/>
        </w:rPr>
        <w:t xml:space="preserve">This clause </w:t>
      </w:r>
      <w:r w:rsidR="0019499D" w:rsidRPr="00473138">
        <w:rPr>
          <w:sz w:val="24"/>
          <w:szCs w:val="24"/>
        </w:rPr>
        <w:t xml:space="preserve">provides that the name of the Instrument is the </w:t>
      </w:r>
      <w:r w:rsidR="007E1CFC" w:rsidRPr="00473138">
        <w:rPr>
          <w:i/>
          <w:sz w:val="24"/>
          <w:szCs w:val="24"/>
        </w:rPr>
        <w:t>Telecommunications (</w:t>
      </w:r>
      <w:r w:rsidR="002509C4" w:rsidRPr="00473138">
        <w:rPr>
          <w:i/>
          <w:sz w:val="24"/>
          <w:szCs w:val="24"/>
        </w:rPr>
        <w:t xml:space="preserve">Local Access </w:t>
      </w:r>
      <w:r w:rsidR="002509C4" w:rsidRPr="00472C95">
        <w:rPr>
          <w:i/>
          <w:sz w:val="24"/>
          <w:szCs w:val="24"/>
        </w:rPr>
        <w:t>Lines</w:t>
      </w:r>
      <w:r w:rsidR="007E1CFC" w:rsidRPr="00472C95">
        <w:rPr>
          <w:i/>
          <w:sz w:val="24"/>
          <w:szCs w:val="24"/>
        </w:rPr>
        <w:t xml:space="preserve"> Exemption—</w:t>
      </w:r>
      <w:proofErr w:type="spellStart"/>
      <w:r w:rsidR="00141C67">
        <w:rPr>
          <w:i/>
          <w:sz w:val="24"/>
          <w:szCs w:val="24"/>
        </w:rPr>
        <w:t>TransACT</w:t>
      </w:r>
      <w:proofErr w:type="spellEnd"/>
      <w:r w:rsidR="00141C67">
        <w:rPr>
          <w:i/>
          <w:sz w:val="24"/>
          <w:szCs w:val="24"/>
        </w:rPr>
        <w:t xml:space="preserve"> Very Small Scale</w:t>
      </w:r>
      <w:r w:rsidR="00473138" w:rsidRPr="00472C95">
        <w:rPr>
          <w:i/>
          <w:sz w:val="24"/>
          <w:szCs w:val="24"/>
        </w:rPr>
        <w:t xml:space="preserve"> Network</w:t>
      </w:r>
      <w:r w:rsidR="00141C67">
        <w:rPr>
          <w:i/>
          <w:sz w:val="24"/>
          <w:szCs w:val="24"/>
        </w:rPr>
        <w:t>s</w:t>
      </w:r>
      <w:r w:rsidR="007E1CFC" w:rsidRPr="00472C95">
        <w:rPr>
          <w:i/>
          <w:sz w:val="24"/>
          <w:szCs w:val="24"/>
        </w:rPr>
        <w:t>)</w:t>
      </w:r>
      <w:r w:rsidR="00E62CC7">
        <w:rPr>
          <w:i/>
          <w:sz w:val="24"/>
          <w:szCs w:val="24"/>
        </w:rPr>
        <w:t xml:space="preserve"> Instrumen</w:t>
      </w:r>
      <w:r w:rsidR="002A7488">
        <w:rPr>
          <w:i/>
          <w:sz w:val="24"/>
          <w:szCs w:val="24"/>
        </w:rPr>
        <w:t>t</w:t>
      </w:r>
      <w:r w:rsidR="00E62CC7">
        <w:rPr>
          <w:i/>
          <w:sz w:val="24"/>
          <w:szCs w:val="24"/>
        </w:rPr>
        <w:t xml:space="preserve"> 2012</w:t>
      </w:r>
      <w:r w:rsidR="007E1CFC" w:rsidRPr="00472C95">
        <w:rPr>
          <w:i/>
          <w:sz w:val="24"/>
          <w:szCs w:val="24"/>
        </w:rPr>
        <w:t xml:space="preserve"> </w:t>
      </w:r>
      <w:r w:rsidR="003D71CB" w:rsidRPr="00472C95">
        <w:rPr>
          <w:i/>
          <w:sz w:val="24"/>
          <w:szCs w:val="24"/>
        </w:rPr>
        <w:t>Amendment No.1 of</w:t>
      </w:r>
      <w:r w:rsidR="007E1CFC" w:rsidRPr="00472C95">
        <w:rPr>
          <w:i/>
          <w:sz w:val="24"/>
          <w:szCs w:val="24"/>
        </w:rPr>
        <w:t xml:space="preserve"> 20</w:t>
      </w:r>
      <w:r w:rsidR="00E55218" w:rsidRPr="00472C95">
        <w:rPr>
          <w:i/>
          <w:sz w:val="24"/>
          <w:szCs w:val="24"/>
        </w:rPr>
        <w:t>20</w:t>
      </w:r>
      <w:r w:rsidR="00FA7751" w:rsidRPr="00472C95">
        <w:rPr>
          <w:i/>
          <w:sz w:val="24"/>
          <w:szCs w:val="24"/>
        </w:rPr>
        <w:t>.</w:t>
      </w:r>
    </w:p>
    <w:p w14:paraId="24DE04D2" w14:textId="22B02A57" w:rsidR="002E0DB9" w:rsidRDefault="00094A9C" w:rsidP="001740EF">
      <w:pPr>
        <w:pStyle w:val="Heading3"/>
      </w:pPr>
      <w:r>
        <w:t xml:space="preserve">Clause </w:t>
      </w:r>
      <w:r w:rsidR="002E0DB9">
        <w:t>2 – Commencement</w:t>
      </w:r>
    </w:p>
    <w:p w14:paraId="746BA143" w14:textId="6720D66B" w:rsidR="002E0DB9" w:rsidRDefault="00094A9C" w:rsidP="002E0DB9">
      <w:pPr>
        <w:rPr>
          <w:sz w:val="24"/>
          <w:szCs w:val="24"/>
        </w:rPr>
      </w:pPr>
      <w:r>
        <w:rPr>
          <w:sz w:val="24"/>
          <w:szCs w:val="24"/>
        </w:rPr>
        <w:t xml:space="preserve">Clause </w:t>
      </w:r>
      <w:r w:rsidR="002E0DB9">
        <w:rPr>
          <w:sz w:val="24"/>
          <w:szCs w:val="24"/>
        </w:rPr>
        <w:t xml:space="preserve">2 provides that the instrument will commence on the day that it </w:t>
      </w:r>
      <w:proofErr w:type="gramStart"/>
      <w:r w:rsidR="002E0DB9">
        <w:rPr>
          <w:sz w:val="24"/>
          <w:szCs w:val="24"/>
        </w:rPr>
        <w:t>is signed</w:t>
      </w:r>
      <w:proofErr w:type="gramEnd"/>
      <w:r w:rsidR="002E0DB9">
        <w:rPr>
          <w:sz w:val="24"/>
          <w:szCs w:val="24"/>
        </w:rPr>
        <w:t xml:space="preserve"> by the Minister.</w:t>
      </w:r>
    </w:p>
    <w:p w14:paraId="6016884A" w14:textId="235F0518" w:rsidR="002E0DB9" w:rsidRPr="00E3193D" w:rsidRDefault="00094A9C" w:rsidP="001740EF">
      <w:pPr>
        <w:pStyle w:val="Heading3"/>
      </w:pPr>
      <w:r>
        <w:t xml:space="preserve">Claus </w:t>
      </w:r>
      <w:r w:rsidR="002E0DB9">
        <w:t xml:space="preserve">3 </w:t>
      </w:r>
      <w:r w:rsidR="002E0DB9" w:rsidRPr="00E3193D">
        <w:t xml:space="preserve">– </w:t>
      </w:r>
      <w:r w:rsidR="002E0DB9">
        <w:t>Amendments</w:t>
      </w:r>
    </w:p>
    <w:p w14:paraId="5B776FF3" w14:textId="07A71E62" w:rsidR="002E0DB9" w:rsidRDefault="00094A9C" w:rsidP="002E0DB9">
      <w:pPr>
        <w:rPr>
          <w:sz w:val="24"/>
          <w:szCs w:val="24"/>
        </w:rPr>
      </w:pPr>
      <w:r>
        <w:rPr>
          <w:sz w:val="24"/>
          <w:szCs w:val="24"/>
        </w:rPr>
        <w:t xml:space="preserve">Clause </w:t>
      </w:r>
      <w:r w:rsidR="002E0DB9">
        <w:rPr>
          <w:sz w:val="24"/>
          <w:szCs w:val="24"/>
        </w:rPr>
        <w:t xml:space="preserve">3 notes that the </w:t>
      </w:r>
      <w:r w:rsidR="002A7488" w:rsidRPr="00AD4712">
        <w:rPr>
          <w:i/>
          <w:sz w:val="24"/>
          <w:szCs w:val="24"/>
        </w:rPr>
        <w:t>Telecommunications (Network Exemption—</w:t>
      </w:r>
      <w:proofErr w:type="spellStart"/>
      <w:r w:rsidR="002A7488" w:rsidRPr="00AD4712">
        <w:rPr>
          <w:i/>
          <w:sz w:val="24"/>
          <w:szCs w:val="24"/>
        </w:rPr>
        <w:t>T</w:t>
      </w:r>
      <w:r w:rsidR="00141C67">
        <w:rPr>
          <w:i/>
          <w:sz w:val="24"/>
          <w:szCs w:val="24"/>
        </w:rPr>
        <w:t>ransACT</w:t>
      </w:r>
      <w:proofErr w:type="spellEnd"/>
      <w:r w:rsidR="00141C67">
        <w:rPr>
          <w:i/>
          <w:sz w:val="24"/>
          <w:szCs w:val="24"/>
        </w:rPr>
        <w:t xml:space="preserve"> Very Small Scale</w:t>
      </w:r>
      <w:r w:rsidR="002A7488" w:rsidRPr="00AD4712">
        <w:rPr>
          <w:i/>
          <w:sz w:val="24"/>
          <w:szCs w:val="24"/>
        </w:rPr>
        <w:t xml:space="preserve"> Network</w:t>
      </w:r>
      <w:r w:rsidR="00141C67">
        <w:rPr>
          <w:i/>
          <w:sz w:val="24"/>
          <w:szCs w:val="24"/>
        </w:rPr>
        <w:t>s</w:t>
      </w:r>
      <w:r w:rsidR="002A7488" w:rsidRPr="00AD4712">
        <w:rPr>
          <w:i/>
          <w:sz w:val="24"/>
          <w:szCs w:val="24"/>
        </w:rPr>
        <w:t xml:space="preserve">) Instrument 2012 </w:t>
      </w:r>
      <w:r w:rsidR="00E20962" w:rsidRPr="00A82CD2">
        <w:rPr>
          <w:sz w:val="24"/>
          <w:szCs w:val="24"/>
        </w:rPr>
        <w:t xml:space="preserve">(incorporating amendments up to 9 November 2012) </w:t>
      </w:r>
      <w:r w:rsidR="002E0DB9" w:rsidRPr="00794583">
        <w:rPr>
          <w:sz w:val="24"/>
          <w:szCs w:val="24"/>
        </w:rPr>
        <w:t>is amended as</w:t>
      </w:r>
      <w:r w:rsidR="002E0DB9">
        <w:rPr>
          <w:sz w:val="24"/>
          <w:szCs w:val="24"/>
        </w:rPr>
        <w:t xml:space="preserve"> set out in the Schedule to the</w:t>
      </w:r>
      <w:r w:rsidR="002E0DB9" w:rsidRPr="00794583">
        <w:rPr>
          <w:sz w:val="24"/>
          <w:szCs w:val="24"/>
        </w:rPr>
        <w:t xml:space="preserve"> Instrument.</w:t>
      </w:r>
    </w:p>
    <w:p w14:paraId="100E9ACB" w14:textId="77777777" w:rsidR="002E0DB9" w:rsidRPr="00794583" w:rsidRDefault="002E0DB9" w:rsidP="001740EF">
      <w:pPr>
        <w:pStyle w:val="Heading3"/>
      </w:pPr>
      <w:bookmarkStart w:id="0" w:name="_GoBack"/>
      <w:r w:rsidRPr="00794583">
        <w:t>S</w:t>
      </w:r>
      <w:r>
        <w:t>c</w:t>
      </w:r>
      <w:r w:rsidRPr="00794583">
        <w:t>hedule</w:t>
      </w:r>
      <w:r>
        <w:t xml:space="preserve"> </w:t>
      </w:r>
      <w:r w:rsidRPr="00E3193D">
        <w:t xml:space="preserve">– </w:t>
      </w:r>
      <w:r w:rsidRPr="00794583">
        <w:t>Amendments</w:t>
      </w:r>
    </w:p>
    <w:bookmarkEnd w:id="0"/>
    <w:p w14:paraId="1196F1BF" w14:textId="6C18A2A5" w:rsidR="005D0828" w:rsidRPr="00094A9C" w:rsidRDefault="00DF456B" w:rsidP="00094A9C">
      <w:pPr>
        <w:rPr>
          <w:sz w:val="24"/>
          <w:szCs w:val="24"/>
        </w:rPr>
      </w:pPr>
      <w:r>
        <w:rPr>
          <w:sz w:val="24"/>
          <w:szCs w:val="24"/>
        </w:rPr>
        <w:t>Item</w:t>
      </w:r>
      <w:r w:rsidR="002E0DB9">
        <w:rPr>
          <w:sz w:val="24"/>
          <w:szCs w:val="24"/>
        </w:rPr>
        <w:t xml:space="preserve"> </w:t>
      </w:r>
      <w:proofErr w:type="gramStart"/>
      <w:r w:rsidR="002E0DB9">
        <w:rPr>
          <w:sz w:val="24"/>
          <w:szCs w:val="24"/>
        </w:rPr>
        <w:t>1</w:t>
      </w:r>
      <w:proofErr w:type="gramEnd"/>
      <w:r w:rsidR="002E0DB9">
        <w:rPr>
          <w:sz w:val="24"/>
          <w:szCs w:val="24"/>
        </w:rPr>
        <w:t xml:space="preserve"> of the Schedule replaces the cessation date of </w:t>
      </w:r>
      <w:r w:rsidR="002E0DB9" w:rsidRPr="002A7488">
        <w:rPr>
          <w:sz w:val="24"/>
          <w:szCs w:val="24"/>
        </w:rPr>
        <w:t xml:space="preserve">the </w:t>
      </w:r>
      <w:r w:rsidR="002A7488" w:rsidRPr="00AD4712">
        <w:rPr>
          <w:i/>
          <w:sz w:val="24"/>
          <w:szCs w:val="24"/>
        </w:rPr>
        <w:t>Telecommunications (Network Exemption—</w:t>
      </w:r>
      <w:proofErr w:type="spellStart"/>
      <w:r w:rsidR="005D0828">
        <w:rPr>
          <w:i/>
          <w:sz w:val="24"/>
          <w:szCs w:val="24"/>
        </w:rPr>
        <w:t>TransACT</w:t>
      </w:r>
      <w:proofErr w:type="spellEnd"/>
      <w:r w:rsidR="005D0828" w:rsidRPr="00AD4712">
        <w:rPr>
          <w:i/>
          <w:sz w:val="24"/>
          <w:szCs w:val="24"/>
        </w:rPr>
        <w:t xml:space="preserve"> </w:t>
      </w:r>
      <w:r w:rsidR="005D0828">
        <w:rPr>
          <w:i/>
          <w:sz w:val="24"/>
          <w:szCs w:val="24"/>
        </w:rPr>
        <w:t>Very Small</w:t>
      </w:r>
      <w:r w:rsidR="005D0828" w:rsidRPr="00AD4712">
        <w:rPr>
          <w:i/>
          <w:sz w:val="24"/>
          <w:szCs w:val="24"/>
        </w:rPr>
        <w:t xml:space="preserve"> </w:t>
      </w:r>
      <w:r w:rsidR="005D0828">
        <w:rPr>
          <w:i/>
          <w:sz w:val="24"/>
          <w:szCs w:val="24"/>
        </w:rPr>
        <w:t>Scale</w:t>
      </w:r>
      <w:r w:rsidR="005D0828" w:rsidRPr="00AD4712">
        <w:rPr>
          <w:i/>
          <w:sz w:val="24"/>
          <w:szCs w:val="24"/>
        </w:rPr>
        <w:t xml:space="preserve"> </w:t>
      </w:r>
      <w:r w:rsidR="002A7488" w:rsidRPr="00AD4712">
        <w:rPr>
          <w:i/>
          <w:sz w:val="24"/>
          <w:szCs w:val="24"/>
        </w:rPr>
        <w:t>Network</w:t>
      </w:r>
      <w:r w:rsidR="005D0828">
        <w:rPr>
          <w:i/>
          <w:sz w:val="24"/>
          <w:szCs w:val="24"/>
        </w:rPr>
        <w:t>s</w:t>
      </w:r>
      <w:r w:rsidR="002A7488" w:rsidRPr="00AD4712">
        <w:rPr>
          <w:i/>
          <w:sz w:val="24"/>
          <w:szCs w:val="24"/>
        </w:rPr>
        <w:t>) Instrument 2012</w:t>
      </w:r>
      <w:r w:rsidR="002E0DB9" w:rsidRPr="002A7488">
        <w:rPr>
          <w:sz w:val="24"/>
          <w:szCs w:val="24"/>
        </w:rPr>
        <w:t>,</w:t>
      </w:r>
      <w:r w:rsidR="002E0DB9" w:rsidRPr="00794583">
        <w:rPr>
          <w:sz w:val="24"/>
          <w:szCs w:val="24"/>
        </w:rPr>
        <w:t xml:space="preserve"> which had previously been the designated day</w:t>
      </w:r>
      <w:r w:rsidR="002E0DB9">
        <w:rPr>
          <w:sz w:val="24"/>
          <w:szCs w:val="24"/>
        </w:rPr>
        <w:t>, with</w:t>
      </w:r>
      <w:r w:rsidR="00E20962">
        <w:rPr>
          <w:sz w:val="24"/>
          <w:szCs w:val="24"/>
        </w:rPr>
        <w:t xml:space="preserve"> a replacement cessation provision. The new cessation provision</w:t>
      </w:r>
      <w:r w:rsidR="00094A9C">
        <w:rPr>
          <w:sz w:val="24"/>
          <w:szCs w:val="24"/>
        </w:rPr>
        <w:t xml:space="preserve"> </w:t>
      </w:r>
      <w:r w:rsidR="00E20962">
        <w:rPr>
          <w:sz w:val="24"/>
          <w:szCs w:val="24"/>
        </w:rPr>
        <w:t>provides that the Instr</w:t>
      </w:r>
      <w:r w:rsidR="0024372E">
        <w:rPr>
          <w:sz w:val="24"/>
          <w:szCs w:val="24"/>
        </w:rPr>
        <w:t>u</w:t>
      </w:r>
      <w:r w:rsidR="00E20962">
        <w:rPr>
          <w:sz w:val="24"/>
          <w:szCs w:val="24"/>
        </w:rPr>
        <w:t xml:space="preserve">ment </w:t>
      </w:r>
      <w:proofErr w:type="gramStart"/>
      <w:r w:rsidR="00E20962">
        <w:rPr>
          <w:sz w:val="24"/>
          <w:szCs w:val="24"/>
        </w:rPr>
        <w:t>ceases</w:t>
      </w:r>
      <w:proofErr w:type="gramEnd"/>
      <w:r w:rsidR="00E20962">
        <w:rPr>
          <w:sz w:val="24"/>
          <w:szCs w:val="24"/>
        </w:rPr>
        <w:t xml:space="preserve"> on the earlier of two days </w:t>
      </w:r>
      <w:proofErr w:type="spellStart"/>
      <w:r w:rsidR="00E20962">
        <w:rPr>
          <w:sz w:val="24"/>
          <w:szCs w:val="24"/>
        </w:rPr>
        <w:t>occuring</w:t>
      </w:r>
      <w:proofErr w:type="spellEnd"/>
      <w:r w:rsidR="00E20962">
        <w:rPr>
          <w:sz w:val="24"/>
          <w:szCs w:val="24"/>
        </w:rPr>
        <w:t xml:space="preserve"> in the future. The first </w:t>
      </w:r>
      <w:r w:rsidR="00094A9C">
        <w:rPr>
          <w:sz w:val="24"/>
          <w:szCs w:val="24"/>
        </w:rPr>
        <w:t xml:space="preserve">reference </w:t>
      </w:r>
      <w:r w:rsidR="00E20962">
        <w:rPr>
          <w:sz w:val="24"/>
          <w:szCs w:val="24"/>
        </w:rPr>
        <w:t xml:space="preserve">day being the date either </w:t>
      </w:r>
      <w:r w:rsidR="005D0828" w:rsidRPr="00094A9C">
        <w:rPr>
          <w:sz w:val="24"/>
          <w:szCs w:val="24"/>
        </w:rPr>
        <w:t xml:space="preserve">a functional separation undertaking; or a deemed standard functional separation undertaking </w:t>
      </w:r>
      <w:r w:rsidR="00E20962">
        <w:rPr>
          <w:sz w:val="24"/>
          <w:szCs w:val="24"/>
        </w:rPr>
        <w:t xml:space="preserve">covering </w:t>
      </w:r>
      <w:r w:rsidR="005D0828" w:rsidRPr="00094A9C">
        <w:rPr>
          <w:sz w:val="24"/>
          <w:szCs w:val="24"/>
        </w:rPr>
        <w:t>local access lines forming part of a Victorian Very Small Scale Network or an ACT Very Small Scale Network</w:t>
      </w:r>
      <w:r w:rsidR="00E20962">
        <w:rPr>
          <w:sz w:val="24"/>
          <w:szCs w:val="24"/>
        </w:rPr>
        <w:t xml:space="preserve">, </w:t>
      </w:r>
      <w:r w:rsidR="005D0828" w:rsidRPr="00094A9C">
        <w:rPr>
          <w:sz w:val="24"/>
          <w:szCs w:val="24"/>
        </w:rPr>
        <w:t>first comes into force for the purposes of Part 8 of the Act</w:t>
      </w:r>
      <w:r w:rsidR="00E20962">
        <w:rPr>
          <w:sz w:val="24"/>
          <w:szCs w:val="24"/>
        </w:rPr>
        <w:t xml:space="preserve">. The second </w:t>
      </w:r>
      <w:r w:rsidR="00094A9C">
        <w:rPr>
          <w:sz w:val="24"/>
          <w:szCs w:val="24"/>
        </w:rPr>
        <w:t xml:space="preserve">reference </w:t>
      </w:r>
      <w:r w:rsidR="00E20962">
        <w:rPr>
          <w:sz w:val="24"/>
          <w:szCs w:val="24"/>
        </w:rPr>
        <w:t xml:space="preserve">day </w:t>
      </w:r>
      <w:r w:rsidR="005D0828" w:rsidRPr="00094A9C">
        <w:rPr>
          <w:sz w:val="24"/>
          <w:szCs w:val="24"/>
        </w:rPr>
        <w:t xml:space="preserve">is the second anniversary of the day on which the </w:t>
      </w:r>
      <w:r w:rsidR="00E20962" w:rsidRPr="00094A9C">
        <w:rPr>
          <w:sz w:val="24"/>
          <w:szCs w:val="24"/>
        </w:rPr>
        <w:t>TLA Act</w:t>
      </w:r>
      <w:r w:rsidR="005D0828" w:rsidRPr="00094A9C">
        <w:rPr>
          <w:sz w:val="24"/>
          <w:szCs w:val="24"/>
        </w:rPr>
        <w:t xml:space="preserve"> received the Royal Assent</w:t>
      </w:r>
      <w:r w:rsidR="00E20962" w:rsidRPr="00094A9C">
        <w:rPr>
          <w:sz w:val="24"/>
          <w:szCs w:val="24"/>
        </w:rPr>
        <w:t xml:space="preserve"> </w:t>
      </w:r>
      <w:r w:rsidR="00094A9C" w:rsidRPr="00FD5306">
        <w:rPr>
          <w:sz w:val="24"/>
          <w:szCs w:val="24"/>
        </w:rPr>
        <w:t>(</w:t>
      </w:r>
      <w:r w:rsidR="00094A9C">
        <w:rPr>
          <w:sz w:val="24"/>
          <w:szCs w:val="24"/>
        </w:rPr>
        <w:t>which was on 25</w:t>
      </w:r>
      <w:r w:rsidR="0024372E">
        <w:rPr>
          <w:sz w:val="24"/>
          <w:szCs w:val="24"/>
        </w:rPr>
        <w:t> </w:t>
      </w:r>
      <w:r w:rsidR="00094A9C" w:rsidRPr="00FD5306">
        <w:rPr>
          <w:sz w:val="24"/>
          <w:szCs w:val="24"/>
        </w:rPr>
        <w:t xml:space="preserve">May </w:t>
      </w:r>
      <w:r w:rsidR="00094A9C">
        <w:rPr>
          <w:sz w:val="24"/>
          <w:szCs w:val="24"/>
        </w:rPr>
        <w:t>2020)</w:t>
      </w:r>
      <w:r w:rsidR="005D0828" w:rsidRPr="00094A9C">
        <w:rPr>
          <w:sz w:val="24"/>
          <w:szCs w:val="24"/>
        </w:rPr>
        <w:t xml:space="preserve">. </w:t>
      </w:r>
    </w:p>
    <w:p w14:paraId="7283743D" w14:textId="61BC7AC8" w:rsidR="00E20962" w:rsidRDefault="00DF456B" w:rsidP="00FE3F59">
      <w:pPr>
        <w:rPr>
          <w:sz w:val="24"/>
          <w:szCs w:val="24"/>
        </w:rPr>
      </w:pPr>
      <w:r>
        <w:rPr>
          <w:sz w:val="24"/>
          <w:szCs w:val="24"/>
        </w:rPr>
        <w:t>Item</w:t>
      </w:r>
      <w:r w:rsidR="002E0DB9">
        <w:rPr>
          <w:sz w:val="24"/>
          <w:szCs w:val="24"/>
        </w:rPr>
        <w:t xml:space="preserve"> 2 of the Schedule introduces definitions for </w:t>
      </w:r>
      <w:r w:rsidR="00E20962">
        <w:rPr>
          <w:sz w:val="24"/>
          <w:szCs w:val="24"/>
        </w:rPr>
        <w:t xml:space="preserve">two </w:t>
      </w:r>
      <w:r w:rsidR="002E0DB9">
        <w:rPr>
          <w:sz w:val="24"/>
          <w:szCs w:val="24"/>
        </w:rPr>
        <w:t xml:space="preserve">new terms </w:t>
      </w:r>
      <w:r w:rsidR="00E20962">
        <w:rPr>
          <w:sz w:val="24"/>
          <w:szCs w:val="24"/>
        </w:rPr>
        <w:t>used in the new cessation provision.</w:t>
      </w:r>
      <w:r w:rsidR="00EC11BA">
        <w:rPr>
          <w:sz w:val="24"/>
          <w:szCs w:val="24"/>
        </w:rPr>
        <w:t xml:space="preserve"> </w:t>
      </w:r>
      <w:r w:rsidR="005B09D9">
        <w:rPr>
          <w:sz w:val="24"/>
          <w:szCs w:val="24"/>
        </w:rPr>
        <w:t xml:space="preserve">They are terms from </w:t>
      </w:r>
      <w:r w:rsidR="00EC11BA">
        <w:rPr>
          <w:sz w:val="24"/>
          <w:szCs w:val="24"/>
        </w:rPr>
        <w:t xml:space="preserve">the </w:t>
      </w:r>
      <w:r w:rsidR="005B09D9">
        <w:rPr>
          <w:sz w:val="24"/>
          <w:szCs w:val="24"/>
        </w:rPr>
        <w:t xml:space="preserve">revised Part 8 of the </w:t>
      </w:r>
      <w:r w:rsidR="00727609" w:rsidRPr="00C557C4">
        <w:rPr>
          <w:sz w:val="24"/>
          <w:szCs w:val="24"/>
        </w:rPr>
        <w:t>Act</w:t>
      </w:r>
      <w:r w:rsidR="005B09D9">
        <w:rPr>
          <w:sz w:val="24"/>
          <w:szCs w:val="24"/>
        </w:rPr>
        <w:t xml:space="preserve">, which </w:t>
      </w:r>
      <w:proofErr w:type="spellStart"/>
      <w:r w:rsidR="005B09D9">
        <w:rPr>
          <w:sz w:val="24"/>
          <w:szCs w:val="24"/>
        </w:rPr>
        <w:t>requries</w:t>
      </w:r>
      <w:proofErr w:type="spellEnd"/>
      <w:r w:rsidR="005B09D9">
        <w:rPr>
          <w:sz w:val="24"/>
          <w:szCs w:val="24"/>
        </w:rPr>
        <w:t xml:space="preserve"> operators of certain high-speed broadband networ</w:t>
      </w:r>
      <w:r w:rsidR="00BC0B7A">
        <w:rPr>
          <w:sz w:val="24"/>
          <w:szCs w:val="24"/>
        </w:rPr>
        <w:t>k</w:t>
      </w:r>
      <w:r w:rsidR="005B09D9">
        <w:rPr>
          <w:sz w:val="24"/>
          <w:szCs w:val="24"/>
        </w:rPr>
        <w:t xml:space="preserve">s to </w:t>
      </w:r>
      <w:r w:rsidR="005B09D9" w:rsidRPr="005B09D9">
        <w:rPr>
          <w:sz w:val="24"/>
          <w:szCs w:val="24"/>
        </w:rPr>
        <w:t xml:space="preserve">become structurally separated unless functional separation undertakings </w:t>
      </w:r>
      <w:r w:rsidR="005B09D9">
        <w:rPr>
          <w:sz w:val="24"/>
          <w:szCs w:val="24"/>
        </w:rPr>
        <w:t xml:space="preserve">(or deemed one) are </w:t>
      </w:r>
      <w:r w:rsidR="00786D8C">
        <w:rPr>
          <w:sz w:val="24"/>
          <w:szCs w:val="24"/>
        </w:rPr>
        <w:t>in place.</w:t>
      </w:r>
    </w:p>
    <w:p w14:paraId="3EC895A9" w14:textId="1B350BEC" w:rsidR="00AF1FF1" w:rsidRPr="003C0EEF" w:rsidRDefault="00AF1FF1" w:rsidP="00AF1FF1">
      <w:pPr>
        <w:rPr>
          <w:sz w:val="24"/>
          <w:szCs w:val="24"/>
        </w:rPr>
      </w:pPr>
      <w:r w:rsidRPr="00525DFA">
        <w:rPr>
          <w:sz w:val="24"/>
          <w:szCs w:val="24"/>
        </w:rPr>
        <w:t>Specifically, the definition of ‘</w:t>
      </w:r>
      <w:r w:rsidRPr="00525DFA">
        <w:rPr>
          <w:i/>
          <w:sz w:val="24"/>
          <w:szCs w:val="24"/>
        </w:rPr>
        <w:t>deemed standard f</w:t>
      </w:r>
      <w:r>
        <w:rPr>
          <w:i/>
          <w:sz w:val="24"/>
          <w:szCs w:val="24"/>
        </w:rPr>
        <w:t xml:space="preserve">unctional separation </w:t>
      </w:r>
      <w:proofErr w:type="gramStart"/>
      <w:r>
        <w:rPr>
          <w:i/>
          <w:sz w:val="24"/>
          <w:szCs w:val="24"/>
        </w:rPr>
        <w:t>undertaking</w:t>
      </w:r>
      <w:r w:rsidRPr="00525DFA">
        <w:rPr>
          <w:i/>
          <w:sz w:val="24"/>
          <w:szCs w:val="24"/>
        </w:rPr>
        <w:t xml:space="preserve"> </w:t>
      </w:r>
      <w:r w:rsidRPr="00525DFA">
        <w:rPr>
          <w:sz w:val="24"/>
          <w:szCs w:val="24"/>
        </w:rPr>
        <w:t>’</w:t>
      </w:r>
      <w:proofErr w:type="gramEnd"/>
      <w:r w:rsidRPr="00525DFA">
        <w:rPr>
          <w:sz w:val="24"/>
          <w:szCs w:val="24"/>
        </w:rPr>
        <w:t xml:space="preserve"> is </w:t>
      </w:r>
      <w:r w:rsidR="00E20962">
        <w:rPr>
          <w:sz w:val="24"/>
          <w:szCs w:val="24"/>
        </w:rPr>
        <w:t xml:space="preserve">defined to mean </w:t>
      </w:r>
      <w:r w:rsidRPr="00525DFA">
        <w:rPr>
          <w:sz w:val="24"/>
          <w:szCs w:val="24"/>
        </w:rPr>
        <w:t>a</w:t>
      </w:r>
      <w:r w:rsidRPr="00525DFA">
        <w:rPr>
          <w:i/>
          <w:sz w:val="24"/>
          <w:szCs w:val="24"/>
        </w:rPr>
        <w:t xml:space="preserve"> </w:t>
      </w:r>
      <w:r w:rsidRPr="00525DFA">
        <w:rPr>
          <w:sz w:val="24"/>
          <w:szCs w:val="24"/>
        </w:rPr>
        <w:t xml:space="preserve">functional separation undertaking covered by a determination under subsection 151B(1) of the Act, as amended by Schedule 2 to the </w:t>
      </w:r>
      <w:r w:rsidR="00F23BE1">
        <w:rPr>
          <w:sz w:val="24"/>
          <w:szCs w:val="24"/>
        </w:rPr>
        <w:t>TLA Act</w:t>
      </w:r>
      <w:r w:rsidRPr="00525DFA">
        <w:rPr>
          <w:sz w:val="24"/>
          <w:szCs w:val="24"/>
        </w:rPr>
        <w:t>.</w:t>
      </w:r>
      <w:r w:rsidR="005B09D9">
        <w:rPr>
          <w:sz w:val="24"/>
          <w:szCs w:val="24"/>
        </w:rPr>
        <w:t xml:space="preserve"> These are </w:t>
      </w:r>
      <w:r w:rsidR="00D450AD">
        <w:rPr>
          <w:sz w:val="24"/>
          <w:szCs w:val="24"/>
        </w:rPr>
        <w:t>standardised</w:t>
      </w:r>
      <w:r w:rsidR="005B09D9">
        <w:rPr>
          <w:sz w:val="24"/>
          <w:szCs w:val="24"/>
        </w:rPr>
        <w:t xml:space="preserve"> undertakings </w:t>
      </w:r>
      <w:r w:rsidR="00D450AD">
        <w:rPr>
          <w:sz w:val="24"/>
          <w:szCs w:val="24"/>
        </w:rPr>
        <w:t>accepted</w:t>
      </w:r>
      <w:r w:rsidR="005B09D9">
        <w:rPr>
          <w:sz w:val="24"/>
          <w:szCs w:val="24"/>
        </w:rPr>
        <w:t xml:space="preserve"> by</w:t>
      </w:r>
      <w:r w:rsidR="00EC11BA">
        <w:rPr>
          <w:sz w:val="24"/>
          <w:szCs w:val="24"/>
        </w:rPr>
        <w:t xml:space="preserve"> the</w:t>
      </w:r>
      <w:r w:rsidR="005B09D9">
        <w:rPr>
          <w:sz w:val="24"/>
          <w:szCs w:val="24"/>
        </w:rPr>
        <w:t xml:space="preserve"> </w:t>
      </w:r>
      <w:r w:rsidR="005B09D9" w:rsidRPr="005B09D9">
        <w:rPr>
          <w:sz w:val="24"/>
          <w:szCs w:val="24"/>
        </w:rPr>
        <w:t xml:space="preserve">ACCC that </w:t>
      </w:r>
      <w:r w:rsidR="005B09D9">
        <w:rPr>
          <w:sz w:val="24"/>
          <w:szCs w:val="24"/>
        </w:rPr>
        <w:t xml:space="preserve">are expressed to </w:t>
      </w:r>
      <w:r w:rsidR="005B09D9" w:rsidRPr="005B09D9">
        <w:rPr>
          <w:sz w:val="24"/>
          <w:szCs w:val="24"/>
        </w:rPr>
        <w:t>apply to specified classes of network operators</w:t>
      </w:r>
      <w:r w:rsidR="005B09D9">
        <w:rPr>
          <w:sz w:val="24"/>
          <w:szCs w:val="24"/>
        </w:rPr>
        <w:t xml:space="preserve"> and if </w:t>
      </w:r>
      <w:r w:rsidR="005B09D9" w:rsidRPr="005B09D9">
        <w:rPr>
          <w:sz w:val="24"/>
          <w:szCs w:val="24"/>
        </w:rPr>
        <w:t>an operator chooses to comply with a deemed undertaking, the undertaking would apply as though the operator had submit</w:t>
      </w:r>
      <w:r w:rsidR="005B09D9" w:rsidRPr="003C0EEF">
        <w:rPr>
          <w:sz w:val="24"/>
          <w:szCs w:val="24"/>
        </w:rPr>
        <w:t xml:space="preserve">ted its own functional separation </w:t>
      </w:r>
      <w:r w:rsidR="00D450AD">
        <w:rPr>
          <w:sz w:val="24"/>
          <w:szCs w:val="24"/>
        </w:rPr>
        <w:t>undertaking</w:t>
      </w:r>
      <w:r w:rsidR="005B09D9" w:rsidRPr="003C0EEF">
        <w:rPr>
          <w:sz w:val="24"/>
          <w:szCs w:val="24"/>
        </w:rPr>
        <w:t xml:space="preserve"> and the ACCC had approved it. </w:t>
      </w:r>
    </w:p>
    <w:p w14:paraId="73C73F1B" w14:textId="1FC9B1B3" w:rsidR="005B09D9" w:rsidRPr="003C0EEF" w:rsidRDefault="00AF1FF1" w:rsidP="00A82CD2">
      <w:pPr>
        <w:rPr>
          <w:rFonts w:asciiTheme="minorHAnsi" w:hAnsiTheme="minorHAnsi" w:cstheme="minorHAnsi"/>
        </w:rPr>
      </w:pPr>
      <w:r w:rsidRPr="003C0EEF">
        <w:rPr>
          <w:sz w:val="24"/>
          <w:szCs w:val="24"/>
        </w:rPr>
        <w:t xml:space="preserve">The definition of a </w:t>
      </w:r>
      <w:r w:rsidRPr="003C0EEF">
        <w:rPr>
          <w:i/>
          <w:sz w:val="24"/>
          <w:szCs w:val="24"/>
        </w:rPr>
        <w:t>‘functional separation undertaking’</w:t>
      </w:r>
      <w:r w:rsidRPr="003C0EEF">
        <w:rPr>
          <w:sz w:val="24"/>
          <w:szCs w:val="24"/>
        </w:rPr>
        <w:t xml:space="preserve"> has the same meaning as in section</w:t>
      </w:r>
      <w:r w:rsidR="00D450AD">
        <w:rPr>
          <w:sz w:val="24"/>
          <w:szCs w:val="24"/>
        </w:rPr>
        <w:t> </w:t>
      </w:r>
      <w:r w:rsidRPr="003C0EEF">
        <w:rPr>
          <w:sz w:val="24"/>
          <w:szCs w:val="24"/>
        </w:rPr>
        <w:t xml:space="preserve">142A of the Act, as inserted by Schedule 2 to the </w:t>
      </w:r>
      <w:r w:rsidR="00F23BE1" w:rsidRPr="003C0EEF">
        <w:rPr>
          <w:sz w:val="24"/>
          <w:szCs w:val="24"/>
        </w:rPr>
        <w:t>TLA Act</w:t>
      </w:r>
      <w:r w:rsidRPr="003C0EEF">
        <w:rPr>
          <w:sz w:val="24"/>
          <w:szCs w:val="24"/>
        </w:rPr>
        <w:t>.</w:t>
      </w:r>
      <w:r w:rsidR="00F23BE1" w:rsidRPr="003C0EEF">
        <w:rPr>
          <w:rFonts w:asciiTheme="minorHAnsi" w:hAnsiTheme="minorHAnsi" w:cstheme="minorHAnsi"/>
          <w:sz w:val="24"/>
          <w:szCs w:val="24"/>
        </w:rPr>
        <w:t xml:space="preserve"> </w:t>
      </w:r>
      <w:r w:rsidR="005B09D9" w:rsidRPr="003C0EEF">
        <w:rPr>
          <w:rFonts w:asciiTheme="minorHAnsi" w:hAnsiTheme="minorHAnsi" w:cstheme="minorHAnsi"/>
          <w:sz w:val="24"/>
          <w:szCs w:val="24"/>
        </w:rPr>
        <w:t xml:space="preserve">In summary, a standard </w:t>
      </w:r>
      <w:r w:rsidR="005B09D9" w:rsidRPr="003C0EEF">
        <w:rPr>
          <w:rFonts w:asciiTheme="minorHAnsi" w:hAnsiTheme="minorHAnsi" w:cstheme="minorHAnsi"/>
          <w:sz w:val="24"/>
          <w:szCs w:val="24"/>
        </w:rPr>
        <w:lastRenderedPageBreak/>
        <w:t xml:space="preserve">functional separation undertaking is an undertaking given by an entity to the ACCC under section 151A or a joint functional separation undertaking given to the ACCC by two or more corporations under section 151C. </w:t>
      </w:r>
      <w:proofErr w:type="gramStart"/>
      <w:r w:rsidR="005B09D9" w:rsidRPr="003C0EEF">
        <w:rPr>
          <w:rFonts w:asciiTheme="minorHAnsi" w:hAnsiTheme="minorHAnsi" w:cstheme="minorHAnsi"/>
          <w:sz w:val="24"/>
          <w:szCs w:val="24"/>
        </w:rPr>
        <w:t>These are</w:t>
      </w:r>
      <w:r w:rsidR="00EB42CF">
        <w:rPr>
          <w:rFonts w:asciiTheme="minorHAnsi" w:hAnsiTheme="minorHAnsi" w:cstheme="minorHAnsi"/>
          <w:sz w:val="24"/>
          <w:szCs w:val="24"/>
        </w:rPr>
        <w:t xml:space="preserve"> </w:t>
      </w:r>
      <w:r w:rsidR="00F23BE1" w:rsidRPr="003C0EEF">
        <w:rPr>
          <w:rFonts w:asciiTheme="minorHAnsi" w:hAnsiTheme="minorHAnsi" w:cstheme="minorHAnsi"/>
          <w:sz w:val="24"/>
          <w:szCs w:val="24"/>
        </w:rPr>
        <w:t>special type</w:t>
      </w:r>
      <w:r w:rsidR="005B09D9" w:rsidRPr="003C0EEF">
        <w:rPr>
          <w:rFonts w:asciiTheme="minorHAnsi" w:hAnsiTheme="minorHAnsi" w:cstheme="minorHAnsi"/>
          <w:sz w:val="24"/>
          <w:szCs w:val="24"/>
        </w:rPr>
        <w:t>s</w:t>
      </w:r>
      <w:r w:rsidR="00F23BE1" w:rsidRPr="003C0EEF">
        <w:rPr>
          <w:rFonts w:asciiTheme="minorHAnsi" w:hAnsiTheme="minorHAnsi" w:cstheme="minorHAnsi"/>
          <w:sz w:val="24"/>
          <w:szCs w:val="24"/>
        </w:rPr>
        <w:t xml:space="preserve"> of </w:t>
      </w:r>
      <w:r w:rsidR="005B09D9" w:rsidRPr="003C0EEF">
        <w:rPr>
          <w:rFonts w:asciiTheme="minorHAnsi" w:hAnsiTheme="minorHAnsi" w:cstheme="minorHAnsi"/>
          <w:sz w:val="24"/>
          <w:szCs w:val="24"/>
        </w:rPr>
        <w:t xml:space="preserve">written </w:t>
      </w:r>
      <w:r w:rsidR="00F23BE1" w:rsidRPr="003C0EEF">
        <w:rPr>
          <w:rFonts w:asciiTheme="minorHAnsi" w:hAnsiTheme="minorHAnsi" w:cstheme="minorHAnsi"/>
          <w:sz w:val="24"/>
          <w:szCs w:val="24"/>
        </w:rPr>
        <w:t xml:space="preserve">undertaking given to the ACCC </w:t>
      </w:r>
      <w:r w:rsidR="005B09D9" w:rsidRPr="003C0EEF">
        <w:rPr>
          <w:rFonts w:asciiTheme="minorHAnsi" w:hAnsiTheme="minorHAnsi" w:cstheme="minorHAnsi"/>
          <w:sz w:val="24"/>
          <w:szCs w:val="24"/>
        </w:rPr>
        <w:t>in relation to the supply of services over specified local access lines and include key requirements such as functional separation (i.e. arrangements for how the entity will separate its wholesale and retail operations into separate companies or business units, while retaining ultimate control of both) and non-discrimination relating to the supply of local access line services.</w:t>
      </w:r>
      <w:proofErr w:type="gramEnd"/>
      <w:r w:rsidR="005B09D9" w:rsidRPr="003C0EEF">
        <w:rPr>
          <w:rFonts w:asciiTheme="minorHAnsi" w:hAnsiTheme="minorHAnsi" w:cstheme="minorHAnsi"/>
          <w:sz w:val="24"/>
          <w:szCs w:val="24"/>
        </w:rPr>
        <w:t xml:space="preserve"> </w:t>
      </w:r>
    </w:p>
    <w:p w14:paraId="78B4C970" w14:textId="519DD2B5" w:rsidR="00443DD9" w:rsidRPr="003C0EEF" w:rsidRDefault="00443DD9" w:rsidP="00A82CD2">
      <w:pPr>
        <w:rPr>
          <w:rFonts w:asciiTheme="minorHAnsi" w:hAnsiTheme="minorHAnsi" w:cstheme="minorHAnsi"/>
        </w:rPr>
      </w:pPr>
    </w:p>
    <w:sectPr w:rsidR="00443DD9" w:rsidRPr="003C0EE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39498" w14:textId="77777777" w:rsidR="002A5626" w:rsidRDefault="002A5626" w:rsidP="0054340F">
      <w:pPr>
        <w:spacing w:after="0" w:line="240" w:lineRule="auto"/>
      </w:pPr>
      <w:r>
        <w:separator/>
      </w:r>
    </w:p>
  </w:endnote>
  <w:endnote w:type="continuationSeparator" w:id="0">
    <w:p w14:paraId="2BA76F2F" w14:textId="77777777" w:rsidR="002A5626" w:rsidRDefault="002A5626" w:rsidP="0054340F">
      <w:pPr>
        <w:spacing w:after="0" w:line="240" w:lineRule="auto"/>
      </w:pPr>
      <w:r>
        <w:continuationSeparator/>
      </w:r>
    </w:p>
  </w:endnote>
  <w:endnote w:type="continuationNotice" w:id="1">
    <w:p w14:paraId="18BC486B" w14:textId="77777777" w:rsidR="002A5626" w:rsidRDefault="002A56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172544"/>
      <w:docPartObj>
        <w:docPartGallery w:val="Page Numbers (Bottom of Page)"/>
        <w:docPartUnique/>
      </w:docPartObj>
    </w:sdtPr>
    <w:sdtEndPr/>
    <w:sdtContent>
      <w:p w14:paraId="4A764720" w14:textId="3F3BB65E" w:rsidR="002A5626" w:rsidRDefault="002A5626">
        <w:pPr>
          <w:pStyle w:val="Footer"/>
          <w:jc w:val="center"/>
        </w:pPr>
        <w:r>
          <w:fldChar w:fldCharType="begin"/>
        </w:r>
        <w:r>
          <w:instrText xml:space="preserve"> PAGE   \* MERGEFORMAT </w:instrText>
        </w:r>
        <w:r>
          <w:fldChar w:fldCharType="separate"/>
        </w:r>
        <w:r w:rsidR="001740EF">
          <w:rPr>
            <w:noProof/>
          </w:rPr>
          <w:t>1</w:t>
        </w:r>
        <w:r>
          <w:fldChar w:fldCharType="end"/>
        </w:r>
      </w:p>
    </w:sdtContent>
  </w:sdt>
  <w:p w14:paraId="36937004" w14:textId="77777777" w:rsidR="002A5626" w:rsidRDefault="002A5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62128" w14:textId="77777777" w:rsidR="002A5626" w:rsidRDefault="002A5626" w:rsidP="0054340F">
      <w:pPr>
        <w:spacing w:after="0" w:line="240" w:lineRule="auto"/>
      </w:pPr>
      <w:r>
        <w:separator/>
      </w:r>
    </w:p>
  </w:footnote>
  <w:footnote w:type="continuationSeparator" w:id="0">
    <w:p w14:paraId="6CA97037" w14:textId="77777777" w:rsidR="002A5626" w:rsidRDefault="002A5626" w:rsidP="0054340F">
      <w:pPr>
        <w:spacing w:after="0" w:line="240" w:lineRule="auto"/>
      </w:pPr>
      <w:r>
        <w:continuationSeparator/>
      </w:r>
    </w:p>
  </w:footnote>
  <w:footnote w:type="continuationNotice" w:id="1">
    <w:p w14:paraId="10D81CE9" w14:textId="77777777" w:rsidR="002A5626" w:rsidRDefault="002A5626">
      <w:pPr>
        <w:spacing w:after="0" w:line="240" w:lineRule="auto"/>
      </w:pPr>
    </w:p>
  </w:footnote>
  <w:footnote w:id="2">
    <w:p w14:paraId="1FEEE5BC" w14:textId="3309D46D" w:rsidR="002A5626" w:rsidRDefault="002A5626">
      <w:pPr>
        <w:pStyle w:val="FootnoteText"/>
      </w:pPr>
      <w:r>
        <w:rPr>
          <w:rStyle w:val="FootnoteReference"/>
        </w:rPr>
        <w:footnoteRef/>
      </w:r>
      <w:r>
        <w:t xml:space="preserve"> Each</w:t>
      </w:r>
      <w:r w:rsidRPr="006B42DF">
        <w:t xml:space="preserve"> very </w:t>
      </w:r>
      <w:proofErr w:type="gramStart"/>
      <w:r w:rsidRPr="006B42DF">
        <w:t>small scale</w:t>
      </w:r>
      <w:proofErr w:type="gramEnd"/>
      <w:r w:rsidRPr="006B42DF">
        <w:t xml:space="preserve"> network extension connect</w:t>
      </w:r>
      <w:r>
        <w:t>s</w:t>
      </w:r>
      <w:r w:rsidRPr="006B42DF">
        <w:t xml:space="preserve"> no more than 100 premises to TPG’s VDSL networks located in Canberra in the Australian Capital Territory and hybrid fibre-coaxial (HFC) networks located in Geelong, Ballarat and Mildura.</w:t>
      </w:r>
    </w:p>
  </w:footnote>
  <w:footnote w:id="3">
    <w:p w14:paraId="1766ACC0" w14:textId="47E4D8C4" w:rsidR="002A5626" w:rsidRDefault="002A5626" w:rsidP="00B61F50">
      <w:pPr>
        <w:pStyle w:val="FootnoteText"/>
      </w:pPr>
      <w:r>
        <w:rPr>
          <w:rStyle w:val="FootnoteReference"/>
        </w:rPr>
        <w:footnoteRef/>
      </w:r>
      <w:r>
        <w:t xml:space="preserve"> </w:t>
      </w:r>
      <w:proofErr w:type="spellStart"/>
      <w:r>
        <w:t>TransACT</w:t>
      </w:r>
      <w:proofErr w:type="spellEnd"/>
      <w:r>
        <w:t xml:space="preserve"> was acquired by </w:t>
      </w:r>
      <w:proofErr w:type="spellStart"/>
      <w:r>
        <w:t>iiNet</w:t>
      </w:r>
      <w:proofErr w:type="spellEnd"/>
      <w:r>
        <w:t xml:space="preserve"> in 2011. Subsequently, TPG acquired </w:t>
      </w:r>
      <w:proofErr w:type="spellStart"/>
      <w:r>
        <w:t>iiNet</w:t>
      </w:r>
      <w:proofErr w:type="spellEnd"/>
      <w:r>
        <w:t xml:space="preserve"> (and </w:t>
      </w:r>
      <w:proofErr w:type="spellStart"/>
      <w:r>
        <w:t>TransACT</w:t>
      </w:r>
      <w:proofErr w:type="spellEnd"/>
      <w:r>
        <w:t xml:space="preserve"> as its subsidiary) in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4D14"/>
    <w:multiLevelType w:val="hybridMultilevel"/>
    <w:tmpl w:val="5BDED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F448CE"/>
    <w:multiLevelType w:val="hybridMultilevel"/>
    <w:tmpl w:val="9B7EB0A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646219"/>
    <w:multiLevelType w:val="hybridMultilevel"/>
    <w:tmpl w:val="5D947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3A3245"/>
    <w:multiLevelType w:val="hybridMultilevel"/>
    <w:tmpl w:val="9FDAFD8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48673A"/>
    <w:multiLevelType w:val="hybridMultilevel"/>
    <w:tmpl w:val="63564184"/>
    <w:lvl w:ilvl="0" w:tplc="0C09000F">
      <w:start w:val="1"/>
      <w:numFmt w:val="decimal"/>
      <w:lvlText w:val="%1."/>
      <w:lvlJc w:val="left"/>
      <w:pPr>
        <w:ind w:left="360" w:hanging="360"/>
      </w:pPr>
      <w:rPr>
        <w:rFonts w:hint="default"/>
      </w:rPr>
    </w:lvl>
    <w:lvl w:ilvl="1" w:tplc="0C090001">
      <w:start w:val="1"/>
      <w:numFmt w:val="bullet"/>
      <w:lvlText w:val=""/>
      <w:lvlJc w:val="left"/>
      <w:pPr>
        <w:ind w:left="589" w:hanging="360"/>
      </w:pPr>
      <w:rPr>
        <w:rFonts w:ascii="Symbol" w:hAnsi="Symbol" w:hint="default"/>
      </w:rPr>
    </w:lvl>
    <w:lvl w:ilvl="2" w:tplc="0C09001B" w:tentative="1">
      <w:start w:val="1"/>
      <w:numFmt w:val="lowerRoman"/>
      <w:lvlText w:val="%3."/>
      <w:lvlJc w:val="right"/>
      <w:pPr>
        <w:ind w:left="1309" w:hanging="180"/>
      </w:pPr>
    </w:lvl>
    <w:lvl w:ilvl="3" w:tplc="0C09000F" w:tentative="1">
      <w:start w:val="1"/>
      <w:numFmt w:val="decimal"/>
      <w:lvlText w:val="%4."/>
      <w:lvlJc w:val="left"/>
      <w:pPr>
        <w:ind w:left="2029" w:hanging="360"/>
      </w:pPr>
    </w:lvl>
    <w:lvl w:ilvl="4" w:tplc="0C090019" w:tentative="1">
      <w:start w:val="1"/>
      <w:numFmt w:val="lowerLetter"/>
      <w:lvlText w:val="%5."/>
      <w:lvlJc w:val="left"/>
      <w:pPr>
        <w:ind w:left="2749" w:hanging="360"/>
      </w:pPr>
    </w:lvl>
    <w:lvl w:ilvl="5" w:tplc="0C09001B" w:tentative="1">
      <w:start w:val="1"/>
      <w:numFmt w:val="lowerRoman"/>
      <w:lvlText w:val="%6."/>
      <w:lvlJc w:val="right"/>
      <w:pPr>
        <w:ind w:left="3469" w:hanging="180"/>
      </w:pPr>
    </w:lvl>
    <w:lvl w:ilvl="6" w:tplc="0C09000F" w:tentative="1">
      <w:start w:val="1"/>
      <w:numFmt w:val="decimal"/>
      <w:lvlText w:val="%7."/>
      <w:lvlJc w:val="left"/>
      <w:pPr>
        <w:ind w:left="4189" w:hanging="360"/>
      </w:pPr>
    </w:lvl>
    <w:lvl w:ilvl="7" w:tplc="0C090019" w:tentative="1">
      <w:start w:val="1"/>
      <w:numFmt w:val="lowerLetter"/>
      <w:lvlText w:val="%8."/>
      <w:lvlJc w:val="left"/>
      <w:pPr>
        <w:ind w:left="4909" w:hanging="360"/>
      </w:pPr>
    </w:lvl>
    <w:lvl w:ilvl="8" w:tplc="0C09001B" w:tentative="1">
      <w:start w:val="1"/>
      <w:numFmt w:val="lowerRoman"/>
      <w:lvlText w:val="%9."/>
      <w:lvlJc w:val="right"/>
      <w:pPr>
        <w:ind w:left="5629" w:hanging="180"/>
      </w:pPr>
    </w:lvl>
  </w:abstractNum>
  <w:abstractNum w:abstractNumId="5" w15:restartNumberingAfterBreak="0">
    <w:nsid w:val="37684C2B"/>
    <w:multiLevelType w:val="hybridMultilevel"/>
    <w:tmpl w:val="98986C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4D7A26"/>
    <w:multiLevelType w:val="hybridMultilevel"/>
    <w:tmpl w:val="C088C6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E490630"/>
    <w:multiLevelType w:val="hybridMultilevel"/>
    <w:tmpl w:val="FCE2ECFA"/>
    <w:lvl w:ilvl="0" w:tplc="2BC8F7EE">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55124840"/>
    <w:multiLevelType w:val="hybridMultilevel"/>
    <w:tmpl w:val="EF8A2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794E9B"/>
    <w:multiLevelType w:val="hybridMultilevel"/>
    <w:tmpl w:val="14542A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5F1184F"/>
    <w:multiLevelType w:val="hybridMultilevel"/>
    <w:tmpl w:val="20CA2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A86771"/>
    <w:multiLevelType w:val="hybridMultilevel"/>
    <w:tmpl w:val="64C8B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C260DC"/>
    <w:multiLevelType w:val="hybridMultilevel"/>
    <w:tmpl w:val="001A54D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B2F2DA4"/>
    <w:multiLevelType w:val="hybridMultilevel"/>
    <w:tmpl w:val="E48C5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20625D5"/>
    <w:multiLevelType w:val="hybridMultilevel"/>
    <w:tmpl w:val="49C44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7152E4"/>
    <w:multiLevelType w:val="hybridMultilevel"/>
    <w:tmpl w:val="99D4C7F2"/>
    <w:lvl w:ilvl="0" w:tplc="0C090017">
      <w:start w:val="1"/>
      <w:numFmt w:val="lowerLetter"/>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4"/>
  </w:num>
  <w:num w:numId="2">
    <w:abstractNumId w:val="6"/>
  </w:num>
  <w:num w:numId="3">
    <w:abstractNumId w:val="13"/>
  </w:num>
  <w:num w:numId="4">
    <w:abstractNumId w:val="12"/>
  </w:num>
  <w:num w:numId="5">
    <w:abstractNumId w:val="9"/>
  </w:num>
  <w:num w:numId="6">
    <w:abstractNumId w:val="7"/>
  </w:num>
  <w:num w:numId="7">
    <w:abstractNumId w:val="0"/>
  </w:num>
  <w:num w:numId="8">
    <w:abstractNumId w:val="5"/>
  </w:num>
  <w:num w:numId="9">
    <w:abstractNumId w:val="15"/>
  </w:num>
  <w:num w:numId="10">
    <w:abstractNumId w:val="2"/>
  </w:num>
  <w:num w:numId="11">
    <w:abstractNumId w:val="11"/>
  </w:num>
  <w:num w:numId="12">
    <w:abstractNumId w:val="8"/>
  </w:num>
  <w:num w:numId="13">
    <w:abstractNumId w:val="3"/>
  </w:num>
  <w:num w:numId="14">
    <w:abstractNumId w:val="1"/>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AU" w:vendorID="64" w:dllVersion="131078"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5C"/>
    <w:rsid w:val="00006369"/>
    <w:rsid w:val="00015820"/>
    <w:rsid w:val="000178C9"/>
    <w:rsid w:val="000215D3"/>
    <w:rsid w:val="00040135"/>
    <w:rsid w:val="00041393"/>
    <w:rsid w:val="000442B1"/>
    <w:rsid w:val="00044F55"/>
    <w:rsid w:val="0005133C"/>
    <w:rsid w:val="00055DF9"/>
    <w:rsid w:val="00074D57"/>
    <w:rsid w:val="00076021"/>
    <w:rsid w:val="00083F86"/>
    <w:rsid w:val="0008558B"/>
    <w:rsid w:val="00087713"/>
    <w:rsid w:val="000942AF"/>
    <w:rsid w:val="00094A9C"/>
    <w:rsid w:val="000B0A5E"/>
    <w:rsid w:val="000C0D4D"/>
    <w:rsid w:val="000C64AD"/>
    <w:rsid w:val="000D2E99"/>
    <w:rsid w:val="000E4980"/>
    <w:rsid w:val="000E725A"/>
    <w:rsid w:val="000E746C"/>
    <w:rsid w:val="00105204"/>
    <w:rsid w:val="001079D2"/>
    <w:rsid w:val="00111088"/>
    <w:rsid w:val="00113BEF"/>
    <w:rsid w:val="00116B7D"/>
    <w:rsid w:val="0012269D"/>
    <w:rsid w:val="00141C67"/>
    <w:rsid w:val="001445F6"/>
    <w:rsid w:val="00155045"/>
    <w:rsid w:val="001738D3"/>
    <w:rsid w:val="001740EF"/>
    <w:rsid w:val="00182CD2"/>
    <w:rsid w:val="0019317E"/>
    <w:rsid w:val="0019499D"/>
    <w:rsid w:val="001957E8"/>
    <w:rsid w:val="001A4A2B"/>
    <w:rsid w:val="001C0FB0"/>
    <w:rsid w:val="001C2A1C"/>
    <w:rsid w:val="001C5825"/>
    <w:rsid w:val="001D7BD9"/>
    <w:rsid w:val="001F727B"/>
    <w:rsid w:val="0020759A"/>
    <w:rsid w:val="00214C3C"/>
    <w:rsid w:val="00224AA1"/>
    <w:rsid w:val="00224EF1"/>
    <w:rsid w:val="00225FDE"/>
    <w:rsid w:val="00227DF4"/>
    <w:rsid w:val="00233BBF"/>
    <w:rsid w:val="0024372E"/>
    <w:rsid w:val="00247080"/>
    <w:rsid w:val="002509C4"/>
    <w:rsid w:val="00252B45"/>
    <w:rsid w:val="00256CA6"/>
    <w:rsid w:val="002775CE"/>
    <w:rsid w:val="002972DF"/>
    <w:rsid w:val="002A1AD1"/>
    <w:rsid w:val="002A5626"/>
    <w:rsid w:val="002A7488"/>
    <w:rsid w:val="002B0303"/>
    <w:rsid w:val="002B4C86"/>
    <w:rsid w:val="002B5948"/>
    <w:rsid w:val="002B5A2E"/>
    <w:rsid w:val="002C2E30"/>
    <w:rsid w:val="002D29C4"/>
    <w:rsid w:val="002D2F36"/>
    <w:rsid w:val="002E0DB9"/>
    <w:rsid w:val="002E1E12"/>
    <w:rsid w:val="002E4ED4"/>
    <w:rsid w:val="0030492C"/>
    <w:rsid w:val="003062F4"/>
    <w:rsid w:val="00313FC0"/>
    <w:rsid w:val="00316FA8"/>
    <w:rsid w:val="0032170B"/>
    <w:rsid w:val="003308D5"/>
    <w:rsid w:val="00330BC2"/>
    <w:rsid w:val="00331372"/>
    <w:rsid w:val="00333DB5"/>
    <w:rsid w:val="00334DCA"/>
    <w:rsid w:val="003362CA"/>
    <w:rsid w:val="00336AE4"/>
    <w:rsid w:val="0033791F"/>
    <w:rsid w:val="00350D5A"/>
    <w:rsid w:val="003510F2"/>
    <w:rsid w:val="00353790"/>
    <w:rsid w:val="00360B32"/>
    <w:rsid w:val="00362311"/>
    <w:rsid w:val="003635EB"/>
    <w:rsid w:val="0037604B"/>
    <w:rsid w:val="00376512"/>
    <w:rsid w:val="003769ED"/>
    <w:rsid w:val="00380383"/>
    <w:rsid w:val="00384A30"/>
    <w:rsid w:val="0039740D"/>
    <w:rsid w:val="003A0A86"/>
    <w:rsid w:val="003A0D4F"/>
    <w:rsid w:val="003A5917"/>
    <w:rsid w:val="003B12A3"/>
    <w:rsid w:val="003B1C1F"/>
    <w:rsid w:val="003B308B"/>
    <w:rsid w:val="003B3923"/>
    <w:rsid w:val="003B68BD"/>
    <w:rsid w:val="003B6D0D"/>
    <w:rsid w:val="003C0EEF"/>
    <w:rsid w:val="003C5038"/>
    <w:rsid w:val="003D1A83"/>
    <w:rsid w:val="003D71CB"/>
    <w:rsid w:val="003D75BA"/>
    <w:rsid w:val="003E3D22"/>
    <w:rsid w:val="003E55CD"/>
    <w:rsid w:val="003E5A8D"/>
    <w:rsid w:val="003E7568"/>
    <w:rsid w:val="003F32F2"/>
    <w:rsid w:val="003F486C"/>
    <w:rsid w:val="00410413"/>
    <w:rsid w:val="00411FB7"/>
    <w:rsid w:val="00427910"/>
    <w:rsid w:val="004338B3"/>
    <w:rsid w:val="004370A1"/>
    <w:rsid w:val="0044184D"/>
    <w:rsid w:val="00443DD9"/>
    <w:rsid w:val="00450ED1"/>
    <w:rsid w:val="004550F5"/>
    <w:rsid w:val="00457D41"/>
    <w:rsid w:val="00465298"/>
    <w:rsid w:val="00466ADF"/>
    <w:rsid w:val="00471A33"/>
    <w:rsid w:val="00472C95"/>
    <w:rsid w:val="00472D67"/>
    <w:rsid w:val="00473138"/>
    <w:rsid w:val="00490966"/>
    <w:rsid w:val="00496B86"/>
    <w:rsid w:val="004B5049"/>
    <w:rsid w:val="004B5DC7"/>
    <w:rsid w:val="004C0B59"/>
    <w:rsid w:val="004C5DD1"/>
    <w:rsid w:val="004D7CF5"/>
    <w:rsid w:val="004F061E"/>
    <w:rsid w:val="00506760"/>
    <w:rsid w:val="005108F4"/>
    <w:rsid w:val="0051092D"/>
    <w:rsid w:val="0052608E"/>
    <w:rsid w:val="005268BF"/>
    <w:rsid w:val="00535368"/>
    <w:rsid w:val="0054340F"/>
    <w:rsid w:val="0054715B"/>
    <w:rsid w:val="005520E8"/>
    <w:rsid w:val="005567B9"/>
    <w:rsid w:val="005605FC"/>
    <w:rsid w:val="005729FC"/>
    <w:rsid w:val="005769AB"/>
    <w:rsid w:val="00576E87"/>
    <w:rsid w:val="00577191"/>
    <w:rsid w:val="00577C30"/>
    <w:rsid w:val="00582179"/>
    <w:rsid w:val="00585B76"/>
    <w:rsid w:val="005A4652"/>
    <w:rsid w:val="005A4BEA"/>
    <w:rsid w:val="005B09D9"/>
    <w:rsid w:val="005B55C4"/>
    <w:rsid w:val="005C1D69"/>
    <w:rsid w:val="005C2E4A"/>
    <w:rsid w:val="005D0828"/>
    <w:rsid w:val="005D2E5C"/>
    <w:rsid w:val="005D5870"/>
    <w:rsid w:val="005E1985"/>
    <w:rsid w:val="005E1DA6"/>
    <w:rsid w:val="005E2F10"/>
    <w:rsid w:val="005F4899"/>
    <w:rsid w:val="006030EB"/>
    <w:rsid w:val="0060496F"/>
    <w:rsid w:val="00604D6B"/>
    <w:rsid w:val="0060646C"/>
    <w:rsid w:val="006121B3"/>
    <w:rsid w:val="00622C24"/>
    <w:rsid w:val="0062333D"/>
    <w:rsid w:val="00625CC4"/>
    <w:rsid w:val="0063405B"/>
    <w:rsid w:val="00634F8B"/>
    <w:rsid w:val="00661255"/>
    <w:rsid w:val="00664F2F"/>
    <w:rsid w:val="00673385"/>
    <w:rsid w:val="00677D55"/>
    <w:rsid w:val="00684902"/>
    <w:rsid w:val="006A09BC"/>
    <w:rsid w:val="006A52F3"/>
    <w:rsid w:val="006A703B"/>
    <w:rsid w:val="006B42DF"/>
    <w:rsid w:val="006B7F1F"/>
    <w:rsid w:val="006C16B7"/>
    <w:rsid w:val="006C6F06"/>
    <w:rsid w:val="006D314B"/>
    <w:rsid w:val="006D3AC4"/>
    <w:rsid w:val="006D4F55"/>
    <w:rsid w:val="006D5AC2"/>
    <w:rsid w:val="006E0E6E"/>
    <w:rsid w:val="006F6EB1"/>
    <w:rsid w:val="006F7559"/>
    <w:rsid w:val="007000E5"/>
    <w:rsid w:val="00700503"/>
    <w:rsid w:val="0070511A"/>
    <w:rsid w:val="007102F7"/>
    <w:rsid w:val="0071130A"/>
    <w:rsid w:val="00727609"/>
    <w:rsid w:val="0072769E"/>
    <w:rsid w:val="00731545"/>
    <w:rsid w:val="00731656"/>
    <w:rsid w:val="007475CD"/>
    <w:rsid w:val="0075055C"/>
    <w:rsid w:val="00762B28"/>
    <w:rsid w:val="007642B2"/>
    <w:rsid w:val="007719A9"/>
    <w:rsid w:val="00783D1A"/>
    <w:rsid w:val="00786D8C"/>
    <w:rsid w:val="00786EF4"/>
    <w:rsid w:val="00787EAF"/>
    <w:rsid w:val="007941C5"/>
    <w:rsid w:val="00797DE5"/>
    <w:rsid w:val="007A4619"/>
    <w:rsid w:val="007A68C0"/>
    <w:rsid w:val="007B118E"/>
    <w:rsid w:val="007C11FB"/>
    <w:rsid w:val="007C32D0"/>
    <w:rsid w:val="007D01D4"/>
    <w:rsid w:val="007D5B03"/>
    <w:rsid w:val="007E1CFC"/>
    <w:rsid w:val="007F056D"/>
    <w:rsid w:val="007F2C54"/>
    <w:rsid w:val="007F3D3D"/>
    <w:rsid w:val="00832FAA"/>
    <w:rsid w:val="008373A4"/>
    <w:rsid w:val="00842449"/>
    <w:rsid w:val="00866DD7"/>
    <w:rsid w:val="00867930"/>
    <w:rsid w:val="008B63E9"/>
    <w:rsid w:val="008C2193"/>
    <w:rsid w:val="008D46A4"/>
    <w:rsid w:val="008D46DB"/>
    <w:rsid w:val="008D565A"/>
    <w:rsid w:val="008F2593"/>
    <w:rsid w:val="008F49B3"/>
    <w:rsid w:val="00902937"/>
    <w:rsid w:val="00906922"/>
    <w:rsid w:val="00906CA6"/>
    <w:rsid w:val="00907351"/>
    <w:rsid w:val="0091139B"/>
    <w:rsid w:val="00914E3F"/>
    <w:rsid w:val="009202DB"/>
    <w:rsid w:val="00924364"/>
    <w:rsid w:val="009301E6"/>
    <w:rsid w:val="00931C2D"/>
    <w:rsid w:val="00934851"/>
    <w:rsid w:val="00934FAA"/>
    <w:rsid w:val="00940295"/>
    <w:rsid w:val="00950C40"/>
    <w:rsid w:val="009524CE"/>
    <w:rsid w:val="00952EAA"/>
    <w:rsid w:val="00961F9A"/>
    <w:rsid w:val="00976E0B"/>
    <w:rsid w:val="0098179C"/>
    <w:rsid w:val="00991A65"/>
    <w:rsid w:val="00994CD4"/>
    <w:rsid w:val="009A386A"/>
    <w:rsid w:val="009B0139"/>
    <w:rsid w:val="009B2AC4"/>
    <w:rsid w:val="009B30EF"/>
    <w:rsid w:val="009B3986"/>
    <w:rsid w:val="009B4B97"/>
    <w:rsid w:val="009C18C6"/>
    <w:rsid w:val="009C2575"/>
    <w:rsid w:val="009E53D1"/>
    <w:rsid w:val="00A22C71"/>
    <w:rsid w:val="00A24B6E"/>
    <w:rsid w:val="00A307DC"/>
    <w:rsid w:val="00A33FAF"/>
    <w:rsid w:val="00A62618"/>
    <w:rsid w:val="00A726B9"/>
    <w:rsid w:val="00A73A9D"/>
    <w:rsid w:val="00A75E03"/>
    <w:rsid w:val="00A80A09"/>
    <w:rsid w:val="00A80EF4"/>
    <w:rsid w:val="00A82CD2"/>
    <w:rsid w:val="00A836D6"/>
    <w:rsid w:val="00A86035"/>
    <w:rsid w:val="00A87313"/>
    <w:rsid w:val="00A92C4E"/>
    <w:rsid w:val="00A94B9A"/>
    <w:rsid w:val="00AA2E9B"/>
    <w:rsid w:val="00AA3A91"/>
    <w:rsid w:val="00AB27A0"/>
    <w:rsid w:val="00AB522B"/>
    <w:rsid w:val="00AC1032"/>
    <w:rsid w:val="00AC6D6C"/>
    <w:rsid w:val="00AD4712"/>
    <w:rsid w:val="00AD6CDC"/>
    <w:rsid w:val="00AE01BE"/>
    <w:rsid w:val="00AE2836"/>
    <w:rsid w:val="00AF1FF1"/>
    <w:rsid w:val="00AF5B3C"/>
    <w:rsid w:val="00B10614"/>
    <w:rsid w:val="00B13D7E"/>
    <w:rsid w:val="00B17629"/>
    <w:rsid w:val="00B22448"/>
    <w:rsid w:val="00B27B17"/>
    <w:rsid w:val="00B316DE"/>
    <w:rsid w:val="00B31B71"/>
    <w:rsid w:val="00B34F3B"/>
    <w:rsid w:val="00B40F09"/>
    <w:rsid w:val="00B50521"/>
    <w:rsid w:val="00B52F53"/>
    <w:rsid w:val="00B609B8"/>
    <w:rsid w:val="00B613F5"/>
    <w:rsid w:val="00B61F50"/>
    <w:rsid w:val="00B62EA2"/>
    <w:rsid w:val="00B642EC"/>
    <w:rsid w:val="00B65272"/>
    <w:rsid w:val="00B7407F"/>
    <w:rsid w:val="00B75DA3"/>
    <w:rsid w:val="00B809CD"/>
    <w:rsid w:val="00B866E6"/>
    <w:rsid w:val="00B87C19"/>
    <w:rsid w:val="00B96173"/>
    <w:rsid w:val="00BA6131"/>
    <w:rsid w:val="00BA6817"/>
    <w:rsid w:val="00BB4DA7"/>
    <w:rsid w:val="00BC0B7A"/>
    <w:rsid w:val="00BC7419"/>
    <w:rsid w:val="00BE56DF"/>
    <w:rsid w:val="00BF207D"/>
    <w:rsid w:val="00C14869"/>
    <w:rsid w:val="00C17F8A"/>
    <w:rsid w:val="00C37BE1"/>
    <w:rsid w:val="00C40262"/>
    <w:rsid w:val="00C42AFD"/>
    <w:rsid w:val="00C43364"/>
    <w:rsid w:val="00C4751D"/>
    <w:rsid w:val="00C5497C"/>
    <w:rsid w:val="00C557C4"/>
    <w:rsid w:val="00C56CCC"/>
    <w:rsid w:val="00C6021F"/>
    <w:rsid w:val="00C643D2"/>
    <w:rsid w:val="00C73AAB"/>
    <w:rsid w:val="00C80F51"/>
    <w:rsid w:val="00C81E64"/>
    <w:rsid w:val="00CA1B38"/>
    <w:rsid w:val="00CA62F2"/>
    <w:rsid w:val="00CA72BD"/>
    <w:rsid w:val="00CB3559"/>
    <w:rsid w:val="00CB6F2E"/>
    <w:rsid w:val="00CC0F45"/>
    <w:rsid w:val="00CC15BC"/>
    <w:rsid w:val="00CC424C"/>
    <w:rsid w:val="00CC54FE"/>
    <w:rsid w:val="00CD3D1C"/>
    <w:rsid w:val="00CD41B5"/>
    <w:rsid w:val="00CE0279"/>
    <w:rsid w:val="00CE61A4"/>
    <w:rsid w:val="00CF31EE"/>
    <w:rsid w:val="00CF62E7"/>
    <w:rsid w:val="00D03D46"/>
    <w:rsid w:val="00D2053C"/>
    <w:rsid w:val="00D450AD"/>
    <w:rsid w:val="00D5075F"/>
    <w:rsid w:val="00D81036"/>
    <w:rsid w:val="00D85DA2"/>
    <w:rsid w:val="00DA0627"/>
    <w:rsid w:val="00DA3755"/>
    <w:rsid w:val="00DD0ADB"/>
    <w:rsid w:val="00DD1E57"/>
    <w:rsid w:val="00DD2C56"/>
    <w:rsid w:val="00DE3F5F"/>
    <w:rsid w:val="00DE5390"/>
    <w:rsid w:val="00DF456B"/>
    <w:rsid w:val="00DF4CC3"/>
    <w:rsid w:val="00DF6C17"/>
    <w:rsid w:val="00DF7D43"/>
    <w:rsid w:val="00E14EF7"/>
    <w:rsid w:val="00E1702B"/>
    <w:rsid w:val="00E20962"/>
    <w:rsid w:val="00E22597"/>
    <w:rsid w:val="00E25312"/>
    <w:rsid w:val="00E3193D"/>
    <w:rsid w:val="00E3768F"/>
    <w:rsid w:val="00E55218"/>
    <w:rsid w:val="00E62CC7"/>
    <w:rsid w:val="00E647DC"/>
    <w:rsid w:val="00E752A7"/>
    <w:rsid w:val="00E76494"/>
    <w:rsid w:val="00E7721A"/>
    <w:rsid w:val="00E80BA0"/>
    <w:rsid w:val="00E8399B"/>
    <w:rsid w:val="00E91B2C"/>
    <w:rsid w:val="00E95671"/>
    <w:rsid w:val="00E96C36"/>
    <w:rsid w:val="00EA0FE4"/>
    <w:rsid w:val="00EA5D3C"/>
    <w:rsid w:val="00EB42CF"/>
    <w:rsid w:val="00EB66C5"/>
    <w:rsid w:val="00EC11BA"/>
    <w:rsid w:val="00EC298C"/>
    <w:rsid w:val="00EC4D88"/>
    <w:rsid w:val="00EC79EF"/>
    <w:rsid w:val="00ED2EC1"/>
    <w:rsid w:val="00ED411B"/>
    <w:rsid w:val="00EE1A5C"/>
    <w:rsid w:val="00EF04C4"/>
    <w:rsid w:val="00EF59AC"/>
    <w:rsid w:val="00EF718B"/>
    <w:rsid w:val="00F03161"/>
    <w:rsid w:val="00F04AAB"/>
    <w:rsid w:val="00F079B0"/>
    <w:rsid w:val="00F14329"/>
    <w:rsid w:val="00F17D52"/>
    <w:rsid w:val="00F20A8B"/>
    <w:rsid w:val="00F23BE1"/>
    <w:rsid w:val="00F37822"/>
    <w:rsid w:val="00F46344"/>
    <w:rsid w:val="00F46A3B"/>
    <w:rsid w:val="00F46D9B"/>
    <w:rsid w:val="00F51C08"/>
    <w:rsid w:val="00F63031"/>
    <w:rsid w:val="00F72345"/>
    <w:rsid w:val="00F81D54"/>
    <w:rsid w:val="00F8781D"/>
    <w:rsid w:val="00F90C5C"/>
    <w:rsid w:val="00F910AC"/>
    <w:rsid w:val="00F93441"/>
    <w:rsid w:val="00F93A44"/>
    <w:rsid w:val="00F96D70"/>
    <w:rsid w:val="00FA6BA5"/>
    <w:rsid w:val="00FA7751"/>
    <w:rsid w:val="00FB422A"/>
    <w:rsid w:val="00FC1275"/>
    <w:rsid w:val="00FC1D30"/>
    <w:rsid w:val="00FC2284"/>
    <w:rsid w:val="00FC2741"/>
    <w:rsid w:val="00FD64A0"/>
    <w:rsid w:val="00FE3F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847B"/>
  <w15:chartTrackingRefBased/>
  <w15:docId w15:val="{5E6CACDD-45FD-4479-B514-47F9B9C9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55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75055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1740EF"/>
    <w:pPr>
      <w:keepNext/>
      <w:outlineLvl w:val="1"/>
    </w:pPr>
    <w:rPr>
      <w:b/>
      <w:sz w:val="28"/>
      <w:szCs w:val="28"/>
    </w:rPr>
  </w:style>
  <w:style w:type="paragraph" w:styleId="Heading3">
    <w:name w:val="heading 3"/>
    <w:basedOn w:val="Normal"/>
    <w:next w:val="Normal"/>
    <w:link w:val="Heading3Char"/>
    <w:uiPriority w:val="9"/>
    <w:unhideWhenUsed/>
    <w:qFormat/>
    <w:rsid w:val="001740EF"/>
    <w:pPr>
      <w:keepNext/>
      <w:outlineLvl w:val="2"/>
    </w:pPr>
    <w:rPr>
      <w:b/>
      <w:sz w:val="24"/>
      <w:szCs w:val="24"/>
    </w:rPr>
  </w:style>
  <w:style w:type="paragraph" w:styleId="Heading6">
    <w:name w:val="heading 6"/>
    <w:basedOn w:val="Normal"/>
    <w:next w:val="Normal"/>
    <w:link w:val="Heading6Char"/>
    <w:uiPriority w:val="9"/>
    <w:semiHidden/>
    <w:unhideWhenUsed/>
    <w:qFormat/>
    <w:rsid w:val="00F46A3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55C"/>
    <w:rPr>
      <w:rFonts w:ascii="Cambria" w:eastAsia="Times New Roman" w:hAnsi="Cambria" w:cs="Times New Roman"/>
      <w:b/>
      <w:bCs/>
      <w:noProof/>
      <w:color w:val="365F91"/>
      <w:sz w:val="28"/>
      <w:szCs w:val="28"/>
    </w:rPr>
  </w:style>
  <w:style w:type="character" w:styleId="CommentReference">
    <w:name w:val="annotation reference"/>
    <w:basedOn w:val="DefaultParagraphFont"/>
    <w:uiPriority w:val="99"/>
    <w:semiHidden/>
    <w:unhideWhenUsed/>
    <w:rsid w:val="00F90C5C"/>
    <w:rPr>
      <w:sz w:val="16"/>
      <w:szCs w:val="16"/>
    </w:rPr>
  </w:style>
  <w:style w:type="paragraph" w:styleId="CommentText">
    <w:name w:val="annotation text"/>
    <w:basedOn w:val="Normal"/>
    <w:link w:val="CommentTextChar"/>
    <w:uiPriority w:val="99"/>
    <w:semiHidden/>
    <w:unhideWhenUsed/>
    <w:rsid w:val="00F90C5C"/>
    <w:pPr>
      <w:spacing w:line="240" w:lineRule="auto"/>
    </w:pPr>
    <w:rPr>
      <w:sz w:val="20"/>
      <w:szCs w:val="20"/>
    </w:rPr>
  </w:style>
  <w:style w:type="character" w:customStyle="1" w:styleId="CommentTextChar">
    <w:name w:val="Comment Text Char"/>
    <w:basedOn w:val="DefaultParagraphFont"/>
    <w:link w:val="CommentText"/>
    <w:uiPriority w:val="99"/>
    <w:semiHidden/>
    <w:rsid w:val="00F90C5C"/>
    <w:rPr>
      <w:rFonts w:ascii="Calibri" w:eastAsia="Calibri" w:hAnsi="Calibri" w:cs="Times New Roman"/>
      <w:noProof/>
      <w:sz w:val="20"/>
      <w:szCs w:val="20"/>
    </w:rPr>
  </w:style>
  <w:style w:type="paragraph" w:styleId="CommentSubject">
    <w:name w:val="annotation subject"/>
    <w:basedOn w:val="CommentText"/>
    <w:next w:val="CommentText"/>
    <w:link w:val="CommentSubjectChar"/>
    <w:uiPriority w:val="99"/>
    <w:semiHidden/>
    <w:unhideWhenUsed/>
    <w:rsid w:val="00F90C5C"/>
    <w:rPr>
      <w:b/>
      <w:bCs/>
    </w:rPr>
  </w:style>
  <w:style w:type="character" w:customStyle="1" w:styleId="CommentSubjectChar">
    <w:name w:val="Comment Subject Char"/>
    <w:basedOn w:val="CommentTextChar"/>
    <w:link w:val="CommentSubject"/>
    <w:uiPriority w:val="99"/>
    <w:semiHidden/>
    <w:rsid w:val="00F90C5C"/>
    <w:rPr>
      <w:rFonts w:ascii="Calibri" w:eastAsia="Calibri" w:hAnsi="Calibri" w:cs="Times New Roman"/>
      <w:b/>
      <w:bCs/>
      <w:noProof/>
      <w:sz w:val="20"/>
      <w:szCs w:val="20"/>
    </w:rPr>
  </w:style>
  <w:style w:type="paragraph" w:styleId="BalloonText">
    <w:name w:val="Balloon Text"/>
    <w:basedOn w:val="Normal"/>
    <w:link w:val="BalloonTextChar"/>
    <w:uiPriority w:val="99"/>
    <w:semiHidden/>
    <w:unhideWhenUsed/>
    <w:rsid w:val="00F90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C5C"/>
    <w:rPr>
      <w:rFonts w:ascii="Segoe UI" w:eastAsia="Calibri" w:hAnsi="Segoe UI" w:cs="Segoe UI"/>
      <w:noProof/>
      <w:sz w:val="18"/>
      <w:szCs w:val="18"/>
    </w:rPr>
  </w:style>
  <w:style w:type="paragraph" w:styleId="FootnoteText">
    <w:name w:val="footnote text"/>
    <w:basedOn w:val="Normal"/>
    <w:link w:val="FootnoteTextChar"/>
    <w:uiPriority w:val="99"/>
    <w:semiHidden/>
    <w:unhideWhenUsed/>
    <w:rsid w:val="0054340F"/>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54340F"/>
    <w:rPr>
      <w:sz w:val="20"/>
      <w:szCs w:val="20"/>
    </w:rPr>
  </w:style>
  <w:style w:type="character" w:styleId="FootnoteReference">
    <w:name w:val="footnote reference"/>
    <w:basedOn w:val="DefaultParagraphFont"/>
    <w:uiPriority w:val="99"/>
    <w:semiHidden/>
    <w:unhideWhenUsed/>
    <w:rsid w:val="0054340F"/>
    <w:rPr>
      <w:vertAlign w:val="superscript"/>
    </w:rPr>
  </w:style>
  <w:style w:type="paragraph" w:styleId="ListParagraph">
    <w:name w:val="List Paragraph"/>
    <w:basedOn w:val="Normal"/>
    <w:uiPriority w:val="34"/>
    <w:qFormat/>
    <w:rsid w:val="0054340F"/>
    <w:pPr>
      <w:ind w:left="720"/>
      <w:contextualSpacing/>
    </w:pPr>
  </w:style>
  <w:style w:type="paragraph" w:styleId="Header">
    <w:name w:val="header"/>
    <w:basedOn w:val="Normal"/>
    <w:link w:val="HeaderChar"/>
    <w:uiPriority w:val="99"/>
    <w:unhideWhenUsed/>
    <w:rsid w:val="00FA77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751"/>
    <w:rPr>
      <w:rFonts w:ascii="Calibri" w:eastAsia="Calibri" w:hAnsi="Calibri" w:cs="Times New Roman"/>
      <w:noProof/>
    </w:rPr>
  </w:style>
  <w:style w:type="paragraph" w:styleId="Footer">
    <w:name w:val="footer"/>
    <w:basedOn w:val="Normal"/>
    <w:link w:val="FooterChar"/>
    <w:uiPriority w:val="99"/>
    <w:unhideWhenUsed/>
    <w:rsid w:val="00FA7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751"/>
    <w:rPr>
      <w:rFonts w:ascii="Calibri" w:eastAsia="Calibri" w:hAnsi="Calibri" w:cs="Times New Roman"/>
      <w:noProof/>
    </w:rPr>
  </w:style>
  <w:style w:type="character" w:customStyle="1" w:styleId="Heading6Char">
    <w:name w:val="Heading 6 Char"/>
    <w:basedOn w:val="DefaultParagraphFont"/>
    <w:link w:val="Heading6"/>
    <w:uiPriority w:val="9"/>
    <w:semiHidden/>
    <w:rsid w:val="00F46A3B"/>
    <w:rPr>
      <w:rFonts w:asciiTheme="majorHAnsi" w:eastAsiaTheme="majorEastAsia" w:hAnsiTheme="majorHAnsi" w:cstheme="majorBidi"/>
      <w:noProof/>
      <w:color w:val="1F4D78" w:themeColor="accent1" w:themeShade="7F"/>
    </w:rPr>
  </w:style>
  <w:style w:type="paragraph" w:customStyle="1" w:styleId="Default">
    <w:name w:val="Default"/>
    <w:rsid w:val="00443DD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1740EF"/>
    <w:rPr>
      <w:rFonts w:ascii="Calibri" w:eastAsia="Calibri" w:hAnsi="Calibri" w:cs="Times New Roman"/>
      <w:b/>
      <w:sz w:val="28"/>
      <w:szCs w:val="28"/>
    </w:rPr>
  </w:style>
  <w:style w:type="character" w:customStyle="1" w:styleId="Heading3Char">
    <w:name w:val="Heading 3 Char"/>
    <w:basedOn w:val="DefaultParagraphFont"/>
    <w:link w:val="Heading3"/>
    <w:uiPriority w:val="9"/>
    <w:rsid w:val="001740EF"/>
    <w:rPr>
      <w:rFonts w:ascii="Calibri" w:eastAsia="Calibri" w:hAnsi="Calibri"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94724">
      <w:bodyDiv w:val="1"/>
      <w:marLeft w:val="0"/>
      <w:marRight w:val="0"/>
      <w:marTop w:val="0"/>
      <w:marBottom w:val="0"/>
      <w:divBdr>
        <w:top w:val="none" w:sz="0" w:space="0" w:color="auto"/>
        <w:left w:val="none" w:sz="0" w:space="0" w:color="auto"/>
        <w:bottom w:val="none" w:sz="0" w:space="0" w:color="auto"/>
        <w:right w:val="none" w:sz="0" w:space="0" w:color="auto"/>
      </w:divBdr>
    </w:div>
    <w:div w:id="197972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92554A6B7EF14DB4F709442B0AE1B1" ma:contentTypeVersion="0" ma:contentTypeDescription="Create a new document." ma:contentTypeScope="" ma:versionID="9e1ca80f86dfc5a3bcae2af2551409a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0EAAD-0B2B-4BBF-A657-ACDA9880029B}">
  <ds:schemaRefs>
    <ds:schemaRef ds:uri="http://schemas.microsoft.com/sharepoint/v3/contenttype/forms"/>
  </ds:schemaRefs>
</ds:datastoreItem>
</file>

<file path=customXml/itemProps2.xml><?xml version="1.0" encoding="utf-8"?>
<ds:datastoreItem xmlns:ds="http://schemas.openxmlformats.org/officeDocument/2006/customXml" ds:itemID="{FD1A2B19-A752-4C7E-8812-8D2DBC0E547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A2639C4-F088-4BFC-AD02-AD72B8F93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5BAE54-3573-4DD5-B627-CB74085AF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1225</Words>
  <Characters>6273</Characters>
  <Application>Microsoft Office Word</Application>
  <DocSecurity>0</DocSecurity>
  <Lines>202</Lines>
  <Paragraphs>110</Paragraphs>
  <ScaleCrop>false</ScaleCrop>
  <HeadingPairs>
    <vt:vector size="2" baseType="variant">
      <vt:variant>
        <vt:lpstr>Title</vt:lpstr>
      </vt:variant>
      <vt:variant>
        <vt:i4>1</vt:i4>
      </vt:variant>
    </vt:vector>
  </HeadingPairs>
  <TitlesOfParts>
    <vt:vector size="1" baseType="lpstr">
      <vt:lpstr>Telecommunications (Network Exemption—TransACT Very Small Scale Networks) Instrument 2012 (Amendment No.1 of 2020)</vt:lpstr>
    </vt:vector>
  </TitlesOfParts>
  <Company>Department of Infrastructure, Regional Development, Transport and Communications</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note—Telecommunications (Network Exemption—TransACT Very Small Scale Networks) Instrument 2012 (Amendment No.1 of 2020)</dc:title>
  <dc:subject/>
  <dc:creator>Department of Infrastructure, Regional Development, Transport and Communications</dc:creator>
  <cp:keywords/>
  <dc:description/>
  <cp:lastModifiedBy>Hall, Theresa</cp:lastModifiedBy>
  <cp:revision>7</cp:revision>
  <cp:lastPrinted>2020-02-24T00:32:00Z</cp:lastPrinted>
  <dcterms:created xsi:type="dcterms:W3CDTF">2020-06-23T08:19:00Z</dcterms:created>
  <dcterms:modified xsi:type="dcterms:W3CDTF">2020-07-01T04:51:00Z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0x0101003492554A6B7EF14DB4F709442B0AE1B1</vt:lpwstr>
  </property>
  <property fmtid="{D5CDD505-2E9C-101B-9397-08002B2CF9AE}" pid="3" name="TrimRevisionNumber">
    <vt:i4>4</vt:i4>
  </property>
</Properties>
</file>