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48F77F" w14:textId="77777777" w:rsidR="00BB5378" w:rsidRDefault="00BB5378" w:rsidP="00BB5378">
      <w:pPr>
        <w:pStyle w:val="HP"/>
        <w:keepNext w:val="0"/>
        <w:spacing w:before="0"/>
      </w:pPr>
    </w:p>
    <w:p w14:paraId="234BC1EB" w14:textId="77777777" w:rsidR="00BB5378" w:rsidRDefault="00BB5378" w:rsidP="00BB5378">
      <w:pPr>
        <w:rPr>
          <w:rFonts w:ascii="Times" w:hAnsi="Times" w:cs="Times"/>
          <w:sz w:val="26"/>
          <w:szCs w:val="26"/>
          <w:lang w:eastAsia="en-AU"/>
        </w:rPr>
      </w:pPr>
    </w:p>
    <w:p w14:paraId="2C5B14BC" w14:textId="77777777" w:rsidR="00BB5378" w:rsidRPr="00ED7DF4" w:rsidRDefault="00BB5378" w:rsidP="00BB5378">
      <w:pPr>
        <w:pStyle w:val="HP"/>
        <w:keepNext w:val="0"/>
        <w:spacing w:before="0"/>
      </w:pPr>
      <w:r w:rsidRPr="00ED7DF4">
        <w:t>Commonwealth of Australia</w:t>
      </w:r>
    </w:p>
    <w:p w14:paraId="3D374B43" w14:textId="77777777" w:rsidR="00BB5378" w:rsidRPr="00ED7DF4" w:rsidRDefault="00BB5378" w:rsidP="00BB5378">
      <w:pPr>
        <w:jc w:val="center"/>
        <w:rPr>
          <w:b/>
          <w:bCs/>
        </w:rPr>
      </w:pPr>
    </w:p>
    <w:p w14:paraId="0D4F1073" w14:textId="77777777" w:rsidR="00BB5378" w:rsidRDefault="00BB5378" w:rsidP="00BB5378">
      <w:pPr>
        <w:pStyle w:val="Heading6"/>
        <w:numPr>
          <w:ilvl w:val="0"/>
          <w:numId w:val="0"/>
        </w:numPr>
        <w:jc w:val="center"/>
        <w:rPr>
          <w:i/>
        </w:rPr>
      </w:pPr>
      <w:r w:rsidRPr="00ED7DF4">
        <w:rPr>
          <w:i/>
        </w:rPr>
        <w:t>Telecommunications Act 1997</w:t>
      </w:r>
    </w:p>
    <w:p w14:paraId="2D36CDB7" w14:textId="77777777" w:rsidR="00BB5378" w:rsidRPr="00ED7DF4" w:rsidRDefault="00BB5378" w:rsidP="00BB5378">
      <w:pPr>
        <w:pStyle w:val="Heading6"/>
        <w:numPr>
          <w:ilvl w:val="0"/>
          <w:numId w:val="0"/>
        </w:numPr>
        <w:jc w:val="center"/>
        <w:rPr>
          <w:i/>
        </w:rPr>
      </w:pPr>
    </w:p>
    <w:p w14:paraId="2A7EB954" w14:textId="77777777" w:rsidR="00BB5378" w:rsidRPr="00ED7DF4" w:rsidRDefault="00BB5378" w:rsidP="00EA24F1">
      <w:pPr>
        <w:pStyle w:val="Title"/>
        <w:spacing w:before="0"/>
        <w:outlineLvl w:val="9"/>
      </w:pPr>
    </w:p>
    <w:p w14:paraId="5A9888CE" w14:textId="5F9FA383" w:rsidR="00BB5378" w:rsidRPr="00170AC0" w:rsidRDefault="00BB5378" w:rsidP="00BB5378">
      <w:pPr>
        <w:pStyle w:val="Title"/>
        <w:spacing w:before="0" w:line="276" w:lineRule="auto"/>
        <w:rPr>
          <w:rFonts w:ascii="Arial" w:hAnsi="Arial" w:cs="Arial"/>
          <w:color w:val="000000"/>
          <w:sz w:val="32"/>
          <w:szCs w:val="32"/>
        </w:rPr>
      </w:pPr>
      <w:r w:rsidRPr="00170AC0">
        <w:rPr>
          <w:rFonts w:ascii="Arial" w:hAnsi="Arial" w:cs="Arial"/>
          <w:sz w:val="32"/>
          <w:szCs w:val="32"/>
        </w:rPr>
        <w:t>Telecommunications (Network Exemption—</w:t>
      </w:r>
      <w:proofErr w:type="spellStart"/>
      <w:r w:rsidR="00510F19" w:rsidRPr="00170AC0">
        <w:rPr>
          <w:rFonts w:ascii="Arial" w:hAnsi="Arial" w:cs="Arial"/>
          <w:sz w:val="32"/>
          <w:szCs w:val="32"/>
        </w:rPr>
        <w:t>TransACT</w:t>
      </w:r>
      <w:proofErr w:type="spellEnd"/>
      <w:r w:rsidR="00510F19" w:rsidRPr="00170AC0">
        <w:rPr>
          <w:rFonts w:ascii="Arial" w:hAnsi="Arial" w:cs="Arial"/>
          <w:sz w:val="32"/>
          <w:szCs w:val="32"/>
        </w:rPr>
        <w:t xml:space="preserve"> Upgraded VDSL Networks) Instrument 2012 (Amendment No.1 of 2020) </w:t>
      </w:r>
    </w:p>
    <w:p w14:paraId="28C53701" w14:textId="77777777" w:rsidR="00BB5378" w:rsidRDefault="00BB5378" w:rsidP="00BB5378"/>
    <w:p w14:paraId="30DBF7FB" w14:textId="1DD199EB" w:rsidR="00BB5378" w:rsidRDefault="00BB5378" w:rsidP="00BB5378">
      <w:r>
        <w:t xml:space="preserve">I, </w:t>
      </w:r>
      <w:r w:rsidR="007E4901">
        <w:t>PAUL FLETCHER</w:t>
      </w:r>
      <w:r>
        <w:t>, Minister for Communications,</w:t>
      </w:r>
      <w:r w:rsidR="007E4901">
        <w:t xml:space="preserve"> Cyber Safety and the Arts</w:t>
      </w:r>
      <w:r>
        <w:t xml:space="preserve"> make the following Instrument under </w:t>
      </w:r>
      <w:proofErr w:type="spellStart"/>
      <w:r w:rsidR="00402E11" w:rsidRPr="00402E11">
        <w:t>subitem</w:t>
      </w:r>
      <w:proofErr w:type="spellEnd"/>
      <w:r w:rsidR="00402E11" w:rsidRPr="00402E11">
        <w:t xml:space="preserve"> 27(1) of Schedule 1 to the </w:t>
      </w:r>
      <w:r w:rsidR="00402E11" w:rsidRPr="00FD6AB6">
        <w:rPr>
          <w:i/>
        </w:rPr>
        <w:t>Telecommunications Legislation Amendment (Competition and Consumer) Act 2020</w:t>
      </w:r>
      <w:r w:rsidR="00402E11" w:rsidRPr="00402E11">
        <w:t xml:space="preserve"> </w:t>
      </w:r>
      <w:r>
        <w:t xml:space="preserve">and subsection 144(1) of the </w:t>
      </w:r>
      <w:r>
        <w:rPr>
          <w:i/>
        </w:rPr>
        <w:t>Telecommunications Act 1997</w:t>
      </w:r>
      <w:r>
        <w:t>.</w:t>
      </w:r>
    </w:p>
    <w:p w14:paraId="01C53121" w14:textId="77777777" w:rsidR="00BB5378" w:rsidRDefault="00BB5378" w:rsidP="00BB5378"/>
    <w:p w14:paraId="249FFC43" w14:textId="77777777" w:rsidR="00926BF3" w:rsidRDefault="00926BF3" w:rsidP="00926BF3"/>
    <w:p w14:paraId="289D6637" w14:textId="77777777" w:rsidR="00926BF3" w:rsidRDefault="00926BF3" w:rsidP="00926BF3">
      <w:r>
        <w:t>Dated 16 June 2020</w:t>
      </w:r>
    </w:p>
    <w:p w14:paraId="39671795" w14:textId="77777777" w:rsidR="00926BF3" w:rsidRDefault="00926BF3" w:rsidP="00926BF3">
      <w:r>
        <w:t>Signature of Paul Fletcher</w:t>
      </w:r>
    </w:p>
    <w:p w14:paraId="43009388" w14:textId="77777777" w:rsidR="00926BF3" w:rsidRDefault="00926BF3" w:rsidP="00926BF3">
      <w:r>
        <w:t>Minister for Communications, Cyber Safety and the Arts</w:t>
      </w:r>
    </w:p>
    <w:p w14:paraId="2DA29D50" w14:textId="3584836E" w:rsidR="00BB5378" w:rsidRDefault="00223781" w:rsidP="00BB5378">
      <w:r>
        <w:rPr>
          <w:noProof/>
          <w:lang w:eastAsia="en-AU"/>
        </w:rPr>
        <w:drawing>
          <wp:inline distT="0" distB="0" distL="0" distR="0" wp14:anchorId="37B2E2AF" wp14:editId="26354DF4">
            <wp:extent cx="4657725" cy="1696214"/>
            <wp:effectExtent l="0" t="0" r="0" b="0"/>
            <wp:docPr id="1" name="Picture 1" descr="&#10;Dated 22 June 2020&#10;Signature of Paul Fletcher&#10;Minister for Communications, Cyber Safety and the Arts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682204" cy="1705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B5378" w:rsidRPr="00ED7DF4">
        <w:t>_________________________________________________________________</w:t>
      </w:r>
    </w:p>
    <w:p w14:paraId="5279DA5B" w14:textId="77777777" w:rsidR="00BB5378" w:rsidRPr="00ED7DF4" w:rsidRDefault="00BB5378" w:rsidP="00BB5378">
      <w:pPr>
        <w:pStyle w:val="HR"/>
        <w:numPr>
          <w:ilvl w:val="0"/>
          <w:numId w:val="2"/>
        </w:numPr>
        <w:tabs>
          <w:tab w:val="clear" w:pos="540"/>
        </w:tabs>
        <w:spacing w:before="400" w:line="300" w:lineRule="atLeast"/>
        <w:jc w:val="left"/>
        <w:rPr>
          <w:rFonts w:ascii="Arial" w:hAnsi="Arial" w:cs="Arial"/>
        </w:rPr>
      </w:pPr>
      <w:r w:rsidRPr="00ED7DF4">
        <w:rPr>
          <w:rFonts w:ascii="Arial" w:hAnsi="Arial" w:cs="Arial"/>
        </w:rPr>
        <w:t xml:space="preserve">Name of </w:t>
      </w:r>
      <w:r>
        <w:rPr>
          <w:rFonts w:ascii="Arial" w:hAnsi="Arial" w:cs="Arial"/>
        </w:rPr>
        <w:t xml:space="preserve">Exemption </w:t>
      </w:r>
      <w:r w:rsidRPr="00ED7DF4">
        <w:rPr>
          <w:rFonts w:ascii="Arial" w:hAnsi="Arial" w:cs="Arial"/>
        </w:rPr>
        <w:t>Instrument</w:t>
      </w:r>
    </w:p>
    <w:p w14:paraId="27BABC29" w14:textId="60C0916F" w:rsidR="00BB5378" w:rsidRPr="005B2B57" w:rsidRDefault="00BB5378" w:rsidP="00BB5378">
      <w:pPr>
        <w:spacing w:before="120" w:line="300" w:lineRule="atLeast"/>
        <w:ind w:left="567"/>
        <w:rPr>
          <w:rFonts w:ascii="Times" w:hAnsi="Times" w:cs="Times"/>
        </w:rPr>
      </w:pPr>
      <w:r w:rsidRPr="005B2B57">
        <w:rPr>
          <w:rFonts w:ascii="Times" w:hAnsi="Times" w:cs="Times"/>
        </w:rPr>
        <w:t xml:space="preserve">This Instrument is the </w:t>
      </w:r>
      <w:r w:rsidR="00510F19" w:rsidRPr="00510F19">
        <w:rPr>
          <w:rFonts w:ascii="Times" w:hAnsi="Times" w:cs="Times"/>
          <w:i/>
        </w:rPr>
        <w:t>Telecommunications (Network Exemption—</w:t>
      </w:r>
      <w:proofErr w:type="spellStart"/>
      <w:r w:rsidR="00510F19" w:rsidRPr="00510F19">
        <w:rPr>
          <w:rFonts w:ascii="Times" w:hAnsi="Times" w:cs="Times"/>
          <w:i/>
        </w:rPr>
        <w:t>TransACT</w:t>
      </w:r>
      <w:proofErr w:type="spellEnd"/>
      <w:r w:rsidR="00510F19" w:rsidRPr="00510F19">
        <w:rPr>
          <w:rFonts w:ascii="Times" w:hAnsi="Times" w:cs="Times"/>
          <w:i/>
        </w:rPr>
        <w:t xml:space="preserve"> Upgraded VDSL Networks) Instrument 2012 (Amendment No.1 of 2020)</w:t>
      </w:r>
      <w:r w:rsidRPr="005B2B57">
        <w:rPr>
          <w:rFonts w:ascii="Times" w:hAnsi="Times" w:cs="Times"/>
        </w:rPr>
        <w:t>.</w:t>
      </w:r>
    </w:p>
    <w:p w14:paraId="41D14856" w14:textId="77777777" w:rsidR="00BB5378" w:rsidRPr="00ED7DF4" w:rsidRDefault="00BB5378" w:rsidP="00BB5378">
      <w:pPr>
        <w:pStyle w:val="HR"/>
        <w:numPr>
          <w:ilvl w:val="0"/>
          <w:numId w:val="2"/>
        </w:numPr>
        <w:tabs>
          <w:tab w:val="clear" w:pos="540"/>
        </w:tabs>
        <w:spacing w:before="400" w:line="300" w:lineRule="atLeast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Commencement </w:t>
      </w:r>
    </w:p>
    <w:p w14:paraId="14D0E41C" w14:textId="77777777" w:rsidR="00BB5378" w:rsidRDefault="00BB5378" w:rsidP="00BB5378">
      <w:pPr>
        <w:ind w:left="502"/>
      </w:pPr>
    </w:p>
    <w:p w14:paraId="21108AC9" w14:textId="2B0A6A9B" w:rsidR="003A5869" w:rsidRDefault="00BB5378" w:rsidP="007D4BAE">
      <w:pPr>
        <w:ind w:left="502"/>
      </w:pPr>
      <w:r w:rsidRPr="009272F6">
        <w:t>This Instrument c</w:t>
      </w:r>
      <w:r>
        <w:t xml:space="preserve">ommences on the day it is signed. </w:t>
      </w:r>
    </w:p>
    <w:p w14:paraId="12A90A61" w14:textId="12139B7A" w:rsidR="003A5869" w:rsidRPr="003A5869" w:rsidRDefault="00DE1B84" w:rsidP="003A5869">
      <w:pPr>
        <w:pStyle w:val="HR"/>
        <w:numPr>
          <w:ilvl w:val="0"/>
          <w:numId w:val="2"/>
        </w:numPr>
        <w:tabs>
          <w:tab w:val="clear" w:pos="540"/>
        </w:tabs>
        <w:spacing w:before="400" w:line="300" w:lineRule="atLeast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Amendment </w:t>
      </w:r>
    </w:p>
    <w:p w14:paraId="79FFD80B" w14:textId="77777777" w:rsidR="003A5869" w:rsidRPr="003A5869" w:rsidRDefault="003A5869" w:rsidP="003A5869">
      <w:pPr>
        <w:ind w:left="502"/>
      </w:pPr>
    </w:p>
    <w:p w14:paraId="01F838D7" w14:textId="757BE7C6" w:rsidR="00DE1B84" w:rsidRDefault="00DE1B84" w:rsidP="00DE1B84">
      <w:pPr>
        <w:ind w:left="502"/>
      </w:pPr>
      <w:r>
        <w:t xml:space="preserve">The </w:t>
      </w:r>
      <w:r w:rsidRPr="00DE1B84">
        <w:rPr>
          <w:i/>
        </w:rPr>
        <w:t>Telecommunications (Network Exemption—</w:t>
      </w:r>
      <w:proofErr w:type="spellStart"/>
      <w:r w:rsidRPr="00DE1B84">
        <w:rPr>
          <w:i/>
        </w:rPr>
        <w:t>TransACT</w:t>
      </w:r>
      <w:proofErr w:type="spellEnd"/>
      <w:r w:rsidRPr="00DE1B84">
        <w:rPr>
          <w:i/>
        </w:rPr>
        <w:t xml:space="preserve"> Upgraded VDSL Networks) Instrument 2012</w:t>
      </w:r>
      <w:r>
        <w:t xml:space="preserve"> </w:t>
      </w:r>
      <w:r w:rsidR="00CA03F9">
        <w:t xml:space="preserve">(incorporating amendments up to 30 May 2012) </w:t>
      </w:r>
      <w:r>
        <w:t>is amended as set out in the Schedule to this Instrument.</w:t>
      </w:r>
    </w:p>
    <w:p w14:paraId="3233DE79" w14:textId="30440D7D" w:rsidR="00DE1B84" w:rsidRPr="00CA5AD2" w:rsidRDefault="00DE1B84" w:rsidP="00FD6AB6">
      <w:pPr>
        <w:pStyle w:val="HR"/>
        <w:tabs>
          <w:tab w:val="clear" w:pos="540"/>
          <w:tab w:val="left" w:pos="7270"/>
        </w:tabs>
        <w:spacing w:before="400" w:line="300" w:lineRule="atLeast"/>
        <w:jc w:val="left"/>
        <w:rPr>
          <w:rFonts w:ascii="Arial" w:hAnsi="Arial" w:cs="Arial"/>
          <w:sz w:val="32"/>
          <w:szCs w:val="32"/>
        </w:rPr>
      </w:pPr>
      <w:r>
        <w:br w:type="column"/>
      </w:r>
      <w:bookmarkStart w:id="0" w:name="_Toc36034751"/>
      <w:r w:rsidRPr="00CA5AD2">
        <w:rPr>
          <w:rStyle w:val="CharAmSchNo"/>
          <w:rFonts w:ascii="Arial" w:hAnsi="Arial" w:cs="Arial"/>
          <w:sz w:val="32"/>
          <w:szCs w:val="32"/>
        </w:rPr>
        <w:lastRenderedPageBreak/>
        <w:t>Schedule</w:t>
      </w:r>
      <w:r w:rsidRPr="00CA5AD2">
        <w:rPr>
          <w:rFonts w:ascii="Arial" w:hAnsi="Arial" w:cs="Arial"/>
          <w:sz w:val="32"/>
          <w:szCs w:val="32"/>
        </w:rPr>
        <w:t>—</w:t>
      </w:r>
      <w:r w:rsidRPr="00CA5AD2">
        <w:rPr>
          <w:rStyle w:val="CharAmSchText"/>
          <w:rFonts w:ascii="Arial" w:hAnsi="Arial" w:cs="Arial"/>
          <w:sz w:val="32"/>
          <w:szCs w:val="32"/>
        </w:rPr>
        <w:t>Amendments</w:t>
      </w:r>
      <w:bookmarkEnd w:id="0"/>
      <w:r w:rsidR="00FD6AB6">
        <w:rPr>
          <w:rStyle w:val="CharAmSchText"/>
          <w:rFonts w:ascii="Arial" w:hAnsi="Arial" w:cs="Arial"/>
          <w:sz w:val="32"/>
          <w:szCs w:val="32"/>
        </w:rPr>
        <w:tab/>
      </w:r>
    </w:p>
    <w:p w14:paraId="30E9F474" w14:textId="27594174" w:rsidR="00DE1B84" w:rsidRDefault="00DE1B84" w:rsidP="00EA24F1">
      <w:pPr>
        <w:pStyle w:val="ActHead9"/>
        <w:ind w:left="0" w:firstLine="0"/>
        <w:outlineLvl w:val="1"/>
      </w:pPr>
      <w:bookmarkStart w:id="1" w:name="_Toc36034752"/>
      <w:r w:rsidRPr="00DE1B84">
        <w:t>Telecommunications (Network Exemption—</w:t>
      </w:r>
      <w:proofErr w:type="spellStart"/>
      <w:r w:rsidRPr="00DE1B84">
        <w:t>TransACT</w:t>
      </w:r>
      <w:proofErr w:type="spellEnd"/>
      <w:r w:rsidRPr="00DE1B84">
        <w:t xml:space="preserve"> Upgraded VDSL Networks) Instrument 2012</w:t>
      </w:r>
      <w:bookmarkEnd w:id="1"/>
    </w:p>
    <w:p w14:paraId="084B606F" w14:textId="77777777" w:rsidR="007239BA" w:rsidRDefault="007239BA" w:rsidP="00EA24F1"/>
    <w:p w14:paraId="38CB79A8" w14:textId="77777777" w:rsidR="00170AC0" w:rsidRPr="00184FE4" w:rsidRDefault="00170AC0" w:rsidP="00170AC0">
      <w:pPr>
        <w:pStyle w:val="ItemHead"/>
      </w:pPr>
      <w:proofErr w:type="gramStart"/>
      <w:r w:rsidRPr="00184FE4">
        <w:t>1  Cause</w:t>
      </w:r>
      <w:proofErr w:type="gramEnd"/>
      <w:r w:rsidRPr="00184FE4">
        <w:t xml:space="preserve"> 2 (Cessation) </w:t>
      </w:r>
    </w:p>
    <w:p w14:paraId="7106E491" w14:textId="77777777" w:rsidR="00170AC0" w:rsidRPr="00184FE4" w:rsidRDefault="00170AC0" w:rsidP="00170AC0"/>
    <w:p w14:paraId="307B8AE8" w14:textId="77777777" w:rsidR="00170AC0" w:rsidRPr="00184FE4" w:rsidRDefault="00170AC0" w:rsidP="00170AC0">
      <w:pPr>
        <w:pStyle w:val="Item"/>
        <w:ind w:left="0"/>
        <w:rPr>
          <w:sz w:val="24"/>
          <w:szCs w:val="24"/>
        </w:rPr>
      </w:pPr>
      <w:r w:rsidRPr="00184FE4">
        <w:rPr>
          <w:sz w:val="24"/>
          <w:szCs w:val="24"/>
        </w:rPr>
        <w:t>Omit the clause in its entirety, substitute:</w:t>
      </w:r>
    </w:p>
    <w:p w14:paraId="0E8CC66B" w14:textId="77777777" w:rsidR="00170AC0" w:rsidRPr="00184FE4" w:rsidRDefault="00170AC0" w:rsidP="00170AC0"/>
    <w:p w14:paraId="49A4AC12" w14:textId="2D4349BE" w:rsidR="00170AC0" w:rsidRPr="00184FE4" w:rsidRDefault="00170AC0" w:rsidP="00170AC0">
      <w:pPr>
        <w:ind w:left="502"/>
      </w:pPr>
      <w:r w:rsidRPr="00184FE4">
        <w:t>Thi</w:t>
      </w:r>
      <w:r w:rsidR="001A0198">
        <w:t>s Instrument ceases on the earlier</w:t>
      </w:r>
      <w:r w:rsidRPr="00184FE4">
        <w:t xml:space="preserve"> of: </w:t>
      </w:r>
    </w:p>
    <w:p w14:paraId="4D6A0707" w14:textId="722BB941" w:rsidR="00170AC0" w:rsidRPr="00184FE4" w:rsidRDefault="00170AC0" w:rsidP="000C0F55">
      <w:pPr>
        <w:ind w:left="709"/>
      </w:pPr>
      <w:bookmarkStart w:id="2" w:name="_GoBack"/>
      <w:bookmarkEnd w:id="2"/>
      <w:proofErr w:type="gramStart"/>
      <w:r w:rsidRPr="00184FE4">
        <w:t>a</w:t>
      </w:r>
      <w:proofErr w:type="gramEnd"/>
      <w:r w:rsidRPr="00184FE4">
        <w:t>.</w:t>
      </w:r>
      <w:r w:rsidRPr="00184FE4">
        <w:tab/>
      </w:r>
      <w:r w:rsidR="002D0534" w:rsidRPr="002A290B">
        <w:t>the</w:t>
      </w:r>
      <w:r w:rsidRPr="00184FE4">
        <w:t xml:space="preserve"> day </w:t>
      </w:r>
      <w:r w:rsidR="002A290B">
        <w:t xml:space="preserve">immediately </w:t>
      </w:r>
      <w:r w:rsidRPr="00184FE4">
        <w:t>after:</w:t>
      </w:r>
    </w:p>
    <w:p w14:paraId="779C853C" w14:textId="11863065" w:rsidR="00170AC0" w:rsidRPr="00184FE4" w:rsidRDefault="00170AC0" w:rsidP="00926BF3">
      <w:pPr>
        <w:ind w:firstLine="1701"/>
      </w:pPr>
      <w:proofErr w:type="spellStart"/>
      <w:proofErr w:type="gramStart"/>
      <w:r w:rsidRPr="00184FE4">
        <w:t>i</w:t>
      </w:r>
      <w:proofErr w:type="spellEnd"/>
      <w:proofErr w:type="gramEnd"/>
      <w:r w:rsidRPr="00184FE4">
        <w:t>.</w:t>
      </w:r>
      <w:r w:rsidRPr="00184FE4">
        <w:tab/>
        <w:t xml:space="preserve">a functional separation undertaking; or </w:t>
      </w:r>
    </w:p>
    <w:p w14:paraId="628816D9" w14:textId="246C9869" w:rsidR="002D0534" w:rsidRPr="002A290B" w:rsidRDefault="00170AC0" w:rsidP="00926BF3">
      <w:pPr>
        <w:ind w:left="1440" w:firstLine="261"/>
      </w:pPr>
      <w:r w:rsidRPr="00184FE4">
        <w:t>ii.</w:t>
      </w:r>
      <w:r w:rsidRPr="00184FE4">
        <w:tab/>
      </w:r>
      <w:proofErr w:type="gramStart"/>
      <w:r w:rsidRPr="00184FE4">
        <w:t>a</w:t>
      </w:r>
      <w:proofErr w:type="gramEnd"/>
      <w:r w:rsidRPr="00184FE4">
        <w:t xml:space="preserve"> deemed standard functional separation undertaking</w:t>
      </w:r>
    </w:p>
    <w:p w14:paraId="4AB04C00" w14:textId="3E00A93C" w:rsidR="00170AC0" w:rsidRPr="00184FE4" w:rsidRDefault="00170AC0" w:rsidP="002A290B">
      <w:pPr>
        <w:ind w:left="1440"/>
      </w:pPr>
      <w:r w:rsidRPr="00184FE4">
        <w:t>relating to loc</w:t>
      </w:r>
      <w:r w:rsidR="002543BC">
        <w:t>al access lines forming part of</w:t>
      </w:r>
      <w:r w:rsidR="006C01F6">
        <w:t xml:space="preserve"> </w:t>
      </w:r>
      <w:r w:rsidR="007B34C8">
        <w:t>a</w:t>
      </w:r>
      <w:r w:rsidR="002543BC">
        <w:t xml:space="preserve"> </w:t>
      </w:r>
      <w:proofErr w:type="spellStart"/>
      <w:r w:rsidR="008B1B55" w:rsidRPr="00184FE4">
        <w:t>TransACT</w:t>
      </w:r>
      <w:proofErr w:type="spellEnd"/>
      <w:r w:rsidR="008B1B55" w:rsidRPr="00184FE4">
        <w:t xml:space="preserve"> Upgraded VDSL Network</w:t>
      </w:r>
      <w:r w:rsidR="005169CB" w:rsidRPr="00184FE4">
        <w:t xml:space="preserve"> </w:t>
      </w:r>
      <w:r w:rsidRPr="00184FE4">
        <w:t>first comes into force for the purposes of Part 8 of the Act; and</w:t>
      </w:r>
    </w:p>
    <w:p w14:paraId="686089EB" w14:textId="5BB66BD9" w:rsidR="00170AC0" w:rsidRPr="00184FE4" w:rsidRDefault="00170AC0" w:rsidP="00170AC0">
      <w:pPr>
        <w:ind w:left="1440" w:hanging="720"/>
      </w:pPr>
      <w:proofErr w:type="gramStart"/>
      <w:r w:rsidRPr="00184FE4">
        <w:t>b</w:t>
      </w:r>
      <w:proofErr w:type="gramEnd"/>
      <w:r w:rsidRPr="00184FE4">
        <w:t>.</w:t>
      </w:r>
      <w:r w:rsidRPr="00184FE4">
        <w:tab/>
        <w:t xml:space="preserve">the day that is the second anniversary of the day on which the </w:t>
      </w:r>
      <w:r w:rsidR="002543BC" w:rsidRPr="006107DB">
        <w:rPr>
          <w:i/>
          <w:szCs w:val="24"/>
        </w:rPr>
        <w:t>Telecommunications Legislation Amendment (Competition</w:t>
      </w:r>
      <w:r w:rsidR="002543BC">
        <w:rPr>
          <w:i/>
          <w:szCs w:val="24"/>
        </w:rPr>
        <w:t xml:space="preserve"> and Consumer) Act 2020 (</w:t>
      </w:r>
      <w:proofErr w:type="spellStart"/>
      <w:r w:rsidR="002543BC">
        <w:rPr>
          <w:i/>
          <w:szCs w:val="24"/>
        </w:rPr>
        <w:t>Cth</w:t>
      </w:r>
      <w:proofErr w:type="spellEnd"/>
      <w:r w:rsidR="002543BC">
        <w:rPr>
          <w:i/>
          <w:szCs w:val="24"/>
        </w:rPr>
        <w:t>)</w:t>
      </w:r>
      <w:r w:rsidR="002543BC" w:rsidRPr="00E559CC">
        <w:rPr>
          <w:szCs w:val="24"/>
        </w:rPr>
        <w:t xml:space="preserve"> </w:t>
      </w:r>
      <w:r w:rsidRPr="00184FE4">
        <w:t>receive</w:t>
      </w:r>
      <w:r w:rsidR="00AE1771">
        <w:t>d</w:t>
      </w:r>
      <w:r w:rsidRPr="00184FE4">
        <w:t xml:space="preserve"> the Royal Assent</w:t>
      </w:r>
      <w:r w:rsidR="00402E11">
        <w:t>.</w:t>
      </w:r>
    </w:p>
    <w:p w14:paraId="5A97E81E" w14:textId="3E21437A" w:rsidR="00170AC0" w:rsidRPr="00184FE4" w:rsidRDefault="00170AC0" w:rsidP="00170AC0">
      <w:pPr>
        <w:ind w:left="502"/>
      </w:pPr>
    </w:p>
    <w:p w14:paraId="10B0A862" w14:textId="779C1799" w:rsidR="00170AC0" w:rsidRDefault="00170AC0" w:rsidP="00170AC0">
      <w:pPr>
        <w:pStyle w:val="ItemHead"/>
        <w:ind w:left="0" w:firstLine="0"/>
      </w:pPr>
      <w:proofErr w:type="gramStart"/>
      <w:r w:rsidRPr="00184FE4">
        <w:t>2  Cause</w:t>
      </w:r>
      <w:proofErr w:type="gramEnd"/>
      <w:r w:rsidRPr="00184FE4">
        <w:t xml:space="preserve"> 3 (Definitions)</w:t>
      </w:r>
      <w:r>
        <w:t xml:space="preserve"> </w:t>
      </w:r>
    </w:p>
    <w:p w14:paraId="437BD760" w14:textId="77777777" w:rsidR="00966865" w:rsidRDefault="00966865" w:rsidP="00170AC0">
      <w:pPr>
        <w:pStyle w:val="Item"/>
        <w:ind w:left="0"/>
        <w:rPr>
          <w:sz w:val="24"/>
          <w:szCs w:val="24"/>
        </w:rPr>
      </w:pPr>
    </w:p>
    <w:p w14:paraId="64387724" w14:textId="3693143A" w:rsidR="00170AC0" w:rsidRDefault="00170AC0" w:rsidP="00170AC0">
      <w:pPr>
        <w:pStyle w:val="Item"/>
        <w:ind w:left="0"/>
        <w:rPr>
          <w:sz w:val="24"/>
          <w:szCs w:val="24"/>
        </w:rPr>
      </w:pPr>
      <w:r>
        <w:rPr>
          <w:sz w:val="24"/>
          <w:szCs w:val="24"/>
        </w:rPr>
        <w:t>Insert</w:t>
      </w:r>
      <w:r w:rsidRPr="00DB3C2E">
        <w:rPr>
          <w:sz w:val="24"/>
          <w:szCs w:val="24"/>
        </w:rPr>
        <w:t>:</w:t>
      </w:r>
    </w:p>
    <w:p w14:paraId="653F7B1D" w14:textId="77777777" w:rsidR="00170AC0" w:rsidRPr="002A290B" w:rsidRDefault="00170AC0" w:rsidP="002A290B"/>
    <w:p w14:paraId="669FC55F" w14:textId="6F5E685E" w:rsidR="002A290B" w:rsidRDefault="00170AC0" w:rsidP="00EA24F1">
      <w:pPr>
        <w:ind w:left="709"/>
        <w:rPr>
          <w:b/>
        </w:rPr>
      </w:pPr>
      <w:proofErr w:type="gramStart"/>
      <w:r w:rsidRPr="006107DB">
        <w:rPr>
          <w:i/>
        </w:rPr>
        <w:t>deemed</w:t>
      </w:r>
      <w:proofErr w:type="gramEnd"/>
      <w:r w:rsidRPr="006107DB">
        <w:rPr>
          <w:i/>
        </w:rPr>
        <w:t xml:space="preserve"> standard functional separation undertaking </w:t>
      </w:r>
      <w:r w:rsidRPr="006107DB">
        <w:t>means a</w:t>
      </w:r>
      <w:r w:rsidRPr="006107DB">
        <w:rPr>
          <w:i/>
        </w:rPr>
        <w:t xml:space="preserve"> </w:t>
      </w:r>
      <w:r w:rsidRPr="006107DB">
        <w:t>functional separation undertaking covered by a determination under subsection 151B(1) of the Act</w:t>
      </w:r>
      <w:r w:rsidR="00966865">
        <w:t xml:space="preserve">, as </w:t>
      </w:r>
      <w:r w:rsidR="006C01F6">
        <w:t xml:space="preserve">amended </w:t>
      </w:r>
      <w:r w:rsidR="00966865">
        <w:t xml:space="preserve">by Schedule 2 to the </w:t>
      </w:r>
      <w:r w:rsidR="002543BC" w:rsidRPr="002543BC">
        <w:rPr>
          <w:i/>
        </w:rPr>
        <w:t>Telecommunications Legislation Amendment (Competition and Consumer) Act 2020 (</w:t>
      </w:r>
      <w:proofErr w:type="spellStart"/>
      <w:r w:rsidR="002543BC" w:rsidRPr="002543BC">
        <w:rPr>
          <w:i/>
        </w:rPr>
        <w:t>Cth</w:t>
      </w:r>
      <w:proofErr w:type="spellEnd"/>
      <w:r w:rsidR="002543BC" w:rsidRPr="002543BC">
        <w:rPr>
          <w:i/>
        </w:rPr>
        <w:t>)</w:t>
      </w:r>
      <w:r w:rsidR="002543BC" w:rsidRPr="002543BC">
        <w:t>.</w:t>
      </w:r>
    </w:p>
    <w:p w14:paraId="54D97313" w14:textId="77777777" w:rsidR="002A290B" w:rsidRDefault="002A290B" w:rsidP="00966865">
      <w:pPr>
        <w:pStyle w:val="ItemHead"/>
        <w:spacing w:before="0"/>
        <w:ind w:left="720" w:firstLine="0"/>
        <w:rPr>
          <w:rFonts w:ascii="Times New Roman" w:hAnsi="Times New Roman"/>
          <w:b w:val="0"/>
          <w:szCs w:val="24"/>
        </w:rPr>
      </w:pPr>
    </w:p>
    <w:p w14:paraId="5C90810B" w14:textId="43508AAE" w:rsidR="002A290B" w:rsidRDefault="00170AC0" w:rsidP="00966865">
      <w:pPr>
        <w:ind w:left="720"/>
        <w:rPr>
          <w:szCs w:val="24"/>
        </w:rPr>
      </w:pPr>
      <w:proofErr w:type="gramStart"/>
      <w:r w:rsidRPr="006107DB">
        <w:rPr>
          <w:b/>
          <w:i/>
          <w:szCs w:val="24"/>
        </w:rPr>
        <w:t>functional</w:t>
      </w:r>
      <w:proofErr w:type="gramEnd"/>
      <w:r w:rsidRPr="006107DB">
        <w:rPr>
          <w:b/>
          <w:i/>
          <w:szCs w:val="24"/>
        </w:rPr>
        <w:t xml:space="preserve"> separation undertaking</w:t>
      </w:r>
      <w:r w:rsidRPr="006107DB">
        <w:rPr>
          <w:i/>
          <w:szCs w:val="24"/>
        </w:rPr>
        <w:t xml:space="preserve"> </w:t>
      </w:r>
      <w:r w:rsidRPr="006107DB">
        <w:rPr>
          <w:szCs w:val="24"/>
        </w:rPr>
        <w:t>has the same meaning as in section 142A of the Act</w:t>
      </w:r>
      <w:r w:rsidR="00966865" w:rsidRPr="00966865">
        <w:rPr>
          <w:szCs w:val="24"/>
        </w:rPr>
        <w:t xml:space="preserve">, as inserted by Schedule 2 to the </w:t>
      </w:r>
      <w:r w:rsidR="002543BC" w:rsidRPr="006107DB">
        <w:rPr>
          <w:i/>
          <w:szCs w:val="24"/>
        </w:rPr>
        <w:t>Telecommunications Legislation Amendment (Competition</w:t>
      </w:r>
      <w:r w:rsidR="002543BC">
        <w:rPr>
          <w:i/>
          <w:szCs w:val="24"/>
        </w:rPr>
        <w:t xml:space="preserve"> and Consumer) Act 2020 (</w:t>
      </w:r>
      <w:proofErr w:type="spellStart"/>
      <w:r w:rsidR="002543BC">
        <w:rPr>
          <w:i/>
          <w:szCs w:val="24"/>
        </w:rPr>
        <w:t>Cth</w:t>
      </w:r>
      <w:proofErr w:type="spellEnd"/>
      <w:r w:rsidR="002543BC">
        <w:rPr>
          <w:i/>
          <w:szCs w:val="24"/>
        </w:rPr>
        <w:t>)</w:t>
      </w:r>
      <w:r w:rsidR="00966865" w:rsidRPr="00966865">
        <w:rPr>
          <w:szCs w:val="24"/>
        </w:rPr>
        <w:t>.</w:t>
      </w:r>
    </w:p>
    <w:p w14:paraId="74688656" w14:textId="77777777" w:rsidR="002A290B" w:rsidRDefault="002A290B" w:rsidP="00DE1B84">
      <w:pPr>
        <w:rPr>
          <w:szCs w:val="24"/>
        </w:rPr>
      </w:pPr>
    </w:p>
    <w:p w14:paraId="7A908139" w14:textId="77777777" w:rsidR="002A290B" w:rsidRDefault="002A290B" w:rsidP="00DE1B84"/>
    <w:sectPr w:rsidR="002A290B" w:rsidSect="00A76F73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40" w:right="1797" w:bottom="1440" w:left="1797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84AA49" w14:textId="77777777" w:rsidR="00B85B3A" w:rsidRDefault="00B85B3A">
      <w:r>
        <w:separator/>
      </w:r>
    </w:p>
  </w:endnote>
  <w:endnote w:type="continuationSeparator" w:id="0">
    <w:p w14:paraId="35475B0C" w14:textId="77777777" w:rsidR="00B85B3A" w:rsidRDefault="00B85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EE4CE2" w14:textId="77777777" w:rsidR="00F84A51" w:rsidRPr="009448C5" w:rsidRDefault="00F84A51">
    <w:pPr>
      <w:pStyle w:val="Footer"/>
      <w:rPr>
        <w:sz w:val="16"/>
      </w:rPr>
    </w:pPr>
    <w:r>
      <w:rPr>
        <w:sz w:val="16"/>
      </w:rPr>
      <w:t>DBM\DBM\32714300\1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A30B6F" w14:textId="77777777" w:rsidR="00170AC0" w:rsidRDefault="00170AC0" w:rsidP="00170AC0">
    <w:pPr>
      <w:pStyle w:val="Header"/>
      <w:jc w:val="center"/>
      <w:rPr>
        <w:rFonts w:ascii="Times" w:hAnsi="Times" w:cs="Times"/>
        <w:i/>
      </w:rPr>
    </w:pPr>
    <w:r w:rsidRPr="00510F19">
      <w:rPr>
        <w:rFonts w:ascii="Times" w:hAnsi="Times" w:cs="Times"/>
        <w:i/>
      </w:rPr>
      <w:t>Telecommunications (Network Exemption—</w:t>
    </w:r>
    <w:proofErr w:type="spellStart"/>
    <w:r w:rsidRPr="00510F19">
      <w:rPr>
        <w:rFonts w:ascii="Times" w:hAnsi="Times" w:cs="Times"/>
        <w:i/>
      </w:rPr>
      <w:t>TransACT</w:t>
    </w:r>
    <w:proofErr w:type="spellEnd"/>
    <w:r w:rsidRPr="00510F19">
      <w:rPr>
        <w:rFonts w:ascii="Times" w:hAnsi="Times" w:cs="Times"/>
        <w:i/>
      </w:rPr>
      <w:t xml:space="preserve"> Upgraded VDSL Networks) Instrument 2012 (Amendment No.1 of 2020)</w:t>
    </w:r>
  </w:p>
  <w:p w14:paraId="081BDB24" w14:textId="09438049" w:rsidR="00F84A51" w:rsidRDefault="00F84A51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C0F55">
      <w:rPr>
        <w:noProof/>
      </w:rPr>
      <w:t>2</w:t>
    </w:r>
    <w:r>
      <w:rPr>
        <w:noProof/>
      </w:rPr>
      <w:fldChar w:fldCharType="end"/>
    </w:r>
  </w:p>
  <w:p w14:paraId="2FB2AA41" w14:textId="77777777" w:rsidR="00F84A51" w:rsidRPr="00170AC0" w:rsidRDefault="00F84A51">
    <w:pPr>
      <w:pStyle w:val="Footer"/>
      <w:rPr>
        <w:b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756963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9FA64DB" w14:textId="46228357" w:rsidR="00F84A51" w:rsidRDefault="00F84A5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A24F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5FC0DDC" w14:textId="77777777" w:rsidR="00F84A51" w:rsidRDefault="00F84A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C16510" w14:textId="77777777" w:rsidR="00B85B3A" w:rsidRDefault="00B85B3A">
      <w:r>
        <w:separator/>
      </w:r>
    </w:p>
  </w:footnote>
  <w:footnote w:type="continuationSeparator" w:id="0">
    <w:p w14:paraId="1A2FBAD2" w14:textId="77777777" w:rsidR="00B85B3A" w:rsidRDefault="00B85B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3A2168" w14:textId="4F92AB44" w:rsidR="00DE1B84" w:rsidRDefault="00DE1B84" w:rsidP="00510F19">
    <w:pPr>
      <w:pStyle w:val="Header"/>
      <w:jc w:val="center"/>
      <w:rPr>
        <w:i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A6D56D" w14:textId="5F6B91DC" w:rsidR="00F84A51" w:rsidRPr="00954DAE" w:rsidRDefault="00F84A51" w:rsidP="00A76F73">
    <w:pPr>
      <w:pStyle w:val="Header"/>
      <w:jc w:val="center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D1883"/>
    <w:multiLevelType w:val="multilevel"/>
    <w:tmpl w:val="9DE613D2"/>
    <w:numStyleLink w:val="Style1"/>
  </w:abstractNum>
  <w:abstractNum w:abstractNumId="1" w15:restartNumberingAfterBreak="0">
    <w:nsid w:val="07C2408B"/>
    <w:multiLevelType w:val="hybridMultilevel"/>
    <w:tmpl w:val="AB927198"/>
    <w:lvl w:ilvl="0" w:tplc="0C09000F">
      <w:start w:val="1"/>
      <w:numFmt w:val="decimal"/>
      <w:lvlText w:val="%1."/>
      <w:lvlJc w:val="left"/>
      <w:pPr>
        <w:ind w:left="862" w:hanging="360"/>
      </w:pPr>
    </w:lvl>
    <w:lvl w:ilvl="1" w:tplc="0C090019" w:tentative="1">
      <w:start w:val="1"/>
      <w:numFmt w:val="lowerLetter"/>
      <w:lvlText w:val="%2."/>
      <w:lvlJc w:val="left"/>
      <w:pPr>
        <w:ind w:left="1582" w:hanging="360"/>
      </w:pPr>
    </w:lvl>
    <w:lvl w:ilvl="2" w:tplc="0C09001B" w:tentative="1">
      <w:start w:val="1"/>
      <w:numFmt w:val="lowerRoman"/>
      <w:lvlText w:val="%3."/>
      <w:lvlJc w:val="right"/>
      <w:pPr>
        <w:ind w:left="2302" w:hanging="180"/>
      </w:pPr>
    </w:lvl>
    <w:lvl w:ilvl="3" w:tplc="0C09000F" w:tentative="1">
      <w:start w:val="1"/>
      <w:numFmt w:val="decimal"/>
      <w:lvlText w:val="%4."/>
      <w:lvlJc w:val="left"/>
      <w:pPr>
        <w:ind w:left="3022" w:hanging="360"/>
      </w:pPr>
    </w:lvl>
    <w:lvl w:ilvl="4" w:tplc="0C090019" w:tentative="1">
      <w:start w:val="1"/>
      <w:numFmt w:val="lowerLetter"/>
      <w:lvlText w:val="%5."/>
      <w:lvlJc w:val="left"/>
      <w:pPr>
        <w:ind w:left="3742" w:hanging="360"/>
      </w:pPr>
    </w:lvl>
    <w:lvl w:ilvl="5" w:tplc="0C09001B" w:tentative="1">
      <w:start w:val="1"/>
      <w:numFmt w:val="lowerRoman"/>
      <w:lvlText w:val="%6."/>
      <w:lvlJc w:val="right"/>
      <w:pPr>
        <w:ind w:left="4462" w:hanging="180"/>
      </w:pPr>
    </w:lvl>
    <w:lvl w:ilvl="6" w:tplc="0C09000F" w:tentative="1">
      <w:start w:val="1"/>
      <w:numFmt w:val="decimal"/>
      <w:lvlText w:val="%7."/>
      <w:lvlJc w:val="left"/>
      <w:pPr>
        <w:ind w:left="5182" w:hanging="360"/>
      </w:pPr>
    </w:lvl>
    <w:lvl w:ilvl="7" w:tplc="0C090019" w:tentative="1">
      <w:start w:val="1"/>
      <w:numFmt w:val="lowerLetter"/>
      <w:lvlText w:val="%8."/>
      <w:lvlJc w:val="left"/>
      <w:pPr>
        <w:ind w:left="5902" w:hanging="360"/>
      </w:pPr>
    </w:lvl>
    <w:lvl w:ilvl="8" w:tplc="0C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0F612F9B"/>
    <w:multiLevelType w:val="hybridMultilevel"/>
    <w:tmpl w:val="2CB692E2"/>
    <w:lvl w:ilvl="0" w:tplc="0C09000F">
      <w:start w:val="1"/>
      <w:numFmt w:val="decimal"/>
      <w:lvlText w:val="%1."/>
      <w:lvlJc w:val="left"/>
      <w:pPr>
        <w:ind w:left="2291" w:hanging="360"/>
      </w:pPr>
    </w:lvl>
    <w:lvl w:ilvl="1" w:tplc="0C090019" w:tentative="1">
      <w:start w:val="1"/>
      <w:numFmt w:val="lowerLetter"/>
      <w:lvlText w:val="%2."/>
      <w:lvlJc w:val="left"/>
      <w:pPr>
        <w:ind w:left="3011" w:hanging="360"/>
      </w:pPr>
    </w:lvl>
    <w:lvl w:ilvl="2" w:tplc="0C09001B" w:tentative="1">
      <w:start w:val="1"/>
      <w:numFmt w:val="lowerRoman"/>
      <w:lvlText w:val="%3."/>
      <w:lvlJc w:val="right"/>
      <w:pPr>
        <w:ind w:left="3731" w:hanging="180"/>
      </w:pPr>
    </w:lvl>
    <w:lvl w:ilvl="3" w:tplc="0C09000F" w:tentative="1">
      <w:start w:val="1"/>
      <w:numFmt w:val="decimal"/>
      <w:lvlText w:val="%4."/>
      <w:lvlJc w:val="left"/>
      <w:pPr>
        <w:ind w:left="4451" w:hanging="360"/>
      </w:pPr>
    </w:lvl>
    <w:lvl w:ilvl="4" w:tplc="0C090019" w:tentative="1">
      <w:start w:val="1"/>
      <w:numFmt w:val="lowerLetter"/>
      <w:lvlText w:val="%5."/>
      <w:lvlJc w:val="left"/>
      <w:pPr>
        <w:ind w:left="5171" w:hanging="360"/>
      </w:pPr>
    </w:lvl>
    <w:lvl w:ilvl="5" w:tplc="0C09001B" w:tentative="1">
      <w:start w:val="1"/>
      <w:numFmt w:val="lowerRoman"/>
      <w:lvlText w:val="%6."/>
      <w:lvlJc w:val="right"/>
      <w:pPr>
        <w:ind w:left="5891" w:hanging="180"/>
      </w:pPr>
    </w:lvl>
    <w:lvl w:ilvl="6" w:tplc="0C09000F" w:tentative="1">
      <w:start w:val="1"/>
      <w:numFmt w:val="decimal"/>
      <w:lvlText w:val="%7."/>
      <w:lvlJc w:val="left"/>
      <w:pPr>
        <w:ind w:left="6611" w:hanging="360"/>
      </w:pPr>
    </w:lvl>
    <w:lvl w:ilvl="7" w:tplc="0C090019" w:tentative="1">
      <w:start w:val="1"/>
      <w:numFmt w:val="lowerLetter"/>
      <w:lvlText w:val="%8."/>
      <w:lvlJc w:val="left"/>
      <w:pPr>
        <w:ind w:left="7331" w:hanging="360"/>
      </w:pPr>
    </w:lvl>
    <w:lvl w:ilvl="8" w:tplc="0C09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3" w15:restartNumberingAfterBreak="0">
    <w:nsid w:val="11D414DA"/>
    <w:multiLevelType w:val="multilevel"/>
    <w:tmpl w:val="9DE613D2"/>
    <w:lvl w:ilvl="0">
      <w:start w:val="1"/>
      <w:numFmt w:val="decimal"/>
      <w:lvlText w:val="%1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>
      <w:start w:val="1"/>
      <w:numFmt w:val="decimal"/>
      <w:lvlText w:val="(%2)"/>
      <w:lvlJc w:val="left"/>
      <w:pPr>
        <w:ind w:left="3479" w:hanging="360"/>
      </w:pPr>
      <w:rPr>
        <w:rFonts w:cs="Times New Roman" w:hint="default"/>
      </w:rPr>
    </w:lvl>
    <w:lvl w:ilvl="2">
      <w:start w:val="1"/>
      <w:numFmt w:val="lowerLetter"/>
      <w:lvlText w:val="(%3)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lowerRoman"/>
      <w:lvlText w:val="(%4)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4" w15:restartNumberingAfterBreak="0">
    <w:nsid w:val="1C7D2CD4"/>
    <w:multiLevelType w:val="multilevel"/>
    <w:tmpl w:val="9DE613D2"/>
    <w:lvl w:ilvl="0">
      <w:start w:val="1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>
      <w:start w:val="1"/>
      <w:numFmt w:val="decimal"/>
      <w:lvlText w:val="(%2)"/>
      <w:lvlJc w:val="left"/>
      <w:pPr>
        <w:ind w:left="3479" w:hanging="360"/>
      </w:pPr>
      <w:rPr>
        <w:rFonts w:cs="Times New Roman" w:hint="default"/>
      </w:rPr>
    </w:lvl>
    <w:lvl w:ilvl="2">
      <w:start w:val="1"/>
      <w:numFmt w:val="lowerLetter"/>
      <w:lvlText w:val="(%3)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lowerRoman"/>
      <w:lvlText w:val="(%4)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5" w15:restartNumberingAfterBreak="0">
    <w:nsid w:val="1F2F128A"/>
    <w:multiLevelType w:val="multilevel"/>
    <w:tmpl w:val="9DE613D2"/>
    <w:styleLink w:val="Style1"/>
    <w:lvl w:ilvl="0">
      <w:start w:val="1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>
      <w:start w:val="1"/>
      <w:numFmt w:val="decimal"/>
      <w:lvlText w:val="(%2)"/>
      <w:lvlJc w:val="left"/>
      <w:pPr>
        <w:ind w:left="3479" w:hanging="360"/>
      </w:pPr>
      <w:rPr>
        <w:rFonts w:cs="Times New Roman" w:hint="default"/>
      </w:rPr>
    </w:lvl>
    <w:lvl w:ilvl="2">
      <w:start w:val="1"/>
      <w:numFmt w:val="lowerLetter"/>
      <w:lvlText w:val="(%3)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lowerRoman"/>
      <w:lvlText w:val="(%4)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6" w15:restartNumberingAfterBreak="0">
    <w:nsid w:val="27AB7C96"/>
    <w:multiLevelType w:val="hybridMultilevel"/>
    <w:tmpl w:val="B20E61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8D5E81"/>
    <w:multiLevelType w:val="hybridMultilevel"/>
    <w:tmpl w:val="D1D8F26A"/>
    <w:lvl w:ilvl="0" w:tplc="0C09000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3576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17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896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8616" w:hanging="360"/>
      </w:pPr>
      <w:rPr>
        <w:rFonts w:ascii="Wingdings" w:hAnsi="Wingdings" w:hint="default"/>
      </w:rPr>
    </w:lvl>
  </w:abstractNum>
  <w:abstractNum w:abstractNumId="8" w15:restartNumberingAfterBreak="0">
    <w:nsid w:val="42724985"/>
    <w:multiLevelType w:val="multilevel"/>
    <w:tmpl w:val="9DE613D2"/>
    <w:lvl w:ilvl="0">
      <w:start w:val="1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>
      <w:start w:val="1"/>
      <w:numFmt w:val="decimal"/>
      <w:lvlText w:val="(%2)"/>
      <w:lvlJc w:val="left"/>
      <w:pPr>
        <w:ind w:left="3479" w:hanging="360"/>
      </w:pPr>
      <w:rPr>
        <w:rFonts w:cs="Times New Roman" w:hint="default"/>
      </w:rPr>
    </w:lvl>
    <w:lvl w:ilvl="2">
      <w:start w:val="1"/>
      <w:numFmt w:val="lowerLetter"/>
      <w:lvlText w:val="(%3)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lowerRoman"/>
      <w:lvlText w:val="(%4)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9" w15:restartNumberingAfterBreak="0">
    <w:nsid w:val="44B2174E"/>
    <w:multiLevelType w:val="multilevel"/>
    <w:tmpl w:val="11868F00"/>
    <w:lvl w:ilvl="0">
      <w:start w:val="1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>
      <w:start w:val="1"/>
      <w:numFmt w:val="decimal"/>
      <w:lvlText w:val="(%2)"/>
      <w:lvlJc w:val="left"/>
      <w:pPr>
        <w:ind w:left="3479" w:hanging="360"/>
      </w:pPr>
      <w:rPr>
        <w:rFonts w:cs="Times New Roman" w:hint="default"/>
      </w:rPr>
    </w:lvl>
    <w:lvl w:ilvl="2">
      <w:start w:val="1"/>
      <w:numFmt w:val="lowerLetter"/>
      <w:lvlText w:val="(%3)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lowerRoman"/>
      <w:lvlText w:val="(%4)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0" w15:restartNumberingAfterBreak="0">
    <w:nsid w:val="4CEA0151"/>
    <w:multiLevelType w:val="hybridMultilevel"/>
    <w:tmpl w:val="6CE870A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A521AC"/>
    <w:multiLevelType w:val="hybridMultilevel"/>
    <w:tmpl w:val="E398D4F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5B965D8"/>
    <w:multiLevelType w:val="hybridMultilevel"/>
    <w:tmpl w:val="A4503C22"/>
    <w:lvl w:ilvl="0" w:tplc="0C09000F">
      <w:start w:val="1"/>
      <w:numFmt w:val="decimal"/>
      <w:lvlText w:val="%1."/>
      <w:lvlJc w:val="left"/>
      <w:pPr>
        <w:ind w:left="1571" w:hanging="360"/>
      </w:pPr>
    </w:lvl>
    <w:lvl w:ilvl="1" w:tplc="0C090019" w:tentative="1">
      <w:start w:val="1"/>
      <w:numFmt w:val="lowerLetter"/>
      <w:lvlText w:val="%2."/>
      <w:lvlJc w:val="left"/>
      <w:pPr>
        <w:ind w:left="2291" w:hanging="360"/>
      </w:pPr>
    </w:lvl>
    <w:lvl w:ilvl="2" w:tplc="0C09001B" w:tentative="1">
      <w:start w:val="1"/>
      <w:numFmt w:val="lowerRoman"/>
      <w:lvlText w:val="%3."/>
      <w:lvlJc w:val="right"/>
      <w:pPr>
        <w:ind w:left="3011" w:hanging="180"/>
      </w:pPr>
    </w:lvl>
    <w:lvl w:ilvl="3" w:tplc="0C09000F" w:tentative="1">
      <w:start w:val="1"/>
      <w:numFmt w:val="decimal"/>
      <w:lvlText w:val="%4."/>
      <w:lvlJc w:val="left"/>
      <w:pPr>
        <w:ind w:left="3731" w:hanging="360"/>
      </w:pPr>
    </w:lvl>
    <w:lvl w:ilvl="4" w:tplc="0C090019" w:tentative="1">
      <w:start w:val="1"/>
      <w:numFmt w:val="lowerLetter"/>
      <w:lvlText w:val="%5."/>
      <w:lvlJc w:val="left"/>
      <w:pPr>
        <w:ind w:left="4451" w:hanging="360"/>
      </w:pPr>
    </w:lvl>
    <w:lvl w:ilvl="5" w:tplc="0C09001B" w:tentative="1">
      <w:start w:val="1"/>
      <w:numFmt w:val="lowerRoman"/>
      <w:lvlText w:val="%6."/>
      <w:lvlJc w:val="right"/>
      <w:pPr>
        <w:ind w:left="5171" w:hanging="180"/>
      </w:pPr>
    </w:lvl>
    <w:lvl w:ilvl="6" w:tplc="0C09000F" w:tentative="1">
      <w:start w:val="1"/>
      <w:numFmt w:val="decimal"/>
      <w:lvlText w:val="%7."/>
      <w:lvlJc w:val="left"/>
      <w:pPr>
        <w:ind w:left="5891" w:hanging="360"/>
      </w:pPr>
    </w:lvl>
    <w:lvl w:ilvl="7" w:tplc="0C090019" w:tentative="1">
      <w:start w:val="1"/>
      <w:numFmt w:val="lowerLetter"/>
      <w:lvlText w:val="%8."/>
      <w:lvlJc w:val="left"/>
      <w:pPr>
        <w:ind w:left="6611" w:hanging="360"/>
      </w:pPr>
    </w:lvl>
    <w:lvl w:ilvl="8" w:tplc="0C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57517B5A"/>
    <w:multiLevelType w:val="hybridMultilevel"/>
    <w:tmpl w:val="22464BA2"/>
    <w:lvl w:ilvl="0" w:tplc="6244592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E4629D"/>
    <w:multiLevelType w:val="hybridMultilevel"/>
    <w:tmpl w:val="3F54F658"/>
    <w:lvl w:ilvl="0" w:tplc="89C251A2">
      <w:start w:val="1"/>
      <w:numFmt w:val="upperLetter"/>
      <w:lvlText w:val="(%1)"/>
      <w:lvlJc w:val="left"/>
      <w:pPr>
        <w:ind w:left="32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5" w15:restartNumberingAfterBreak="0">
    <w:nsid w:val="59A72DEF"/>
    <w:multiLevelType w:val="singleLevel"/>
    <w:tmpl w:val="2B6AF4D8"/>
    <w:lvl w:ilvl="0">
      <w:start w:val="1"/>
      <w:numFmt w:val="bullet"/>
      <w:pStyle w:val="Heading6"/>
      <w:lvlText w:val=""/>
      <w:lvlJc w:val="left"/>
      <w:pPr>
        <w:tabs>
          <w:tab w:val="num" w:pos="1440"/>
        </w:tabs>
        <w:ind w:left="1440" w:hanging="720"/>
      </w:pPr>
      <w:rPr>
        <w:rFonts w:ascii="Wingdings" w:hAnsi="Wingdings" w:hint="default"/>
        <w:sz w:val="16"/>
      </w:rPr>
    </w:lvl>
  </w:abstractNum>
  <w:abstractNum w:abstractNumId="16" w15:restartNumberingAfterBreak="0">
    <w:nsid w:val="5E9413DC"/>
    <w:multiLevelType w:val="hybridMultilevel"/>
    <w:tmpl w:val="3F54F658"/>
    <w:lvl w:ilvl="0" w:tplc="89C251A2">
      <w:start w:val="1"/>
      <w:numFmt w:val="upperLetter"/>
      <w:lvlText w:val="(%1)"/>
      <w:lvlJc w:val="left"/>
      <w:pPr>
        <w:ind w:left="32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7" w15:restartNumberingAfterBreak="0">
    <w:nsid w:val="618B62B5"/>
    <w:multiLevelType w:val="hybridMultilevel"/>
    <w:tmpl w:val="5B1256E4"/>
    <w:lvl w:ilvl="0" w:tplc="7B90E5FA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6D407D8F"/>
    <w:multiLevelType w:val="multilevel"/>
    <w:tmpl w:val="1C9E1DDC"/>
    <w:lvl w:ilvl="0">
      <w:start w:val="1"/>
      <w:numFmt w:val="decimal"/>
      <w:lvlText w:val="%1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>
      <w:start w:val="1"/>
      <w:numFmt w:val="decimal"/>
      <w:lvlText w:val="(%2)"/>
      <w:lvlJc w:val="left"/>
      <w:pPr>
        <w:ind w:left="3479" w:hanging="360"/>
      </w:pPr>
      <w:rPr>
        <w:rFonts w:cs="Times New Roman" w:hint="default"/>
      </w:rPr>
    </w:lvl>
    <w:lvl w:ilvl="2">
      <w:start w:val="1"/>
      <w:numFmt w:val="lowerLetter"/>
      <w:lvlText w:val="(%3)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lowerRoman"/>
      <w:lvlText w:val="(%4)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num w:numId="1">
    <w:abstractNumId w:val="15"/>
  </w:num>
  <w:num w:numId="2">
    <w:abstractNumId w:val="0"/>
  </w:num>
  <w:num w:numId="3">
    <w:abstractNumId w:val="5"/>
  </w:num>
  <w:num w:numId="4">
    <w:abstractNumId w:val="7"/>
  </w:num>
  <w:num w:numId="5">
    <w:abstractNumId w:val="11"/>
  </w:num>
  <w:num w:numId="6">
    <w:abstractNumId w:val="4"/>
  </w:num>
  <w:num w:numId="7">
    <w:abstractNumId w:val="3"/>
  </w:num>
  <w:num w:numId="8">
    <w:abstractNumId w:val="18"/>
  </w:num>
  <w:num w:numId="9">
    <w:abstractNumId w:val="1"/>
  </w:num>
  <w:num w:numId="10">
    <w:abstractNumId w:val="10"/>
  </w:num>
  <w:num w:numId="11">
    <w:abstractNumId w:val="9"/>
  </w:num>
  <w:num w:numId="12">
    <w:abstractNumId w:val="17"/>
  </w:num>
  <w:num w:numId="13">
    <w:abstractNumId w:val="14"/>
  </w:num>
  <w:num w:numId="14">
    <w:abstractNumId w:val="16"/>
  </w:num>
  <w:num w:numId="15">
    <w:abstractNumId w:val="12"/>
  </w:num>
  <w:num w:numId="16">
    <w:abstractNumId w:val="2"/>
  </w:num>
  <w:num w:numId="17">
    <w:abstractNumId w:val="13"/>
  </w:num>
  <w:num w:numId="18">
    <w:abstractNumId w:val="8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378"/>
    <w:rsid w:val="0001469B"/>
    <w:rsid w:val="00017125"/>
    <w:rsid w:val="00024551"/>
    <w:rsid w:val="00060BDB"/>
    <w:rsid w:val="00076000"/>
    <w:rsid w:val="00087C9A"/>
    <w:rsid w:val="00093284"/>
    <w:rsid w:val="000B120A"/>
    <w:rsid w:val="000B165B"/>
    <w:rsid w:val="000C0F55"/>
    <w:rsid w:val="000C1C6B"/>
    <w:rsid w:val="000F7C00"/>
    <w:rsid w:val="0011341A"/>
    <w:rsid w:val="00116C7D"/>
    <w:rsid w:val="00121E2E"/>
    <w:rsid w:val="0013534D"/>
    <w:rsid w:val="001453BA"/>
    <w:rsid w:val="00153070"/>
    <w:rsid w:val="00167F4F"/>
    <w:rsid w:val="00170AC0"/>
    <w:rsid w:val="00184FE4"/>
    <w:rsid w:val="001A0198"/>
    <w:rsid w:val="001C49F3"/>
    <w:rsid w:val="001E0D34"/>
    <w:rsid w:val="00223781"/>
    <w:rsid w:val="00235000"/>
    <w:rsid w:val="00241E0C"/>
    <w:rsid w:val="002543BC"/>
    <w:rsid w:val="00265911"/>
    <w:rsid w:val="00272C86"/>
    <w:rsid w:val="002837B2"/>
    <w:rsid w:val="002A290B"/>
    <w:rsid w:val="002C057F"/>
    <w:rsid w:val="002D0534"/>
    <w:rsid w:val="002D5D00"/>
    <w:rsid w:val="003062AB"/>
    <w:rsid w:val="00341728"/>
    <w:rsid w:val="00344B74"/>
    <w:rsid w:val="003529DF"/>
    <w:rsid w:val="003A5869"/>
    <w:rsid w:val="003B533F"/>
    <w:rsid w:val="003E6381"/>
    <w:rsid w:val="003E6C9D"/>
    <w:rsid w:val="00402E11"/>
    <w:rsid w:val="00406F76"/>
    <w:rsid w:val="004123B1"/>
    <w:rsid w:val="00415C9C"/>
    <w:rsid w:val="00420F7A"/>
    <w:rsid w:val="00465374"/>
    <w:rsid w:val="004722E2"/>
    <w:rsid w:val="004741EB"/>
    <w:rsid w:val="004D2F0E"/>
    <w:rsid w:val="00510F19"/>
    <w:rsid w:val="005169CB"/>
    <w:rsid w:val="005309BF"/>
    <w:rsid w:val="00545067"/>
    <w:rsid w:val="00563A90"/>
    <w:rsid w:val="00582A7E"/>
    <w:rsid w:val="00592255"/>
    <w:rsid w:val="005C46FE"/>
    <w:rsid w:val="005D3F6C"/>
    <w:rsid w:val="005D5862"/>
    <w:rsid w:val="005E410C"/>
    <w:rsid w:val="005F7FCA"/>
    <w:rsid w:val="0060038F"/>
    <w:rsid w:val="00611F16"/>
    <w:rsid w:val="00632139"/>
    <w:rsid w:val="006B6EC2"/>
    <w:rsid w:val="006C01F6"/>
    <w:rsid w:val="007239BA"/>
    <w:rsid w:val="007647FD"/>
    <w:rsid w:val="00765106"/>
    <w:rsid w:val="007651F1"/>
    <w:rsid w:val="0076630A"/>
    <w:rsid w:val="007A2988"/>
    <w:rsid w:val="007B34C8"/>
    <w:rsid w:val="007D4BAE"/>
    <w:rsid w:val="007D6F8E"/>
    <w:rsid w:val="007D77B9"/>
    <w:rsid w:val="007E4901"/>
    <w:rsid w:val="007F7EF4"/>
    <w:rsid w:val="008231DF"/>
    <w:rsid w:val="00841405"/>
    <w:rsid w:val="0086178E"/>
    <w:rsid w:val="00862155"/>
    <w:rsid w:val="00891787"/>
    <w:rsid w:val="008B0AC4"/>
    <w:rsid w:val="008B1B55"/>
    <w:rsid w:val="008C547C"/>
    <w:rsid w:val="008F0282"/>
    <w:rsid w:val="00926BF3"/>
    <w:rsid w:val="00951532"/>
    <w:rsid w:val="0096540E"/>
    <w:rsid w:val="00966865"/>
    <w:rsid w:val="009D2492"/>
    <w:rsid w:val="009F7452"/>
    <w:rsid w:val="00A243E7"/>
    <w:rsid w:val="00A31CF3"/>
    <w:rsid w:val="00A42FEC"/>
    <w:rsid w:val="00A67A5E"/>
    <w:rsid w:val="00A76F73"/>
    <w:rsid w:val="00A958AA"/>
    <w:rsid w:val="00AA3BC4"/>
    <w:rsid w:val="00AB0C27"/>
    <w:rsid w:val="00AE1028"/>
    <w:rsid w:val="00AE1771"/>
    <w:rsid w:val="00AF6BC3"/>
    <w:rsid w:val="00B07458"/>
    <w:rsid w:val="00B1414B"/>
    <w:rsid w:val="00B2132C"/>
    <w:rsid w:val="00B278C6"/>
    <w:rsid w:val="00B4073D"/>
    <w:rsid w:val="00B71D5D"/>
    <w:rsid w:val="00B8568F"/>
    <w:rsid w:val="00B85B3A"/>
    <w:rsid w:val="00BB5378"/>
    <w:rsid w:val="00BC6433"/>
    <w:rsid w:val="00BF7EA7"/>
    <w:rsid w:val="00C1536B"/>
    <w:rsid w:val="00C17206"/>
    <w:rsid w:val="00C3003D"/>
    <w:rsid w:val="00C45858"/>
    <w:rsid w:val="00C52E50"/>
    <w:rsid w:val="00C71524"/>
    <w:rsid w:val="00C910AF"/>
    <w:rsid w:val="00C9121D"/>
    <w:rsid w:val="00CA03F9"/>
    <w:rsid w:val="00CA5AD2"/>
    <w:rsid w:val="00CB60A9"/>
    <w:rsid w:val="00CC6F65"/>
    <w:rsid w:val="00CF39EF"/>
    <w:rsid w:val="00D06CE3"/>
    <w:rsid w:val="00D26D6B"/>
    <w:rsid w:val="00D56DF8"/>
    <w:rsid w:val="00D76E8B"/>
    <w:rsid w:val="00DB0DA8"/>
    <w:rsid w:val="00DB3C2E"/>
    <w:rsid w:val="00DB5F66"/>
    <w:rsid w:val="00DE1B84"/>
    <w:rsid w:val="00E06B2D"/>
    <w:rsid w:val="00E2362A"/>
    <w:rsid w:val="00E27DBD"/>
    <w:rsid w:val="00E47F7C"/>
    <w:rsid w:val="00E52701"/>
    <w:rsid w:val="00EA24F1"/>
    <w:rsid w:val="00EB22C4"/>
    <w:rsid w:val="00F018D4"/>
    <w:rsid w:val="00F05CFD"/>
    <w:rsid w:val="00F124D0"/>
    <w:rsid w:val="00F34915"/>
    <w:rsid w:val="00F56EFC"/>
    <w:rsid w:val="00F84A51"/>
    <w:rsid w:val="00F84B01"/>
    <w:rsid w:val="00FC704B"/>
    <w:rsid w:val="00FD6AB6"/>
    <w:rsid w:val="00FE3973"/>
    <w:rsid w:val="00FF3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5D9F8EE"/>
  <w15:chartTrackingRefBased/>
  <w15:docId w15:val="{CBBDEE4D-EB24-40F3-A8FA-4A7833DBE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53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3A586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6">
    <w:name w:val="heading 6"/>
    <w:aliases w:val="Square Bullet list"/>
    <w:basedOn w:val="Normal"/>
    <w:link w:val="Heading6Char"/>
    <w:uiPriority w:val="9"/>
    <w:qFormat/>
    <w:rsid w:val="00EA24F1"/>
    <w:pPr>
      <w:numPr>
        <w:numId w:val="1"/>
      </w:numPr>
      <w:spacing w:before="120" w:after="120"/>
      <w:outlineLvl w:val="5"/>
    </w:pPr>
    <w:rPr>
      <w:kern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aliases w:val="Square Bullet list Char"/>
    <w:basedOn w:val="DefaultParagraphFont"/>
    <w:link w:val="Heading6"/>
    <w:uiPriority w:val="9"/>
    <w:rsid w:val="00EA24F1"/>
    <w:rPr>
      <w:rFonts w:ascii="Times New Roman" w:eastAsia="Times New Roman" w:hAnsi="Times New Roman" w:cs="Times New Roman"/>
      <w:kern w:val="24"/>
      <w:sz w:val="24"/>
      <w:szCs w:val="20"/>
    </w:rPr>
  </w:style>
  <w:style w:type="paragraph" w:styleId="Footer">
    <w:name w:val="footer"/>
    <w:basedOn w:val="Normal"/>
    <w:link w:val="FooterChar"/>
    <w:uiPriority w:val="99"/>
    <w:rsid w:val="00BB537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5378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rsid w:val="00BB537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B5378"/>
    <w:rPr>
      <w:rFonts w:ascii="Times New Roman" w:eastAsia="Times New Roman" w:hAnsi="Times New Roman" w:cs="Times New Roman"/>
      <w:sz w:val="24"/>
      <w:szCs w:val="20"/>
    </w:rPr>
  </w:style>
  <w:style w:type="paragraph" w:customStyle="1" w:styleId="HR">
    <w:name w:val="HR"/>
    <w:aliases w:val="Regulation Heading"/>
    <w:basedOn w:val="Normal"/>
    <w:next w:val="Normal"/>
    <w:rsid w:val="00926BF3"/>
    <w:pPr>
      <w:keepNext/>
      <w:tabs>
        <w:tab w:val="left" w:pos="540"/>
      </w:tabs>
      <w:autoSpaceDE w:val="0"/>
      <w:autoSpaceDN w:val="0"/>
      <w:spacing w:before="480" w:line="240" w:lineRule="atLeast"/>
      <w:jc w:val="both"/>
      <w:outlineLvl w:val="1"/>
    </w:pPr>
    <w:rPr>
      <w:rFonts w:ascii="Times" w:hAnsi="Times" w:cs="Times"/>
      <w:b/>
      <w:bCs/>
      <w:sz w:val="26"/>
      <w:szCs w:val="26"/>
      <w:lang w:eastAsia="en-AU"/>
    </w:rPr>
  </w:style>
  <w:style w:type="paragraph" w:styleId="Title">
    <w:name w:val="Title"/>
    <w:basedOn w:val="Normal"/>
    <w:next w:val="Normal"/>
    <w:link w:val="TitleChar"/>
    <w:uiPriority w:val="99"/>
    <w:qFormat/>
    <w:rsid w:val="00926BF3"/>
    <w:pPr>
      <w:autoSpaceDE w:val="0"/>
      <w:autoSpaceDN w:val="0"/>
      <w:spacing w:before="480"/>
      <w:jc w:val="center"/>
      <w:outlineLvl w:val="0"/>
    </w:pPr>
    <w:rPr>
      <w:rFonts w:ascii="Times" w:hAnsi="Times" w:cs="Times"/>
      <w:b/>
      <w:bCs/>
      <w:sz w:val="36"/>
      <w:szCs w:val="36"/>
      <w:lang w:eastAsia="en-AU"/>
    </w:rPr>
  </w:style>
  <w:style w:type="character" w:customStyle="1" w:styleId="TitleChar">
    <w:name w:val="Title Char"/>
    <w:basedOn w:val="DefaultParagraphFont"/>
    <w:link w:val="Title"/>
    <w:uiPriority w:val="99"/>
    <w:rsid w:val="00926BF3"/>
    <w:rPr>
      <w:rFonts w:ascii="Times" w:eastAsia="Times New Roman" w:hAnsi="Times" w:cs="Times"/>
      <w:b/>
      <w:bCs/>
      <w:sz w:val="36"/>
      <w:szCs w:val="36"/>
      <w:lang w:eastAsia="en-AU"/>
    </w:rPr>
  </w:style>
  <w:style w:type="paragraph" w:customStyle="1" w:styleId="HP">
    <w:name w:val="HP"/>
    <w:aliases w:val="Part Heading"/>
    <w:basedOn w:val="Normal"/>
    <w:next w:val="Normal"/>
    <w:rsid w:val="00BB5378"/>
    <w:pPr>
      <w:keepNext/>
      <w:autoSpaceDE w:val="0"/>
      <w:autoSpaceDN w:val="0"/>
      <w:spacing w:before="480"/>
      <w:jc w:val="center"/>
    </w:pPr>
    <w:rPr>
      <w:rFonts w:ascii="Times" w:hAnsi="Times" w:cs="Times"/>
      <w:b/>
      <w:bCs/>
      <w:sz w:val="26"/>
      <w:szCs w:val="26"/>
      <w:lang w:eastAsia="en-AU"/>
    </w:rPr>
  </w:style>
  <w:style w:type="numbering" w:customStyle="1" w:styleId="Style1">
    <w:name w:val="Style1"/>
    <w:rsid w:val="00BB5378"/>
    <w:pPr>
      <w:numPr>
        <w:numId w:val="3"/>
      </w:numPr>
    </w:pPr>
  </w:style>
  <w:style w:type="paragraph" w:customStyle="1" w:styleId="definition">
    <w:name w:val="definition"/>
    <w:basedOn w:val="Normal"/>
    <w:rsid w:val="00BB5378"/>
    <w:pPr>
      <w:tabs>
        <w:tab w:val="right" w:pos="1080"/>
        <w:tab w:val="left" w:pos="1260"/>
        <w:tab w:val="left" w:pos="1800"/>
      </w:tabs>
      <w:autoSpaceDE w:val="0"/>
      <w:autoSpaceDN w:val="0"/>
      <w:spacing w:before="40"/>
      <w:jc w:val="both"/>
    </w:pPr>
    <w:rPr>
      <w:rFonts w:ascii="Times" w:hAnsi="Times" w:cs="Times"/>
      <w:sz w:val="26"/>
      <w:szCs w:val="26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586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3A5869"/>
    <w:pPr>
      <w:ind w:left="720"/>
      <w:contextualSpacing/>
    </w:pPr>
  </w:style>
  <w:style w:type="numbering" w:customStyle="1" w:styleId="Style11">
    <w:name w:val="Style11"/>
    <w:rsid w:val="00F018D4"/>
  </w:style>
  <w:style w:type="character" w:styleId="CommentReference">
    <w:name w:val="annotation reference"/>
    <w:basedOn w:val="DefaultParagraphFont"/>
    <w:uiPriority w:val="99"/>
    <w:semiHidden/>
    <w:unhideWhenUsed/>
    <w:rsid w:val="008231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231D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231D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31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31D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31D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31DF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B533F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A958A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tHead6">
    <w:name w:val="ActHead 6"/>
    <w:aliases w:val="as"/>
    <w:basedOn w:val="Normal"/>
    <w:next w:val="Normal"/>
    <w:qFormat/>
    <w:rsid w:val="00DE1B84"/>
    <w:pPr>
      <w:keepNext/>
      <w:keepLines/>
      <w:ind w:left="1134" w:hanging="1134"/>
      <w:outlineLvl w:val="5"/>
    </w:pPr>
    <w:rPr>
      <w:rFonts w:ascii="Arial" w:hAnsi="Arial"/>
      <w:b/>
      <w:kern w:val="28"/>
      <w:sz w:val="32"/>
      <w:lang w:eastAsia="en-AU"/>
    </w:rPr>
  </w:style>
  <w:style w:type="paragraph" w:customStyle="1" w:styleId="ActHead9">
    <w:name w:val="ActHead 9"/>
    <w:aliases w:val="aat"/>
    <w:basedOn w:val="Normal"/>
    <w:next w:val="ItemHead"/>
    <w:qFormat/>
    <w:rsid w:val="00DE1B84"/>
    <w:pPr>
      <w:keepNext/>
      <w:keepLines/>
      <w:spacing w:before="280"/>
      <w:ind w:left="1134" w:hanging="1134"/>
      <w:outlineLvl w:val="8"/>
    </w:pPr>
    <w:rPr>
      <w:b/>
      <w:i/>
      <w:kern w:val="28"/>
      <w:sz w:val="28"/>
      <w:lang w:eastAsia="en-AU"/>
    </w:rPr>
  </w:style>
  <w:style w:type="character" w:customStyle="1" w:styleId="CharAmSchNo">
    <w:name w:val="CharAmSchNo"/>
    <w:basedOn w:val="DefaultParagraphFont"/>
    <w:uiPriority w:val="1"/>
    <w:qFormat/>
    <w:rsid w:val="00DE1B84"/>
  </w:style>
  <w:style w:type="character" w:customStyle="1" w:styleId="CharAmSchText">
    <w:name w:val="CharAmSchText"/>
    <w:basedOn w:val="DefaultParagraphFont"/>
    <w:uiPriority w:val="1"/>
    <w:qFormat/>
    <w:rsid w:val="00DE1B84"/>
  </w:style>
  <w:style w:type="paragraph" w:customStyle="1" w:styleId="Item">
    <w:name w:val="Item"/>
    <w:aliases w:val="i"/>
    <w:basedOn w:val="Normal"/>
    <w:next w:val="ItemHead"/>
    <w:rsid w:val="00DE1B84"/>
    <w:pPr>
      <w:keepLines/>
      <w:spacing w:before="80"/>
      <w:ind w:left="709"/>
    </w:pPr>
    <w:rPr>
      <w:sz w:val="22"/>
      <w:lang w:eastAsia="en-AU"/>
    </w:rPr>
  </w:style>
  <w:style w:type="paragraph" w:customStyle="1" w:styleId="ItemHead">
    <w:name w:val="ItemHead"/>
    <w:aliases w:val="ih"/>
    <w:basedOn w:val="Normal"/>
    <w:next w:val="Item"/>
    <w:rsid w:val="00926BF3"/>
    <w:pPr>
      <w:keepNext/>
      <w:keepLines/>
      <w:spacing w:before="220"/>
      <w:ind w:left="709" w:hanging="709"/>
      <w:outlineLvl w:val="2"/>
    </w:pPr>
    <w:rPr>
      <w:rFonts w:ascii="Arial" w:hAnsi="Arial"/>
      <w:b/>
      <w:kern w:val="28"/>
      <w:lang w:eastAsia="en-AU"/>
    </w:rPr>
  </w:style>
  <w:style w:type="table" w:styleId="TableGrid">
    <w:name w:val="Table Grid"/>
    <w:basedOn w:val="TableNormal"/>
    <w:uiPriority w:val="39"/>
    <w:rsid w:val="00170A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7B39E63ECABE45BA5673B7435689C3" ma:contentTypeVersion="0" ma:contentTypeDescription="Create a new document." ma:contentTypeScope="" ma:versionID="babba693fa52bdcb4e6f530a0fd95a8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05C7BB-E8AC-4332-A7A4-373B5CF53E53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2713466-386A-4D0A-9306-F99147E3C3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86D8C-7E3B-4DBE-9240-2BC5DF368A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C3EB10F-3ED8-4AF4-8CEC-813EAFBCE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352</Words>
  <Characters>1899</Characters>
  <Application>Microsoft Office Word</Application>
  <DocSecurity>0</DocSecurity>
  <Lines>30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Telecommunications (Network Exemption—TransACT Upgraded VDSL Networks) Instrument 2012 (Amendment No.1 of 2020)</vt:lpstr>
    </vt:vector>
  </TitlesOfParts>
  <Company>Department of Infrastructure, Regional Development, Transport and Communications</Company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Telecommunications (Network Exemption—TransACT Upgraded VDSL Networks) Instrument 2012 (Amendment No.1 of 2020)</dc:title>
  <dc:subject/>
  <dc:creator>Department of Infrastructure, Regional Development, Transport and Communications</dc:creator>
  <cp:keywords/>
  <dc:description/>
  <cp:lastModifiedBy>Hall, Theresa</cp:lastModifiedBy>
  <cp:revision>7</cp:revision>
  <dcterms:created xsi:type="dcterms:W3CDTF">2020-06-23T08:32:00Z</dcterms:created>
  <dcterms:modified xsi:type="dcterms:W3CDTF">2020-07-01T03:08:00Z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0x0101002A7B39E63ECABE45BA5673B7435689C3</vt:lpwstr>
  </property>
  <property fmtid="{D5CDD505-2E9C-101B-9397-08002B2CF9AE}" pid="3" name="TrimRevisionNumber">
    <vt:i4>2</vt:i4>
  </property>
</Properties>
</file>