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9D5E5" w14:textId="77777777" w:rsidR="0075055C" w:rsidRPr="00C42AFD" w:rsidRDefault="0075055C" w:rsidP="0075055C">
      <w:pPr>
        <w:pStyle w:val="Heading1"/>
        <w:jc w:val="center"/>
        <w:rPr>
          <w:color w:val="auto"/>
          <w:sz w:val="36"/>
          <w:lang w:val="en-GB"/>
        </w:rPr>
      </w:pPr>
      <w:r w:rsidRPr="00C42AFD">
        <w:rPr>
          <w:color w:val="auto"/>
          <w:sz w:val="36"/>
          <w:lang w:val="en-GB"/>
        </w:rPr>
        <w:t>Explanatory Note</w:t>
      </w:r>
    </w:p>
    <w:p w14:paraId="3CBF6093" w14:textId="36547C0C" w:rsidR="0075055C" w:rsidRPr="00C42AFD" w:rsidRDefault="0075055C" w:rsidP="0075055C">
      <w:pPr>
        <w:jc w:val="center"/>
        <w:rPr>
          <w:rFonts w:cs="Calibri"/>
          <w:sz w:val="24"/>
          <w:szCs w:val="24"/>
          <w:lang w:eastAsia="en-AU"/>
        </w:rPr>
      </w:pPr>
      <w:r w:rsidRPr="00C42AFD">
        <w:rPr>
          <w:sz w:val="24"/>
          <w:szCs w:val="24"/>
          <w:lang w:eastAsia="en-AU"/>
        </w:rPr>
        <w:t xml:space="preserve">Issued by the Authority of </w:t>
      </w:r>
      <w:r w:rsidR="00C81E64" w:rsidRPr="00C42AFD">
        <w:rPr>
          <w:sz w:val="24"/>
          <w:szCs w:val="24"/>
          <w:lang w:eastAsia="en-AU"/>
        </w:rPr>
        <w:t>the Minister for Communications</w:t>
      </w:r>
      <w:r w:rsidR="00A73A9D" w:rsidRPr="00C42AFD">
        <w:rPr>
          <w:sz w:val="24"/>
          <w:szCs w:val="24"/>
          <w:lang w:eastAsia="en-AU"/>
        </w:rPr>
        <w:t>, Cyber Safety and the Arts</w:t>
      </w:r>
    </w:p>
    <w:p w14:paraId="14E8B716" w14:textId="77777777" w:rsidR="0075055C" w:rsidRPr="00C42AFD" w:rsidRDefault="0075055C" w:rsidP="0075055C">
      <w:pPr>
        <w:spacing w:after="100" w:afterAutospacing="1" w:line="360" w:lineRule="auto"/>
        <w:contextualSpacing/>
        <w:jc w:val="center"/>
        <w:rPr>
          <w:i/>
          <w:sz w:val="24"/>
          <w:szCs w:val="24"/>
          <w:lang w:eastAsia="en-AU"/>
        </w:rPr>
      </w:pPr>
      <w:r w:rsidRPr="00C42AFD">
        <w:rPr>
          <w:i/>
          <w:sz w:val="24"/>
          <w:szCs w:val="24"/>
          <w:lang w:eastAsia="en-AU"/>
        </w:rPr>
        <w:t>Telecommunications Act 1997</w:t>
      </w:r>
    </w:p>
    <w:p w14:paraId="15587FB7" w14:textId="77777777" w:rsidR="0075055C" w:rsidRPr="00C42AFD" w:rsidRDefault="0075055C" w:rsidP="0075055C">
      <w:pPr>
        <w:jc w:val="center"/>
        <w:rPr>
          <w:i/>
          <w:sz w:val="2"/>
          <w:lang w:eastAsia="en-AU"/>
        </w:rPr>
      </w:pPr>
    </w:p>
    <w:p w14:paraId="7F283A69" w14:textId="593D9F22" w:rsidR="0075055C" w:rsidRPr="00C42AFD" w:rsidRDefault="00D405A1" w:rsidP="00926E30">
      <w:pPr>
        <w:jc w:val="center"/>
        <w:outlineLvl w:val="0"/>
        <w:rPr>
          <w:i/>
          <w:sz w:val="28"/>
          <w:szCs w:val="28"/>
          <w:lang w:eastAsia="en-AU"/>
        </w:rPr>
      </w:pPr>
      <w:r w:rsidRPr="00D405A1">
        <w:rPr>
          <w:i/>
          <w:sz w:val="28"/>
          <w:szCs w:val="28"/>
          <w:lang w:eastAsia="en-AU"/>
        </w:rPr>
        <w:t>Telecommunications (Network Exemption—Specified Velocity Networks)</w:t>
      </w:r>
      <w:r>
        <w:rPr>
          <w:i/>
          <w:sz w:val="28"/>
          <w:szCs w:val="28"/>
          <w:lang w:eastAsia="en-AU"/>
        </w:rPr>
        <w:t xml:space="preserve"> Instrument 2012 (Amendment No.1 of 2020)</w:t>
      </w:r>
    </w:p>
    <w:p w14:paraId="4555D16B" w14:textId="77777777" w:rsidR="008F2593" w:rsidRPr="00700503" w:rsidRDefault="00B40F09" w:rsidP="00926E30">
      <w:pPr>
        <w:pStyle w:val="Heading2"/>
      </w:pPr>
      <w:r w:rsidRPr="00700503">
        <w:t>Authority</w:t>
      </w:r>
    </w:p>
    <w:p w14:paraId="3141E469" w14:textId="67298BA9" w:rsidR="00844374" w:rsidRDefault="00844374" w:rsidP="00844374">
      <w:pPr>
        <w:rPr>
          <w:sz w:val="24"/>
          <w:szCs w:val="24"/>
        </w:rPr>
      </w:pPr>
      <w:r w:rsidRPr="000442B1">
        <w:rPr>
          <w:sz w:val="24"/>
          <w:szCs w:val="24"/>
        </w:rPr>
        <w:t xml:space="preserve">Subsection 141A(1) of the </w:t>
      </w:r>
      <w:r w:rsidRPr="000442B1">
        <w:rPr>
          <w:i/>
          <w:sz w:val="24"/>
          <w:szCs w:val="24"/>
        </w:rPr>
        <w:t>Telecommunications Act 1997</w:t>
      </w:r>
      <w:r w:rsidRPr="000442B1">
        <w:rPr>
          <w:sz w:val="24"/>
          <w:szCs w:val="24"/>
        </w:rPr>
        <w:t xml:space="preserve"> (the Act) conferred power on the Minister for Communications to exempt specified local access networks from the Layer 2 </w:t>
      </w:r>
      <w:proofErr w:type="spellStart"/>
      <w:r w:rsidRPr="000442B1">
        <w:rPr>
          <w:sz w:val="24"/>
          <w:szCs w:val="24"/>
        </w:rPr>
        <w:t>bitstream</w:t>
      </w:r>
      <w:proofErr w:type="spellEnd"/>
      <w:r w:rsidRPr="000442B1">
        <w:rPr>
          <w:sz w:val="24"/>
          <w:szCs w:val="24"/>
        </w:rPr>
        <w:t xml:space="preserve"> requirements of section 141 of the Act</w:t>
      </w:r>
      <w:r w:rsidRPr="000442B1">
        <w:rPr>
          <w:rStyle w:val="FootnoteReference"/>
          <w:sz w:val="24"/>
          <w:szCs w:val="24"/>
        </w:rPr>
        <w:footnoteReference w:id="2"/>
      </w:r>
      <w:r w:rsidRPr="000442B1">
        <w:rPr>
          <w:sz w:val="24"/>
          <w:szCs w:val="24"/>
        </w:rPr>
        <w:t xml:space="preserve">. The </w:t>
      </w:r>
      <w:r w:rsidRPr="000442B1">
        <w:rPr>
          <w:i/>
          <w:sz w:val="24"/>
          <w:szCs w:val="24"/>
        </w:rPr>
        <w:t>Telecommunications Legislation Amendment (Com</w:t>
      </w:r>
      <w:r w:rsidR="000C73FD">
        <w:rPr>
          <w:i/>
          <w:sz w:val="24"/>
          <w:szCs w:val="24"/>
        </w:rPr>
        <w:t>petition and Consumer) Act 2020</w:t>
      </w:r>
      <w:r w:rsidRPr="000442B1">
        <w:rPr>
          <w:i/>
          <w:sz w:val="24"/>
          <w:szCs w:val="24"/>
        </w:rPr>
        <w:t xml:space="preserve"> </w:t>
      </w:r>
      <w:r w:rsidRPr="000442B1">
        <w:rPr>
          <w:sz w:val="24"/>
          <w:szCs w:val="24"/>
        </w:rPr>
        <w:t>repealed Part 7 of the Act containing s141</w:t>
      </w:r>
      <w:r w:rsidR="001F6374">
        <w:rPr>
          <w:sz w:val="24"/>
          <w:szCs w:val="24"/>
        </w:rPr>
        <w:t>. H</w:t>
      </w:r>
      <w:r w:rsidR="00E0370E">
        <w:rPr>
          <w:sz w:val="24"/>
          <w:szCs w:val="24"/>
        </w:rPr>
        <w:t xml:space="preserve">owever, </w:t>
      </w:r>
      <w:proofErr w:type="spellStart"/>
      <w:r w:rsidR="00E0370E">
        <w:rPr>
          <w:sz w:val="24"/>
          <w:szCs w:val="24"/>
        </w:rPr>
        <w:t>s</w:t>
      </w:r>
      <w:r w:rsidR="000C73FD">
        <w:rPr>
          <w:sz w:val="24"/>
          <w:szCs w:val="24"/>
        </w:rPr>
        <w:t>ub</w:t>
      </w:r>
      <w:r w:rsidR="00E0370E">
        <w:rPr>
          <w:sz w:val="24"/>
          <w:szCs w:val="24"/>
        </w:rPr>
        <w:t>item</w:t>
      </w:r>
      <w:proofErr w:type="spellEnd"/>
      <w:r w:rsidR="000C73FD">
        <w:rPr>
          <w:sz w:val="24"/>
          <w:szCs w:val="24"/>
        </w:rPr>
        <w:t xml:space="preserve"> 27(1) of </w:t>
      </w:r>
      <w:r w:rsidR="00E0370E">
        <w:rPr>
          <w:sz w:val="24"/>
          <w:szCs w:val="24"/>
        </w:rPr>
        <w:t xml:space="preserve">Schedule </w:t>
      </w:r>
      <w:r w:rsidR="005B52D8">
        <w:rPr>
          <w:sz w:val="24"/>
          <w:szCs w:val="24"/>
        </w:rPr>
        <w:t>1</w:t>
      </w:r>
      <w:r w:rsidR="001F6374">
        <w:rPr>
          <w:sz w:val="24"/>
          <w:szCs w:val="24"/>
        </w:rPr>
        <w:t xml:space="preserve"> </w:t>
      </w:r>
      <w:r w:rsidR="002C77C5">
        <w:rPr>
          <w:sz w:val="24"/>
          <w:szCs w:val="24"/>
        </w:rPr>
        <w:t>to</w:t>
      </w:r>
      <w:r w:rsidR="00E0370E">
        <w:rPr>
          <w:sz w:val="24"/>
          <w:szCs w:val="24"/>
        </w:rPr>
        <w:t xml:space="preserve"> </w:t>
      </w:r>
      <w:r w:rsidR="000C73FD">
        <w:rPr>
          <w:sz w:val="24"/>
          <w:szCs w:val="24"/>
        </w:rPr>
        <w:t xml:space="preserve">the </w:t>
      </w:r>
      <w:r w:rsidR="000C73FD" w:rsidRPr="000442B1">
        <w:rPr>
          <w:i/>
          <w:sz w:val="24"/>
          <w:szCs w:val="24"/>
        </w:rPr>
        <w:t>Telecommunications Legislation Amendment (Com</w:t>
      </w:r>
      <w:r w:rsidR="000C73FD">
        <w:rPr>
          <w:i/>
          <w:sz w:val="24"/>
          <w:szCs w:val="24"/>
        </w:rPr>
        <w:t>petition and Consumer) Act 2020</w:t>
      </w:r>
      <w:r w:rsidRPr="000442B1">
        <w:rPr>
          <w:sz w:val="24"/>
          <w:szCs w:val="24"/>
        </w:rPr>
        <w:t xml:space="preserve"> provides for existing exemption instruments, including their associated conditions, granted under s141A(1) of Part 7 of the Act to continue to have effect</w:t>
      </w:r>
      <w:r w:rsidR="00E0370E">
        <w:rPr>
          <w:sz w:val="24"/>
          <w:szCs w:val="24"/>
        </w:rPr>
        <w:t xml:space="preserve"> as if they </w:t>
      </w:r>
      <w:proofErr w:type="gramStart"/>
      <w:r w:rsidR="00E0370E">
        <w:rPr>
          <w:sz w:val="24"/>
          <w:szCs w:val="24"/>
        </w:rPr>
        <w:t>had been made</w:t>
      </w:r>
      <w:proofErr w:type="gramEnd"/>
      <w:r w:rsidR="00E0370E">
        <w:rPr>
          <w:sz w:val="24"/>
          <w:szCs w:val="24"/>
        </w:rPr>
        <w:t xml:space="preserve"> under subsection 144(1) of the Act</w:t>
      </w:r>
      <w:r w:rsidRPr="000442B1">
        <w:rPr>
          <w:sz w:val="24"/>
          <w:szCs w:val="24"/>
        </w:rPr>
        <w:t>.</w:t>
      </w:r>
    </w:p>
    <w:p w14:paraId="47E45707" w14:textId="576F71A4" w:rsidR="00844374" w:rsidRPr="000442B1" w:rsidRDefault="00844374" w:rsidP="00844374">
      <w:pPr>
        <w:rPr>
          <w:sz w:val="24"/>
          <w:szCs w:val="24"/>
        </w:rPr>
      </w:pPr>
      <w:r w:rsidRPr="000442B1">
        <w:rPr>
          <w:sz w:val="24"/>
          <w:szCs w:val="24"/>
        </w:rPr>
        <w:t>Subsection 144(1) of the Act confers power on the Minister to exempt specified local access networks from the wholesale-only requirements of section 143 of the Act. Subsection 144(4) provide</w:t>
      </w:r>
      <w:r w:rsidR="003C1188">
        <w:rPr>
          <w:sz w:val="24"/>
          <w:szCs w:val="24"/>
        </w:rPr>
        <w:t>s</w:t>
      </w:r>
      <w:r w:rsidRPr="000442B1">
        <w:rPr>
          <w:sz w:val="24"/>
          <w:szCs w:val="24"/>
        </w:rPr>
        <w:t xml:space="preserve"> that the related exemption instrument may be unconditional or subject to such conditions (if </w:t>
      </w:r>
      <w:proofErr w:type="gramStart"/>
      <w:r w:rsidRPr="000442B1">
        <w:rPr>
          <w:sz w:val="24"/>
          <w:szCs w:val="24"/>
        </w:rPr>
        <w:t>any)</w:t>
      </w:r>
      <w:proofErr w:type="gramEnd"/>
      <w:r w:rsidRPr="000442B1">
        <w:rPr>
          <w:sz w:val="24"/>
          <w:szCs w:val="24"/>
        </w:rPr>
        <w:t xml:space="preserve"> as are specified in the instrument. </w:t>
      </w:r>
    </w:p>
    <w:p w14:paraId="1DEB7AF1" w14:textId="77777777" w:rsidR="00844374" w:rsidRPr="00CB6F2E" w:rsidRDefault="00844374" w:rsidP="00844374">
      <w:pPr>
        <w:rPr>
          <w:sz w:val="24"/>
          <w:szCs w:val="24"/>
        </w:rPr>
      </w:pPr>
      <w:r w:rsidRPr="00CB6F2E">
        <w:rPr>
          <w:sz w:val="24"/>
          <w:szCs w:val="24"/>
        </w:rPr>
        <w:t xml:space="preserve">This Instrument is not a legislative instrument for the purposes of the </w:t>
      </w:r>
      <w:r w:rsidRPr="00CB6F2E">
        <w:rPr>
          <w:i/>
          <w:sz w:val="24"/>
          <w:szCs w:val="24"/>
        </w:rPr>
        <w:t>Legislation Act 2003</w:t>
      </w:r>
      <w:r w:rsidRPr="00CB6F2E">
        <w:rPr>
          <w:sz w:val="24"/>
          <w:szCs w:val="24"/>
        </w:rPr>
        <w:t xml:space="preserve"> (see subsection 144(6) of the Act).</w:t>
      </w:r>
    </w:p>
    <w:p w14:paraId="20CA1290" w14:textId="77777777" w:rsidR="00350D5A" w:rsidRPr="00076021" w:rsidRDefault="00350D5A" w:rsidP="00926E30">
      <w:pPr>
        <w:pStyle w:val="Heading2"/>
      </w:pPr>
      <w:r w:rsidRPr="00076021">
        <w:t>Purpose</w:t>
      </w:r>
    </w:p>
    <w:p w14:paraId="60B2759B" w14:textId="03F9AEA0" w:rsidR="00844374" w:rsidRPr="00B7407F" w:rsidRDefault="00844374" w:rsidP="00844374">
      <w:pPr>
        <w:rPr>
          <w:sz w:val="24"/>
          <w:szCs w:val="24"/>
        </w:rPr>
      </w:pPr>
      <w:r w:rsidRPr="00CB6F2E">
        <w:rPr>
          <w:sz w:val="24"/>
          <w:szCs w:val="24"/>
        </w:rPr>
        <w:t xml:space="preserve">The purpose of this </w:t>
      </w:r>
      <w:r>
        <w:rPr>
          <w:sz w:val="24"/>
          <w:szCs w:val="24"/>
        </w:rPr>
        <w:t>amendment is to provide an extension to the exemptions granted</w:t>
      </w:r>
      <w:r w:rsidRPr="00CB6F2E">
        <w:rPr>
          <w:sz w:val="24"/>
          <w:szCs w:val="24"/>
        </w:rPr>
        <w:t xml:space="preserve"> through the </w:t>
      </w:r>
      <w:r>
        <w:rPr>
          <w:i/>
          <w:sz w:val="24"/>
          <w:szCs w:val="24"/>
        </w:rPr>
        <w:t>Telecommunications (Network Exemption – Specified Velocity Network</w:t>
      </w:r>
      <w:r w:rsidR="00D30D62">
        <w:rPr>
          <w:i/>
          <w:sz w:val="24"/>
          <w:szCs w:val="24"/>
        </w:rPr>
        <w:t>s</w:t>
      </w:r>
      <w:r>
        <w:rPr>
          <w:i/>
          <w:sz w:val="24"/>
          <w:szCs w:val="24"/>
        </w:rPr>
        <w:t>) Instrument 2012</w:t>
      </w:r>
      <w:r w:rsidRPr="00CB6F2E">
        <w:rPr>
          <w:sz w:val="24"/>
          <w:szCs w:val="24"/>
        </w:rPr>
        <w:t xml:space="preserve"> for Telstra Corporation Ltd (ACN 051 775 556) from the requirements of Parts 7 and 8 of the </w:t>
      </w:r>
      <w:r w:rsidRPr="00CB6F2E">
        <w:rPr>
          <w:i/>
          <w:sz w:val="24"/>
          <w:szCs w:val="24"/>
        </w:rPr>
        <w:t>Telecommunications Act 1997</w:t>
      </w:r>
      <w:r w:rsidRPr="00CB6F2E">
        <w:rPr>
          <w:sz w:val="24"/>
          <w:szCs w:val="24"/>
        </w:rPr>
        <w:t xml:space="preserve"> for its </w:t>
      </w:r>
      <w:r w:rsidR="005028BC">
        <w:rPr>
          <w:sz w:val="24"/>
          <w:szCs w:val="24"/>
        </w:rPr>
        <w:t>specified V</w:t>
      </w:r>
      <w:r w:rsidR="00B1785D">
        <w:rPr>
          <w:sz w:val="24"/>
          <w:szCs w:val="24"/>
        </w:rPr>
        <w:t>elocity networks</w:t>
      </w:r>
      <w:r w:rsidRPr="00CB6F2E">
        <w:rPr>
          <w:sz w:val="24"/>
          <w:szCs w:val="24"/>
        </w:rPr>
        <w:t>.</w:t>
      </w:r>
      <w:r w:rsidRPr="00CB6F2E" w:rsidDel="003E3D22">
        <w:rPr>
          <w:sz w:val="24"/>
          <w:szCs w:val="24"/>
          <w:vertAlign w:val="superscript"/>
        </w:rPr>
        <w:t xml:space="preserve"> </w:t>
      </w:r>
    </w:p>
    <w:p w14:paraId="4074FB48" w14:textId="03252860" w:rsidR="003C1188" w:rsidRPr="00076021" w:rsidRDefault="00350D5A" w:rsidP="00926E30">
      <w:pPr>
        <w:pStyle w:val="Heading2"/>
      </w:pPr>
      <w:r w:rsidRPr="00076021">
        <w:lastRenderedPageBreak/>
        <w:t>Background</w:t>
      </w:r>
    </w:p>
    <w:p w14:paraId="31CBB29A" w14:textId="069F7A86" w:rsidR="0054340F" w:rsidRDefault="00076021" w:rsidP="00350D5A">
      <w:pPr>
        <w:rPr>
          <w:sz w:val="24"/>
          <w:szCs w:val="24"/>
        </w:rPr>
      </w:pPr>
      <w:r>
        <w:rPr>
          <w:sz w:val="24"/>
          <w:szCs w:val="24"/>
        </w:rPr>
        <w:t xml:space="preserve">Telstra first requested exemptions from Part 7 and Part 8 of the Act for its Velocity </w:t>
      </w:r>
      <w:r w:rsidR="00A62A81">
        <w:rPr>
          <w:sz w:val="24"/>
          <w:szCs w:val="24"/>
        </w:rPr>
        <w:t xml:space="preserve">Fibre to the Premises (FTTP) </w:t>
      </w:r>
      <w:r>
        <w:rPr>
          <w:sz w:val="24"/>
          <w:szCs w:val="24"/>
        </w:rPr>
        <w:t xml:space="preserve">networks in 2011. Its original request was granted by the then Minister for </w:t>
      </w:r>
      <w:r w:rsidR="001F6374">
        <w:rPr>
          <w:sz w:val="24"/>
          <w:szCs w:val="24"/>
        </w:rPr>
        <w:t>C</w:t>
      </w:r>
      <w:r>
        <w:rPr>
          <w:sz w:val="24"/>
          <w:szCs w:val="24"/>
        </w:rPr>
        <w:t>ommunications on 9 January 2012</w:t>
      </w:r>
      <w:r w:rsidR="00844374">
        <w:rPr>
          <w:sz w:val="24"/>
          <w:szCs w:val="24"/>
        </w:rPr>
        <w:t xml:space="preserve"> through the </w:t>
      </w:r>
      <w:r w:rsidR="00844374">
        <w:rPr>
          <w:i/>
          <w:sz w:val="24"/>
          <w:szCs w:val="24"/>
        </w:rPr>
        <w:t>Telecommunications (Network Exemption – Specified Velocity Network) Instrument 2012</w:t>
      </w:r>
      <w:r>
        <w:rPr>
          <w:sz w:val="24"/>
          <w:szCs w:val="24"/>
        </w:rPr>
        <w:t>, taking effect from 12 April 2012 unt</w:t>
      </w:r>
      <w:r w:rsidR="00C670F8">
        <w:rPr>
          <w:sz w:val="24"/>
          <w:szCs w:val="24"/>
        </w:rPr>
        <w:t>i</w:t>
      </w:r>
      <w:r>
        <w:rPr>
          <w:sz w:val="24"/>
          <w:szCs w:val="24"/>
        </w:rPr>
        <w:t xml:space="preserve">l the </w:t>
      </w:r>
      <w:r w:rsidR="002D4FE0">
        <w:rPr>
          <w:sz w:val="24"/>
          <w:szCs w:val="24"/>
        </w:rPr>
        <w:t>‘</w:t>
      </w:r>
      <w:r>
        <w:rPr>
          <w:sz w:val="24"/>
          <w:szCs w:val="24"/>
        </w:rPr>
        <w:t>Designated Day</w:t>
      </w:r>
      <w:r w:rsidR="002D4FE0">
        <w:rPr>
          <w:sz w:val="24"/>
          <w:szCs w:val="24"/>
        </w:rPr>
        <w:t>’</w:t>
      </w:r>
      <w:r>
        <w:rPr>
          <w:sz w:val="24"/>
          <w:szCs w:val="24"/>
        </w:rPr>
        <w:t xml:space="preserve"> – which under s</w:t>
      </w:r>
      <w:r w:rsidR="002C2E30">
        <w:rPr>
          <w:sz w:val="24"/>
          <w:szCs w:val="24"/>
        </w:rPr>
        <w:t xml:space="preserve">577A of the Act was then 1 July 2018. </w:t>
      </w:r>
      <w:r w:rsidR="003C1188">
        <w:rPr>
          <w:sz w:val="24"/>
          <w:szCs w:val="24"/>
        </w:rPr>
        <w:t>At present, the</w:t>
      </w:r>
      <w:r w:rsidR="002D4FE0">
        <w:rPr>
          <w:sz w:val="24"/>
          <w:szCs w:val="24"/>
        </w:rPr>
        <w:t xml:space="preserve"> ‘Designated Day’ </w:t>
      </w:r>
      <w:proofErr w:type="gramStart"/>
      <w:r w:rsidR="002D4FE0">
        <w:rPr>
          <w:sz w:val="24"/>
          <w:szCs w:val="24"/>
        </w:rPr>
        <w:t>is</w:t>
      </w:r>
      <w:r w:rsidR="003C1188">
        <w:rPr>
          <w:sz w:val="24"/>
          <w:szCs w:val="24"/>
        </w:rPr>
        <w:t xml:space="preserve"> set</w:t>
      </w:r>
      <w:proofErr w:type="gramEnd"/>
      <w:r w:rsidR="003C1188">
        <w:rPr>
          <w:sz w:val="24"/>
          <w:szCs w:val="24"/>
        </w:rPr>
        <w:t xml:space="preserve"> to</w:t>
      </w:r>
      <w:r w:rsidR="002D4FE0">
        <w:rPr>
          <w:sz w:val="24"/>
          <w:szCs w:val="24"/>
        </w:rPr>
        <w:t xml:space="preserve"> </w:t>
      </w:r>
      <w:r w:rsidR="002C2E30">
        <w:rPr>
          <w:sz w:val="24"/>
          <w:szCs w:val="24"/>
        </w:rPr>
        <w:t xml:space="preserve">1 July 2020. </w:t>
      </w:r>
    </w:p>
    <w:p w14:paraId="0CE3CDE9" w14:textId="6AD8733E" w:rsidR="00CA556E" w:rsidRDefault="003E1059" w:rsidP="00350D5A">
      <w:pPr>
        <w:rPr>
          <w:sz w:val="24"/>
          <w:szCs w:val="24"/>
        </w:rPr>
      </w:pPr>
      <w:r>
        <w:rPr>
          <w:sz w:val="24"/>
          <w:szCs w:val="24"/>
        </w:rPr>
        <w:t xml:space="preserve">On 8 April 2020, </w:t>
      </w:r>
      <w:r w:rsidR="00844374" w:rsidRPr="00473138">
        <w:rPr>
          <w:sz w:val="24"/>
          <w:szCs w:val="24"/>
        </w:rPr>
        <w:t xml:space="preserve">Telstra requested an extension to </w:t>
      </w:r>
      <w:r w:rsidR="00844374">
        <w:rPr>
          <w:sz w:val="24"/>
          <w:szCs w:val="24"/>
        </w:rPr>
        <w:t>the Parts 7 and 8</w:t>
      </w:r>
      <w:r w:rsidR="00844374" w:rsidRPr="00473138">
        <w:rPr>
          <w:sz w:val="24"/>
          <w:szCs w:val="24"/>
        </w:rPr>
        <w:t xml:space="preserve"> exemption</w:t>
      </w:r>
      <w:r w:rsidR="00844374">
        <w:rPr>
          <w:sz w:val="24"/>
          <w:szCs w:val="24"/>
        </w:rPr>
        <w:t>s</w:t>
      </w:r>
      <w:r w:rsidR="00844374" w:rsidRPr="00473138">
        <w:rPr>
          <w:sz w:val="24"/>
          <w:szCs w:val="24"/>
        </w:rPr>
        <w:t xml:space="preserve"> until 90</w:t>
      </w:r>
      <w:r w:rsidR="00CA556E">
        <w:rPr>
          <w:sz w:val="24"/>
          <w:szCs w:val="24"/>
        </w:rPr>
        <w:t> </w:t>
      </w:r>
      <w:r w:rsidR="00844374" w:rsidRPr="00473138">
        <w:rPr>
          <w:sz w:val="24"/>
          <w:szCs w:val="24"/>
        </w:rPr>
        <w:t>days following the completion of transition to any new owner</w:t>
      </w:r>
      <w:r w:rsidR="003C1188">
        <w:rPr>
          <w:sz w:val="24"/>
          <w:szCs w:val="24"/>
        </w:rPr>
        <w:t xml:space="preserve">, </w:t>
      </w:r>
      <w:r w:rsidR="00844374" w:rsidRPr="00473138">
        <w:rPr>
          <w:sz w:val="24"/>
          <w:szCs w:val="24"/>
        </w:rPr>
        <w:t>or 1 July 2023 if Telstra still owns the network.</w:t>
      </w:r>
      <w:r w:rsidR="003C1188">
        <w:rPr>
          <w:sz w:val="24"/>
          <w:szCs w:val="24"/>
        </w:rPr>
        <w:t xml:space="preserve"> </w:t>
      </w:r>
      <w:r w:rsidR="00844374" w:rsidRPr="00473138">
        <w:rPr>
          <w:sz w:val="24"/>
          <w:szCs w:val="24"/>
        </w:rPr>
        <w:t>In accordance with subsection</w:t>
      </w:r>
      <w:r w:rsidR="002D4FE0">
        <w:rPr>
          <w:sz w:val="24"/>
          <w:szCs w:val="24"/>
        </w:rPr>
        <w:t xml:space="preserve"> </w:t>
      </w:r>
      <w:r w:rsidR="00844374" w:rsidRPr="00473138">
        <w:rPr>
          <w:sz w:val="24"/>
          <w:szCs w:val="24"/>
        </w:rPr>
        <w:t xml:space="preserve">144(5) of the Act, the Minister wrote to the Chairs of the </w:t>
      </w:r>
      <w:r w:rsidR="002F72E7">
        <w:rPr>
          <w:sz w:val="24"/>
          <w:szCs w:val="24"/>
        </w:rPr>
        <w:t>Australian Competition and Consumer Commission (</w:t>
      </w:r>
      <w:r w:rsidR="00844374" w:rsidRPr="00473138">
        <w:rPr>
          <w:sz w:val="24"/>
          <w:szCs w:val="24"/>
        </w:rPr>
        <w:t>ACCC</w:t>
      </w:r>
      <w:r w:rsidR="002F72E7">
        <w:rPr>
          <w:sz w:val="24"/>
          <w:szCs w:val="24"/>
        </w:rPr>
        <w:t>)</w:t>
      </w:r>
      <w:r w:rsidR="00844374" w:rsidRPr="00473138">
        <w:rPr>
          <w:sz w:val="24"/>
          <w:szCs w:val="24"/>
        </w:rPr>
        <w:t xml:space="preserve"> and the Australian Communications and Media Authority (ACMA) to seek their comments on Telstra’s extension request. On 2 June 2020, the ACCC and the ACMA separately provided advice regarding Telstra’s request.</w:t>
      </w:r>
    </w:p>
    <w:p w14:paraId="61EC0549" w14:textId="114AC5E4" w:rsidR="002C2E30" w:rsidRDefault="002C2E30" w:rsidP="00350D5A">
      <w:pPr>
        <w:rPr>
          <w:sz w:val="24"/>
          <w:szCs w:val="24"/>
        </w:rPr>
      </w:pPr>
      <w:r w:rsidRPr="002C2E30">
        <w:rPr>
          <w:sz w:val="24"/>
          <w:szCs w:val="24"/>
        </w:rPr>
        <w:t xml:space="preserve">In addition, </w:t>
      </w:r>
      <w:r w:rsidR="003E1059">
        <w:rPr>
          <w:sz w:val="24"/>
          <w:szCs w:val="24"/>
        </w:rPr>
        <w:t xml:space="preserve">on 20 May 2020, </w:t>
      </w:r>
      <w:r w:rsidRPr="002C2E30">
        <w:rPr>
          <w:sz w:val="24"/>
          <w:szCs w:val="24"/>
        </w:rPr>
        <w:t xml:space="preserve">the </w:t>
      </w:r>
      <w:r w:rsidR="00EC4D88">
        <w:rPr>
          <w:sz w:val="24"/>
          <w:szCs w:val="24"/>
        </w:rPr>
        <w:t xml:space="preserve">Department of Infrastructure, Transport, Regional Development </w:t>
      </w:r>
      <w:r w:rsidR="00F8781D">
        <w:rPr>
          <w:sz w:val="24"/>
          <w:szCs w:val="24"/>
        </w:rPr>
        <w:t>and Communications</w:t>
      </w:r>
      <w:r w:rsidRPr="002C2E30">
        <w:rPr>
          <w:sz w:val="24"/>
          <w:szCs w:val="24"/>
        </w:rPr>
        <w:t xml:space="preserve"> requested public submissions</w:t>
      </w:r>
      <w:r w:rsidR="00F8781D">
        <w:rPr>
          <w:sz w:val="24"/>
          <w:szCs w:val="24"/>
        </w:rPr>
        <w:t xml:space="preserve"> </w:t>
      </w:r>
      <w:r w:rsidR="003E1059">
        <w:rPr>
          <w:sz w:val="24"/>
          <w:szCs w:val="24"/>
        </w:rPr>
        <w:t xml:space="preserve">by 5 June 2020 </w:t>
      </w:r>
      <w:r w:rsidR="00F8781D">
        <w:rPr>
          <w:sz w:val="24"/>
          <w:szCs w:val="24"/>
        </w:rPr>
        <w:t>on behalf of the Minister</w:t>
      </w:r>
      <w:r w:rsidRPr="002C2E30">
        <w:rPr>
          <w:sz w:val="24"/>
          <w:szCs w:val="24"/>
        </w:rPr>
        <w:t xml:space="preserve"> to gauge </w:t>
      </w:r>
      <w:r w:rsidR="00F8781D">
        <w:rPr>
          <w:sz w:val="24"/>
          <w:szCs w:val="24"/>
        </w:rPr>
        <w:t xml:space="preserve">the </w:t>
      </w:r>
      <w:r w:rsidRPr="002C2E30">
        <w:rPr>
          <w:sz w:val="24"/>
          <w:szCs w:val="24"/>
        </w:rPr>
        <w:t>views</w:t>
      </w:r>
      <w:r w:rsidR="00F8781D">
        <w:rPr>
          <w:sz w:val="24"/>
          <w:szCs w:val="24"/>
        </w:rPr>
        <w:t xml:space="preserve"> of potentially affected parties</w:t>
      </w:r>
      <w:r w:rsidRPr="002C2E30">
        <w:rPr>
          <w:sz w:val="24"/>
          <w:szCs w:val="24"/>
        </w:rPr>
        <w:t>.</w:t>
      </w:r>
    </w:p>
    <w:p w14:paraId="46D7DA73" w14:textId="07C38791" w:rsidR="002C2E30" w:rsidRDefault="002C2E30" w:rsidP="00350D5A">
      <w:pPr>
        <w:rPr>
          <w:sz w:val="24"/>
          <w:szCs w:val="24"/>
        </w:rPr>
      </w:pPr>
      <w:r>
        <w:rPr>
          <w:sz w:val="24"/>
          <w:szCs w:val="24"/>
        </w:rPr>
        <w:t xml:space="preserve">The Minister </w:t>
      </w:r>
      <w:r w:rsidR="003C1188">
        <w:rPr>
          <w:sz w:val="24"/>
          <w:szCs w:val="24"/>
        </w:rPr>
        <w:t xml:space="preserve">subsequently </w:t>
      </w:r>
      <w:r>
        <w:rPr>
          <w:sz w:val="24"/>
          <w:szCs w:val="24"/>
        </w:rPr>
        <w:t>decided to gran</w:t>
      </w:r>
      <w:r w:rsidR="005F4899">
        <w:rPr>
          <w:sz w:val="24"/>
          <w:szCs w:val="24"/>
        </w:rPr>
        <w:t>t</w:t>
      </w:r>
      <w:r>
        <w:rPr>
          <w:sz w:val="24"/>
          <w:szCs w:val="24"/>
        </w:rPr>
        <w:t xml:space="preserve"> exemptions until </w:t>
      </w:r>
      <w:r w:rsidRPr="001F6374">
        <w:rPr>
          <w:sz w:val="24"/>
          <w:szCs w:val="24"/>
        </w:rPr>
        <w:t xml:space="preserve">the </w:t>
      </w:r>
      <w:r w:rsidRPr="00F04EC3">
        <w:rPr>
          <w:sz w:val="24"/>
          <w:szCs w:val="24"/>
        </w:rPr>
        <w:t xml:space="preserve">earlier </w:t>
      </w:r>
      <w:r w:rsidRPr="001F6374">
        <w:rPr>
          <w:sz w:val="24"/>
          <w:szCs w:val="24"/>
        </w:rPr>
        <w:t xml:space="preserve">of </w:t>
      </w:r>
      <w:r>
        <w:rPr>
          <w:sz w:val="24"/>
          <w:szCs w:val="24"/>
        </w:rPr>
        <w:t>the following</w:t>
      </w:r>
      <w:r w:rsidR="003C1188">
        <w:rPr>
          <w:sz w:val="24"/>
          <w:szCs w:val="24"/>
        </w:rPr>
        <w:t>:</w:t>
      </w:r>
    </w:p>
    <w:p w14:paraId="563A9E32" w14:textId="71AB376C" w:rsidR="002C2E30" w:rsidRPr="00AE01BE" w:rsidRDefault="002C2E30" w:rsidP="002C2E30">
      <w:pPr>
        <w:pStyle w:val="ListParagraph"/>
        <w:numPr>
          <w:ilvl w:val="0"/>
          <w:numId w:val="11"/>
        </w:numPr>
        <w:rPr>
          <w:sz w:val="24"/>
          <w:szCs w:val="24"/>
        </w:rPr>
      </w:pPr>
      <w:r w:rsidRPr="00AE01BE">
        <w:rPr>
          <w:sz w:val="24"/>
          <w:szCs w:val="24"/>
        </w:rPr>
        <w:t>90 days following the completion date of system migrations to any new owner</w:t>
      </w:r>
      <w:r w:rsidR="00CA72BD" w:rsidRPr="00AE01BE">
        <w:rPr>
          <w:sz w:val="24"/>
          <w:szCs w:val="24"/>
        </w:rPr>
        <w:t>, and</w:t>
      </w:r>
    </w:p>
    <w:p w14:paraId="60C1BBBE" w14:textId="4DC2B990" w:rsidR="002C2E30" w:rsidRPr="00AE01BE" w:rsidRDefault="000C73FD" w:rsidP="002C2E30">
      <w:pPr>
        <w:pStyle w:val="ListParagraph"/>
        <w:numPr>
          <w:ilvl w:val="0"/>
          <w:numId w:val="11"/>
        </w:numPr>
        <w:rPr>
          <w:sz w:val="24"/>
          <w:szCs w:val="24"/>
        </w:rPr>
      </w:pPr>
      <w:r>
        <w:rPr>
          <w:sz w:val="24"/>
          <w:szCs w:val="24"/>
        </w:rPr>
        <w:t>1 July 2022</w:t>
      </w:r>
      <w:r w:rsidR="002C2E30" w:rsidRPr="00AE01BE">
        <w:rPr>
          <w:sz w:val="24"/>
          <w:szCs w:val="24"/>
        </w:rPr>
        <w:t>, if Telstra still owns the network</w:t>
      </w:r>
      <w:r w:rsidR="003C1188">
        <w:rPr>
          <w:sz w:val="24"/>
          <w:szCs w:val="24"/>
        </w:rPr>
        <w:t>.</w:t>
      </w:r>
    </w:p>
    <w:p w14:paraId="1A0539F8" w14:textId="7334757A" w:rsidR="00844374" w:rsidRDefault="003C1188" w:rsidP="00844374">
      <w:pPr>
        <w:rPr>
          <w:sz w:val="24"/>
          <w:szCs w:val="24"/>
        </w:rPr>
      </w:pPr>
      <w:r>
        <w:rPr>
          <w:sz w:val="24"/>
          <w:szCs w:val="24"/>
        </w:rPr>
        <w:t>T</w:t>
      </w:r>
      <w:r w:rsidR="00844374" w:rsidRPr="00844374">
        <w:rPr>
          <w:sz w:val="24"/>
          <w:szCs w:val="24"/>
        </w:rPr>
        <w:t>he Minister has amended the conditions of the exemption to require Telstra to report to the ACCC and the Minister</w:t>
      </w:r>
      <w:r w:rsidR="002F72E7">
        <w:rPr>
          <w:sz w:val="24"/>
          <w:szCs w:val="24"/>
        </w:rPr>
        <w:t xml:space="preserve"> every six months</w:t>
      </w:r>
      <w:r w:rsidR="00844374" w:rsidRPr="00844374">
        <w:rPr>
          <w:sz w:val="24"/>
          <w:szCs w:val="24"/>
        </w:rPr>
        <w:t xml:space="preserve"> on the transition of the network to any future owner, including details of the sale process and th</w:t>
      </w:r>
      <w:r w:rsidR="000C73FD">
        <w:rPr>
          <w:sz w:val="24"/>
          <w:szCs w:val="24"/>
        </w:rPr>
        <w:t>e numbers of lines</w:t>
      </w:r>
      <w:r w:rsidR="00CA556E">
        <w:rPr>
          <w:sz w:val="24"/>
          <w:szCs w:val="24"/>
        </w:rPr>
        <w:t xml:space="preserve"> that</w:t>
      </w:r>
      <w:r w:rsidR="000C73FD">
        <w:rPr>
          <w:sz w:val="24"/>
          <w:szCs w:val="24"/>
        </w:rPr>
        <w:t xml:space="preserve"> </w:t>
      </w:r>
      <w:proofErr w:type="gramStart"/>
      <w:r w:rsidR="000C73FD">
        <w:rPr>
          <w:sz w:val="24"/>
          <w:szCs w:val="24"/>
        </w:rPr>
        <w:t>have</w:t>
      </w:r>
      <w:r w:rsidR="00844374" w:rsidRPr="00844374">
        <w:rPr>
          <w:sz w:val="24"/>
          <w:szCs w:val="24"/>
        </w:rPr>
        <w:t xml:space="preserve"> been transferred</w:t>
      </w:r>
      <w:proofErr w:type="gramEnd"/>
      <w:r w:rsidR="00844374" w:rsidRPr="00844374">
        <w:rPr>
          <w:sz w:val="24"/>
          <w:szCs w:val="24"/>
        </w:rPr>
        <w:t xml:space="preserve"> to a new owner.</w:t>
      </w:r>
    </w:p>
    <w:p w14:paraId="7B83F2A5" w14:textId="131832EE" w:rsidR="003C1188" w:rsidRDefault="003C1188" w:rsidP="003C1188">
      <w:pPr>
        <w:rPr>
          <w:sz w:val="24"/>
          <w:szCs w:val="24"/>
        </w:rPr>
      </w:pPr>
      <w:r>
        <w:rPr>
          <w:sz w:val="24"/>
          <w:szCs w:val="24"/>
        </w:rPr>
        <w:t xml:space="preserve">While Telstra’s Velocity FTTP networks </w:t>
      </w:r>
      <w:proofErr w:type="gramStart"/>
      <w:r>
        <w:rPr>
          <w:sz w:val="24"/>
          <w:szCs w:val="24"/>
        </w:rPr>
        <w:t>are exempted</w:t>
      </w:r>
      <w:proofErr w:type="gramEnd"/>
      <w:r>
        <w:rPr>
          <w:sz w:val="24"/>
          <w:szCs w:val="24"/>
        </w:rPr>
        <w:t xml:space="preserve"> from the requirements of the former Part 7 and</w:t>
      </w:r>
      <w:r w:rsidR="002076FF">
        <w:rPr>
          <w:sz w:val="24"/>
          <w:szCs w:val="24"/>
        </w:rPr>
        <w:t xml:space="preserve"> the current Part</w:t>
      </w:r>
      <w:r>
        <w:rPr>
          <w:sz w:val="24"/>
          <w:szCs w:val="24"/>
        </w:rPr>
        <w:t xml:space="preserve"> 8 of the </w:t>
      </w:r>
      <w:r w:rsidRPr="00F04EC3">
        <w:rPr>
          <w:i/>
          <w:sz w:val="24"/>
          <w:szCs w:val="24"/>
        </w:rPr>
        <w:t>Telecommunications Act 1997</w:t>
      </w:r>
      <w:r>
        <w:rPr>
          <w:sz w:val="24"/>
          <w:szCs w:val="24"/>
        </w:rPr>
        <w:t>, the ACCC Superfast Broadband Access Service (SBAS) declaration and associated active access determination require Telstra to offer a Fibre Access Broadband</w:t>
      </w:r>
      <w:r w:rsidR="00D405A1">
        <w:rPr>
          <w:sz w:val="24"/>
          <w:szCs w:val="24"/>
        </w:rPr>
        <w:t xml:space="preserve"> S</w:t>
      </w:r>
      <w:r>
        <w:rPr>
          <w:sz w:val="24"/>
          <w:szCs w:val="24"/>
        </w:rPr>
        <w:t xml:space="preserve">ervice under specific price and non-price terms and conditions. </w:t>
      </w:r>
    </w:p>
    <w:p w14:paraId="7EE8EC80" w14:textId="7CABD20C" w:rsidR="00E76494" w:rsidRDefault="001F6374" w:rsidP="002C2E30">
      <w:pPr>
        <w:rPr>
          <w:sz w:val="24"/>
          <w:szCs w:val="24"/>
        </w:rPr>
      </w:pPr>
      <w:r>
        <w:rPr>
          <w:sz w:val="24"/>
          <w:szCs w:val="24"/>
        </w:rPr>
        <w:t>In deciding to extend the exemption, the</w:t>
      </w:r>
      <w:r w:rsidR="002F72E7">
        <w:rPr>
          <w:sz w:val="24"/>
          <w:szCs w:val="24"/>
        </w:rPr>
        <w:t xml:space="preserve"> Minister noted weak competition on </w:t>
      </w:r>
      <w:r w:rsidR="001F41FD">
        <w:rPr>
          <w:sz w:val="24"/>
          <w:szCs w:val="24"/>
        </w:rPr>
        <w:t xml:space="preserve">Telstra’s </w:t>
      </w:r>
      <w:r w:rsidR="002F72E7">
        <w:rPr>
          <w:sz w:val="24"/>
          <w:szCs w:val="24"/>
        </w:rPr>
        <w:t xml:space="preserve">Velocity networks. </w:t>
      </w:r>
      <w:r w:rsidR="002C2E30">
        <w:rPr>
          <w:sz w:val="24"/>
          <w:szCs w:val="24"/>
        </w:rPr>
        <w:t xml:space="preserve">The decision to grant the exemption reflects that </w:t>
      </w:r>
      <w:proofErr w:type="gramStart"/>
      <w:r w:rsidR="002C2E30">
        <w:rPr>
          <w:sz w:val="24"/>
          <w:szCs w:val="24"/>
        </w:rPr>
        <w:t>Telstra’s</w:t>
      </w:r>
      <w:proofErr w:type="gramEnd"/>
      <w:r w:rsidR="002C2E30">
        <w:rPr>
          <w:sz w:val="24"/>
          <w:szCs w:val="24"/>
        </w:rPr>
        <w:t xml:space="preserve"> continued oper</w:t>
      </w:r>
      <w:r w:rsidR="00E76494">
        <w:rPr>
          <w:sz w:val="24"/>
          <w:szCs w:val="24"/>
        </w:rPr>
        <w:t>ation of Velocity networks is required to prevent service disruption t</w:t>
      </w:r>
      <w:r w:rsidR="000C73FD">
        <w:rPr>
          <w:sz w:val="24"/>
          <w:szCs w:val="24"/>
        </w:rPr>
        <w:t>o end-users in these areas</w:t>
      </w:r>
      <w:r w:rsidR="002F72E7">
        <w:rPr>
          <w:sz w:val="24"/>
          <w:szCs w:val="24"/>
        </w:rPr>
        <w:t xml:space="preserve">. </w:t>
      </w:r>
      <w:r w:rsidR="003B1C1F">
        <w:rPr>
          <w:sz w:val="24"/>
          <w:szCs w:val="24"/>
        </w:rPr>
        <w:t>The Minister acknowledge</w:t>
      </w:r>
      <w:r w:rsidR="002F72E7">
        <w:rPr>
          <w:sz w:val="24"/>
          <w:szCs w:val="24"/>
        </w:rPr>
        <w:t>d</w:t>
      </w:r>
      <w:r w:rsidR="003B1C1F">
        <w:rPr>
          <w:sz w:val="24"/>
          <w:szCs w:val="24"/>
        </w:rPr>
        <w:t xml:space="preserve"> the </w:t>
      </w:r>
      <w:proofErr w:type="spellStart"/>
      <w:r w:rsidR="003B1C1F">
        <w:rPr>
          <w:sz w:val="24"/>
          <w:szCs w:val="24"/>
        </w:rPr>
        <w:t>frustations</w:t>
      </w:r>
      <w:proofErr w:type="spellEnd"/>
      <w:r w:rsidR="003B1C1F">
        <w:rPr>
          <w:sz w:val="24"/>
          <w:szCs w:val="24"/>
        </w:rPr>
        <w:t xml:space="preserve"> </w:t>
      </w:r>
      <w:r w:rsidR="002F72E7">
        <w:rPr>
          <w:sz w:val="24"/>
          <w:szCs w:val="24"/>
        </w:rPr>
        <w:t>about service quality</w:t>
      </w:r>
      <w:r w:rsidR="003B1C1F">
        <w:rPr>
          <w:sz w:val="24"/>
          <w:szCs w:val="24"/>
        </w:rPr>
        <w:t xml:space="preserve"> apparent in the public submissions received, but </w:t>
      </w:r>
      <w:r w:rsidR="00A62A81">
        <w:rPr>
          <w:sz w:val="24"/>
          <w:szCs w:val="24"/>
        </w:rPr>
        <w:t>not</w:t>
      </w:r>
      <w:r w:rsidR="001F41FD">
        <w:rPr>
          <w:sz w:val="24"/>
          <w:szCs w:val="24"/>
        </w:rPr>
        <w:t>ed</w:t>
      </w:r>
      <w:r w:rsidR="002F72E7">
        <w:rPr>
          <w:sz w:val="24"/>
          <w:szCs w:val="24"/>
        </w:rPr>
        <w:t xml:space="preserve"> that </w:t>
      </w:r>
      <w:r w:rsidR="003B1C1F">
        <w:rPr>
          <w:sz w:val="24"/>
          <w:szCs w:val="24"/>
        </w:rPr>
        <w:t xml:space="preserve">maintaining services to end-users </w:t>
      </w:r>
      <w:r w:rsidR="002F72E7">
        <w:rPr>
          <w:sz w:val="24"/>
          <w:szCs w:val="24"/>
        </w:rPr>
        <w:t xml:space="preserve">was </w:t>
      </w:r>
      <w:r w:rsidR="003B1C1F">
        <w:rPr>
          <w:sz w:val="24"/>
          <w:szCs w:val="24"/>
        </w:rPr>
        <w:t xml:space="preserve">of utmost importance. </w:t>
      </w:r>
      <w:r w:rsidR="00E76494">
        <w:rPr>
          <w:sz w:val="24"/>
          <w:szCs w:val="24"/>
        </w:rPr>
        <w:t xml:space="preserve">Telstra will not be in a position to comply with Part 7 and Part 8 by </w:t>
      </w:r>
      <w:r w:rsidR="00E76494">
        <w:rPr>
          <w:sz w:val="24"/>
          <w:szCs w:val="24"/>
        </w:rPr>
        <w:lastRenderedPageBreak/>
        <w:t>1</w:t>
      </w:r>
      <w:r w:rsidR="001F41FD">
        <w:rPr>
          <w:sz w:val="24"/>
          <w:szCs w:val="24"/>
        </w:rPr>
        <w:t> </w:t>
      </w:r>
      <w:r w:rsidR="00E76494">
        <w:rPr>
          <w:sz w:val="24"/>
          <w:szCs w:val="24"/>
        </w:rPr>
        <w:t>July 2020. Forcing Telstra to comply by this date may force Telstra to cease services,</w:t>
      </w:r>
      <w:r w:rsidR="002F72E7">
        <w:rPr>
          <w:sz w:val="24"/>
          <w:szCs w:val="24"/>
        </w:rPr>
        <w:t xml:space="preserve"> which would represent a poor outcome for end-users</w:t>
      </w:r>
      <w:r w:rsidR="00E76494">
        <w:rPr>
          <w:sz w:val="24"/>
          <w:szCs w:val="24"/>
        </w:rPr>
        <w:t>.</w:t>
      </w:r>
    </w:p>
    <w:p w14:paraId="45499E1F" w14:textId="1D36D270" w:rsidR="00496B86" w:rsidRDefault="002F72E7" w:rsidP="00465298">
      <w:pPr>
        <w:rPr>
          <w:sz w:val="24"/>
          <w:szCs w:val="24"/>
        </w:rPr>
      </w:pPr>
      <w:r>
        <w:rPr>
          <w:sz w:val="24"/>
          <w:szCs w:val="24"/>
        </w:rPr>
        <w:t>T</w:t>
      </w:r>
      <w:r w:rsidR="00465298">
        <w:rPr>
          <w:sz w:val="24"/>
          <w:szCs w:val="24"/>
        </w:rPr>
        <w:t>h</w:t>
      </w:r>
      <w:r w:rsidR="00604D6B">
        <w:rPr>
          <w:sz w:val="24"/>
          <w:szCs w:val="24"/>
        </w:rPr>
        <w:t>e limited duration of the</w:t>
      </w:r>
      <w:r w:rsidR="000C73FD">
        <w:rPr>
          <w:sz w:val="24"/>
          <w:szCs w:val="24"/>
        </w:rPr>
        <w:t xml:space="preserve"> exemption </w:t>
      </w:r>
      <w:proofErr w:type="gramStart"/>
      <w:r w:rsidR="000C73FD">
        <w:rPr>
          <w:sz w:val="24"/>
          <w:szCs w:val="24"/>
        </w:rPr>
        <w:t>is intended</w:t>
      </w:r>
      <w:proofErr w:type="gramEnd"/>
      <w:r w:rsidR="000C73FD">
        <w:rPr>
          <w:sz w:val="24"/>
          <w:szCs w:val="24"/>
        </w:rPr>
        <w:t xml:space="preserve"> to provide </w:t>
      </w:r>
      <w:r w:rsidR="00465298">
        <w:rPr>
          <w:sz w:val="24"/>
          <w:szCs w:val="24"/>
        </w:rPr>
        <w:t xml:space="preserve">Telstra </w:t>
      </w:r>
      <w:r w:rsidR="000C73FD">
        <w:rPr>
          <w:sz w:val="24"/>
          <w:szCs w:val="24"/>
        </w:rPr>
        <w:t xml:space="preserve">with a final window of opportunity to </w:t>
      </w:r>
      <w:r w:rsidR="00604D6B">
        <w:rPr>
          <w:sz w:val="24"/>
          <w:szCs w:val="24"/>
        </w:rPr>
        <w:t xml:space="preserve">either </w:t>
      </w:r>
      <w:r w:rsidR="00465298">
        <w:rPr>
          <w:sz w:val="24"/>
          <w:szCs w:val="24"/>
        </w:rPr>
        <w:t xml:space="preserve">become compliant with </w:t>
      </w:r>
      <w:r w:rsidR="002D4FE0">
        <w:rPr>
          <w:sz w:val="24"/>
          <w:szCs w:val="24"/>
        </w:rPr>
        <w:t xml:space="preserve">Part </w:t>
      </w:r>
      <w:r w:rsidR="00465298">
        <w:rPr>
          <w:sz w:val="24"/>
          <w:szCs w:val="24"/>
        </w:rPr>
        <w:t>8</w:t>
      </w:r>
      <w:r w:rsidR="00604D6B" w:rsidRPr="00604D6B">
        <w:rPr>
          <w:sz w:val="24"/>
          <w:szCs w:val="24"/>
        </w:rPr>
        <w:t xml:space="preserve"> </w:t>
      </w:r>
      <w:r w:rsidR="002D4FE0">
        <w:rPr>
          <w:sz w:val="24"/>
          <w:szCs w:val="24"/>
        </w:rPr>
        <w:t>(as amended</w:t>
      </w:r>
      <w:r>
        <w:rPr>
          <w:sz w:val="24"/>
          <w:szCs w:val="24"/>
        </w:rPr>
        <w:t xml:space="preserve"> by the </w:t>
      </w:r>
      <w:r w:rsidRPr="00F04EC3">
        <w:rPr>
          <w:i/>
          <w:sz w:val="24"/>
          <w:szCs w:val="24"/>
        </w:rPr>
        <w:t>Telecommunications Legislation Amendment (Competition and Consumer) Act 2020</w:t>
      </w:r>
      <w:r w:rsidR="002D4FE0">
        <w:rPr>
          <w:sz w:val="24"/>
          <w:szCs w:val="24"/>
        </w:rPr>
        <w:t xml:space="preserve">) </w:t>
      </w:r>
      <w:r w:rsidR="000C73FD">
        <w:rPr>
          <w:sz w:val="24"/>
          <w:szCs w:val="24"/>
        </w:rPr>
        <w:t>or sell the network to an operat</w:t>
      </w:r>
      <w:r w:rsidR="00800929">
        <w:rPr>
          <w:sz w:val="24"/>
          <w:szCs w:val="24"/>
        </w:rPr>
        <w:t>o</w:t>
      </w:r>
      <w:r w:rsidR="000C73FD">
        <w:rPr>
          <w:sz w:val="24"/>
          <w:szCs w:val="24"/>
        </w:rPr>
        <w:t>r</w:t>
      </w:r>
      <w:r w:rsidR="00604D6B">
        <w:rPr>
          <w:sz w:val="24"/>
          <w:szCs w:val="24"/>
        </w:rPr>
        <w:t xml:space="preserve"> who can</w:t>
      </w:r>
      <w:r w:rsidR="001F41FD">
        <w:rPr>
          <w:sz w:val="24"/>
          <w:szCs w:val="24"/>
        </w:rPr>
        <w:t xml:space="preserve"> comply</w:t>
      </w:r>
      <w:r w:rsidR="00465298">
        <w:rPr>
          <w:sz w:val="24"/>
          <w:szCs w:val="24"/>
        </w:rPr>
        <w:t xml:space="preserve">. </w:t>
      </w:r>
      <w:r w:rsidR="00604D6B">
        <w:rPr>
          <w:sz w:val="24"/>
          <w:szCs w:val="24"/>
        </w:rPr>
        <w:t xml:space="preserve">In this context, the Minister </w:t>
      </w:r>
      <w:r>
        <w:rPr>
          <w:sz w:val="24"/>
          <w:szCs w:val="24"/>
        </w:rPr>
        <w:t>took into account</w:t>
      </w:r>
      <w:r w:rsidR="00604D6B">
        <w:rPr>
          <w:sz w:val="24"/>
          <w:szCs w:val="24"/>
        </w:rPr>
        <w:t xml:space="preserve"> advice from </w:t>
      </w:r>
      <w:r w:rsidR="00465298">
        <w:rPr>
          <w:sz w:val="24"/>
          <w:szCs w:val="24"/>
        </w:rPr>
        <w:t xml:space="preserve">Telstra that </w:t>
      </w:r>
      <w:r w:rsidR="00604D6B">
        <w:rPr>
          <w:sz w:val="24"/>
          <w:szCs w:val="24"/>
        </w:rPr>
        <w:t xml:space="preserve">it </w:t>
      </w:r>
      <w:r w:rsidR="00465298">
        <w:rPr>
          <w:sz w:val="24"/>
          <w:szCs w:val="24"/>
        </w:rPr>
        <w:t>intend</w:t>
      </w:r>
      <w:r w:rsidR="00604D6B">
        <w:rPr>
          <w:sz w:val="24"/>
          <w:szCs w:val="24"/>
        </w:rPr>
        <w:t>s to make no more</w:t>
      </w:r>
      <w:r w:rsidR="00465298">
        <w:rPr>
          <w:sz w:val="24"/>
          <w:szCs w:val="24"/>
        </w:rPr>
        <w:t xml:space="preserve"> extension request</w:t>
      </w:r>
      <w:r w:rsidR="00604D6B">
        <w:rPr>
          <w:sz w:val="24"/>
          <w:szCs w:val="24"/>
        </w:rPr>
        <w:t>s</w:t>
      </w:r>
      <w:r w:rsidR="00465298">
        <w:rPr>
          <w:sz w:val="24"/>
          <w:szCs w:val="24"/>
        </w:rPr>
        <w:t>.</w:t>
      </w:r>
    </w:p>
    <w:p w14:paraId="122DF0C8" w14:textId="1909C34F" w:rsidR="003C1188" w:rsidRPr="00465298" w:rsidRDefault="003C1188" w:rsidP="00465298">
      <w:pPr>
        <w:rPr>
          <w:sz w:val="24"/>
          <w:szCs w:val="24"/>
        </w:rPr>
      </w:pPr>
      <w:r>
        <w:rPr>
          <w:sz w:val="24"/>
          <w:szCs w:val="24"/>
        </w:rPr>
        <w:t>The Statutory Infrastruc</w:t>
      </w:r>
      <w:r w:rsidR="004305DD">
        <w:rPr>
          <w:sz w:val="24"/>
          <w:szCs w:val="24"/>
        </w:rPr>
        <w:t>t</w:t>
      </w:r>
      <w:r>
        <w:rPr>
          <w:sz w:val="24"/>
          <w:szCs w:val="24"/>
        </w:rPr>
        <w:t xml:space="preserve">ure Provider (SIP) obligations introduced through the </w:t>
      </w:r>
      <w:r w:rsidRPr="000442B1">
        <w:rPr>
          <w:i/>
          <w:sz w:val="24"/>
          <w:szCs w:val="24"/>
        </w:rPr>
        <w:t>Telecommunications Legislation Amendment (Com</w:t>
      </w:r>
      <w:r>
        <w:rPr>
          <w:i/>
          <w:sz w:val="24"/>
          <w:szCs w:val="24"/>
        </w:rPr>
        <w:t>petition and Consumer) Act 2020</w:t>
      </w:r>
      <w:r>
        <w:rPr>
          <w:sz w:val="24"/>
          <w:szCs w:val="24"/>
        </w:rPr>
        <w:t xml:space="preserve"> are relevant to</w:t>
      </w:r>
      <w:r w:rsidR="002F72E7">
        <w:rPr>
          <w:sz w:val="24"/>
          <w:szCs w:val="24"/>
        </w:rPr>
        <w:t xml:space="preserve"> addressing consumer concerns</w:t>
      </w:r>
      <w:r w:rsidR="001F6374">
        <w:rPr>
          <w:sz w:val="24"/>
          <w:szCs w:val="24"/>
        </w:rPr>
        <w:t xml:space="preserve"> about the exemptions</w:t>
      </w:r>
      <w:r>
        <w:rPr>
          <w:sz w:val="24"/>
          <w:szCs w:val="24"/>
        </w:rPr>
        <w:t xml:space="preserve">. From 1 July 2020, a </w:t>
      </w:r>
      <w:proofErr w:type="gramStart"/>
      <w:r>
        <w:rPr>
          <w:sz w:val="24"/>
          <w:szCs w:val="24"/>
        </w:rPr>
        <w:t>carrier which is the sole provider of telecommunications infrastructure in a development</w:t>
      </w:r>
      <w:proofErr w:type="gramEnd"/>
      <w:r>
        <w:rPr>
          <w:sz w:val="24"/>
          <w:szCs w:val="24"/>
        </w:rPr>
        <w:t xml:space="preserve"> may be the SIP for that development. The wholesale services that the SIP is required to offer must meet reference standards and retail providers should be able to supply peak download speeds of at lea</w:t>
      </w:r>
      <w:r w:rsidR="002F72E7">
        <w:rPr>
          <w:sz w:val="24"/>
          <w:szCs w:val="24"/>
        </w:rPr>
        <w:t>st 25 </w:t>
      </w:r>
      <w:r>
        <w:rPr>
          <w:sz w:val="24"/>
          <w:szCs w:val="24"/>
        </w:rPr>
        <w:t>Megabits per second and peak upload speeds of at least 5 Megabits per second.</w:t>
      </w:r>
      <w:r w:rsidR="00A62A81">
        <w:rPr>
          <w:sz w:val="24"/>
          <w:szCs w:val="24"/>
        </w:rPr>
        <w:t xml:space="preserve"> </w:t>
      </w:r>
      <w:r w:rsidRPr="00902937">
        <w:rPr>
          <w:sz w:val="24"/>
          <w:szCs w:val="24"/>
        </w:rPr>
        <w:t xml:space="preserve">The Minister will also be able to make standards, rules and benchmarks for SIPs. </w:t>
      </w:r>
    </w:p>
    <w:p w14:paraId="28D47031" w14:textId="1E169F79" w:rsidR="00844374" w:rsidRPr="00473138" w:rsidRDefault="00752C68" w:rsidP="00926E30">
      <w:pPr>
        <w:pStyle w:val="Heading3"/>
      </w:pPr>
      <w:r>
        <w:t>Clause</w:t>
      </w:r>
      <w:r w:rsidR="00844374" w:rsidRPr="00473138">
        <w:t xml:space="preserve"> 1 – Name of Exemption Instrument</w:t>
      </w:r>
    </w:p>
    <w:p w14:paraId="78E0DFFD" w14:textId="53263863" w:rsidR="00844374" w:rsidRDefault="00752C68" w:rsidP="00844374">
      <w:pPr>
        <w:rPr>
          <w:i/>
          <w:sz w:val="24"/>
          <w:szCs w:val="24"/>
        </w:rPr>
      </w:pPr>
      <w:r>
        <w:rPr>
          <w:sz w:val="24"/>
          <w:szCs w:val="24"/>
        </w:rPr>
        <w:t>Clause</w:t>
      </w:r>
      <w:r w:rsidR="00844374" w:rsidRPr="00473138">
        <w:rPr>
          <w:sz w:val="24"/>
          <w:szCs w:val="24"/>
        </w:rPr>
        <w:t xml:space="preserve"> 1 provides that the name of the Instrument is the </w:t>
      </w:r>
      <w:r w:rsidR="00844374" w:rsidRPr="00473138">
        <w:rPr>
          <w:i/>
          <w:sz w:val="24"/>
          <w:szCs w:val="24"/>
        </w:rPr>
        <w:t xml:space="preserve">Telecommunications (Local Access </w:t>
      </w:r>
      <w:r w:rsidR="00844374" w:rsidRPr="00472C95">
        <w:rPr>
          <w:i/>
          <w:sz w:val="24"/>
          <w:szCs w:val="24"/>
        </w:rPr>
        <w:t>Lines Exemption—</w:t>
      </w:r>
      <w:r w:rsidR="00844374">
        <w:rPr>
          <w:i/>
          <w:sz w:val="24"/>
          <w:szCs w:val="24"/>
        </w:rPr>
        <w:t>Specified Velocity Network</w:t>
      </w:r>
      <w:r w:rsidR="001F41FD">
        <w:rPr>
          <w:i/>
          <w:sz w:val="24"/>
          <w:szCs w:val="24"/>
        </w:rPr>
        <w:t>s</w:t>
      </w:r>
      <w:r w:rsidR="00844374" w:rsidRPr="00472C95">
        <w:rPr>
          <w:i/>
          <w:sz w:val="24"/>
          <w:szCs w:val="24"/>
        </w:rPr>
        <w:t>)</w:t>
      </w:r>
      <w:r w:rsidR="00844374">
        <w:rPr>
          <w:i/>
          <w:sz w:val="24"/>
          <w:szCs w:val="24"/>
        </w:rPr>
        <w:t xml:space="preserve"> Instrument 2012</w:t>
      </w:r>
      <w:r w:rsidR="00844374" w:rsidRPr="00472C95">
        <w:rPr>
          <w:i/>
          <w:sz w:val="24"/>
          <w:szCs w:val="24"/>
        </w:rPr>
        <w:t xml:space="preserve"> Amendment No.1 of 2020.</w:t>
      </w:r>
    </w:p>
    <w:p w14:paraId="65FDE518" w14:textId="01955824" w:rsidR="00844374" w:rsidRDefault="00752C68" w:rsidP="00926E30">
      <w:pPr>
        <w:pStyle w:val="Heading3"/>
      </w:pPr>
      <w:r>
        <w:t>Clause</w:t>
      </w:r>
      <w:r w:rsidR="00B1785D">
        <w:t xml:space="preserve"> 2 – Commencement</w:t>
      </w:r>
    </w:p>
    <w:p w14:paraId="584AB10B" w14:textId="59630D2E" w:rsidR="00844374" w:rsidRDefault="00752C68" w:rsidP="00844374">
      <w:pPr>
        <w:rPr>
          <w:sz w:val="24"/>
          <w:szCs w:val="24"/>
        </w:rPr>
      </w:pPr>
      <w:r>
        <w:rPr>
          <w:sz w:val="24"/>
          <w:szCs w:val="24"/>
        </w:rPr>
        <w:t>Clause</w:t>
      </w:r>
      <w:r w:rsidR="000C73FD">
        <w:rPr>
          <w:sz w:val="24"/>
          <w:szCs w:val="24"/>
        </w:rPr>
        <w:t xml:space="preserve"> 2 provides that the</w:t>
      </w:r>
      <w:r w:rsidR="00844374">
        <w:rPr>
          <w:sz w:val="24"/>
          <w:szCs w:val="24"/>
        </w:rPr>
        <w:t xml:space="preserve"> instrument </w:t>
      </w:r>
      <w:r w:rsidR="000C73FD">
        <w:rPr>
          <w:sz w:val="24"/>
          <w:szCs w:val="24"/>
        </w:rPr>
        <w:t xml:space="preserve">will commence on the day that it </w:t>
      </w:r>
      <w:proofErr w:type="gramStart"/>
      <w:r w:rsidR="000C73FD">
        <w:rPr>
          <w:sz w:val="24"/>
          <w:szCs w:val="24"/>
        </w:rPr>
        <w:t>is signed</w:t>
      </w:r>
      <w:proofErr w:type="gramEnd"/>
      <w:r w:rsidR="000C73FD">
        <w:rPr>
          <w:sz w:val="24"/>
          <w:szCs w:val="24"/>
        </w:rPr>
        <w:t xml:space="preserve"> by the Minister</w:t>
      </w:r>
      <w:r w:rsidR="00844374">
        <w:rPr>
          <w:sz w:val="24"/>
          <w:szCs w:val="24"/>
        </w:rPr>
        <w:t>.</w:t>
      </w:r>
    </w:p>
    <w:p w14:paraId="0789CDDE" w14:textId="47FD8F14" w:rsidR="00844374" w:rsidRPr="00E3193D" w:rsidRDefault="00752C68" w:rsidP="00926E30">
      <w:pPr>
        <w:pStyle w:val="Heading3"/>
      </w:pPr>
      <w:r>
        <w:t>Clause</w:t>
      </w:r>
      <w:r w:rsidR="00844374">
        <w:t xml:space="preserve"> 3 </w:t>
      </w:r>
      <w:r w:rsidR="00844374" w:rsidRPr="00E3193D">
        <w:t xml:space="preserve">– </w:t>
      </w:r>
      <w:r w:rsidR="00BC49E0">
        <w:t>Amendments</w:t>
      </w:r>
    </w:p>
    <w:p w14:paraId="15937299" w14:textId="5A968419" w:rsidR="00794583" w:rsidRDefault="00752C68" w:rsidP="00844374">
      <w:pPr>
        <w:rPr>
          <w:sz w:val="24"/>
          <w:szCs w:val="24"/>
        </w:rPr>
      </w:pPr>
      <w:r>
        <w:rPr>
          <w:sz w:val="24"/>
          <w:szCs w:val="24"/>
        </w:rPr>
        <w:t>Clause</w:t>
      </w:r>
      <w:r w:rsidR="00794583">
        <w:rPr>
          <w:sz w:val="24"/>
          <w:szCs w:val="24"/>
        </w:rPr>
        <w:t xml:space="preserve"> 3 notes that the T</w:t>
      </w:r>
      <w:r w:rsidR="00794583" w:rsidRPr="00794583">
        <w:rPr>
          <w:i/>
          <w:sz w:val="24"/>
          <w:szCs w:val="24"/>
        </w:rPr>
        <w:t>elecommunications (Network Exemption–Specified Velocity Network</w:t>
      </w:r>
      <w:r w:rsidR="00D30D62">
        <w:rPr>
          <w:i/>
          <w:sz w:val="24"/>
          <w:szCs w:val="24"/>
        </w:rPr>
        <w:t>s</w:t>
      </w:r>
      <w:r w:rsidR="00794583" w:rsidRPr="00794583">
        <w:rPr>
          <w:i/>
          <w:sz w:val="24"/>
          <w:szCs w:val="24"/>
        </w:rPr>
        <w:t>) Instrument 2012</w:t>
      </w:r>
      <w:r w:rsidR="00794583">
        <w:rPr>
          <w:sz w:val="24"/>
          <w:szCs w:val="24"/>
        </w:rPr>
        <w:t xml:space="preserve"> </w:t>
      </w:r>
      <w:proofErr w:type="gramStart"/>
      <w:r w:rsidR="00794583" w:rsidRPr="00794583">
        <w:rPr>
          <w:sz w:val="24"/>
          <w:szCs w:val="24"/>
        </w:rPr>
        <w:t>is amended</w:t>
      </w:r>
      <w:proofErr w:type="gramEnd"/>
      <w:r w:rsidR="00794583" w:rsidRPr="00794583">
        <w:rPr>
          <w:sz w:val="24"/>
          <w:szCs w:val="24"/>
        </w:rPr>
        <w:t xml:space="preserve"> as</w:t>
      </w:r>
      <w:r w:rsidR="00794583">
        <w:rPr>
          <w:sz w:val="24"/>
          <w:szCs w:val="24"/>
        </w:rPr>
        <w:t xml:space="preserve"> set out in the Schedule to the</w:t>
      </w:r>
      <w:r w:rsidR="00794583" w:rsidRPr="00794583">
        <w:rPr>
          <w:sz w:val="24"/>
          <w:szCs w:val="24"/>
        </w:rPr>
        <w:t xml:space="preserve"> Instrument.</w:t>
      </w:r>
    </w:p>
    <w:p w14:paraId="7D985E71" w14:textId="08876AE1" w:rsidR="00794583" w:rsidRPr="00794583" w:rsidRDefault="00794583" w:rsidP="00926E30">
      <w:pPr>
        <w:pStyle w:val="Heading3"/>
      </w:pPr>
      <w:r w:rsidRPr="00794583">
        <w:t>S</w:t>
      </w:r>
      <w:r>
        <w:t>c</w:t>
      </w:r>
      <w:r w:rsidRPr="00794583">
        <w:t>hedule</w:t>
      </w:r>
      <w:r>
        <w:t xml:space="preserve"> </w:t>
      </w:r>
      <w:r w:rsidRPr="00E3193D">
        <w:t xml:space="preserve">– </w:t>
      </w:r>
      <w:r w:rsidRPr="00794583">
        <w:t>Amendments</w:t>
      </w:r>
    </w:p>
    <w:p w14:paraId="69B32013" w14:textId="258DE732" w:rsidR="00794583" w:rsidRDefault="00752C68" w:rsidP="00794583">
      <w:pPr>
        <w:rPr>
          <w:i/>
          <w:sz w:val="24"/>
          <w:szCs w:val="24"/>
        </w:rPr>
      </w:pPr>
      <w:r>
        <w:rPr>
          <w:sz w:val="24"/>
          <w:szCs w:val="24"/>
        </w:rPr>
        <w:t>Clause</w:t>
      </w:r>
      <w:r w:rsidR="00794583">
        <w:rPr>
          <w:sz w:val="24"/>
          <w:szCs w:val="24"/>
        </w:rPr>
        <w:t xml:space="preserve"> 1 of the Schedule replaces the cessation date of the T</w:t>
      </w:r>
      <w:r w:rsidR="00794583" w:rsidRPr="00794583">
        <w:rPr>
          <w:i/>
          <w:sz w:val="24"/>
          <w:szCs w:val="24"/>
        </w:rPr>
        <w:t>elecommunications (Network Exemption–Specified Velocity Network</w:t>
      </w:r>
      <w:r w:rsidR="001F41FD">
        <w:rPr>
          <w:i/>
          <w:sz w:val="24"/>
          <w:szCs w:val="24"/>
        </w:rPr>
        <w:t>s</w:t>
      </w:r>
      <w:r w:rsidR="00794583" w:rsidRPr="00794583">
        <w:rPr>
          <w:i/>
          <w:sz w:val="24"/>
          <w:szCs w:val="24"/>
        </w:rPr>
        <w:t>) Instrument 2012</w:t>
      </w:r>
      <w:r w:rsidR="00794583" w:rsidRPr="00794583">
        <w:rPr>
          <w:sz w:val="24"/>
          <w:szCs w:val="24"/>
        </w:rPr>
        <w:t>, which had previously been the designated day</w:t>
      </w:r>
      <w:r w:rsidR="00794583">
        <w:rPr>
          <w:sz w:val="24"/>
          <w:szCs w:val="24"/>
        </w:rPr>
        <w:t xml:space="preserve">, </w:t>
      </w:r>
      <w:proofErr w:type="gramStart"/>
      <w:r w:rsidR="00794583">
        <w:rPr>
          <w:sz w:val="24"/>
          <w:szCs w:val="24"/>
        </w:rPr>
        <w:t>with</w:t>
      </w:r>
      <w:proofErr w:type="gramEnd"/>
      <w:r w:rsidR="00794583">
        <w:rPr>
          <w:i/>
          <w:sz w:val="24"/>
          <w:szCs w:val="24"/>
        </w:rPr>
        <w:t>:</w:t>
      </w:r>
    </w:p>
    <w:p w14:paraId="04C575DC" w14:textId="639907D3" w:rsidR="00794583" w:rsidRPr="00794583" w:rsidRDefault="00794583" w:rsidP="00794583">
      <w:pPr>
        <w:pStyle w:val="ListParagraph"/>
        <w:numPr>
          <w:ilvl w:val="0"/>
          <w:numId w:val="16"/>
        </w:numPr>
        <w:rPr>
          <w:i/>
          <w:sz w:val="24"/>
          <w:szCs w:val="24"/>
        </w:rPr>
      </w:pPr>
      <w:r w:rsidRPr="00794583">
        <w:rPr>
          <w:i/>
          <w:sz w:val="24"/>
          <w:szCs w:val="24"/>
        </w:rPr>
        <w:t xml:space="preserve">the day which is 90 days after the last of the customer transition completion dates of the Specified Velocity Networks; </w:t>
      </w:r>
      <w:r w:rsidR="00752C68">
        <w:rPr>
          <w:i/>
          <w:sz w:val="24"/>
          <w:szCs w:val="24"/>
        </w:rPr>
        <w:t>and</w:t>
      </w:r>
    </w:p>
    <w:p w14:paraId="542BE1F8" w14:textId="4EED6841" w:rsidR="00794583" w:rsidRPr="00794583" w:rsidRDefault="00794583" w:rsidP="00794583">
      <w:pPr>
        <w:pStyle w:val="ListParagraph"/>
        <w:numPr>
          <w:ilvl w:val="0"/>
          <w:numId w:val="16"/>
        </w:numPr>
        <w:rPr>
          <w:i/>
          <w:sz w:val="24"/>
          <w:szCs w:val="24"/>
        </w:rPr>
      </w:pPr>
      <w:r w:rsidRPr="00794583">
        <w:rPr>
          <w:i/>
          <w:sz w:val="24"/>
          <w:szCs w:val="24"/>
        </w:rPr>
        <w:t>1 July 2022, if Telstra owns any Specified Velocity Networks on that day.</w:t>
      </w:r>
    </w:p>
    <w:p w14:paraId="4052A565" w14:textId="5C6D624B" w:rsidR="00185FEC" w:rsidRDefault="00752C68" w:rsidP="00786BAB">
      <w:pPr>
        <w:rPr>
          <w:sz w:val="24"/>
          <w:szCs w:val="24"/>
        </w:rPr>
      </w:pPr>
      <w:r>
        <w:rPr>
          <w:sz w:val="24"/>
          <w:szCs w:val="24"/>
        </w:rPr>
        <w:t>Clause</w:t>
      </w:r>
      <w:r w:rsidR="00786BAB">
        <w:rPr>
          <w:sz w:val="24"/>
          <w:szCs w:val="24"/>
        </w:rPr>
        <w:t xml:space="preserve"> 2 of the Schedule omits </w:t>
      </w:r>
      <w:r w:rsidR="00D30D62">
        <w:rPr>
          <w:sz w:val="24"/>
          <w:szCs w:val="24"/>
        </w:rPr>
        <w:t xml:space="preserve">a now redundant </w:t>
      </w:r>
      <w:r w:rsidR="00A62A81">
        <w:rPr>
          <w:sz w:val="24"/>
          <w:szCs w:val="24"/>
        </w:rPr>
        <w:t>‘</w:t>
      </w:r>
      <w:r w:rsidR="00786BAB">
        <w:rPr>
          <w:sz w:val="24"/>
          <w:szCs w:val="24"/>
        </w:rPr>
        <w:t>Note</w:t>
      </w:r>
      <w:r w:rsidR="00185FEC">
        <w:rPr>
          <w:sz w:val="24"/>
          <w:szCs w:val="24"/>
        </w:rPr>
        <w:t xml:space="preserve"> 1</w:t>
      </w:r>
      <w:r w:rsidR="00A62A81">
        <w:rPr>
          <w:sz w:val="24"/>
          <w:szCs w:val="24"/>
        </w:rPr>
        <w:t xml:space="preserve">’, which </w:t>
      </w:r>
      <w:r w:rsidR="00786BAB">
        <w:rPr>
          <w:sz w:val="24"/>
          <w:szCs w:val="24"/>
        </w:rPr>
        <w:t>relate</w:t>
      </w:r>
      <w:r w:rsidR="00185FEC">
        <w:rPr>
          <w:sz w:val="24"/>
          <w:szCs w:val="24"/>
        </w:rPr>
        <w:t>s</w:t>
      </w:r>
      <w:r w:rsidR="00786BAB">
        <w:rPr>
          <w:sz w:val="24"/>
          <w:szCs w:val="24"/>
        </w:rPr>
        <w:t xml:space="preserve"> to the long past commencement of the </w:t>
      </w:r>
      <w:r w:rsidR="00D30D62">
        <w:rPr>
          <w:sz w:val="24"/>
          <w:szCs w:val="24"/>
        </w:rPr>
        <w:t xml:space="preserve">original exemption </w:t>
      </w:r>
      <w:r w:rsidR="00786BAB">
        <w:rPr>
          <w:sz w:val="24"/>
          <w:szCs w:val="24"/>
        </w:rPr>
        <w:t>instrument</w:t>
      </w:r>
      <w:r w:rsidR="00D30D62">
        <w:rPr>
          <w:sz w:val="24"/>
          <w:szCs w:val="24"/>
        </w:rPr>
        <w:t>.</w:t>
      </w:r>
      <w:r w:rsidR="00185FEC" w:rsidRPr="00185FEC">
        <w:rPr>
          <w:i/>
          <w:sz w:val="24"/>
          <w:szCs w:val="24"/>
        </w:rPr>
        <w:t xml:space="preserve"> </w:t>
      </w:r>
    </w:p>
    <w:p w14:paraId="710D44B2" w14:textId="7933F69E" w:rsidR="00794583" w:rsidRDefault="00752C68" w:rsidP="00786BAB">
      <w:pPr>
        <w:rPr>
          <w:sz w:val="24"/>
          <w:szCs w:val="24"/>
        </w:rPr>
      </w:pPr>
      <w:r>
        <w:rPr>
          <w:sz w:val="24"/>
          <w:szCs w:val="24"/>
        </w:rPr>
        <w:lastRenderedPageBreak/>
        <w:t>Clause</w:t>
      </w:r>
      <w:r w:rsidR="00185FEC">
        <w:rPr>
          <w:sz w:val="24"/>
          <w:szCs w:val="24"/>
        </w:rPr>
        <w:t xml:space="preserve"> 2 </w:t>
      </w:r>
      <w:r w:rsidR="00221ADB">
        <w:rPr>
          <w:sz w:val="24"/>
          <w:szCs w:val="24"/>
        </w:rPr>
        <w:t xml:space="preserve">of the Schedule </w:t>
      </w:r>
      <w:r w:rsidR="00185FEC">
        <w:rPr>
          <w:sz w:val="24"/>
          <w:szCs w:val="24"/>
        </w:rPr>
        <w:t xml:space="preserve">also omits </w:t>
      </w:r>
      <w:r w:rsidR="001F6374">
        <w:rPr>
          <w:sz w:val="24"/>
          <w:szCs w:val="24"/>
        </w:rPr>
        <w:t xml:space="preserve">the </w:t>
      </w:r>
      <w:r w:rsidR="00786BAB">
        <w:rPr>
          <w:sz w:val="24"/>
          <w:szCs w:val="24"/>
        </w:rPr>
        <w:t xml:space="preserve">reference to the designated day, which is not required given that this cessation date </w:t>
      </w:r>
      <w:proofErr w:type="gramStart"/>
      <w:r w:rsidR="00786BAB">
        <w:rPr>
          <w:sz w:val="24"/>
          <w:szCs w:val="24"/>
        </w:rPr>
        <w:t>has been removed</w:t>
      </w:r>
      <w:proofErr w:type="gramEnd"/>
      <w:r w:rsidR="00786BAB">
        <w:rPr>
          <w:sz w:val="24"/>
          <w:szCs w:val="24"/>
        </w:rPr>
        <w:t xml:space="preserve"> from the instrument</w:t>
      </w:r>
      <w:r w:rsidR="00185FEC">
        <w:rPr>
          <w:sz w:val="24"/>
          <w:szCs w:val="24"/>
        </w:rPr>
        <w:t xml:space="preserve"> by </w:t>
      </w:r>
      <w:r>
        <w:rPr>
          <w:sz w:val="24"/>
          <w:szCs w:val="24"/>
        </w:rPr>
        <w:t>clause</w:t>
      </w:r>
      <w:r w:rsidR="00185FEC">
        <w:rPr>
          <w:sz w:val="24"/>
          <w:szCs w:val="24"/>
        </w:rPr>
        <w:t xml:space="preserve"> 1 of the </w:t>
      </w:r>
      <w:r w:rsidR="001F6374">
        <w:rPr>
          <w:sz w:val="24"/>
          <w:szCs w:val="24"/>
        </w:rPr>
        <w:t>S</w:t>
      </w:r>
      <w:r w:rsidR="00185FEC">
        <w:rPr>
          <w:sz w:val="24"/>
          <w:szCs w:val="24"/>
        </w:rPr>
        <w:t>chedule</w:t>
      </w:r>
      <w:r w:rsidR="00786BAB">
        <w:rPr>
          <w:sz w:val="24"/>
          <w:szCs w:val="24"/>
        </w:rPr>
        <w:t>.</w:t>
      </w:r>
    </w:p>
    <w:p w14:paraId="7C1EB4F1" w14:textId="603AE94A" w:rsidR="00794583" w:rsidRDefault="00752C68" w:rsidP="00185FEC">
      <w:pPr>
        <w:rPr>
          <w:sz w:val="24"/>
          <w:szCs w:val="24"/>
        </w:rPr>
      </w:pPr>
      <w:r>
        <w:rPr>
          <w:sz w:val="24"/>
          <w:szCs w:val="24"/>
        </w:rPr>
        <w:t>Clause</w:t>
      </w:r>
      <w:r w:rsidR="00185FEC">
        <w:rPr>
          <w:sz w:val="24"/>
          <w:szCs w:val="24"/>
        </w:rPr>
        <w:t xml:space="preserve"> 3 </w:t>
      </w:r>
      <w:r w:rsidR="00221ADB">
        <w:rPr>
          <w:sz w:val="24"/>
          <w:szCs w:val="24"/>
        </w:rPr>
        <w:t xml:space="preserve">of the Schedule </w:t>
      </w:r>
      <w:r w:rsidR="00185FEC">
        <w:rPr>
          <w:sz w:val="24"/>
          <w:szCs w:val="24"/>
        </w:rPr>
        <w:t xml:space="preserve">amends the definition of ‘Specified Velocity Network’ in the </w:t>
      </w:r>
      <w:r w:rsidR="00CA3FA4">
        <w:rPr>
          <w:sz w:val="24"/>
          <w:szCs w:val="24"/>
        </w:rPr>
        <w:t>defin</w:t>
      </w:r>
      <w:r w:rsidR="00BC49E0">
        <w:rPr>
          <w:sz w:val="24"/>
          <w:szCs w:val="24"/>
        </w:rPr>
        <w:t>i</w:t>
      </w:r>
      <w:r w:rsidR="00CA3FA4">
        <w:rPr>
          <w:sz w:val="24"/>
          <w:szCs w:val="24"/>
        </w:rPr>
        <w:t xml:space="preserve">tions </w:t>
      </w:r>
      <w:r>
        <w:rPr>
          <w:sz w:val="24"/>
          <w:szCs w:val="24"/>
        </w:rPr>
        <w:t>clause</w:t>
      </w:r>
      <w:r w:rsidR="00CA3FA4">
        <w:rPr>
          <w:sz w:val="24"/>
          <w:szCs w:val="24"/>
        </w:rPr>
        <w:t xml:space="preserve"> </w:t>
      </w:r>
      <w:r w:rsidR="00221ADB">
        <w:rPr>
          <w:sz w:val="24"/>
          <w:szCs w:val="24"/>
        </w:rPr>
        <w:t xml:space="preserve">to specify that the definition applies to not only networks owned by Telstra but also </w:t>
      </w:r>
      <w:r w:rsidR="006D42A8">
        <w:rPr>
          <w:sz w:val="24"/>
          <w:szCs w:val="24"/>
        </w:rPr>
        <w:t>to</w:t>
      </w:r>
      <w:r w:rsidR="00221ADB">
        <w:rPr>
          <w:sz w:val="24"/>
          <w:szCs w:val="24"/>
        </w:rPr>
        <w:t xml:space="preserve"> networks </w:t>
      </w:r>
      <w:r w:rsidR="006D42A8">
        <w:rPr>
          <w:sz w:val="24"/>
          <w:szCs w:val="24"/>
        </w:rPr>
        <w:t xml:space="preserve">over </w:t>
      </w:r>
      <w:r w:rsidR="00221ADB">
        <w:rPr>
          <w:sz w:val="24"/>
          <w:szCs w:val="24"/>
        </w:rPr>
        <w:t>which Telstra is in a position to control. This reflects that the exemptions would continue to apply if Telstra transferred ownership of a network to another party and continued to control the network.</w:t>
      </w:r>
    </w:p>
    <w:p w14:paraId="72946131" w14:textId="68B172F9" w:rsidR="00221ADB" w:rsidRDefault="00752C68" w:rsidP="00185FEC">
      <w:pPr>
        <w:rPr>
          <w:i/>
          <w:sz w:val="24"/>
          <w:szCs w:val="24"/>
        </w:rPr>
      </w:pPr>
      <w:r>
        <w:rPr>
          <w:sz w:val="24"/>
          <w:szCs w:val="24"/>
        </w:rPr>
        <w:t>Clause</w:t>
      </w:r>
      <w:r w:rsidR="00221ADB">
        <w:rPr>
          <w:sz w:val="24"/>
          <w:szCs w:val="24"/>
        </w:rPr>
        <w:t xml:space="preserve"> 4 of the Schedule introduces definitions for new terms introduced into the T</w:t>
      </w:r>
      <w:r w:rsidR="00221ADB" w:rsidRPr="00794583">
        <w:rPr>
          <w:i/>
          <w:sz w:val="24"/>
          <w:szCs w:val="24"/>
        </w:rPr>
        <w:t>elecommunications (Network Exemption–Specified Velocity Network) Instrument 2012</w:t>
      </w:r>
      <w:r w:rsidR="00221ADB">
        <w:rPr>
          <w:i/>
          <w:sz w:val="24"/>
          <w:szCs w:val="24"/>
        </w:rPr>
        <w:t>.</w:t>
      </w:r>
    </w:p>
    <w:p w14:paraId="3BCC293C" w14:textId="44067CAC" w:rsidR="00794583" w:rsidRDefault="00221ADB" w:rsidP="00D30D62">
      <w:pPr>
        <w:rPr>
          <w:sz w:val="24"/>
          <w:szCs w:val="24"/>
        </w:rPr>
      </w:pPr>
      <w:r w:rsidRPr="00221ADB">
        <w:rPr>
          <w:sz w:val="24"/>
          <w:szCs w:val="24"/>
        </w:rPr>
        <w:t>Specifically, the definition of ‘customer transition completion date’</w:t>
      </w:r>
      <w:r>
        <w:rPr>
          <w:sz w:val="24"/>
          <w:szCs w:val="24"/>
        </w:rPr>
        <w:t xml:space="preserve"> is </w:t>
      </w:r>
      <w:r w:rsidR="00794583" w:rsidRPr="00221ADB">
        <w:rPr>
          <w:sz w:val="24"/>
          <w:szCs w:val="24"/>
        </w:rPr>
        <w:t xml:space="preserve">in respect of </w:t>
      </w:r>
      <w:r w:rsidR="00D30D62">
        <w:rPr>
          <w:sz w:val="24"/>
          <w:szCs w:val="24"/>
        </w:rPr>
        <w:t xml:space="preserve">each </w:t>
      </w:r>
      <w:r w:rsidR="00794583" w:rsidRPr="00221ADB">
        <w:rPr>
          <w:sz w:val="24"/>
          <w:szCs w:val="24"/>
        </w:rPr>
        <w:t>Specified Velocity Network, the day on which Telstra completes disconnection of all Telstra-Equipped Services supplied to premises connected to that Specified Velocity Network</w:t>
      </w:r>
      <w:r>
        <w:rPr>
          <w:sz w:val="24"/>
          <w:szCs w:val="24"/>
        </w:rPr>
        <w:t>.</w:t>
      </w:r>
      <w:r w:rsidR="00D30D62">
        <w:rPr>
          <w:sz w:val="24"/>
          <w:szCs w:val="24"/>
        </w:rPr>
        <w:t xml:space="preserve"> The new </w:t>
      </w:r>
      <w:r>
        <w:rPr>
          <w:sz w:val="24"/>
          <w:szCs w:val="24"/>
        </w:rPr>
        <w:t>definition of ‘</w:t>
      </w:r>
      <w:r w:rsidR="00794583" w:rsidRPr="00221ADB">
        <w:rPr>
          <w:sz w:val="24"/>
          <w:szCs w:val="24"/>
        </w:rPr>
        <w:t>Telstra-Equipped Services</w:t>
      </w:r>
      <w:r w:rsidR="00327BF4">
        <w:rPr>
          <w:sz w:val="24"/>
          <w:szCs w:val="24"/>
        </w:rPr>
        <w:t>’</w:t>
      </w:r>
      <w:r w:rsidRPr="00221ADB">
        <w:rPr>
          <w:sz w:val="24"/>
          <w:szCs w:val="24"/>
        </w:rPr>
        <w:t xml:space="preserve"> is </w:t>
      </w:r>
      <w:r w:rsidR="00794583" w:rsidRPr="00221ADB">
        <w:rPr>
          <w:sz w:val="24"/>
          <w:szCs w:val="24"/>
        </w:rPr>
        <w:t>carriage services which Telstra, while it is in a position to exercise control of a Specified Velocity Network, supplies to itself or to access seekers at premises connected to that Specified Velocity Network, including the Fibre Access Broadband Service.</w:t>
      </w:r>
    </w:p>
    <w:p w14:paraId="75E59B7E" w14:textId="52094B92" w:rsidR="00794583" w:rsidRDefault="00752C68" w:rsidP="005028BC">
      <w:pPr>
        <w:rPr>
          <w:sz w:val="24"/>
          <w:szCs w:val="24"/>
        </w:rPr>
      </w:pPr>
      <w:r>
        <w:rPr>
          <w:sz w:val="24"/>
          <w:szCs w:val="24"/>
        </w:rPr>
        <w:t>Clause</w:t>
      </w:r>
      <w:r w:rsidR="005028BC">
        <w:rPr>
          <w:sz w:val="24"/>
          <w:szCs w:val="24"/>
        </w:rPr>
        <w:t xml:space="preserve"> 5 of the Schedule amends the note immediately after </w:t>
      </w:r>
      <w:r>
        <w:rPr>
          <w:sz w:val="24"/>
          <w:szCs w:val="24"/>
        </w:rPr>
        <w:t>Clause</w:t>
      </w:r>
      <w:r w:rsidR="005028BC">
        <w:rPr>
          <w:sz w:val="24"/>
          <w:szCs w:val="24"/>
        </w:rPr>
        <w:t xml:space="preserve"> 3</w:t>
      </w:r>
      <w:r w:rsidR="00A62A81">
        <w:rPr>
          <w:sz w:val="24"/>
          <w:szCs w:val="24"/>
        </w:rPr>
        <w:t>,</w:t>
      </w:r>
      <w:r w:rsidR="005028BC">
        <w:rPr>
          <w:sz w:val="24"/>
          <w:szCs w:val="24"/>
        </w:rPr>
        <w:t xml:space="preserve"> </w:t>
      </w:r>
      <w:r w:rsidR="00A62A81">
        <w:rPr>
          <w:sz w:val="24"/>
          <w:szCs w:val="24"/>
        </w:rPr>
        <w:t>s</w:t>
      </w:r>
      <w:r w:rsidR="005028BC">
        <w:rPr>
          <w:sz w:val="24"/>
          <w:szCs w:val="24"/>
        </w:rPr>
        <w:t xml:space="preserve">pecifically, the term ‘designated day’ is removed because it </w:t>
      </w:r>
      <w:proofErr w:type="spellStart"/>
      <w:r w:rsidR="005028BC">
        <w:rPr>
          <w:sz w:val="24"/>
          <w:szCs w:val="24"/>
        </w:rPr>
        <w:t>it</w:t>
      </w:r>
      <w:proofErr w:type="spellEnd"/>
      <w:r w:rsidR="005028BC">
        <w:rPr>
          <w:sz w:val="24"/>
          <w:szCs w:val="24"/>
        </w:rPr>
        <w:t xml:space="preserve"> is no longer applicable (in accordance with the amendment made by </w:t>
      </w:r>
      <w:r>
        <w:rPr>
          <w:sz w:val="24"/>
          <w:szCs w:val="24"/>
        </w:rPr>
        <w:t>clause</w:t>
      </w:r>
      <w:r w:rsidR="005028BC">
        <w:rPr>
          <w:sz w:val="24"/>
          <w:szCs w:val="24"/>
        </w:rPr>
        <w:t xml:space="preserve"> 1 of the Schedule), and </w:t>
      </w:r>
      <w:r w:rsidR="00D30D62">
        <w:rPr>
          <w:sz w:val="24"/>
          <w:szCs w:val="24"/>
        </w:rPr>
        <w:t xml:space="preserve">a new term </w:t>
      </w:r>
      <w:r w:rsidR="005028BC">
        <w:rPr>
          <w:sz w:val="24"/>
          <w:szCs w:val="24"/>
        </w:rPr>
        <w:t>‘</w:t>
      </w:r>
      <w:r w:rsidR="00794583">
        <w:rPr>
          <w:sz w:val="24"/>
          <w:szCs w:val="24"/>
        </w:rPr>
        <w:t>a</w:t>
      </w:r>
      <w:r w:rsidR="00794583" w:rsidRPr="00E01874">
        <w:rPr>
          <w:sz w:val="24"/>
          <w:szCs w:val="24"/>
        </w:rPr>
        <w:t xml:space="preserve"> person being in a position to exercise control over a network</w:t>
      </w:r>
      <w:r w:rsidR="005028BC">
        <w:rPr>
          <w:sz w:val="24"/>
          <w:szCs w:val="24"/>
        </w:rPr>
        <w:t>’</w:t>
      </w:r>
      <w:r w:rsidR="00D30D62">
        <w:rPr>
          <w:sz w:val="24"/>
          <w:szCs w:val="24"/>
        </w:rPr>
        <w:t xml:space="preserve"> is added in its p</w:t>
      </w:r>
      <w:r w:rsidR="005C0CD5">
        <w:rPr>
          <w:sz w:val="24"/>
          <w:szCs w:val="24"/>
        </w:rPr>
        <w:t>la</w:t>
      </w:r>
      <w:r w:rsidR="00D30D62">
        <w:rPr>
          <w:sz w:val="24"/>
          <w:szCs w:val="24"/>
        </w:rPr>
        <w:t>ce</w:t>
      </w:r>
      <w:r w:rsidR="005028BC">
        <w:rPr>
          <w:sz w:val="24"/>
          <w:szCs w:val="24"/>
        </w:rPr>
        <w:t>.</w:t>
      </w:r>
    </w:p>
    <w:p w14:paraId="2EB4C965" w14:textId="6C6841F7" w:rsidR="005028BC" w:rsidRDefault="00752C68" w:rsidP="005028BC">
      <w:pPr>
        <w:rPr>
          <w:sz w:val="24"/>
          <w:szCs w:val="24"/>
        </w:rPr>
      </w:pPr>
      <w:r>
        <w:rPr>
          <w:sz w:val="24"/>
          <w:szCs w:val="24"/>
        </w:rPr>
        <w:t>Clause</w:t>
      </w:r>
      <w:r w:rsidR="005028BC">
        <w:rPr>
          <w:sz w:val="24"/>
          <w:szCs w:val="24"/>
        </w:rPr>
        <w:t xml:space="preserve"> 6 of the Schedule </w:t>
      </w:r>
      <w:r w:rsidR="00D30D62">
        <w:rPr>
          <w:sz w:val="24"/>
          <w:szCs w:val="24"/>
        </w:rPr>
        <w:t xml:space="preserve">makes a </w:t>
      </w:r>
      <w:r w:rsidR="00CA3FA4">
        <w:rPr>
          <w:sz w:val="24"/>
          <w:szCs w:val="24"/>
        </w:rPr>
        <w:t>consequential amendment to sub</w:t>
      </w:r>
      <w:r>
        <w:rPr>
          <w:sz w:val="24"/>
          <w:szCs w:val="24"/>
        </w:rPr>
        <w:t>clause</w:t>
      </w:r>
      <w:r w:rsidR="00CA3FA4">
        <w:rPr>
          <w:sz w:val="24"/>
          <w:szCs w:val="24"/>
        </w:rPr>
        <w:t xml:space="preserve"> (1) to recognise </w:t>
      </w:r>
      <w:r w:rsidR="005028BC">
        <w:rPr>
          <w:sz w:val="24"/>
          <w:szCs w:val="24"/>
        </w:rPr>
        <w:t>the</w:t>
      </w:r>
      <w:r w:rsidR="001F41FD">
        <w:rPr>
          <w:sz w:val="24"/>
          <w:szCs w:val="24"/>
        </w:rPr>
        <w:t>re is an</w:t>
      </w:r>
      <w:r w:rsidR="005028BC">
        <w:rPr>
          <w:sz w:val="24"/>
          <w:szCs w:val="24"/>
        </w:rPr>
        <w:t xml:space="preserve"> </w:t>
      </w:r>
      <w:proofErr w:type="spellStart"/>
      <w:r w:rsidR="00CA3FA4">
        <w:rPr>
          <w:sz w:val="24"/>
          <w:szCs w:val="24"/>
        </w:rPr>
        <w:t>additonal</w:t>
      </w:r>
      <w:proofErr w:type="spellEnd"/>
      <w:r w:rsidR="00CA3FA4">
        <w:rPr>
          <w:sz w:val="24"/>
          <w:szCs w:val="24"/>
        </w:rPr>
        <w:t xml:space="preserve"> </w:t>
      </w:r>
      <w:r w:rsidR="005028BC">
        <w:rPr>
          <w:sz w:val="24"/>
          <w:szCs w:val="24"/>
        </w:rPr>
        <w:t xml:space="preserve">condition of the </w:t>
      </w:r>
      <w:r w:rsidR="00D30D62">
        <w:rPr>
          <w:sz w:val="24"/>
          <w:szCs w:val="24"/>
        </w:rPr>
        <w:t>exemption</w:t>
      </w:r>
      <w:r w:rsidR="00CA3FA4">
        <w:rPr>
          <w:sz w:val="24"/>
          <w:szCs w:val="24"/>
        </w:rPr>
        <w:t xml:space="preserve"> inserted by </w:t>
      </w:r>
      <w:r>
        <w:rPr>
          <w:sz w:val="24"/>
          <w:szCs w:val="24"/>
        </w:rPr>
        <w:t>clause</w:t>
      </w:r>
      <w:r w:rsidR="00CA3FA4">
        <w:rPr>
          <w:sz w:val="24"/>
          <w:szCs w:val="24"/>
        </w:rPr>
        <w:t xml:space="preserve"> 7. </w:t>
      </w:r>
    </w:p>
    <w:p w14:paraId="0C3A3D41" w14:textId="2A779B63" w:rsidR="00794583" w:rsidRPr="00CC424C" w:rsidRDefault="00752C68" w:rsidP="00CA3FA4">
      <w:pPr>
        <w:rPr>
          <w:sz w:val="24"/>
          <w:szCs w:val="24"/>
        </w:rPr>
      </w:pPr>
      <w:r>
        <w:rPr>
          <w:sz w:val="24"/>
          <w:szCs w:val="24"/>
        </w:rPr>
        <w:t>Clause</w:t>
      </w:r>
      <w:r w:rsidR="005028BC">
        <w:rPr>
          <w:sz w:val="24"/>
          <w:szCs w:val="24"/>
        </w:rPr>
        <w:t xml:space="preserve"> 7 of the Schedule adds </w:t>
      </w:r>
      <w:r w:rsidR="00327BF4">
        <w:rPr>
          <w:sz w:val="24"/>
          <w:szCs w:val="24"/>
        </w:rPr>
        <w:t xml:space="preserve">a </w:t>
      </w:r>
      <w:r w:rsidR="00CA3FA4">
        <w:rPr>
          <w:sz w:val="24"/>
          <w:szCs w:val="24"/>
        </w:rPr>
        <w:t xml:space="preserve">new </w:t>
      </w:r>
      <w:r w:rsidR="005028BC">
        <w:rPr>
          <w:sz w:val="24"/>
          <w:szCs w:val="24"/>
        </w:rPr>
        <w:t xml:space="preserve">condition to </w:t>
      </w:r>
      <w:r>
        <w:rPr>
          <w:sz w:val="24"/>
          <w:szCs w:val="24"/>
        </w:rPr>
        <w:t>clause</w:t>
      </w:r>
      <w:r w:rsidR="00CA3FA4">
        <w:rPr>
          <w:sz w:val="24"/>
          <w:szCs w:val="24"/>
        </w:rPr>
        <w:t xml:space="preserve"> 4</w:t>
      </w:r>
      <w:r w:rsidR="005028BC">
        <w:rPr>
          <w:sz w:val="24"/>
          <w:szCs w:val="24"/>
        </w:rPr>
        <w:t xml:space="preserve">. Specifically, </w:t>
      </w:r>
      <w:r w:rsidR="00CA3FA4">
        <w:rPr>
          <w:sz w:val="24"/>
          <w:szCs w:val="24"/>
        </w:rPr>
        <w:t xml:space="preserve">the first new </w:t>
      </w:r>
      <w:proofErr w:type="spellStart"/>
      <w:r w:rsidR="00CA3FA4">
        <w:rPr>
          <w:sz w:val="24"/>
          <w:szCs w:val="24"/>
        </w:rPr>
        <w:t>conditon</w:t>
      </w:r>
      <w:proofErr w:type="spellEnd"/>
      <w:r w:rsidR="00CA3FA4">
        <w:rPr>
          <w:sz w:val="24"/>
          <w:szCs w:val="24"/>
        </w:rPr>
        <w:t xml:space="preserve"> set out in </w:t>
      </w:r>
      <w:r w:rsidR="005028BC">
        <w:rPr>
          <w:sz w:val="24"/>
          <w:szCs w:val="24"/>
        </w:rPr>
        <w:t>sub</w:t>
      </w:r>
      <w:r>
        <w:rPr>
          <w:sz w:val="24"/>
          <w:szCs w:val="24"/>
        </w:rPr>
        <w:t>clause</w:t>
      </w:r>
      <w:r w:rsidR="005028BC">
        <w:rPr>
          <w:sz w:val="24"/>
          <w:szCs w:val="24"/>
        </w:rPr>
        <w:t xml:space="preserve"> 4(</w:t>
      </w:r>
      <w:r w:rsidR="00CA3FA4">
        <w:rPr>
          <w:sz w:val="24"/>
          <w:szCs w:val="24"/>
        </w:rPr>
        <w:t>3</w:t>
      </w:r>
      <w:r w:rsidR="005028BC">
        <w:rPr>
          <w:sz w:val="24"/>
          <w:szCs w:val="24"/>
        </w:rPr>
        <w:t xml:space="preserve">) </w:t>
      </w:r>
      <w:proofErr w:type="gramStart"/>
      <w:r w:rsidR="005028BC">
        <w:rPr>
          <w:sz w:val="24"/>
          <w:szCs w:val="24"/>
        </w:rPr>
        <w:t>add</w:t>
      </w:r>
      <w:r w:rsidR="00CA3FA4">
        <w:rPr>
          <w:sz w:val="24"/>
          <w:szCs w:val="24"/>
        </w:rPr>
        <w:t>s</w:t>
      </w:r>
      <w:proofErr w:type="gramEnd"/>
      <w:r w:rsidR="00CA3FA4">
        <w:rPr>
          <w:sz w:val="24"/>
          <w:szCs w:val="24"/>
        </w:rPr>
        <w:t xml:space="preserve"> a new </w:t>
      </w:r>
      <w:r w:rsidR="005028BC">
        <w:rPr>
          <w:sz w:val="24"/>
          <w:szCs w:val="24"/>
        </w:rPr>
        <w:t xml:space="preserve">requirement on Telstra to report to the ACCC </w:t>
      </w:r>
      <w:r w:rsidR="00A62A81">
        <w:rPr>
          <w:sz w:val="24"/>
          <w:szCs w:val="24"/>
        </w:rPr>
        <w:t xml:space="preserve">and the Minister </w:t>
      </w:r>
      <w:r w:rsidR="005028BC">
        <w:rPr>
          <w:sz w:val="24"/>
          <w:szCs w:val="24"/>
        </w:rPr>
        <w:t xml:space="preserve">specific details of its deployment every six months </w:t>
      </w:r>
      <w:proofErr w:type="spellStart"/>
      <w:r w:rsidR="005028BC">
        <w:rPr>
          <w:sz w:val="24"/>
          <w:szCs w:val="24"/>
        </w:rPr>
        <w:t>comencing</w:t>
      </w:r>
      <w:proofErr w:type="spellEnd"/>
      <w:r w:rsidR="005028BC">
        <w:rPr>
          <w:sz w:val="24"/>
          <w:szCs w:val="24"/>
        </w:rPr>
        <w:t xml:space="preserve"> on 15</w:t>
      </w:r>
      <w:r w:rsidR="001F6374">
        <w:rPr>
          <w:sz w:val="24"/>
          <w:szCs w:val="24"/>
        </w:rPr>
        <w:t> </w:t>
      </w:r>
      <w:r w:rsidR="005028BC">
        <w:rPr>
          <w:sz w:val="24"/>
          <w:szCs w:val="24"/>
        </w:rPr>
        <w:t>July 2020 until the cessation</w:t>
      </w:r>
      <w:r w:rsidR="004F4BB3">
        <w:rPr>
          <w:sz w:val="24"/>
          <w:szCs w:val="24"/>
        </w:rPr>
        <w:t xml:space="preserve"> </w:t>
      </w:r>
      <w:r w:rsidR="005028BC">
        <w:rPr>
          <w:sz w:val="24"/>
          <w:szCs w:val="24"/>
        </w:rPr>
        <w:t xml:space="preserve">of the instrument, and within 30 </w:t>
      </w:r>
      <w:r w:rsidR="00CA3FA4">
        <w:rPr>
          <w:sz w:val="24"/>
          <w:szCs w:val="24"/>
        </w:rPr>
        <w:t xml:space="preserve">days </w:t>
      </w:r>
      <w:r w:rsidR="005028BC">
        <w:rPr>
          <w:sz w:val="24"/>
          <w:szCs w:val="24"/>
        </w:rPr>
        <w:t xml:space="preserve">of a </w:t>
      </w:r>
      <w:r w:rsidR="00CA3FA4">
        <w:rPr>
          <w:sz w:val="24"/>
          <w:szCs w:val="24"/>
        </w:rPr>
        <w:t xml:space="preserve">written </w:t>
      </w:r>
      <w:r w:rsidR="005028BC">
        <w:rPr>
          <w:sz w:val="24"/>
          <w:szCs w:val="24"/>
        </w:rPr>
        <w:t>request from the ACCC to do so.</w:t>
      </w:r>
      <w:bookmarkStart w:id="0" w:name="_GoBack"/>
      <w:bookmarkEnd w:id="0"/>
    </w:p>
    <w:sectPr w:rsidR="00794583" w:rsidRPr="00CC424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DCABB" w14:textId="77777777" w:rsidR="00D405A1" w:rsidRDefault="00D405A1" w:rsidP="0054340F">
      <w:pPr>
        <w:spacing w:after="0" w:line="240" w:lineRule="auto"/>
      </w:pPr>
      <w:r>
        <w:separator/>
      </w:r>
    </w:p>
  </w:endnote>
  <w:endnote w:type="continuationSeparator" w:id="0">
    <w:p w14:paraId="730D8037" w14:textId="77777777" w:rsidR="00D405A1" w:rsidRDefault="00D405A1" w:rsidP="0054340F">
      <w:pPr>
        <w:spacing w:after="0" w:line="240" w:lineRule="auto"/>
      </w:pPr>
      <w:r>
        <w:continuationSeparator/>
      </w:r>
    </w:p>
  </w:endnote>
  <w:endnote w:type="continuationNotice" w:id="1">
    <w:p w14:paraId="66861DE8" w14:textId="77777777" w:rsidR="00D405A1" w:rsidRDefault="00D40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172544"/>
      <w:docPartObj>
        <w:docPartGallery w:val="Page Numbers (Bottom of Page)"/>
        <w:docPartUnique/>
      </w:docPartObj>
    </w:sdtPr>
    <w:sdtEndPr/>
    <w:sdtContent>
      <w:p w14:paraId="7948D340" w14:textId="2237FF98" w:rsidR="00D405A1" w:rsidRDefault="00D405A1">
        <w:pPr>
          <w:pStyle w:val="Footer"/>
          <w:jc w:val="center"/>
        </w:pPr>
        <w:r>
          <w:fldChar w:fldCharType="begin"/>
        </w:r>
        <w:r>
          <w:instrText xml:space="preserve"> PAGE   \* MERGEFORMAT </w:instrText>
        </w:r>
        <w:r>
          <w:fldChar w:fldCharType="separate"/>
        </w:r>
        <w:r w:rsidR="00926E30">
          <w:rPr>
            <w:noProof/>
          </w:rPr>
          <w:t>4</w:t>
        </w:r>
        <w:r>
          <w:fldChar w:fldCharType="end"/>
        </w:r>
      </w:p>
    </w:sdtContent>
  </w:sdt>
  <w:p w14:paraId="442B204B" w14:textId="77777777" w:rsidR="00D405A1" w:rsidRDefault="00D40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A07CF" w14:textId="77777777" w:rsidR="00D405A1" w:rsidRDefault="00D405A1" w:rsidP="0054340F">
      <w:pPr>
        <w:spacing w:after="0" w:line="240" w:lineRule="auto"/>
      </w:pPr>
      <w:r>
        <w:separator/>
      </w:r>
    </w:p>
  </w:footnote>
  <w:footnote w:type="continuationSeparator" w:id="0">
    <w:p w14:paraId="494C4AB7" w14:textId="77777777" w:rsidR="00D405A1" w:rsidRDefault="00D405A1" w:rsidP="0054340F">
      <w:pPr>
        <w:spacing w:after="0" w:line="240" w:lineRule="auto"/>
      </w:pPr>
      <w:r>
        <w:continuationSeparator/>
      </w:r>
    </w:p>
  </w:footnote>
  <w:footnote w:type="continuationNotice" w:id="1">
    <w:p w14:paraId="0B9D8153" w14:textId="77777777" w:rsidR="00D405A1" w:rsidRDefault="00D405A1">
      <w:pPr>
        <w:spacing w:after="0" w:line="240" w:lineRule="auto"/>
      </w:pPr>
    </w:p>
  </w:footnote>
  <w:footnote w:id="2">
    <w:p w14:paraId="6DD82965" w14:textId="59928F89" w:rsidR="00D405A1" w:rsidRDefault="00D405A1" w:rsidP="00844374">
      <w:pPr>
        <w:pStyle w:val="FootnoteText"/>
      </w:pPr>
      <w:r>
        <w:rPr>
          <w:rStyle w:val="FootnoteReference"/>
        </w:rPr>
        <w:footnoteRef/>
      </w:r>
      <w:r>
        <w:t xml:space="preserve"> </w:t>
      </w:r>
      <w:proofErr w:type="gramStart"/>
      <w:r>
        <w:t xml:space="preserve">This section was repealed by the </w:t>
      </w:r>
      <w:r w:rsidRPr="000C73FD">
        <w:rPr>
          <w:i/>
        </w:rPr>
        <w:t>Telecommunications Legislation Amendment (Competition and Consumer) Act 2020</w:t>
      </w:r>
      <w:proofErr w:type="gramEnd"/>
      <w:r>
        <w:t xml:space="preserve"> on 26 May 2020. </w:t>
      </w:r>
      <w:proofErr w:type="gramStart"/>
      <w:r>
        <w:t xml:space="preserve">However, subsection 27(1) of Schedule 1 of the </w:t>
      </w:r>
      <w:r w:rsidRPr="000C73FD">
        <w:rPr>
          <w:i/>
        </w:rPr>
        <w:t>Telecommunications Legislation Amendment (Competition and Consumer) Act 2020</w:t>
      </w:r>
      <w:r>
        <w:t xml:space="preserve"> establishes that existing instruments in force under section 141A(1) of the Act continue as if made under section 144(1) of the Act, and that each reference in the instrument to section 141 of the Act were a reference to section 143 of the Act.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4D14"/>
    <w:multiLevelType w:val="hybridMultilevel"/>
    <w:tmpl w:val="5BDE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E2D48"/>
    <w:multiLevelType w:val="hybridMultilevel"/>
    <w:tmpl w:val="A31027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FF448CE"/>
    <w:multiLevelType w:val="hybridMultilevel"/>
    <w:tmpl w:val="9B7EB0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646219"/>
    <w:multiLevelType w:val="hybridMultilevel"/>
    <w:tmpl w:val="5D94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48673A"/>
    <w:multiLevelType w:val="hybridMultilevel"/>
    <w:tmpl w:val="63564184"/>
    <w:lvl w:ilvl="0" w:tplc="0C09000F">
      <w:start w:val="1"/>
      <w:numFmt w:val="decimal"/>
      <w:lvlText w:val="%1."/>
      <w:lvlJc w:val="left"/>
      <w:pPr>
        <w:ind w:left="1211"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684C2B"/>
    <w:multiLevelType w:val="hybridMultilevel"/>
    <w:tmpl w:val="98986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4D7A26"/>
    <w:multiLevelType w:val="hybridMultilevel"/>
    <w:tmpl w:val="C088C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E490630"/>
    <w:multiLevelType w:val="hybridMultilevel"/>
    <w:tmpl w:val="FCE2ECFA"/>
    <w:lvl w:ilvl="0" w:tplc="2BC8F7EE">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5124840"/>
    <w:multiLevelType w:val="hybridMultilevel"/>
    <w:tmpl w:val="EF8A2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794E9B"/>
    <w:multiLevelType w:val="hybridMultilevel"/>
    <w:tmpl w:val="14542A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62508AC"/>
    <w:multiLevelType w:val="hybridMultilevel"/>
    <w:tmpl w:val="C4EC1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A86771"/>
    <w:multiLevelType w:val="hybridMultilevel"/>
    <w:tmpl w:val="64C8B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C260DC"/>
    <w:multiLevelType w:val="hybridMultilevel"/>
    <w:tmpl w:val="001A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2F2DA4"/>
    <w:multiLevelType w:val="hybridMultilevel"/>
    <w:tmpl w:val="E48C5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20625D5"/>
    <w:multiLevelType w:val="hybridMultilevel"/>
    <w:tmpl w:val="49C44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7152E4"/>
    <w:multiLevelType w:val="hybridMultilevel"/>
    <w:tmpl w:val="99D4C7F2"/>
    <w:lvl w:ilvl="0" w:tplc="0C090017">
      <w:start w:val="1"/>
      <w:numFmt w:val="lowerLetter"/>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4"/>
  </w:num>
  <w:num w:numId="2">
    <w:abstractNumId w:val="6"/>
  </w:num>
  <w:num w:numId="3">
    <w:abstractNumId w:val="13"/>
  </w:num>
  <w:num w:numId="4">
    <w:abstractNumId w:val="12"/>
  </w:num>
  <w:num w:numId="5">
    <w:abstractNumId w:val="9"/>
  </w:num>
  <w:num w:numId="6">
    <w:abstractNumId w:val="7"/>
  </w:num>
  <w:num w:numId="7">
    <w:abstractNumId w:val="0"/>
  </w:num>
  <w:num w:numId="8">
    <w:abstractNumId w:val="5"/>
  </w:num>
  <w:num w:numId="9">
    <w:abstractNumId w:val="15"/>
  </w:num>
  <w:num w:numId="10">
    <w:abstractNumId w:val="3"/>
  </w:num>
  <w:num w:numId="11">
    <w:abstractNumId w:val="11"/>
  </w:num>
  <w:num w:numId="12">
    <w:abstractNumId w:val="8"/>
  </w:num>
  <w:num w:numId="13">
    <w:abstractNumId w:val="2"/>
  </w:num>
  <w:num w:numId="14">
    <w:abstractNumId w:val="1"/>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5C"/>
    <w:rsid w:val="00006369"/>
    <w:rsid w:val="00015820"/>
    <w:rsid w:val="000215D3"/>
    <w:rsid w:val="00040135"/>
    <w:rsid w:val="00041393"/>
    <w:rsid w:val="0005133C"/>
    <w:rsid w:val="00074D57"/>
    <w:rsid w:val="00076021"/>
    <w:rsid w:val="0008558B"/>
    <w:rsid w:val="00087713"/>
    <w:rsid w:val="000942AF"/>
    <w:rsid w:val="000A021C"/>
    <w:rsid w:val="000A4F35"/>
    <w:rsid w:val="000C64AD"/>
    <w:rsid w:val="000C73FD"/>
    <w:rsid w:val="000D2E99"/>
    <w:rsid w:val="000E4980"/>
    <w:rsid w:val="000E725A"/>
    <w:rsid w:val="000E746C"/>
    <w:rsid w:val="00105204"/>
    <w:rsid w:val="00113BEF"/>
    <w:rsid w:val="00116B7D"/>
    <w:rsid w:val="001445F6"/>
    <w:rsid w:val="00155045"/>
    <w:rsid w:val="001730F8"/>
    <w:rsid w:val="00182CD2"/>
    <w:rsid w:val="00185FEC"/>
    <w:rsid w:val="0019317E"/>
    <w:rsid w:val="0019499D"/>
    <w:rsid w:val="001A4A2B"/>
    <w:rsid w:val="001C0FB0"/>
    <w:rsid w:val="001C5825"/>
    <w:rsid w:val="001F41FD"/>
    <w:rsid w:val="001F6374"/>
    <w:rsid w:val="001F727B"/>
    <w:rsid w:val="0020759A"/>
    <w:rsid w:val="002076FF"/>
    <w:rsid w:val="00210890"/>
    <w:rsid w:val="00214C3C"/>
    <w:rsid w:val="00221ADB"/>
    <w:rsid w:val="00222570"/>
    <w:rsid w:val="00224AA1"/>
    <w:rsid w:val="00224EF1"/>
    <w:rsid w:val="00227DF4"/>
    <w:rsid w:val="00233BBF"/>
    <w:rsid w:val="00247080"/>
    <w:rsid w:val="002509C4"/>
    <w:rsid w:val="00256CA6"/>
    <w:rsid w:val="002775CE"/>
    <w:rsid w:val="002972DF"/>
    <w:rsid w:val="002A1AD1"/>
    <w:rsid w:val="002B0303"/>
    <w:rsid w:val="002B4C86"/>
    <w:rsid w:val="002B5948"/>
    <w:rsid w:val="002C2E30"/>
    <w:rsid w:val="002C77C5"/>
    <w:rsid w:val="002D4FE0"/>
    <w:rsid w:val="002E1E12"/>
    <w:rsid w:val="002E4ED4"/>
    <w:rsid w:val="002F52AC"/>
    <w:rsid w:val="002F72E7"/>
    <w:rsid w:val="0030492C"/>
    <w:rsid w:val="003062F4"/>
    <w:rsid w:val="00313FC0"/>
    <w:rsid w:val="00316FA8"/>
    <w:rsid w:val="0032170B"/>
    <w:rsid w:val="00327BF4"/>
    <w:rsid w:val="003308D5"/>
    <w:rsid w:val="00330BC2"/>
    <w:rsid w:val="00331372"/>
    <w:rsid w:val="00334DCA"/>
    <w:rsid w:val="00336AE4"/>
    <w:rsid w:val="0033791F"/>
    <w:rsid w:val="00350D5A"/>
    <w:rsid w:val="00353790"/>
    <w:rsid w:val="00360B32"/>
    <w:rsid w:val="0037604B"/>
    <w:rsid w:val="003769ED"/>
    <w:rsid w:val="00384A30"/>
    <w:rsid w:val="003A0D4F"/>
    <w:rsid w:val="003A5917"/>
    <w:rsid w:val="003B12A3"/>
    <w:rsid w:val="003B1C1F"/>
    <w:rsid w:val="003B308B"/>
    <w:rsid w:val="003B3923"/>
    <w:rsid w:val="003B68BD"/>
    <w:rsid w:val="003B6D0D"/>
    <w:rsid w:val="003C1188"/>
    <w:rsid w:val="003D1A83"/>
    <w:rsid w:val="003D71CB"/>
    <w:rsid w:val="003E1059"/>
    <w:rsid w:val="003E3D22"/>
    <w:rsid w:val="003E55CD"/>
    <w:rsid w:val="003E7568"/>
    <w:rsid w:val="003F32F2"/>
    <w:rsid w:val="003F486C"/>
    <w:rsid w:val="00410413"/>
    <w:rsid w:val="0041078D"/>
    <w:rsid w:val="00411FB7"/>
    <w:rsid w:val="00427910"/>
    <w:rsid w:val="004305DD"/>
    <w:rsid w:val="004338B3"/>
    <w:rsid w:val="004370A1"/>
    <w:rsid w:val="0044184D"/>
    <w:rsid w:val="00450ED1"/>
    <w:rsid w:val="00457D41"/>
    <w:rsid w:val="00465298"/>
    <w:rsid w:val="0046638A"/>
    <w:rsid w:val="00466ADF"/>
    <w:rsid w:val="00472D67"/>
    <w:rsid w:val="00490966"/>
    <w:rsid w:val="00496B86"/>
    <w:rsid w:val="004C0B59"/>
    <w:rsid w:val="004C4EA7"/>
    <w:rsid w:val="004C5DD1"/>
    <w:rsid w:val="004F4BB3"/>
    <w:rsid w:val="005028BC"/>
    <w:rsid w:val="00506760"/>
    <w:rsid w:val="005108F4"/>
    <w:rsid w:val="0051092D"/>
    <w:rsid w:val="0052608E"/>
    <w:rsid w:val="00530678"/>
    <w:rsid w:val="00535368"/>
    <w:rsid w:val="0054340F"/>
    <w:rsid w:val="0054715B"/>
    <w:rsid w:val="005567B9"/>
    <w:rsid w:val="005605FC"/>
    <w:rsid w:val="005729FC"/>
    <w:rsid w:val="00576E87"/>
    <w:rsid w:val="00577191"/>
    <w:rsid w:val="00577C30"/>
    <w:rsid w:val="00582179"/>
    <w:rsid w:val="00585B76"/>
    <w:rsid w:val="005A4652"/>
    <w:rsid w:val="005A4BEA"/>
    <w:rsid w:val="005B52D8"/>
    <w:rsid w:val="005B55C4"/>
    <w:rsid w:val="005C0CD5"/>
    <w:rsid w:val="005C1D69"/>
    <w:rsid w:val="005C2E4A"/>
    <w:rsid w:val="005C7841"/>
    <w:rsid w:val="005D2E5C"/>
    <w:rsid w:val="005D5870"/>
    <w:rsid w:val="005E1985"/>
    <w:rsid w:val="005E1DA6"/>
    <w:rsid w:val="005E2F10"/>
    <w:rsid w:val="005F4899"/>
    <w:rsid w:val="006030EB"/>
    <w:rsid w:val="00604D6B"/>
    <w:rsid w:val="0060646C"/>
    <w:rsid w:val="006121B3"/>
    <w:rsid w:val="00622C24"/>
    <w:rsid w:val="0062333D"/>
    <w:rsid w:val="00625CC4"/>
    <w:rsid w:val="0063405B"/>
    <w:rsid w:val="00634F8B"/>
    <w:rsid w:val="00661255"/>
    <w:rsid w:val="00664F2F"/>
    <w:rsid w:val="00673385"/>
    <w:rsid w:val="00677D55"/>
    <w:rsid w:val="00684902"/>
    <w:rsid w:val="006A011C"/>
    <w:rsid w:val="006A52F3"/>
    <w:rsid w:val="006A703B"/>
    <w:rsid w:val="006B7F1F"/>
    <w:rsid w:val="006C6F06"/>
    <w:rsid w:val="006D2724"/>
    <w:rsid w:val="006D314B"/>
    <w:rsid w:val="006D3AC4"/>
    <w:rsid w:val="006D42A8"/>
    <w:rsid w:val="006E0E6E"/>
    <w:rsid w:val="006E1DC9"/>
    <w:rsid w:val="006F6EB1"/>
    <w:rsid w:val="00700503"/>
    <w:rsid w:val="007102F7"/>
    <w:rsid w:val="0071130A"/>
    <w:rsid w:val="0072769E"/>
    <w:rsid w:val="00731545"/>
    <w:rsid w:val="00731656"/>
    <w:rsid w:val="0075055C"/>
    <w:rsid w:val="00752C68"/>
    <w:rsid w:val="007642B2"/>
    <w:rsid w:val="007719A9"/>
    <w:rsid w:val="007773E2"/>
    <w:rsid w:val="00783D1A"/>
    <w:rsid w:val="00786BAB"/>
    <w:rsid w:val="00786EF4"/>
    <w:rsid w:val="00787EAF"/>
    <w:rsid w:val="0079112F"/>
    <w:rsid w:val="00794583"/>
    <w:rsid w:val="00797DE5"/>
    <w:rsid w:val="007A68C0"/>
    <w:rsid w:val="007B055E"/>
    <w:rsid w:val="007B118E"/>
    <w:rsid w:val="007C11FB"/>
    <w:rsid w:val="007C32D0"/>
    <w:rsid w:val="007C4465"/>
    <w:rsid w:val="007D01D4"/>
    <w:rsid w:val="007D5B03"/>
    <w:rsid w:val="007E1CFC"/>
    <w:rsid w:val="007F056D"/>
    <w:rsid w:val="007F2C54"/>
    <w:rsid w:val="007F3D3D"/>
    <w:rsid w:val="00800929"/>
    <w:rsid w:val="008373A4"/>
    <w:rsid w:val="00842449"/>
    <w:rsid w:val="00844374"/>
    <w:rsid w:val="008B111A"/>
    <w:rsid w:val="008B63E9"/>
    <w:rsid w:val="008C2193"/>
    <w:rsid w:val="008D46A4"/>
    <w:rsid w:val="008D46DB"/>
    <w:rsid w:val="008F2593"/>
    <w:rsid w:val="00906922"/>
    <w:rsid w:val="00906CA6"/>
    <w:rsid w:val="00907351"/>
    <w:rsid w:val="0091139B"/>
    <w:rsid w:val="00914E3F"/>
    <w:rsid w:val="00917DA8"/>
    <w:rsid w:val="009202DB"/>
    <w:rsid w:val="00924364"/>
    <w:rsid w:val="00926E30"/>
    <w:rsid w:val="009301E6"/>
    <w:rsid w:val="00934851"/>
    <w:rsid w:val="00934FAA"/>
    <w:rsid w:val="00940295"/>
    <w:rsid w:val="00950C40"/>
    <w:rsid w:val="00976E0B"/>
    <w:rsid w:val="0098179C"/>
    <w:rsid w:val="00991A65"/>
    <w:rsid w:val="009A386A"/>
    <w:rsid w:val="009B0139"/>
    <w:rsid w:val="009B2AC4"/>
    <w:rsid w:val="009B30EF"/>
    <w:rsid w:val="009B4B97"/>
    <w:rsid w:val="009C18C6"/>
    <w:rsid w:val="009C2575"/>
    <w:rsid w:val="009D03F1"/>
    <w:rsid w:val="009E233A"/>
    <w:rsid w:val="009E53D1"/>
    <w:rsid w:val="00A22C71"/>
    <w:rsid w:val="00A24B6E"/>
    <w:rsid w:val="00A307DC"/>
    <w:rsid w:val="00A33FAF"/>
    <w:rsid w:val="00A62618"/>
    <w:rsid w:val="00A62A81"/>
    <w:rsid w:val="00A73A9D"/>
    <w:rsid w:val="00A75E03"/>
    <w:rsid w:val="00A80A09"/>
    <w:rsid w:val="00A80EF4"/>
    <w:rsid w:val="00A836D6"/>
    <w:rsid w:val="00A86035"/>
    <w:rsid w:val="00A87313"/>
    <w:rsid w:val="00A92687"/>
    <w:rsid w:val="00A92C4E"/>
    <w:rsid w:val="00A94B9A"/>
    <w:rsid w:val="00AA3A91"/>
    <w:rsid w:val="00AC1032"/>
    <w:rsid w:val="00AD6CDC"/>
    <w:rsid w:val="00AE01BE"/>
    <w:rsid w:val="00AE2836"/>
    <w:rsid w:val="00AE6F0B"/>
    <w:rsid w:val="00AF5B3C"/>
    <w:rsid w:val="00B10614"/>
    <w:rsid w:val="00B13D7E"/>
    <w:rsid w:val="00B1785D"/>
    <w:rsid w:val="00B22448"/>
    <w:rsid w:val="00B27B17"/>
    <w:rsid w:val="00B316DE"/>
    <w:rsid w:val="00B31B71"/>
    <w:rsid w:val="00B34F3B"/>
    <w:rsid w:val="00B40F09"/>
    <w:rsid w:val="00B50521"/>
    <w:rsid w:val="00B52F53"/>
    <w:rsid w:val="00B609B8"/>
    <w:rsid w:val="00B613F5"/>
    <w:rsid w:val="00B65272"/>
    <w:rsid w:val="00B75DA3"/>
    <w:rsid w:val="00B809CD"/>
    <w:rsid w:val="00B866E6"/>
    <w:rsid w:val="00B87162"/>
    <w:rsid w:val="00B87C19"/>
    <w:rsid w:val="00BA0B19"/>
    <w:rsid w:val="00BA6131"/>
    <w:rsid w:val="00BA6817"/>
    <w:rsid w:val="00BB4DA7"/>
    <w:rsid w:val="00BC49E0"/>
    <w:rsid w:val="00BC7419"/>
    <w:rsid w:val="00BE56DF"/>
    <w:rsid w:val="00BF207D"/>
    <w:rsid w:val="00C14869"/>
    <w:rsid w:val="00C17F8A"/>
    <w:rsid w:val="00C27DEC"/>
    <w:rsid w:val="00C42AFD"/>
    <w:rsid w:val="00C4751D"/>
    <w:rsid w:val="00C5497C"/>
    <w:rsid w:val="00C6021F"/>
    <w:rsid w:val="00C643D2"/>
    <w:rsid w:val="00C670F8"/>
    <w:rsid w:val="00C73AAB"/>
    <w:rsid w:val="00C80F51"/>
    <w:rsid w:val="00C81E64"/>
    <w:rsid w:val="00CA0594"/>
    <w:rsid w:val="00CA1B38"/>
    <w:rsid w:val="00CA3FA4"/>
    <w:rsid w:val="00CA556E"/>
    <w:rsid w:val="00CA62F2"/>
    <w:rsid w:val="00CA72BD"/>
    <w:rsid w:val="00CB3559"/>
    <w:rsid w:val="00CC0F45"/>
    <w:rsid w:val="00CC15BC"/>
    <w:rsid w:val="00CC424C"/>
    <w:rsid w:val="00CC54FE"/>
    <w:rsid w:val="00CD3D1C"/>
    <w:rsid w:val="00CD41B5"/>
    <w:rsid w:val="00CE0279"/>
    <w:rsid w:val="00CE61A4"/>
    <w:rsid w:val="00CF62E7"/>
    <w:rsid w:val="00D2053C"/>
    <w:rsid w:val="00D30D62"/>
    <w:rsid w:val="00D405A1"/>
    <w:rsid w:val="00D5075F"/>
    <w:rsid w:val="00D85DA2"/>
    <w:rsid w:val="00DA0627"/>
    <w:rsid w:val="00DA145E"/>
    <w:rsid w:val="00DA3755"/>
    <w:rsid w:val="00DD2C56"/>
    <w:rsid w:val="00DE3F5F"/>
    <w:rsid w:val="00DE5390"/>
    <w:rsid w:val="00DF6C17"/>
    <w:rsid w:val="00E0370E"/>
    <w:rsid w:val="00E1702B"/>
    <w:rsid w:val="00E248B5"/>
    <w:rsid w:val="00E25312"/>
    <w:rsid w:val="00E55218"/>
    <w:rsid w:val="00E647DC"/>
    <w:rsid w:val="00E752A7"/>
    <w:rsid w:val="00E76494"/>
    <w:rsid w:val="00E80BA0"/>
    <w:rsid w:val="00E8399B"/>
    <w:rsid w:val="00EA0FE4"/>
    <w:rsid w:val="00EA5D3C"/>
    <w:rsid w:val="00EB66C5"/>
    <w:rsid w:val="00EC298C"/>
    <w:rsid w:val="00EC4D88"/>
    <w:rsid w:val="00EC79EF"/>
    <w:rsid w:val="00ED411B"/>
    <w:rsid w:val="00EE1A5C"/>
    <w:rsid w:val="00EF04C4"/>
    <w:rsid w:val="00F01504"/>
    <w:rsid w:val="00F03161"/>
    <w:rsid w:val="00F04EC3"/>
    <w:rsid w:val="00F079B0"/>
    <w:rsid w:val="00F14329"/>
    <w:rsid w:val="00F17D52"/>
    <w:rsid w:val="00F20A8B"/>
    <w:rsid w:val="00F37822"/>
    <w:rsid w:val="00F46344"/>
    <w:rsid w:val="00F46A3B"/>
    <w:rsid w:val="00F46D9B"/>
    <w:rsid w:val="00F51C08"/>
    <w:rsid w:val="00F81D54"/>
    <w:rsid w:val="00F8781D"/>
    <w:rsid w:val="00F90C5C"/>
    <w:rsid w:val="00F93441"/>
    <w:rsid w:val="00F93A44"/>
    <w:rsid w:val="00F96D70"/>
    <w:rsid w:val="00FA6BA5"/>
    <w:rsid w:val="00FA7751"/>
    <w:rsid w:val="00FB422A"/>
    <w:rsid w:val="00FC1275"/>
    <w:rsid w:val="00FC1D30"/>
    <w:rsid w:val="00FC2741"/>
    <w:rsid w:val="00FC5527"/>
    <w:rsid w:val="00FD64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9ADE"/>
  <w15:chartTrackingRefBased/>
  <w15:docId w15:val="{5E6CACDD-45FD-4479-B514-47F9B9C9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55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5055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26E30"/>
    <w:pPr>
      <w:keepNext/>
      <w:outlineLvl w:val="1"/>
    </w:pPr>
    <w:rPr>
      <w:b/>
      <w:sz w:val="28"/>
      <w:szCs w:val="28"/>
    </w:rPr>
  </w:style>
  <w:style w:type="paragraph" w:styleId="Heading3">
    <w:name w:val="heading 3"/>
    <w:basedOn w:val="Normal"/>
    <w:next w:val="Normal"/>
    <w:link w:val="Heading3Char"/>
    <w:uiPriority w:val="9"/>
    <w:unhideWhenUsed/>
    <w:qFormat/>
    <w:rsid w:val="00926E30"/>
    <w:pPr>
      <w:keepNext/>
      <w:outlineLvl w:val="2"/>
    </w:pPr>
    <w:rPr>
      <w:b/>
      <w:sz w:val="24"/>
      <w:szCs w:val="24"/>
    </w:rPr>
  </w:style>
  <w:style w:type="paragraph" w:styleId="Heading6">
    <w:name w:val="heading 6"/>
    <w:basedOn w:val="Normal"/>
    <w:next w:val="Normal"/>
    <w:link w:val="Heading6Char"/>
    <w:uiPriority w:val="9"/>
    <w:semiHidden/>
    <w:unhideWhenUsed/>
    <w:qFormat/>
    <w:rsid w:val="00F46A3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55C"/>
    <w:rPr>
      <w:rFonts w:ascii="Cambria" w:eastAsia="Times New Roman" w:hAnsi="Cambria" w:cs="Times New Roman"/>
      <w:b/>
      <w:bCs/>
      <w:noProof/>
      <w:color w:val="365F91"/>
      <w:sz w:val="28"/>
      <w:szCs w:val="28"/>
    </w:rPr>
  </w:style>
  <w:style w:type="character" w:styleId="CommentReference">
    <w:name w:val="annotation reference"/>
    <w:basedOn w:val="DefaultParagraphFont"/>
    <w:uiPriority w:val="99"/>
    <w:semiHidden/>
    <w:unhideWhenUsed/>
    <w:rsid w:val="00F90C5C"/>
    <w:rPr>
      <w:sz w:val="16"/>
      <w:szCs w:val="16"/>
    </w:rPr>
  </w:style>
  <w:style w:type="paragraph" w:styleId="CommentText">
    <w:name w:val="annotation text"/>
    <w:basedOn w:val="Normal"/>
    <w:link w:val="CommentTextChar"/>
    <w:uiPriority w:val="99"/>
    <w:unhideWhenUsed/>
    <w:rsid w:val="00F90C5C"/>
    <w:pPr>
      <w:spacing w:line="240" w:lineRule="auto"/>
    </w:pPr>
    <w:rPr>
      <w:sz w:val="20"/>
      <w:szCs w:val="20"/>
    </w:rPr>
  </w:style>
  <w:style w:type="character" w:customStyle="1" w:styleId="CommentTextChar">
    <w:name w:val="Comment Text Char"/>
    <w:basedOn w:val="DefaultParagraphFont"/>
    <w:link w:val="CommentText"/>
    <w:uiPriority w:val="99"/>
    <w:rsid w:val="00F90C5C"/>
    <w:rPr>
      <w:rFonts w:ascii="Calibri" w:eastAsia="Calibri" w:hAnsi="Calibri" w:cs="Times New Roman"/>
      <w:noProof/>
      <w:sz w:val="20"/>
      <w:szCs w:val="20"/>
    </w:rPr>
  </w:style>
  <w:style w:type="paragraph" w:styleId="CommentSubject">
    <w:name w:val="annotation subject"/>
    <w:basedOn w:val="CommentText"/>
    <w:next w:val="CommentText"/>
    <w:link w:val="CommentSubjectChar"/>
    <w:uiPriority w:val="99"/>
    <w:semiHidden/>
    <w:unhideWhenUsed/>
    <w:rsid w:val="00F90C5C"/>
    <w:rPr>
      <w:b/>
      <w:bCs/>
    </w:rPr>
  </w:style>
  <w:style w:type="character" w:customStyle="1" w:styleId="CommentSubjectChar">
    <w:name w:val="Comment Subject Char"/>
    <w:basedOn w:val="CommentTextChar"/>
    <w:link w:val="CommentSubject"/>
    <w:uiPriority w:val="99"/>
    <w:semiHidden/>
    <w:rsid w:val="00F90C5C"/>
    <w:rPr>
      <w:rFonts w:ascii="Calibri" w:eastAsia="Calibri" w:hAnsi="Calibri" w:cs="Times New Roman"/>
      <w:b/>
      <w:bCs/>
      <w:noProof/>
      <w:sz w:val="20"/>
      <w:szCs w:val="20"/>
    </w:rPr>
  </w:style>
  <w:style w:type="paragraph" w:styleId="BalloonText">
    <w:name w:val="Balloon Text"/>
    <w:basedOn w:val="Normal"/>
    <w:link w:val="BalloonTextChar"/>
    <w:uiPriority w:val="99"/>
    <w:semiHidden/>
    <w:unhideWhenUsed/>
    <w:rsid w:val="00F90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C5C"/>
    <w:rPr>
      <w:rFonts w:ascii="Segoe UI" w:eastAsia="Calibri" w:hAnsi="Segoe UI" w:cs="Segoe UI"/>
      <w:noProof/>
      <w:sz w:val="18"/>
      <w:szCs w:val="18"/>
    </w:rPr>
  </w:style>
  <w:style w:type="paragraph" w:styleId="FootnoteText">
    <w:name w:val="footnote text"/>
    <w:basedOn w:val="Normal"/>
    <w:link w:val="FootnoteTextChar"/>
    <w:uiPriority w:val="99"/>
    <w:semiHidden/>
    <w:unhideWhenUsed/>
    <w:rsid w:val="0054340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4340F"/>
    <w:rPr>
      <w:sz w:val="20"/>
      <w:szCs w:val="20"/>
    </w:rPr>
  </w:style>
  <w:style w:type="character" w:styleId="FootnoteReference">
    <w:name w:val="footnote reference"/>
    <w:basedOn w:val="DefaultParagraphFont"/>
    <w:uiPriority w:val="99"/>
    <w:semiHidden/>
    <w:unhideWhenUsed/>
    <w:rsid w:val="0054340F"/>
    <w:rPr>
      <w:vertAlign w:val="superscript"/>
    </w:rPr>
  </w:style>
  <w:style w:type="paragraph" w:styleId="ListParagraph">
    <w:name w:val="List Paragraph"/>
    <w:basedOn w:val="Normal"/>
    <w:uiPriority w:val="34"/>
    <w:qFormat/>
    <w:rsid w:val="0054340F"/>
    <w:pPr>
      <w:ind w:left="720"/>
      <w:contextualSpacing/>
    </w:pPr>
  </w:style>
  <w:style w:type="paragraph" w:styleId="Header">
    <w:name w:val="header"/>
    <w:basedOn w:val="Normal"/>
    <w:link w:val="HeaderChar"/>
    <w:uiPriority w:val="99"/>
    <w:unhideWhenUsed/>
    <w:rsid w:val="00FA7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751"/>
    <w:rPr>
      <w:rFonts w:ascii="Calibri" w:eastAsia="Calibri" w:hAnsi="Calibri" w:cs="Times New Roman"/>
      <w:noProof/>
    </w:rPr>
  </w:style>
  <w:style w:type="paragraph" w:styleId="Footer">
    <w:name w:val="footer"/>
    <w:basedOn w:val="Normal"/>
    <w:link w:val="FooterChar"/>
    <w:uiPriority w:val="99"/>
    <w:unhideWhenUsed/>
    <w:rsid w:val="00FA7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751"/>
    <w:rPr>
      <w:rFonts w:ascii="Calibri" w:eastAsia="Calibri" w:hAnsi="Calibri" w:cs="Times New Roman"/>
      <w:noProof/>
    </w:rPr>
  </w:style>
  <w:style w:type="character" w:customStyle="1" w:styleId="Heading6Char">
    <w:name w:val="Heading 6 Char"/>
    <w:basedOn w:val="DefaultParagraphFont"/>
    <w:link w:val="Heading6"/>
    <w:uiPriority w:val="9"/>
    <w:semiHidden/>
    <w:rsid w:val="00F46A3B"/>
    <w:rPr>
      <w:rFonts w:asciiTheme="majorHAnsi" w:eastAsiaTheme="majorEastAsia" w:hAnsiTheme="majorHAnsi" w:cstheme="majorBidi"/>
      <w:noProof/>
      <w:color w:val="1F4D78" w:themeColor="accent1" w:themeShade="7F"/>
    </w:rPr>
  </w:style>
  <w:style w:type="paragraph" w:customStyle="1" w:styleId="Item">
    <w:name w:val="Item"/>
    <w:aliases w:val="i"/>
    <w:basedOn w:val="Normal"/>
    <w:next w:val="ItemHead"/>
    <w:rsid w:val="00794583"/>
    <w:pPr>
      <w:keepLines/>
      <w:spacing w:before="80" w:after="0" w:line="240" w:lineRule="auto"/>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794583"/>
    <w:pPr>
      <w:keepNext/>
      <w:keepLines/>
      <w:spacing w:before="220" w:after="0" w:line="240" w:lineRule="auto"/>
      <w:ind w:left="709" w:hanging="709"/>
    </w:pPr>
    <w:rPr>
      <w:rFonts w:ascii="Arial" w:eastAsia="Times New Roman" w:hAnsi="Arial"/>
      <w:b/>
      <w:kern w:val="28"/>
      <w:sz w:val="24"/>
      <w:szCs w:val="20"/>
      <w:lang w:eastAsia="en-AU"/>
    </w:rPr>
  </w:style>
  <w:style w:type="paragraph" w:styleId="BodyText">
    <w:name w:val="Body Text"/>
    <w:basedOn w:val="Normal"/>
    <w:link w:val="BodyTextChar"/>
    <w:uiPriority w:val="1"/>
    <w:qFormat/>
    <w:rsid w:val="00794583"/>
    <w:pPr>
      <w:widowControl w:val="0"/>
      <w:autoSpaceDE w:val="0"/>
      <w:autoSpaceDN w:val="0"/>
      <w:spacing w:after="0" w:line="240" w:lineRule="auto"/>
    </w:pPr>
    <w:rPr>
      <w:rFonts w:ascii="Times New Roman" w:eastAsia="Times New Roman" w:hAnsi="Times New Roman"/>
      <w:sz w:val="24"/>
      <w:szCs w:val="24"/>
      <w:lang w:eastAsia="en-AU" w:bidi="en-AU"/>
    </w:rPr>
  </w:style>
  <w:style w:type="character" w:customStyle="1" w:styleId="BodyTextChar">
    <w:name w:val="Body Text Char"/>
    <w:basedOn w:val="DefaultParagraphFont"/>
    <w:link w:val="BodyText"/>
    <w:uiPriority w:val="1"/>
    <w:rsid w:val="00794583"/>
    <w:rPr>
      <w:rFonts w:ascii="Times New Roman" w:eastAsia="Times New Roman" w:hAnsi="Times New Roman" w:cs="Times New Roman"/>
      <w:sz w:val="24"/>
      <w:szCs w:val="24"/>
      <w:lang w:eastAsia="en-AU" w:bidi="en-AU"/>
    </w:rPr>
  </w:style>
  <w:style w:type="character" w:styleId="Hyperlink">
    <w:name w:val="Hyperlink"/>
    <w:basedOn w:val="DefaultParagraphFont"/>
    <w:uiPriority w:val="99"/>
    <w:unhideWhenUsed/>
    <w:rsid w:val="000A021C"/>
    <w:rPr>
      <w:color w:val="0563C1" w:themeColor="hyperlink"/>
      <w:u w:val="single"/>
    </w:rPr>
  </w:style>
  <w:style w:type="character" w:customStyle="1" w:styleId="Heading2Char">
    <w:name w:val="Heading 2 Char"/>
    <w:basedOn w:val="DefaultParagraphFont"/>
    <w:link w:val="Heading2"/>
    <w:uiPriority w:val="9"/>
    <w:rsid w:val="00926E30"/>
    <w:rPr>
      <w:rFonts w:ascii="Calibri" w:eastAsia="Calibri" w:hAnsi="Calibri" w:cs="Times New Roman"/>
      <w:b/>
      <w:sz w:val="28"/>
      <w:szCs w:val="28"/>
    </w:rPr>
  </w:style>
  <w:style w:type="character" w:customStyle="1" w:styleId="Heading3Char">
    <w:name w:val="Heading 3 Char"/>
    <w:basedOn w:val="DefaultParagraphFont"/>
    <w:link w:val="Heading3"/>
    <w:uiPriority w:val="9"/>
    <w:rsid w:val="00926E30"/>
    <w:rPr>
      <w:rFonts w:ascii="Calibri" w:eastAsia="Calibri"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94724">
      <w:bodyDiv w:val="1"/>
      <w:marLeft w:val="0"/>
      <w:marRight w:val="0"/>
      <w:marTop w:val="0"/>
      <w:marBottom w:val="0"/>
      <w:divBdr>
        <w:top w:val="none" w:sz="0" w:space="0" w:color="auto"/>
        <w:left w:val="none" w:sz="0" w:space="0" w:color="auto"/>
        <w:bottom w:val="none" w:sz="0" w:space="0" w:color="auto"/>
        <w:right w:val="none" w:sz="0" w:space="0" w:color="auto"/>
      </w:divBdr>
    </w:div>
    <w:div w:id="19797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A43D2CD35FFB49BF862108867D7647" ma:contentTypeVersion="0" ma:contentTypeDescription="Create a new document." ma:contentTypeScope="" ma:versionID="91a0098f7af4c64823896541312289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0EAAD-0B2B-4BBF-A657-ACDA9880029B}">
  <ds:schemaRefs>
    <ds:schemaRef ds:uri="http://schemas.microsoft.com/sharepoint/v3/contenttype/forms"/>
  </ds:schemaRefs>
</ds:datastoreItem>
</file>

<file path=customXml/itemProps2.xml><?xml version="1.0" encoding="utf-8"?>
<ds:datastoreItem xmlns:ds="http://schemas.openxmlformats.org/officeDocument/2006/customXml" ds:itemID="{779214D3-90BF-4B92-8CC7-D656D97BE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1A2B19-A752-4C7E-8812-8D2DBC0E547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490E3B7-E3D2-4992-BD0C-F3584837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1582</Words>
  <Characters>7407</Characters>
  <Application>Microsoft Office Word</Application>
  <DocSecurity>0</DocSecurity>
  <Lines>308</Lines>
  <Paragraphs>309</Paragraphs>
  <ScaleCrop>false</ScaleCrop>
  <HeadingPairs>
    <vt:vector size="2" baseType="variant">
      <vt:variant>
        <vt:lpstr>Title</vt:lpstr>
      </vt:variant>
      <vt:variant>
        <vt:i4>1</vt:i4>
      </vt:variant>
    </vt:vector>
  </HeadingPairs>
  <TitlesOfParts>
    <vt:vector size="1" baseType="lpstr">
      <vt:lpstr>Explanatory notes—Telecommunications (Network Exemption—Specified Velocity Networks) Instrument 2012 (Amendment No.1 of 2020)</vt:lpstr>
    </vt:vector>
  </TitlesOfParts>
  <Company>Department of Infrastructure, Regional Development, Transport and Communications</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notes—Telecommunications (Network Exemption—Specified Velocity Networks) Instrument 2012 (Amendment No.1 of 2020)</dc:title>
  <dc:subject/>
  <dc:creator>Department of Infrastructure, Regional Development, Transport and Communications</dc:creator>
  <cp:keywords/>
  <dc:description/>
  <cp:lastModifiedBy>Hall, Theresa</cp:lastModifiedBy>
  <cp:revision>11</cp:revision>
  <cp:lastPrinted>2020-02-24T00:32:00Z</cp:lastPrinted>
  <dcterms:created xsi:type="dcterms:W3CDTF">2020-06-23T05:14:00Z</dcterms:created>
  <dcterms:modified xsi:type="dcterms:W3CDTF">2020-07-01T02:57:00Z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0x01010090A43D2CD35FFB49BF862108867D7647</vt:lpwstr>
  </property>
  <property fmtid="{D5CDD505-2E9C-101B-9397-08002B2CF9AE}" pid="3" name="TrimRevisionNumber">
    <vt:i4>8</vt:i4>
  </property>
</Properties>
</file>