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E3163" w14:textId="70D921E7" w:rsidR="00C61801" w:rsidRPr="00866A71" w:rsidRDefault="001F6783" w:rsidP="001F2208">
      <w:pPr>
        <w:pStyle w:val="Bodynumbered-Level3"/>
        <w:numPr>
          <w:ilvl w:val="0"/>
          <w:numId w:val="0"/>
        </w:numPr>
        <w:ind w:left="1361"/>
      </w:pPr>
      <w:r>
        <w:rPr>
          <w:noProof/>
          <w:lang w:eastAsia="en-AU"/>
        </w:rPr>
        <w:drawing>
          <wp:inline distT="0" distB="0" distL="0" distR="0" wp14:anchorId="54F69E0B" wp14:editId="3AA8AB80">
            <wp:extent cx="1501751" cy="790395"/>
            <wp:effectExtent l="0" t="0" r="3810" b="0"/>
            <wp:docPr id="3" name="Picture 3" descr="Logo: Austalian Govern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stralian-government-logo.jpg"/>
                    <pic:cNvPicPr/>
                  </pic:nvPicPr>
                  <pic:blipFill>
                    <a:blip r:embed="rId11">
                      <a:extLst>
                        <a:ext uri="{28A0092B-C50C-407E-A947-70E740481C1C}">
                          <a14:useLocalDpi xmlns:a14="http://schemas.microsoft.com/office/drawing/2010/main" val="0"/>
                        </a:ext>
                      </a:extLst>
                    </a:blip>
                    <a:stretch>
                      <a:fillRect/>
                    </a:stretch>
                  </pic:blipFill>
                  <pic:spPr>
                    <a:xfrm>
                      <a:off x="0" y="0"/>
                      <a:ext cx="1505926" cy="792592"/>
                    </a:xfrm>
                    <a:prstGeom prst="rect">
                      <a:avLst/>
                    </a:prstGeom>
                  </pic:spPr>
                </pic:pic>
              </a:graphicData>
            </a:graphic>
          </wp:inline>
        </w:drawing>
      </w:r>
    </w:p>
    <w:p w14:paraId="6C0D6C41" w14:textId="7516B1B7" w:rsidR="0084295C" w:rsidRPr="00092DA3" w:rsidRDefault="006927F9" w:rsidP="00044EB3">
      <w:pPr>
        <w:pStyle w:val="Titleheading"/>
      </w:pPr>
      <w:bookmarkStart w:id="0" w:name="_Toc60751257"/>
      <w:r w:rsidRPr="00092DA3">
        <w:t xml:space="preserve">Telecommunications </w:t>
      </w:r>
      <w:r w:rsidRPr="00044EB3">
        <w:t>i</w:t>
      </w:r>
      <w:r w:rsidR="009A07F7" w:rsidRPr="00044EB3">
        <w:t>nfrastructure</w:t>
      </w:r>
      <w:r w:rsidR="009A07F7" w:rsidRPr="00092DA3">
        <w:t xml:space="preserve"> in new developments</w:t>
      </w:r>
      <w:bookmarkEnd w:id="0"/>
    </w:p>
    <w:p w14:paraId="232D766B" w14:textId="77777777" w:rsidR="009B3DEC" w:rsidRPr="00092DA3" w:rsidRDefault="00D85998" w:rsidP="00044EB3">
      <w:pPr>
        <w:pStyle w:val="Titlesub-heading"/>
      </w:pPr>
      <w:bookmarkStart w:id="1" w:name="_Toc60751258"/>
      <w:r w:rsidRPr="00092DA3">
        <w:t xml:space="preserve">A new </w:t>
      </w:r>
      <w:r w:rsidRPr="00044EB3">
        <w:t>approach</w:t>
      </w:r>
      <w:r w:rsidRPr="00092DA3">
        <w:t xml:space="preserve"> </w:t>
      </w:r>
      <w:r w:rsidR="00966944" w:rsidRPr="00092DA3">
        <w:t>to competition</w:t>
      </w:r>
      <w:bookmarkEnd w:id="1"/>
    </w:p>
    <w:p w14:paraId="764CBFEF" w14:textId="77777777" w:rsidR="009B3DEC" w:rsidRPr="00092DA3" w:rsidRDefault="00936E73" w:rsidP="00044EB3">
      <w:pPr>
        <w:pStyle w:val="Titledate"/>
      </w:pPr>
      <w:r w:rsidRPr="00092DA3">
        <w:t>Effective 1 March</w:t>
      </w:r>
      <w:r w:rsidR="00966944" w:rsidRPr="00092DA3">
        <w:t xml:space="preserve"> </w:t>
      </w:r>
      <w:r w:rsidR="001439E5" w:rsidRPr="00092DA3">
        <w:t>2015</w:t>
      </w:r>
    </w:p>
    <w:p w14:paraId="45AD7288" w14:textId="77777777" w:rsidR="002F3D38" w:rsidRPr="00092DA3" w:rsidRDefault="00C61801" w:rsidP="008A135A">
      <w:r w:rsidRPr="00092DA3">
        <w:br w:type="page"/>
      </w:r>
    </w:p>
    <w:p w14:paraId="2A0F9CDB" w14:textId="77777777" w:rsidR="00F818F8" w:rsidRPr="00092DA3" w:rsidRDefault="00F818F8" w:rsidP="001C5FDD">
      <w:pPr>
        <w:pStyle w:val="copyrighttextStyles"/>
      </w:pPr>
    </w:p>
    <w:p w14:paraId="3401420B" w14:textId="77777777" w:rsidR="00F41987" w:rsidRPr="00092DA3" w:rsidRDefault="00F41987" w:rsidP="006241BB">
      <w:pPr>
        <w:pStyle w:val="copyrightHeading2Styles"/>
        <w:rPr>
          <w:lang w:eastAsia="en-AU"/>
        </w:rPr>
      </w:pPr>
      <w:r w:rsidRPr="00092DA3">
        <w:rPr>
          <w:lang w:eastAsia="en-AU"/>
        </w:rPr>
        <w:t>Copyright</w:t>
      </w:r>
    </w:p>
    <w:p w14:paraId="2F4F7A96" w14:textId="07FD903B" w:rsidR="00F41987" w:rsidRPr="00092DA3" w:rsidRDefault="00F41987" w:rsidP="006241BB">
      <w:pPr>
        <w:pStyle w:val="copyrighttextStyles"/>
        <w:rPr>
          <w:rFonts w:ascii="Calibri" w:hAnsi="Calibri" w:cs="Calibri"/>
          <w:color w:val="auto"/>
          <w:lang w:eastAsia="en-AU"/>
        </w:rPr>
      </w:pPr>
      <w:bookmarkStart w:id="2" w:name="_Toc356292516"/>
      <w:r w:rsidRPr="00092DA3">
        <w:rPr>
          <w:lang w:eastAsia="en-AU"/>
        </w:rPr>
        <w:t>© Commonwealth of Australia 201</w:t>
      </w:r>
      <w:bookmarkEnd w:id="2"/>
      <w:r w:rsidR="00C44791" w:rsidRPr="00092DA3">
        <w:rPr>
          <w:lang w:eastAsia="en-AU"/>
        </w:rPr>
        <w:t>5</w:t>
      </w:r>
      <w:r w:rsidRPr="00092DA3">
        <w:rPr>
          <w:lang w:eastAsia="en-AU"/>
        </w:rPr>
        <w:t xml:space="preserve"> </w:t>
      </w:r>
    </w:p>
    <w:p w14:paraId="171E9720" w14:textId="05E7585E" w:rsidR="00F41987" w:rsidRPr="00092DA3" w:rsidRDefault="00F41987" w:rsidP="006241BB">
      <w:pPr>
        <w:pStyle w:val="copyrighttextStyles"/>
        <w:rPr>
          <w:lang w:eastAsia="en-AU"/>
        </w:rPr>
      </w:pPr>
      <w:bookmarkStart w:id="3" w:name="_Toc356292517"/>
      <w:r w:rsidRPr="00092DA3">
        <w:rPr>
          <w:noProof/>
          <w:lang w:eastAsia="en-AU"/>
        </w:rPr>
        <w:drawing>
          <wp:inline distT="0" distB="0" distL="0" distR="0" wp14:anchorId="1435F832" wp14:editId="65D8700A">
            <wp:extent cx="836930" cy="293370"/>
            <wp:effectExtent l="0" t="0" r="1270" b="0"/>
            <wp:docPr id="1" name="Picture 1" descr="Logo: Creative Commons."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bookmarkEnd w:id="3"/>
      <w:r w:rsidR="00E53A0E">
        <w:rPr>
          <w:lang w:eastAsia="en-AU"/>
        </w:rPr>
        <w:t xml:space="preserve"> </w:t>
      </w:r>
      <w:r w:rsidRPr="00092DA3">
        <w:rPr>
          <w:lang w:eastAsia="en-AU"/>
        </w:rPr>
        <w:t xml:space="preserve">The material in this </w:t>
      </w:r>
      <w:r w:rsidR="00E223E7" w:rsidRPr="00092DA3">
        <w:t xml:space="preserve">policy </w:t>
      </w:r>
      <w:r w:rsidRPr="00092DA3">
        <w:rPr>
          <w:lang w:eastAsia="en-AU"/>
        </w:rPr>
        <w:t>paper is licensed under a Creative Commons Attribution—3.0 Australia license, with the exception of:</w:t>
      </w:r>
    </w:p>
    <w:p w14:paraId="0B9856CF" w14:textId="77777777" w:rsidR="00F41987" w:rsidRPr="00092DA3" w:rsidRDefault="00F41987" w:rsidP="00041250">
      <w:pPr>
        <w:pStyle w:val="copyrighttextStyles"/>
        <w:numPr>
          <w:ilvl w:val="0"/>
          <w:numId w:val="24"/>
        </w:numPr>
        <w:rPr>
          <w:lang w:eastAsia="en-AU"/>
        </w:rPr>
      </w:pPr>
      <w:bookmarkStart w:id="4" w:name="_Toc356292518"/>
      <w:r w:rsidRPr="00092DA3">
        <w:rPr>
          <w:lang w:eastAsia="en-AU"/>
        </w:rPr>
        <w:t>the Commonwealth Coat of Arms</w:t>
      </w:r>
      <w:bookmarkEnd w:id="4"/>
      <w:r w:rsidRPr="00092DA3">
        <w:rPr>
          <w:lang w:eastAsia="en-AU"/>
        </w:rPr>
        <w:t>;</w:t>
      </w:r>
    </w:p>
    <w:p w14:paraId="6E46EECE" w14:textId="77777777" w:rsidR="00F41987" w:rsidRPr="00092DA3" w:rsidRDefault="00F41987" w:rsidP="00041250">
      <w:pPr>
        <w:pStyle w:val="copyrighttextStyles"/>
        <w:numPr>
          <w:ilvl w:val="0"/>
          <w:numId w:val="24"/>
        </w:numPr>
        <w:rPr>
          <w:lang w:eastAsia="en-AU"/>
        </w:rPr>
      </w:pPr>
      <w:bookmarkStart w:id="5" w:name="_Toc356292519"/>
      <w:r w:rsidRPr="00092DA3">
        <w:rPr>
          <w:lang w:eastAsia="en-AU"/>
        </w:rPr>
        <w:t>this Department’s logo</w:t>
      </w:r>
      <w:bookmarkEnd w:id="5"/>
      <w:r w:rsidRPr="00092DA3">
        <w:rPr>
          <w:lang w:eastAsia="en-AU"/>
        </w:rPr>
        <w:t>;</w:t>
      </w:r>
    </w:p>
    <w:p w14:paraId="32444A1A" w14:textId="77777777" w:rsidR="00F41987" w:rsidRPr="00092DA3" w:rsidRDefault="00F41987" w:rsidP="00041250">
      <w:pPr>
        <w:pStyle w:val="copyrighttextStyles"/>
        <w:numPr>
          <w:ilvl w:val="0"/>
          <w:numId w:val="24"/>
        </w:numPr>
        <w:rPr>
          <w:lang w:eastAsia="en-AU"/>
        </w:rPr>
      </w:pPr>
      <w:r w:rsidRPr="00092DA3">
        <w:rPr>
          <w:lang w:eastAsia="en-AU"/>
        </w:rPr>
        <w:t>any third party material;</w:t>
      </w:r>
    </w:p>
    <w:p w14:paraId="00DB8544" w14:textId="77777777" w:rsidR="00F41987" w:rsidRPr="00092DA3" w:rsidRDefault="00F41987" w:rsidP="00041250">
      <w:pPr>
        <w:pStyle w:val="copyrighttextStyles"/>
        <w:numPr>
          <w:ilvl w:val="0"/>
          <w:numId w:val="24"/>
        </w:numPr>
        <w:rPr>
          <w:lang w:eastAsia="en-AU"/>
        </w:rPr>
      </w:pPr>
      <w:r w:rsidRPr="00092DA3">
        <w:rPr>
          <w:lang w:eastAsia="en-AU"/>
        </w:rPr>
        <w:t>any material protected by a trademark; and</w:t>
      </w:r>
    </w:p>
    <w:p w14:paraId="00942F90" w14:textId="77777777" w:rsidR="00F41987" w:rsidRPr="00092DA3" w:rsidRDefault="00F41987" w:rsidP="00041250">
      <w:pPr>
        <w:pStyle w:val="copyrighttextStyles"/>
        <w:numPr>
          <w:ilvl w:val="0"/>
          <w:numId w:val="24"/>
        </w:numPr>
        <w:rPr>
          <w:lang w:eastAsia="en-AU"/>
        </w:rPr>
      </w:pPr>
      <w:proofErr w:type="gramStart"/>
      <w:r w:rsidRPr="00092DA3">
        <w:rPr>
          <w:lang w:eastAsia="en-AU"/>
        </w:rPr>
        <w:t>any</w:t>
      </w:r>
      <w:proofErr w:type="gramEnd"/>
      <w:r w:rsidRPr="00092DA3">
        <w:rPr>
          <w:lang w:eastAsia="en-AU"/>
        </w:rPr>
        <w:t xml:space="preserve"> images and/or photographs.</w:t>
      </w:r>
    </w:p>
    <w:p w14:paraId="4FF16115" w14:textId="4F6DF63F" w:rsidR="00F41987" w:rsidRPr="00092DA3" w:rsidRDefault="00F41987" w:rsidP="006241BB">
      <w:pPr>
        <w:pStyle w:val="copyrighttextStyles"/>
      </w:pPr>
      <w:bookmarkStart w:id="6" w:name="_Toc356292520"/>
      <w:r w:rsidRPr="00092DA3">
        <w:t>More information on this CC BY license is set out at</w:t>
      </w:r>
      <w:r w:rsidR="00533634" w:rsidRPr="00092DA3">
        <w:t xml:space="preserve"> the creative commons website:</w:t>
      </w:r>
      <w:r w:rsidRPr="00092DA3">
        <w:t xml:space="preserve"> </w:t>
      </w:r>
      <w:bookmarkEnd w:id="6"/>
      <w:r w:rsidR="00235F66" w:rsidRPr="00092DA3">
        <w:fldChar w:fldCharType="begin"/>
      </w:r>
      <w:r w:rsidR="00235F66" w:rsidRPr="00092DA3">
        <w:instrText xml:space="preserve"> HYPERLINK "http://www.creativecommons.org/licenses/by/3.0/au/" </w:instrText>
      </w:r>
      <w:r w:rsidR="00235F66" w:rsidRPr="00092DA3">
        <w:fldChar w:fldCharType="separate"/>
      </w:r>
      <w:r w:rsidRPr="00092DA3">
        <w:rPr>
          <w:rStyle w:val="Hyperlink"/>
        </w:rPr>
        <w:t>www.creativecommons.org/licenses/by/3.0/au/</w:t>
      </w:r>
      <w:r w:rsidR="00235F66" w:rsidRPr="00092DA3">
        <w:fldChar w:fldCharType="end"/>
      </w:r>
      <w:r w:rsidR="00533634" w:rsidRPr="00092DA3">
        <w:t>.</w:t>
      </w:r>
      <w:r w:rsidR="00235F66" w:rsidRPr="00092DA3">
        <w:t xml:space="preserve"> </w:t>
      </w:r>
      <w:r w:rsidRPr="00092DA3">
        <w:t xml:space="preserve">Enquiries about this license and any use of this </w:t>
      </w:r>
      <w:r w:rsidR="00E223E7" w:rsidRPr="00092DA3">
        <w:t xml:space="preserve">policy </w:t>
      </w:r>
      <w:r w:rsidRPr="00092DA3">
        <w:t xml:space="preserve">paper can be sent to: </w:t>
      </w:r>
      <w:r w:rsidR="006241BB" w:rsidRPr="00092DA3">
        <w:t>National Security and International Branch</w:t>
      </w:r>
      <w:r w:rsidRPr="00092DA3">
        <w:t>, Department of Communications, GPO Box 2154, Canberra, ACT, 2601.</w:t>
      </w:r>
    </w:p>
    <w:p w14:paraId="7A2649B0" w14:textId="77777777" w:rsidR="00F41987" w:rsidRPr="00092DA3" w:rsidRDefault="00F41987" w:rsidP="006241BB">
      <w:pPr>
        <w:pStyle w:val="copyrighttextStyles"/>
        <w:rPr>
          <w:b/>
          <w:bCs/>
          <w:lang w:eastAsia="en-AU"/>
        </w:rPr>
      </w:pPr>
      <w:bookmarkStart w:id="7" w:name="_Toc356292521"/>
      <w:r w:rsidRPr="00092DA3">
        <w:rPr>
          <w:b/>
          <w:bCs/>
          <w:lang w:eastAsia="en-AU"/>
        </w:rPr>
        <w:t>Attribution</w:t>
      </w:r>
      <w:bookmarkEnd w:id="7"/>
    </w:p>
    <w:p w14:paraId="29E5DB7A" w14:textId="77777777" w:rsidR="00F41987" w:rsidRPr="00092DA3" w:rsidRDefault="00F41987" w:rsidP="006241BB">
      <w:pPr>
        <w:pStyle w:val="copyrighttextStyles"/>
        <w:rPr>
          <w:lang w:eastAsia="en-AU"/>
        </w:rPr>
      </w:pPr>
      <w:bookmarkStart w:id="8" w:name="_Toc356292522"/>
      <w:r w:rsidRPr="00092DA3">
        <w:rPr>
          <w:lang w:eastAsia="en-AU"/>
        </w:rPr>
        <w:t xml:space="preserve">Use of all or part of this </w:t>
      </w:r>
      <w:r w:rsidR="00E223E7" w:rsidRPr="00092DA3">
        <w:t xml:space="preserve">policy update </w:t>
      </w:r>
      <w:r w:rsidRPr="00092DA3">
        <w:rPr>
          <w:lang w:eastAsia="en-AU"/>
        </w:rPr>
        <w:t>paper must include the following attribution:</w:t>
      </w:r>
      <w:bookmarkEnd w:id="8"/>
    </w:p>
    <w:p w14:paraId="72219895" w14:textId="488CAB6C" w:rsidR="00F41987" w:rsidRPr="00092DA3" w:rsidRDefault="00F41987" w:rsidP="00F818F8">
      <w:pPr>
        <w:pStyle w:val="copyrighttextStyles"/>
        <w:ind w:left="720"/>
        <w:rPr>
          <w:lang w:eastAsia="en-AU"/>
        </w:rPr>
      </w:pPr>
      <w:bookmarkStart w:id="9" w:name="_Toc356292523"/>
      <w:r w:rsidRPr="00092DA3">
        <w:rPr>
          <w:lang w:eastAsia="en-AU"/>
        </w:rPr>
        <w:t>© Commonwealth of Australia 201</w:t>
      </w:r>
      <w:bookmarkEnd w:id="9"/>
      <w:r w:rsidR="00C44791" w:rsidRPr="00092DA3">
        <w:rPr>
          <w:lang w:eastAsia="en-AU"/>
        </w:rPr>
        <w:t>5</w:t>
      </w:r>
    </w:p>
    <w:p w14:paraId="0DE76DFD" w14:textId="77777777" w:rsidR="00F41987" w:rsidRPr="00092DA3" w:rsidRDefault="00F41987" w:rsidP="006241BB">
      <w:pPr>
        <w:pStyle w:val="copyrighttextStyles"/>
        <w:rPr>
          <w:b/>
          <w:bCs/>
          <w:lang w:eastAsia="en-AU"/>
        </w:rPr>
      </w:pPr>
      <w:bookmarkStart w:id="10" w:name="_Toc356292524"/>
      <w:r w:rsidRPr="00092DA3">
        <w:rPr>
          <w:b/>
          <w:bCs/>
          <w:lang w:eastAsia="en-AU"/>
        </w:rPr>
        <w:t>Using the Commonwealth Coat of Arms</w:t>
      </w:r>
      <w:bookmarkEnd w:id="10"/>
    </w:p>
    <w:p w14:paraId="02733F15" w14:textId="77777777" w:rsidR="006241BB" w:rsidRPr="00092DA3" w:rsidRDefault="00F41987" w:rsidP="006241BB">
      <w:pPr>
        <w:pStyle w:val="copyrighttextStyles"/>
      </w:pPr>
      <w:bookmarkStart w:id="11" w:name="_Toc356292525"/>
      <w:r w:rsidRPr="00092DA3">
        <w:t xml:space="preserve">The terms of use for the Coat of Arms are available from the </w:t>
      </w:r>
      <w:r w:rsidRPr="00092DA3">
        <w:rPr>
          <w:i/>
        </w:rPr>
        <w:t xml:space="preserve">It’s an Honour </w:t>
      </w:r>
      <w:r w:rsidRPr="00092DA3">
        <w:t xml:space="preserve">website </w:t>
      </w:r>
      <w:r w:rsidRPr="00092DA3">
        <w:br/>
        <w:t xml:space="preserve">(see </w:t>
      </w:r>
      <w:bookmarkEnd w:id="11"/>
      <w:r w:rsidR="00235F66" w:rsidRPr="00092DA3">
        <w:fldChar w:fldCharType="begin"/>
      </w:r>
      <w:r w:rsidR="00235F66" w:rsidRPr="00092DA3">
        <w:instrText xml:space="preserve"> HYPERLINK "http://www.itsanhonour.gov.au/" </w:instrText>
      </w:r>
      <w:r w:rsidR="00235F66" w:rsidRPr="00092DA3">
        <w:fldChar w:fldCharType="separate"/>
      </w:r>
      <w:r w:rsidRPr="00092DA3">
        <w:rPr>
          <w:rStyle w:val="Hyperlink"/>
        </w:rPr>
        <w:t>www.itsanhonour.gov.au</w:t>
      </w:r>
      <w:r w:rsidR="00235F66" w:rsidRPr="00092DA3">
        <w:fldChar w:fldCharType="end"/>
      </w:r>
      <w:r w:rsidRPr="00092DA3">
        <w:t xml:space="preserve"> and click ‘Commonwealth Coat of Arms’).</w:t>
      </w:r>
    </w:p>
    <w:p w14:paraId="1A47B6A3" w14:textId="77777777" w:rsidR="002F3D38" w:rsidRPr="00092DA3" w:rsidRDefault="002F3D38" w:rsidP="006241BB">
      <w:pPr>
        <w:pStyle w:val="copyrighttextStyles"/>
        <w:rPr>
          <w:rFonts w:eastAsia="Arial"/>
        </w:rPr>
      </w:pPr>
      <w:r w:rsidRPr="00092DA3">
        <w:br w:type="page"/>
      </w:r>
    </w:p>
    <w:p w14:paraId="4C3652EC" w14:textId="77777777" w:rsidR="00C61801" w:rsidRPr="00092DA3" w:rsidRDefault="00C61801" w:rsidP="00DE44E7">
      <w:pPr>
        <w:pStyle w:val="TOCHeading"/>
        <w:rPr>
          <w:rFonts w:eastAsiaTheme="minorHAnsi"/>
        </w:rPr>
      </w:pPr>
      <w:r w:rsidRPr="00092DA3">
        <w:lastRenderedPageBreak/>
        <w:t>Contents</w:t>
      </w:r>
    </w:p>
    <w:bookmarkStart w:id="12" w:name="_GoBack"/>
    <w:bookmarkEnd w:id="12"/>
    <w:p w14:paraId="662F0B5E" w14:textId="1CE64926" w:rsidR="00EE3AB0" w:rsidRDefault="00AF5855" w:rsidP="00EE3AB0">
      <w:pPr>
        <w:pStyle w:val="TOC1"/>
        <w:rPr>
          <w:rFonts w:asciiTheme="minorHAnsi" w:eastAsiaTheme="minorEastAsia" w:hAnsiTheme="minorHAnsi"/>
          <w:color w:val="auto"/>
          <w:sz w:val="22"/>
          <w:lang w:eastAsia="en-AU"/>
        </w:rPr>
      </w:pPr>
      <w:r>
        <w:fldChar w:fldCharType="begin"/>
      </w:r>
      <w:r>
        <w:instrText xml:space="preserve"> TOC \o "1-3" \h \z \u </w:instrText>
      </w:r>
      <w:r>
        <w:fldChar w:fldCharType="separate"/>
      </w:r>
      <w:hyperlink w:anchor="_Toc60751257" w:history="1">
        <w:r w:rsidR="00EE3AB0" w:rsidRPr="007A221C">
          <w:rPr>
            <w:rStyle w:val="Hyperlink"/>
          </w:rPr>
          <w:t>Telecommunications infrastructure in new developments</w:t>
        </w:r>
        <w:r w:rsidR="00EE3AB0">
          <w:rPr>
            <w:webHidden/>
          </w:rPr>
          <w:tab/>
        </w:r>
        <w:r w:rsidR="00EE3AB0">
          <w:rPr>
            <w:webHidden/>
          </w:rPr>
          <w:fldChar w:fldCharType="begin"/>
        </w:r>
        <w:r w:rsidR="00EE3AB0">
          <w:rPr>
            <w:webHidden/>
          </w:rPr>
          <w:instrText xml:space="preserve"> PAGEREF _Toc60751257 \h </w:instrText>
        </w:r>
        <w:r w:rsidR="00EE3AB0">
          <w:rPr>
            <w:webHidden/>
          </w:rPr>
        </w:r>
        <w:r w:rsidR="00EE3AB0">
          <w:rPr>
            <w:webHidden/>
          </w:rPr>
          <w:fldChar w:fldCharType="separate"/>
        </w:r>
        <w:r w:rsidR="00EE3AB0">
          <w:rPr>
            <w:webHidden/>
          </w:rPr>
          <w:t>1</w:t>
        </w:r>
        <w:r w:rsidR="00EE3AB0">
          <w:rPr>
            <w:webHidden/>
          </w:rPr>
          <w:fldChar w:fldCharType="end"/>
        </w:r>
      </w:hyperlink>
    </w:p>
    <w:p w14:paraId="35D41008" w14:textId="05C643AE" w:rsidR="00EE3AB0" w:rsidRDefault="00EE3AB0">
      <w:pPr>
        <w:pStyle w:val="TOC2"/>
        <w:rPr>
          <w:rFonts w:asciiTheme="minorHAnsi" w:eastAsiaTheme="minorEastAsia" w:hAnsiTheme="minorHAnsi"/>
          <w:noProof/>
          <w:lang w:eastAsia="en-AU"/>
        </w:rPr>
      </w:pPr>
      <w:hyperlink w:anchor="_Toc60751258" w:history="1">
        <w:r w:rsidRPr="007A221C">
          <w:rPr>
            <w:rStyle w:val="Hyperlink"/>
            <w:noProof/>
          </w:rPr>
          <w:t>A new approach to competition</w:t>
        </w:r>
        <w:r>
          <w:rPr>
            <w:noProof/>
            <w:webHidden/>
          </w:rPr>
          <w:tab/>
        </w:r>
        <w:r>
          <w:rPr>
            <w:noProof/>
            <w:webHidden/>
          </w:rPr>
          <w:fldChar w:fldCharType="begin"/>
        </w:r>
        <w:r>
          <w:rPr>
            <w:noProof/>
            <w:webHidden/>
          </w:rPr>
          <w:instrText xml:space="preserve"> PAGEREF _Toc60751258 \h </w:instrText>
        </w:r>
        <w:r>
          <w:rPr>
            <w:noProof/>
            <w:webHidden/>
          </w:rPr>
        </w:r>
        <w:r>
          <w:rPr>
            <w:noProof/>
            <w:webHidden/>
          </w:rPr>
          <w:fldChar w:fldCharType="separate"/>
        </w:r>
        <w:r>
          <w:rPr>
            <w:noProof/>
            <w:webHidden/>
          </w:rPr>
          <w:t>1</w:t>
        </w:r>
        <w:r>
          <w:rPr>
            <w:noProof/>
            <w:webHidden/>
          </w:rPr>
          <w:fldChar w:fldCharType="end"/>
        </w:r>
      </w:hyperlink>
    </w:p>
    <w:p w14:paraId="2377D88D" w14:textId="5BB6A46C" w:rsidR="00EE3AB0" w:rsidRDefault="00EE3AB0" w:rsidP="00EE3AB0">
      <w:pPr>
        <w:pStyle w:val="TOC1"/>
        <w:rPr>
          <w:rFonts w:asciiTheme="minorHAnsi" w:eastAsiaTheme="minorEastAsia" w:hAnsiTheme="minorHAnsi"/>
          <w:color w:val="auto"/>
          <w:sz w:val="22"/>
          <w:lang w:eastAsia="en-AU"/>
        </w:rPr>
      </w:pPr>
      <w:hyperlink w:anchor="_Toc60751259" w:history="1">
        <w:r w:rsidRPr="007A221C">
          <w:rPr>
            <w:rStyle w:val="Hyperlink"/>
          </w:rPr>
          <w:t>1.</w:t>
        </w:r>
        <w:r>
          <w:rPr>
            <w:rFonts w:asciiTheme="minorHAnsi" w:eastAsiaTheme="minorEastAsia" w:hAnsiTheme="minorHAnsi"/>
            <w:color w:val="auto"/>
            <w:sz w:val="22"/>
            <w:lang w:eastAsia="en-AU"/>
          </w:rPr>
          <w:tab/>
        </w:r>
        <w:r w:rsidRPr="007A221C">
          <w:rPr>
            <w:rStyle w:val="Hyperlink"/>
          </w:rPr>
          <w:t>OVERVIEW</w:t>
        </w:r>
        <w:r>
          <w:rPr>
            <w:webHidden/>
          </w:rPr>
          <w:tab/>
        </w:r>
        <w:r>
          <w:rPr>
            <w:webHidden/>
          </w:rPr>
          <w:fldChar w:fldCharType="begin"/>
        </w:r>
        <w:r>
          <w:rPr>
            <w:webHidden/>
          </w:rPr>
          <w:instrText xml:space="preserve"> PAGEREF _Toc60751259 \h </w:instrText>
        </w:r>
        <w:r>
          <w:rPr>
            <w:webHidden/>
          </w:rPr>
        </w:r>
        <w:r>
          <w:rPr>
            <w:webHidden/>
          </w:rPr>
          <w:fldChar w:fldCharType="separate"/>
        </w:r>
        <w:r>
          <w:rPr>
            <w:webHidden/>
          </w:rPr>
          <w:t>5</w:t>
        </w:r>
        <w:r>
          <w:rPr>
            <w:webHidden/>
          </w:rPr>
          <w:fldChar w:fldCharType="end"/>
        </w:r>
      </w:hyperlink>
    </w:p>
    <w:p w14:paraId="47BB644D" w14:textId="4354A2A6" w:rsidR="00EE3AB0" w:rsidRDefault="00EE3AB0" w:rsidP="00EE3AB0">
      <w:pPr>
        <w:pStyle w:val="TOC1"/>
        <w:rPr>
          <w:rFonts w:asciiTheme="minorHAnsi" w:eastAsiaTheme="minorEastAsia" w:hAnsiTheme="minorHAnsi"/>
          <w:color w:val="auto"/>
          <w:sz w:val="22"/>
          <w:lang w:eastAsia="en-AU"/>
        </w:rPr>
      </w:pPr>
      <w:hyperlink w:anchor="_Toc60751260" w:history="1">
        <w:r w:rsidRPr="007A221C">
          <w:rPr>
            <w:rStyle w:val="Hyperlink"/>
          </w:rPr>
          <w:t>2.</w:t>
        </w:r>
        <w:r>
          <w:rPr>
            <w:rFonts w:asciiTheme="minorHAnsi" w:eastAsiaTheme="minorEastAsia" w:hAnsiTheme="minorHAnsi"/>
            <w:color w:val="auto"/>
            <w:sz w:val="22"/>
            <w:lang w:eastAsia="en-AU"/>
          </w:rPr>
          <w:tab/>
        </w:r>
        <w:r w:rsidRPr="007A221C">
          <w:rPr>
            <w:rStyle w:val="Hyperlink"/>
          </w:rPr>
          <w:t>CONTEXT AND OBJECTIVES</w:t>
        </w:r>
        <w:r>
          <w:rPr>
            <w:webHidden/>
          </w:rPr>
          <w:tab/>
        </w:r>
        <w:r>
          <w:rPr>
            <w:webHidden/>
          </w:rPr>
          <w:fldChar w:fldCharType="begin"/>
        </w:r>
        <w:r>
          <w:rPr>
            <w:webHidden/>
          </w:rPr>
          <w:instrText xml:space="preserve"> PAGEREF _Toc60751260 \h </w:instrText>
        </w:r>
        <w:r>
          <w:rPr>
            <w:webHidden/>
          </w:rPr>
        </w:r>
        <w:r>
          <w:rPr>
            <w:webHidden/>
          </w:rPr>
          <w:fldChar w:fldCharType="separate"/>
        </w:r>
        <w:r>
          <w:rPr>
            <w:webHidden/>
          </w:rPr>
          <w:t>6</w:t>
        </w:r>
        <w:r>
          <w:rPr>
            <w:webHidden/>
          </w:rPr>
          <w:fldChar w:fldCharType="end"/>
        </w:r>
      </w:hyperlink>
    </w:p>
    <w:p w14:paraId="7B03B7F5" w14:textId="023B9157" w:rsidR="00EE3AB0" w:rsidRDefault="00EE3AB0">
      <w:pPr>
        <w:pStyle w:val="TOC2"/>
        <w:rPr>
          <w:rFonts w:asciiTheme="minorHAnsi" w:eastAsiaTheme="minorEastAsia" w:hAnsiTheme="minorHAnsi"/>
          <w:noProof/>
          <w:lang w:eastAsia="en-AU"/>
        </w:rPr>
      </w:pPr>
      <w:hyperlink w:anchor="_Toc60751261" w:history="1">
        <w:r w:rsidRPr="007A221C">
          <w:rPr>
            <w:rStyle w:val="Hyperlink"/>
            <w:noProof/>
          </w:rPr>
          <w:t>2.1.</w:t>
        </w:r>
        <w:r>
          <w:rPr>
            <w:rFonts w:asciiTheme="minorHAnsi" w:eastAsiaTheme="minorEastAsia" w:hAnsiTheme="minorHAnsi"/>
            <w:noProof/>
            <w:lang w:eastAsia="en-AU"/>
          </w:rPr>
          <w:tab/>
        </w:r>
        <w:r w:rsidRPr="007A221C">
          <w:rPr>
            <w:rStyle w:val="Hyperlink"/>
            <w:noProof/>
          </w:rPr>
          <w:t>Competition, choice and the NBN</w:t>
        </w:r>
        <w:r>
          <w:rPr>
            <w:noProof/>
            <w:webHidden/>
          </w:rPr>
          <w:tab/>
        </w:r>
        <w:r>
          <w:rPr>
            <w:noProof/>
            <w:webHidden/>
          </w:rPr>
          <w:fldChar w:fldCharType="begin"/>
        </w:r>
        <w:r>
          <w:rPr>
            <w:noProof/>
            <w:webHidden/>
          </w:rPr>
          <w:instrText xml:space="preserve"> PAGEREF _Toc60751261 \h </w:instrText>
        </w:r>
        <w:r>
          <w:rPr>
            <w:noProof/>
            <w:webHidden/>
          </w:rPr>
        </w:r>
        <w:r>
          <w:rPr>
            <w:noProof/>
            <w:webHidden/>
          </w:rPr>
          <w:fldChar w:fldCharType="separate"/>
        </w:r>
        <w:r>
          <w:rPr>
            <w:noProof/>
            <w:webHidden/>
          </w:rPr>
          <w:t>6</w:t>
        </w:r>
        <w:r>
          <w:rPr>
            <w:noProof/>
            <w:webHidden/>
          </w:rPr>
          <w:fldChar w:fldCharType="end"/>
        </w:r>
      </w:hyperlink>
    </w:p>
    <w:p w14:paraId="58B537F9" w14:textId="7A831CF1" w:rsidR="00EE3AB0" w:rsidRDefault="00EE3AB0">
      <w:pPr>
        <w:pStyle w:val="TOC2"/>
        <w:rPr>
          <w:rFonts w:asciiTheme="minorHAnsi" w:eastAsiaTheme="minorEastAsia" w:hAnsiTheme="minorHAnsi"/>
          <w:noProof/>
          <w:lang w:eastAsia="en-AU"/>
        </w:rPr>
      </w:pPr>
      <w:hyperlink w:anchor="_Toc60751262" w:history="1">
        <w:r w:rsidRPr="007A221C">
          <w:rPr>
            <w:rStyle w:val="Hyperlink"/>
            <w:noProof/>
          </w:rPr>
          <w:t>2.2.</w:t>
        </w:r>
        <w:r>
          <w:rPr>
            <w:rFonts w:asciiTheme="minorHAnsi" w:eastAsiaTheme="minorEastAsia" w:hAnsiTheme="minorHAnsi"/>
            <w:noProof/>
            <w:lang w:eastAsia="en-AU"/>
          </w:rPr>
          <w:tab/>
        </w:r>
        <w:r w:rsidRPr="007A221C">
          <w:rPr>
            <w:rStyle w:val="Hyperlink"/>
            <w:noProof/>
          </w:rPr>
          <w:t>Balancing competing needs</w:t>
        </w:r>
        <w:r>
          <w:rPr>
            <w:noProof/>
            <w:webHidden/>
          </w:rPr>
          <w:tab/>
        </w:r>
        <w:r>
          <w:rPr>
            <w:noProof/>
            <w:webHidden/>
          </w:rPr>
          <w:fldChar w:fldCharType="begin"/>
        </w:r>
        <w:r>
          <w:rPr>
            <w:noProof/>
            <w:webHidden/>
          </w:rPr>
          <w:instrText xml:space="preserve"> PAGEREF _Toc60751262 \h </w:instrText>
        </w:r>
        <w:r>
          <w:rPr>
            <w:noProof/>
            <w:webHidden/>
          </w:rPr>
        </w:r>
        <w:r>
          <w:rPr>
            <w:noProof/>
            <w:webHidden/>
          </w:rPr>
          <w:fldChar w:fldCharType="separate"/>
        </w:r>
        <w:r>
          <w:rPr>
            <w:noProof/>
            <w:webHidden/>
          </w:rPr>
          <w:t>7</w:t>
        </w:r>
        <w:r>
          <w:rPr>
            <w:noProof/>
            <w:webHidden/>
          </w:rPr>
          <w:fldChar w:fldCharType="end"/>
        </w:r>
      </w:hyperlink>
    </w:p>
    <w:p w14:paraId="3B3142F8" w14:textId="24FCF7FD" w:rsidR="00EE3AB0" w:rsidRDefault="00EE3AB0" w:rsidP="00EE3AB0">
      <w:pPr>
        <w:pStyle w:val="TOC1"/>
        <w:rPr>
          <w:rFonts w:asciiTheme="minorHAnsi" w:eastAsiaTheme="minorEastAsia" w:hAnsiTheme="minorHAnsi"/>
          <w:color w:val="auto"/>
          <w:sz w:val="22"/>
          <w:lang w:eastAsia="en-AU"/>
        </w:rPr>
      </w:pPr>
      <w:hyperlink w:anchor="_Toc60751263" w:history="1">
        <w:r w:rsidRPr="007A221C">
          <w:rPr>
            <w:rStyle w:val="Hyperlink"/>
          </w:rPr>
          <w:t>3.</w:t>
        </w:r>
        <w:r>
          <w:rPr>
            <w:rFonts w:asciiTheme="minorHAnsi" w:eastAsiaTheme="minorEastAsia" w:hAnsiTheme="minorHAnsi"/>
            <w:color w:val="auto"/>
            <w:sz w:val="22"/>
            <w:lang w:eastAsia="en-AU"/>
          </w:rPr>
          <w:tab/>
        </w:r>
        <w:r w:rsidRPr="007A221C">
          <w:rPr>
            <w:rStyle w:val="Hyperlink"/>
          </w:rPr>
          <w:t>KEY ELEMENTS OF THE NEW DEVELOPMENTS POLICY</w:t>
        </w:r>
        <w:r>
          <w:rPr>
            <w:webHidden/>
          </w:rPr>
          <w:tab/>
        </w:r>
        <w:r>
          <w:rPr>
            <w:webHidden/>
          </w:rPr>
          <w:fldChar w:fldCharType="begin"/>
        </w:r>
        <w:r>
          <w:rPr>
            <w:webHidden/>
          </w:rPr>
          <w:instrText xml:space="preserve"> PAGEREF _Toc60751263 \h </w:instrText>
        </w:r>
        <w:r>
          <w:rPr>
            <w:webHidden/>
          </w:rPr>
        </w:r>
        <w:r>
          <w:rPr>
            <w:webHidden/>
          </w:rPr>
          <w:fldChar w:fldCharType="separate"/>
        </w:r>
        <w:r>
          <w:rPr>
            <w:webHidden/>
          </w:rPr>
          <w:t>9</w:t>
        </w:r>
        <w:r>
          <w:rPr>
            <w:webHidden/>
          </w:rPr>
          <w:fldChar w:fldCharType="end"/>
        </w:r>
      </w:hyperlink>
    </w:p>
    <w:p w14:paraId="6BE2F311" w14:textId="3E73D86C" w:rsidR="00EE3AB0" w:rsidRDefault="00EE3AB0">
      <w:pPr>
        <w:pStyle w:val="TOC2"/>
        <w:rPr>
          <w:rFonts w:asciiTheme="minorHAnsi" w:eastAsiaTheme="minorEastAsia" w:hAnsiTheme="minorHAnsi"/>
          <w:noProof/>
          <w:lang w:eastAsia="en-AU"/>
        </w:rPr>
      </w:pPr>
      <w:hyperlink w:anchor="_Toc60751264" w:history="1">
        <w:r w:rsidRPr="007A221C">
          <w:rPr>
            <w:rStyle w:val="Hyperlink"/>
            <w:noProof/>
          </w:rPr>
          <w:t>3.1.</w:t>
        </w:r>
        <w:r>
          <w:rPr>
            <w:rFonts w:asciiTheme="minorHAnsi" w:eastAsiaTheme="minorEastAsia" w:hAnsiTheme="minorHAnsi"/>
            <w:noProof/>
            <w:lang w:eastAsia="en-AU"/>
          </w:rPr>
          <w:tab/>
        </w:r>
        <w:r w:rsidRPr="007A221C">
          <w:rPr>
            <w:rStyle w:val="Hyperlink"/>
            <w:noProof/>
          </w:rPr>
          <w:t>A level playing field</w:t>
        </w:r>
        <w:r>
          <w:rPr>
            <w:noProof/>
            <w:webHidden/>
          </w:rPr>
          <w:tab/>
        </w:r>
        <w:r>
          <w:rPr>
            <w:noProof/>
            <w:webHidden/>
          </w:rPr>
          <w:fldChar w:fldCharType="begin"/>
        </w:r>
        <w:r>
          <w:rPr>
            <w:noProof/>
            <w:webHidden/>
          </w:rPr>
          <w:instrText xml:space="preserve"> PAGEREF _Toc60751264 \h </w:instrText>
        </w:r>
        <w:r>
          <w:rPr>
            <w:noProof/>
            <w:webHidden/>
          </w:rPr>
        </w:r>
        <w:r>
          <w:rPr>
            <w:noProof/>
            <w:webHidden/>
          </w:rPr>
          <w:fldChar w:fldCharType="separate"/>
        </w:r>
        <w:r>
          <w:rPr>
            <w:noProof/>
            <w:webHidden/>
          </w:rPr>
          <w:t>9</w:t>
        </w:r>
        <w:r>
          <w:rPr>
            <w:noProof/>
            <w:webHidden/>
          </w:rPr>
          <w:fldChar w:fldCharType="end"/>
        </w:r>
      </w:hyperlink>
    </w:p>
    <w:p w14:paraId="7C93BE3F" w14:textId="0C9547D0" w:rsidR="00EE3AB0" w:rsidRDefault="00EE3AB0">
      <w:pPr>
        <w:pStyle w:val="TOC2"/>
        <w:rPr>
          <w:rFonts w:asciiTheme="minorHAnsi" w:eastAsiaTheme="minorEastAsia" w:hAnsiTheme="minorHAnsi"/>
          <w:noProof/>
          <w:lang w:eastAsia="en-AU"/>
        </w:rPr>
      </w:pPr>
      <w:hyperlink w:anchor="_Toc60751265" w:history="1">
        <w:r w:rsidRPr="007A221C">
          <w:rPr>
            <w:rStyle w:val="Hyperlink"/>
            <w:noProof/>
          </w:rPr>
          <w:t>3.2.</w:t>
        </w:r>
        <w:r>
          <w:rPr>
            <w:rFonts w:asciiTheme="minorHAnsi" w:eastAsiaTheme="minorEastAsia" w:hAnsiTheme="minorHAnsi"/>
            <w:noProof/>
            <w:lang w:eastAsia="en-AU"/>
          </w:rPr>
          <w:tab/>
        </w:r>
        <w:r w:rsidRPr="007A221C">
          <w:rPr>
            <w:rStyle w:val="Hyperlink"/>
            <w:noProof/>
          </w:rPr>
          <w:t>Summary of charges</w:t>
        </w:r>
        <w:r>
          <w:rPr>
            <w:noProof/>
            <w:webHidden/>
          </w:rPr>
          <w:tab/>
        </w:r>
        <w:r>
          <w:rPr>
            <w:noProof/>
            <w:webHidden/>
          </w:rPr>
          <w:fldChar w:fldCharType="begin"/>
        </w:r>
        <w:r>
          <w:rPr>
            <w:noProof/>
            <w:webHidden/>
          </w:rPr>
          <w:instrText xml:space="preserve"> PAGEREF _Toc60751265 \h </w:instrText>
        </w:r>
        <w:r>
          <w:rPr>
            <w:noProof/>
            <w:webHidden/>
          </w:rPr>
        </w:r>
        <w:r>
          <w:rPr>
            <w:noProof/>
            <w:webHidden/>
          </w:rPr>
          <w:fldChar w:fldCharType="separate"/>
        </w:r>
        <w:r>
          <w:rPr>
            <w:noProof/>
            <w:webHidden/>
          </w:rPr>
          <w:t>9</w:t>
        </w:r>
        <w:r>
          <w:rPr>
            <w:noProof/>
            <w:webHidden/>
          </w:rPr>
          <w:fldChar w:fldCharType="end"/>
        </w:r>
      </w:hyperlink>
    </w:p>
    <w:p w14:paraId="4AF66674" w14:textId="1C80D11F" w:rsidR="00EE3AB0" w:rsidRDefault="00EE3AB0">
      <w:pPr>
        <w:pStyle w:val="TOC2"/>
        <w:rPr>
          <w:rFonts w:asciiTheme="minorHAnsi" w:eastAsiaTheme="minorEastAsia" w:hAnsiTheme="minorHAnsi"/>
          <w:noProof/>
          <w:lang w:eastAsia="en-AU"/>
        </w:rPr>
      </w:pPr>
      <w:hyperlink w:anchor="_Toc60751266" w:history="1">
        <w:r w:rsidRPr="007A221C">
          <w:rPr>
            <w:rStyle w:val="Hyperlink"/>
            <w:noProof/>
          </w:rPr>
          <w:t>3.3.</w:t>
        </w:r>
        <w:r>
          <w:rPr>
            <w:rFonts w:asciiTheme="minorHAnsi" w:eastAsiaTheme="minorEastAsia" w:hAnsiTheme="minorHAnsi"/>
            <w:noProof/>
            <w:lang w:eastAsia="en-AU"/>
          </w:rPr>
          <w:tab/>
        </w:r>
        <w:r w:rsidRPr="007A221C">
          <w:rPr>
            <w:rStyle w:val="Hyperlink"/>
            <w:noProof/>
          </w:rPr>
          <w:t>Consumer outcomes</w:t>
        </w:r>
        <w:r>
          <w:rPr>
            <w:noProof/>
            <w:webHidden/>
          </w:rPr>
          <w:tab/>
        </w:r>
        <w:r>
          <w:rPr>
            <w:noProof/>
            <w:webHidden/>
          </w:rPr>
          <w:fldChar w:fldCharType="begin"/>
        </w:r>
        <w:r>
          <w:rPr>
            <w:noProof/>
            <w:webHidden/>
          </w:rPr>
          <w:instrText xml:space="preserve"> PAGEREF _Toc60751266 \h </w:instrText>
        </w:r>
        <w:r>
          <w:rPr>
            <w:noProof/>
            <w:webHidden/>
          </w:rPr>
        </w:r>
        <w:r>
          <w:rPr>
            <w:noProof/>
            <w:webHidden/>
          </w:rPr>
          <w:fldChar w:fldCharType="separate"/>
        </w:r>
        <w:r>
          <w:rPr>
            <w:noProof/>
            <w:webHidden/>
          </w:rPr>
          <w:t>12</w:t>
        </w:r>
        <w:r>
          <w:rPr>
            <w:noProof/>
            <w:webHidden/>
          </w:rPr>
          <w:fldChar w:fldCharType="end"/>
        </w:r>
      </w:hyperlink>
    </w:p>
    <w:p w14:paraId="69C55BCF" w14:textId="64614D83" w:rsidR="00EE3AB0" w:rsidRDefault="00EE3AB0">
      <w:pPr>
        <w:pStyle w:val="TOC3"/>
        <w:tabs>
          <w:tab w:val="left" w:pos="1855"/>
        </w:tabs>
        <w:rPr>
          <w:rFonts w:asciiTheme="minorHAnsi" w:eastAsiaTheme="minorEastAsia" w:hAnsiTheme="minorHAnsi"/>
          <w:noProof/>
          <w:lang w:eastAsia="en-AU"/>
        </w:rPr>
      </w:pPr>
      <w:hyperlink w:anchor="_Toc60751267" w:history="1">
        <w:r w:rsidRPr="007A221C">
          <w:rPr>
            <w:rStyle w:val="Hyperlink"/>
            <w:noProof/>
          </w:rPr>
          <w:t>3.3.1.</w:t>
        </w:r>
        <w:r>
          <w:rPr>
            <w:rFonts w:asciiTheme="minorHAnsi" w:eastAsiaTheme="minorEastAsia" w:hAnsiTheme="minorHAnsi"/>
            <w:noProof/>
            <w:lang w:eastAsia="en-AU"/>
          </w:rPr>
          <w:tab/>
        </w:r>
        <w:r w:rsidRPr="007A221C">
          <w:rPr>
            <w:rStyle w:val="Hyperlink"/>
            <w:noProof/>
          </w:rPr>
          <w:t>Availability</w:t>
        </w:r>
        <w:r>
          <w:rPr>
            <w:noProof/>
            <w:webHidden/>
          </w:rPr>
          <w:tab/>
        </w:r>
        <w:r>
          <w:rPr>
            <w:noProof/>
            <w:webHidden/>
          </w:rPr>
          <w:fldChar w:fldCharType="begin"/>
        </w:r>
        <w:r>
          <w:rPr>
            <w:noProof/>
            <w:webHidden/>
          </w:rPr>
          <w:instrText xml:space="preserve"> PAGEREF _Toc60751267 \h </w:instrText>
        </w:r>
        <w:r>
          <w:rPr>
            <w:noProof/>
            <w:webHidden/>
          </w:rPr>
        </w:r>
        <w:r>
          <w:rPr>
            <w:noProof/>
            <w:webHidden/>
          </w:rPr>
          <w:fldChar w:fldCharType="separate"/>
        </w:r>
        <w:r>
          <w:rPr>
            <w:noProof/>
            <w:webHidden/>
          </w:rPr>
          <w:t>12</w:t>
        </w:r>
        <w:r>
          <w:rPr>
            <w:noProof/>
            <w:webHidden/>
          </w:rPr>
          <w:fldChar w:fldCharType="end"/>
        </w:r>
      </w:hyperlink>
    </w:p>
    <w:p w14:paraId="53601513" w14:textId="2B087221" w:rsidR="00EE3AB0" w:rsidRDefault="00EE3AB0">
      <w:pPr>
        <w:pStyle w:val="TOC3"/>
        <w:tabs>
          <w:tab w:val="left" w:pos="1855"/>
        </w:tabs>
        <w:rPr>
          <w:rFonts w:asciiTheme="minorHAnsi" w:eastAsiaTheme="minorEastAsia" w:hAnsiTheme="minorHAnsi"/>
          <w:noProof/>
          <w:lang w:eastAsia="en-AU"/>
        </w:rPr>
      </w:pPr>
      <w:hyperlink w:anchor="_Toc60751268" w:history="1">
        <w:r w:rsidRPr="007A221C">
          <w:rPr>
            <w:rStyle w:val="Hyperlink"/>
            <w:noProof/>
          </w:rPr>
          <w:t>3.3.2.</w:t>
        </w:r>
        <w:r>
          <w:rPr>
            <w:rFonts w:asciiTheme="minorHAnsi" w:eastAsiaTheme="minorEastAsia" w:hAnsiTheme="minorHAnsi"/>
            <w:noProof/>
            <w:lang w:eastAsia="en-AU"/>
          </w:rPr>
          <w:tab/>
        </w:r>
        <w:r w:rsidRPr="007A221C">
          <w:rPr>
            <w:rStyle w:val="Hyperlink"/>
            <w:noProof/>
          </w:rPr>
          <w:t>Minimum service standards</w:t>
        </w:r>
        <w:r>
          <w:rPr>
            <w:noProof/>
            <w:webHidden/>
          </w:rPr>
          <w:tab/>
        </w:r>
        <w:r>
          <w:rPr>
            <w:noProof/>
            <w:webHidden/>
          </w:rPr>
          <w:fldChar w:fldCharType="begin"/>
        </w:r>
        <w:r>
          <w:rPr>
            <w:noProof/>
            <w:webHidden/>
          </w:rPr>
          <w:instrText xml:space="preserve"> PAGEREF _Toc60751268 \h </w:instrText>
        </w:r>
        <w:r>
          <w:rPr>
            <w:noProof/>
            <w:webHidden/>
          </w:rPr>
        </w:r>
        <w:r>
          <w:rPr>
            <w:noProof/>
            <w:webHidden/>
          </w:rPr>
          <w:fldChar w:fldCharType="separate"/>
        </w:r>
        <w:r>
          <w:rPr>
            <w:noProof/>
            <w:webHidden/>
          </w:rPr>
          <w:t>13</w:t>
        </w:r>
        <w:r>
          <w:rPr>
            <w:noProof/>
            <w:webHidden/>
          </w:rPr>
          <w:fldChar w:fldCharType="end"/>
        </w:r>
      </w:hyperlink>
    </w:p>
    <w:p w14:paraId="281563ED" w14:textId="5E8F4C5D" w:rsidR="00EE3AB0" w:rsidRDefault="00EE3AB0">
      <w:pPr>
        <w:pStyle w:val="TOC3"/>
        <w:tabs>
          <w:tab w:val="left" w:pos="1855"/>
        </w:tabs>
        <w:rPr>
          <w:rFonts w:asciiTheme="minorHAnsi" w:eastAsiaTheme="minorEastAsia" w:hAnsiTheme="minorHAnsi"/>
          <w:noProof/>
          <w:lang w:eastAsia="en-AU"/>
        </w:rPr>
      </w:pPr>
      <w:hyperlink w:anchor="_Toc60751269" w:history="1">
        <w:r w:rsidRPr="007A221C">
          <w:rPr>
            <w:rStyle w:val="Hyperlink"/>
            <w:noProof/>
          </w:rPr>
          <w:t>3.3.3.</w:t>
        </w:r>
        <w:r>
          <w:rPr>
            <w:rFonts w:asciiTheme="minorHAnsi" w:eastAsiaTheme="minorEastAsia" w:hAnsiTheme="minorHAnsi"/>
            <w:noProof/>
            <w:lang w:eastAsia="en-AU"/>
          </w:rPr>
          <w:tab/>
        </w:r>
        <w:r w:rsidRPr="007A221C">
          <w:rPr>
            <w:rStyle w:val="Hyperlink"/>
            <w:noProof/>
          </w:rPr>
          <w:t>Access technology</w:t>
        </w:r>
        <w:r>
          <w:rPr>
            <w:noProof/>
            <w:webHidden/>
          </w:rPr>
          <w:tab/>
        </w:r>
        <w:r>
          <w:rPr>
            <w:noProof/>
            <w:webHidden/>
          </w:rPr>
          <w:fldChar w:fldCharType="begin"/>
        </w:r>
        <w:r>
          <w:rPr>
            <w:noProof/>
            <w:webHidden/>
          </w:rPr>
          <w:instrText xml:space="preserve"> PAGEREF _Toc60751269 \h </w:instrText>
        </w:r>
        <w:r>
          <w:rPr>
            <w:noProof/>
            <w:webHidden/>
          </w:rPr>
        </w:r>
        <w:r>
          <w:rPr>
            <w:noProof/>
            <w:webHidden/>
          </w:rPr>
          <w:fldChar w:fldCharType="separate"/>
        </w:r>
        <w:r>
          <w:rPr>
            <w:noProof/>
            <w:webHidden/>
          </w:rPr>
          <w:t>13</w:t>
        </w:r>
        <w:r>
          <w:rPr>
            <w:noProof/>
            <w:webHidden/>
          </w:rPr>
          <w:fldChar w:fldCharType="end"/>
        </w:r>
      </w:hyperlink>
    </w:p>
    <w:p w14:paraId="57A755C3" w14:textId="38366640" w:rsidR="00EE3AB0" w:rsidRDefault="00EE3AB0">
      <w:pPr>
        <w:pStyle w:val="TOC3"/>
        <w:tabs>
          <w:tab w:val="left" w:pos="1855"/>
        </w:tabs>
        <w:rPr>
          <w:rFonts w:asciiTheme="minorHAnsi" w:eastAsiaTheme="minorEastAsia" w:hAnsiTheme="minorHAnsi"/>
          <w:noProof/>
          <w:lang w:eastAsia="en-AU"/>
        </w:rPr>
      </w:pPr>
      <w:hyperlink w:anchor="_Toc60751270" w:history="1">
        <w:r w:rsidRPr="007A221C">
          <w:rPr>
            <w:rStyle w:val="Hyperlink"/>
            <w:noProof/>
          </w:rPr>
          <w:t>3.3.4.</w:t>
        </w:r>
        <w:r>
          <w:rPr>
            <w:rFonts w:asciiTheme="minorHAnsi" w:eastAsiaTheme="minorEastAsia" w:hAnsiTheme="minorHAnsi"/>
            <w:noProof/>
            <w:lang w:eastAsia="en-AU"/>
          </w:rPr>
          <w:tab/>
        </w:r>
        <w:r w:rsidRPr="007A221C">
          <w:rPr>
            <w:rStyle w:val="Hyperlink"/>
            <w:noProof/>
          </w:rPr>
          <w:t>Retail service competition</w:t>
        </w:r>
        <w:r>
          <w:rPr>
            <w:noProof/>
            <w:webHidden/>
          </w:rPr>
          <w:tab/>
        </w:r>
        <w:r>
          <w:rPr>
            <w:noProof/>
            <w:webHidden/>
          </w:rPr>
          <w:fldChar w:fldCharType="begin"/>
        </w:r>
        <w:r>
          <w:rPr>
            <w:noProof/>
            <w:webHidden/>
          </w:rPr>
          <w:instrText xml:space="preserve"> PAGEREF _Toc60751270 \h </w:instrText>
        </w:r>
        <w:r>
          <w:rPr>
            <w:noProof/>
            <w:webHidden/>
          </w:rPr>
        </w:r>
        <w:r>
          <w:rPr>
            <w:noProof/>
            <w:webHidden/>
          </w:rPr>
          <w:fldChar w:fldCharType="separate"/>
        </w:r>
        <w:r>
          <w:rPr>
            <w:noProof/>
            <w:webHidden/>
          </w:rPr>
          <w:t>13</w:t>
        </w:r>
        <w:r>
          <w:rPr>
            <w:noProof/>
            <w:webHidden/>
          </w:rPr>
          <w:fldChar w:fldCharType="end"/>
        </w:r>
      </w:hyperlink>
    </w:p>
    <w:p w14:paraId="4991EB70" w14:textId="039F7261" w:rsidR="00EE3AB0" w:rsidRDefault="00EE3AB0">
      <w:pPr>
        <w:pStyle w:val="TOC2"/>
        <w:rPr>
          <w:rFonts w:asciiTheme="minorHAnsi" w:eastAsiaTheme="minorEastAsia" w:hAnsiTheme="minorHAnsi"/>
          <w:noProof/>
          <w:lang w:eastAsia="en-AU"/>
        </w:rPr>
      </w:pPr>
      <w:hyperlink w:anchor="_Toc60751271" w:history="1">
        <w:r w:rsidRPr="007A221C">
          <w:rPr>
            <w:rStyle w:val="Hyperlink"/>
            <w:noProof/>
          </w:rPr>
          <w:t>3.4.</w:t>
        </w:r>
        <w:r>
          <w:rPr>
            <w:rFonts w:asciiTheme="minorHAnsi" w:eastAsiaTheme="minorEastAsia" w:hAnsiTheme="minorHAnsi"/>
            <w:noProof/>
            <w:lang w:eastAsia="en-AU"/>
          </w:rPr>
          <w:tab/>
        </w:r>
        <w:r w:rsidRPr="007A221C">
          <w:rPr>
            <w:rStyle w:val="Hyperlink"/>
            <w:noProof/>
          </w:rPr>
          <w:t>Developer responsibilities</w:t>
        </w:r>
        <w:r>
          <w:rPr>
            <w:noProof/>
            <w:webHidden/>
          </w:rPr>
          <w:tab/>
        </w:r>
        <w:r>
          <w:rPr>
            <w:noProof/>
            <w:webHidden/>
          </w:rPr>
          <w:fldChar w:fldCharType="begin"/>
        </w:r>
        <w:r>
          <w:rPr>
            <w:noProof/>
            <w:webHidden/>
          </w:rPr>
          <w:instrText xml:space="preserve"> PAGEREF _Toc60751271 \h </w:instrText>
        </w:r>
        <w:r>
          <w:rPr>
            <w:noProof/>
            <w:webHidden/>
          </w:rPr>
        </w:r>
        <w:r>
          <w:rPr>
            <w:noProof/>
            <w:webHidden/>
          </w:rPr>
          <w:fldChar w:fldCharType="separate"/>
        </w:r>
        <w:r>
          <w:rPr>
            <w:noProof/>
            <w:webHidden/>
          </w:rPr>
          <w:t>14</w:t>
        </w:r>
        <w:r>
          <w:rPr>
            <w:noProof/>
            <w:webHidden/>
          </w:rPr>
          <w:fldChar w:fldCharType="end"/>
        </w:r>
      </w:hyperlink>
    </w:p>
    <w:p w14:paraId="7E01FA1B" w14:textId="23665B26" w:rsidR="00EE3AB0" w:rsidRDefault="00EE3AB0">
      <w:pPr>
        <w:pStyle w:val="TOC3"/>
        <w:tabs>
          <w:tab w:val="left" w:pos="1855"/>
        </w:tabs>
        <w:rPr>
          <w:rFonts w:asciiTheme="minorHAnsi" w:eastAsiaTheme="minorEastAsia" w:hAnsiTheme="minorHAnsi"/>
          <w:noProof/>
          <w:lang w:eastAsia="en-AU"/>
        </w:rPr>
      </w:pPr>
      <w:hyperlink w:anchor="_Toc60751272" w:history="1">
        <w:r w:rsidRPr="007A221C">
          <w:rPr>
            <w:rStyle w:val="Hyperlink"/>
            <w:noProof/>
          </w:rPr>
          <w:t>3.4.1.</w:t>
        </w:r>
        <w:r>
          <w:rPr>
            <w:rFonts w:asciiTheme="minorHAnsi" w:eastAsiaTheme="minorEastAsia" w:hAnsiTheme="minorHAnsi"/>
            <w:noProof/>
            <w:lang w:eastAsia="en-AU"/>
          </w:rPr>
          <w:tab/>
        </w:r>
        <w:r w:rsidRPr="007A221C">
          <w:rPr>
            <w:rStyle w:val="Hyperlink"/>
            <w:noProof/>
          </w:rPr>
          <w:t>Planning</w:t>
        </w:r>
        <w:r>
          <w:rPr>
            <w:noProof/>
            <w:webHidden/>
          </w:rPr>
          <w:tab/>
        </w:r>
        <w:r>
          <w:rPr>
            <w:noProof/>
            <w:webHidden/>
          </w:rPr>
          <w:fldChar w:fldCharType="begin"/>
        </w:r>
        <w:r>
          <w:rPr>
            <w:noProof/>
            <w:webHidden/>
          </w:rPr>
          <w:instrText xml:space="preserve"> PAGEREF _Toc60751272 \h </w:instrText>
        </w:r>
        <w:r>
          <w:rPr>
            <w:noProof/>
            <w:webHidden/>
          </w:rPr>
        </w:r>
        <w:r>
          <w:rPr>
            <w:noProof/>
            <w:webHidden/>
          </w:rPr>
          <w:fldChar w:fldCharType="separate"/>
        </w:r>
        <w:r>
          <w:rPr>
            <w:noProof/>
            <w:webHidden/>
          </w:rPr>
          <w:t>14</w:t>
        </w:r>
        <w:r>
          <w:rPr>
            <w:noProof/>
            <w:webHidden/>
          </w:rPr>
          <w:fldChar w:fldCharType="end"/>
        </w:r>
      </w:hyperlink>
    </w:p>
    <w:p w14:paraId="2CE4D685" w14:textId="7715BCB4" w:rsidR="00EE3AB0" w:rsidRDefault="00EE3AB0">
      <w:pPr>
        <w:pStyle w:val="TOC3"/>
        <w:tabs>
          <w:tab w:val="left" w:pos="1855"/>
        </w:tabs>
        <w:rPr>
          <w:rFonts w:asciiTheme="minorHAnsi" w:eastAsiaTheme="minorEastAsia" w:hAnsiTheme="minorHAnsi"/>
          <w:noProof/>
          <w:lang w:eastAsia="en-AU"/>
        </w:rPr>
      </w:pPr>
      <w:hyperlink w:anchor="_Toc60751273" w:history="1">
        <w:r w:rsidRPr="007A221C">
          <w:rPr>
            <w:rStyle w:val="Hyperlink"/>
            <w:noProof/>
          </w:rPr>
          <w:t>3.4.2.</w:t>
        </w:r>
        <w:r>
          <w:rPr>
            <w:rFonts w:asciiTheme="minorHAnsi" w:eastAsiaTheme="minorEastAsia" w:hAnsiTheme="minorHAnsi"/>
            <w:noProof/>
            <w:lang w:eastAsia="en-AU"/>
          </w:rPr>
          <w:tab/>
        </w:r>
        <w:r w:rsidRPr="007A221C">
          <w:rPr>
            <w:rStyle w:val="Hyperlink"/>
            <w:noProof/>
          </w:rPr>
          <w:t>Choice of provider</w:t>
        </w:r>
        <w:r>
          <w:rPr>
            <w:noProof/>
            <w:webHidden/>
          </w:rPr>
          <w:tab/>
        </w:r>
        <w:r>
          <w:rPr>
            <w:noProof/>
            <w:webHidden/>
          </w:rPr>
          <w:fldChar w:fldCharType="begin"/>
        </w:r>
        <w:r>
          <w:rPr>
            <w:noProof/>
            <w:webHidden/>
          </w:rPr>
          <w:instrText xml:space="preserve"> PAGEREF _Toc60751273 \h </w:instrText>
        </w:r>
        <w:r>
          <w:rPr>
            <w:noProof/>
            <w:webHidden/>
          </w:rPr>
        </w:r>
        <w:r>
          <w:rPr>
            <w:noProof/>
            <w:webHidden/>
          </w:rPr>
          <w:fldChar w:fldCharType="separate"/>
        </w:r>
        <w:r>
          <w:rPr>
            <w:noProof/>
            <w:webHidden/>
          </w:rPr>
          <w:t>14</w:t>
        </w:r>
        <w:r>
          <w:rPr>
            <w:noProof/>
            <w:webHidden/>
          </w:rPr>
          <w:fldChar w:fldCharType="end"/>
        </w:r>
      </w:hyperlink>
    </w:p>
    <w:p w14:paraId="620677C4" w14:textId="6DF5C00F" w:rsidR="00EE3AB0" w:rsidRDefault="00EE3AB0">
      <w:pPr>
        <w:pStyle w:val="TOC3"/>
        <w:tabs>
          <w:tab w:val="left" w:pos="1855"/>
        </w:tabs>
        <w:rPr>
          <w:rFonts w:asciiTheme="minorHAnsi" w:eastAsiaTheme="minorEastAsia" w:hAnsiTheme="minorHAnsi"/>
          <w:noProof/>
          <w:lang w:eastAsia="en-AU"/>
        </w:rPr>
      </w:pPr>
      <w:hyperlink w:anchor="_Toc60751274" w:history="1">
        <w:r w:rsidRPr="007A221C">
          <w:rPr>
            <w:rStyle w:val="Hyperlink"/>
            <w:noProof/>
          </w:rPr>
          <w:t>3.4.3.</w:t>
        </w:r>
        <w:r>
          <w:rPr>
            <w:rFonts w:asciiTheme="minorHAnsi" w:eastAsiaTheme="minorEastAsia" w:hAnsiTheme="minorHAnsi"/>
            <w:noProof/>
            <w:lang w:eastAsia="en-AU"/>
          </w:rPr>
          <w:tab/>
        </w:r>
        <w:r w:rsidRPr="007A221C">
          <w:rPr>
            <w:rStyle w:val="Hyperlink"/>
            <w:noProof/>
          </w:rPr>
          <w:t>Pit and pipe infrastructure</w:t>
        </w:r>
        <w:r>
          <w:rPr>
            <w:noProof/>
            <w:webHidden/>
          </w:rPr>
          <w:tab/>
        </w:r>
        <w:r>
          <w:rPr>
            <w:noProof/>
            <w:webHidden/>
          </w:rPr>
          <w:fldChar w:fldCharType="begin"/>
        </w:r>
        <w:r>
          <w:rPr>
            <w:noProof/>
            <w:webHidden/>
          </w:rPr>
          <w:instrText xml:space="preserve"> PAGEREF _Toc60751274 \h </w:instrText>
        </w:r>
        <w:r>
          <w:rPr>
            <w:noProof/>
            <w:webHidden/>
          </w:rPr>
        </w:r>
        <w:r>
          <w:rPr>
            <w:noProof/>
            <w:webHidden/>
          </w:rPr>
          <w:fldChar w:fldCharType="separate"/>
        </w:r>
        <w:r>
          <w:rPr>
            <w:noProof/>
            <w:webHidden/>
          </w:rPr>
          <w:t>15</w:t>
        </w:r>
        <w:r>
          <w:rPr>
            <w:noProof/>
            <w:webHidden/>
          </w:rPr>
          <w:fldChar w:fldCharType="end"/>
        </w:r>
      </w:hyperlink>
    </w:p>
    <w:p w14:paraId="2D2D9709" w14:textId="07CC1C13" w:rsidR="00EE3AB0" w:rsidRDefault="00EE3AB0">
      <w:pPr>
        <w:pStyle w:val="TOC3"/>
        <w:tabs>
          <w:tab w:val="left" w:pos="1855"/>
        </w:tabs>
        <w:rPr>
          <w:rFonts w:asciiTheme="minorHAnsi" w:eastAsiaTheme="minorEastAsia" w:hAnsiTheme="minorHAnsi"/>
          <w:noProof/>
          <w:lang w:eastAsia="en-AU"/>
        </w:rPr>
      </w:pPr>
      <w:hyperlink w:anchor="_Toc60751275" w:history="1">
        <w:r w:rsidRPr="007A221C">
          <w:rPr>
            <w:rStyle w:val="Hyperlink"/>
            <w:noProof/>
          </w:rPr>
          <w:t>3.4.4.</w:t>
        </w:r>
        <w:r>
          <w:rPr>
            <w:rFonts w:asciiTheme="minorHAnsi" w:eastAsiaTheme="minorEastAsia" w:hAnsiTheme="minorHAnsi"/>
            <w:noProof/>
            <w:lang w:eastAsia="en-AU"/>
          </w:rPr>
          <w:tab/>
        </w:r>
        <w:r w:rsidRPr="007A221C">
          <w:rPr>
            <w:rStyle w:val="Hyperlink"/>
            <w:noProof/>
          </w:rPr>
          <w:t>Notice periods</w:t>
        </w:r>
        <w:r>
          <w:rPr>
            <w:noProof/>
            <w:webHidden/>
          </w:rPr>
          <w:tab/>
        </w:r>
        <w:r>
          <w:rPr>
            <w:noProof/>
            <w:webHidden/>
          </w:rPr>
          <w:fldChar w:fldCharType="begin"/>
        </w:r>
        <w:r>
          <w:rPr>
            <w:noProof/>
            <w:webHidden/>
          </w:rPr>
          <w:instrText xml:space="preserve"> PAGEREF _Toc60751275 \h </w:instrText>
        </w:r>
        <w:r>
          <w:rPr>
            <w:noProof/>
            <w:webHidden/>
          </w:rPr>
        </w:r>
        <w:r>
          <w:rPr>
            <w:noProof/>
            <w:webHidden/>
          </w:rPr>
          <w:fldChar w:fldCharType="separate"/>
        </w:r>
        <w:r>
          <w:rPr>
            <w:noProof/>
            <w:webHidden/>
          </w:rPr>
          <w:t>16</w:t>
        </w:r>
        <w:r>
          <w:rPr>
            <w:noProof/>
            <w:webHidden/>
          </w:rPr>
          <w:fldChar w:fldCharType="end"/>
        </w:r>
      </w:hyperlink>
    </w:p>
    <w:p w14:paraId="4907FF46" w14:textId="39122E6E" w:rsidR="00EE3AB0" w:rsidRDefault="00EE3AB0">
      <w:pPr>
        <w:pStyle w:val="TOC3"/>
        <w:tabs>
          <w:tab w:val="left" w:pos="1855"/>
        </w:tabs>
        <w:rPr>
          <w:rFonts w:asciiTheme="minorHAnsi" w:eastAsiaTheme="minorEastAsia" w:hAnsiTheme="minorHAnsi"/>
          <w:noProof/>
          <w:lang w:eastAsia="en-AU"/>
        </w:rPr>
      </w:pPr>
      <w:hyperlink w:anchor="_Toc60751276" w:history="1">
        <w:r w:rsidRPr="007A221C">
          <w:rPr>
            <w:rStyle w:val="Hyperlink"/>
            <w:noProof/>
          </w:rPr>
          <w:t>3.4.5.</w:t>
        </w:r>
        <w:r>
          <w:rPr>
            <w:rFonts w:asciiTheme="minorHAnsi" w:eastAsiaTheme="minorEastAsia" w:hAnsiTheme="minorHAnsi"/>
            <w:noProof/>
            <w:lang w:eastAsia="en-AU"/>
          </w:rPr>
          <w:tab/>
        </w:r>
        <w:r w:rsidRPr="007A221C">
          <w:rPr>
            <w:rStyle w:val="Hyperlink"/>
            <w:noProof/>
          </w:rPr>
          <w:t>On-sale of land by developers and charging</w:t>
        </w:r>
        <w:r>
          <w:rPr>
            <w:noProof/>
            <w:webHidden/>
          </w:rPr>
          <w:tab/>
        </w:r>
        <w:r>
          <w:rPr>
            <w:noProof/>
            <w:webHidden/>
          </w:rPr>
          <w:fldChar w:fldCharType="begin"/>
        </w:r>
        <w:r>
          <w:rPr>
            <w:noProof/>
            <w:webHidden/>
          </w:rPr>
          <w:instrText xml:space="preserve"> PAGEREF _Toc60751276 \h </w:instrText>
        </w:r>
        <w:r>
          <w:rPr>
            <w:noProof/>
            <w:webHidden/>
          </w:rPr>
        </w:r>
        <w:r>
          <w:rPr>
            <w:noProof/>
            <w:webHidden/>
          </w:rPr>
          <w:fldChar w:fldCharType="separate"/>
        </w:r>
        <w:r>
          <w:rPr>
            <w:noProof/>
            <w:webHidden/>
          </w:rPr>
          <w:t>16</w:t>
        </w:r>
        <w:r>
          <w:rPr>
            <w:noProof/>
            <w:webHidden/>
          </w:rPr>
          <w:fldChar w:fldCharType="end"/>
        </w:r>
      </w:hyperlink>
    </w:p>
    <w:p w14:paraId="52D8F373" w14:textId="2A5056E2" w:rsidR="00EE3AB0" w:rsidRDefault="00EE3AB0">
      <w:pPr>
        <w:pStyle w:val="TOC2"/>
        <w:rPr>
          <w:rFonts w:asciiTheme="minorHAnsi" w:eastAsiaTheme="minorEastAsia" w:hAnsiTheme="minorHAnsi"/>
          <w:noProof/>
          <w:lang w:eastAsia="en-AU"/>
        </w:rPr>
      </w:pPr>
      <w:hyperlink w:anchor="_Toc60751277" w:history="1">
        <w:r w:rsidRPr="007A221C">
          <w:rPr>
            <w:rStyle w:val="Hyperlink"/>
            <w:noProof/>
          </w:rPr>
          <w:t>3.5.</w:t>
        </w:r>
        <w:r>
          <w:rPr>
            <w:rFonts w:asciiTheme="minorHAnsi" w:eastAsiaTheme="minorEastAsia" w:hAnsiTheme="minorHAnsi"/>
            <w:noProof/>
            <w:lang w:eastAsia="en-AU"/>
          </w:rPr>
          <w:tab/>
        </w:r>
        <w:r w:rsidRPr="007A221C">
          <w:rPr>
            <w:rStyle w:val="Hyperlink"/>
            <w:noProof/>
          </w:rPr>
          <w:t>Property owner and end-user responsibilities</w:t>
        </w:r>
        <w:r>
          <w:rPr>
            <w:noProof/>
            <w:webHidden/>
          </w:rPr>
          <w:tab/>
        </w:r>
        <w:r>
          <w:rPr>
            <w:noProof/>
            <w:webHidden/>
          </w:rPr>
          <w:fldChar w:fldCharType="begin"/>
        </w:r>
        <w:r>
          <w:rPr>
            <w:noProof/>
            <w:webHidden/>
          </w:rPr>
          <w:instrText xml:space="preserve"> PAGEREF _Toc60751277 \h </w:instrText>
        </w:r>
        <w:r>
          <w:rPr>
            <w:noProof/>
            <w:webHidden/>
          </w:rPr>
        </w:r>
        <w:r>
          <w:rPr>
            <w:noProof/>
            <w:webHidden/>
          </w:rPr>
          <w:fldChar w:fldCharType="separate"/>
        </w:r>
        <w:r>
          <w:rPr>
            <w:noProof/>
            <w:webHidden/>
          </w:rPr>
          <w:t>17</w:t>
        </w:r>
        <w:r>
          <w:rPr>
            <w:noProof/>
            <w:webHidden/>
          </w:rPr>
          <w:fldChar w:fldCharType="end"/>
        </w:r>
      </w:hyperlink>
    </w:p>
    <w:p w14:paraId="68006681" w14:textId="34CDEE8E" w:rsidR="00EE3AB0" w:rsidRDefault="00EE3AB0">
      <w:pPr>
        <w:pStyle w:val="TOC2"/>
        <w:rPr>
          <w:rFonts w:asciiTheme="minorHAnsi" w:eastAsiaTheme="minorEastAsia" w:hAnsiTheme="minorHAnsi"/>
          <w:noProof/>
          <w:lang w:eastAsia="en-AU"/>
        </w:rPr>
      </w:pPr>
      <w:hyperlink w:anchor="_Toc60751278" w:history="1">
        <w:r w:rsidRPr="007A221C">
          <w:rPr>
            <w:rStyle w:val="Hyperlink"/>
            <w:noProof/>
          </w:rPr>
          <w:t>3.6.</w:t>
        </w:r>
        <w:r>
          <w:rPr>
            <w:rFonts w:asciiTheme="minorHAnsi" w:eastAsiaTheme="minorEastAsia" w:hAnsiTheme="minorHAnsi"/>
            <w:noProof/>
            <w:lang w:eastAsia="en-AU"/>
          </w:rPr>
          <w:tab/>
        </w:r>
        <w:r w:rsidRPr="007A221C">
          <w:rPr>
            <w:rStyle w:val="Hyperlink"/>
            <w:noProof/>
          </w:rPr>
          <w:t>Network operator and infrastructure contractor responsibilities</w:t>
        </w:r>
        <w:r>
          <w:rPr>
            <w:noProof/>
            <w:webHidden/>
          </w:rPr>
          <w:tab/>
        </w:r>
        <w:r>
          <w:rPr>
            <w:noProof/>
            <w:webHidden/>
          </w:rPr>
          <w:fldChar w:fldCharType="begin"/>
        </w:r>
        <w:r>
          <w:rPr>
            <w:noProof/>
            <w:webHidden/>
          </w:rPr>
          <w:instrText xml:space="preserve"> PAGEREF _Toc60751278 \h </w:instrText>
        </w:r>
        <w:r>
          <w:rPr>
            <w:noProof/>
            <w:webHidden/>
          </w:rPr>
        </w:r>
        <w:r>
          <w:rPr>
            <w:noProof/>
            <w:webHidden/>
          </w:rPr>
          <w:fldChar w:fldCharType="separate"/>
        </w:r>
        <w:r>
          <w:rPr>
            <w:noProof/>
            <w:webHidden/>
          </w:rPr>
          <w:t>17</w:t>
        </w:r>
        <w:r>
          <w:rPr>
            <w:noProof/>
            <w:webHidden/>
          </w:rPr>
          <w:fldChar w:fldCharType="end"/>
        </w:r>
      </w:hyperlink>
    </w:p>
    <w:p w14:paraId="726959FF" w14:textId="53DBEA17" w:rsidR="00EE3AB0" w:rsidRDefault="00EE3AB0">
      <w:pPr>
        <w:pStyle w:val="TOC3"/>
        <w:tabs>
          <w:tab w:val="left" w:pos="1855"/>
        </w:tabs>
        <w:rPr>
          <w:rFonts w:asciiTheme="minorHAnsi" w:eastAsiaTheme="minorEastAsia" w:hAnsiTheme="minorHAnsi"/>
          <w:noProof/>
          <w:lang w:eastAsia="en-AU"/>
        </w:rPr>
      </w:pPr>
      <w:hyperlink w:anchor="_Toc60751279" w:history="1">
        <w:r w:rsidRPr="007A221C">
          <w:rPr>
            <w:rStyle w:val="Hyperlink"/>
            <w:noProof/>
          </w:rPr>
          <w:t>3.6.1.</w:t>
        </w:r>
        <w:r>
          <w:rPr>
            <w:rFonts w:asciiTheme="minorHAnsi" w:eastAsiaTheme="minorEastAsia" w:hAnsiTheme="minorHAnsi"/>
            <w:noProof/>
            <w:lang w:eastAsia="en-AU"/>
          </w:rPr>
          <w:tab/>
        </w:r>
        <w:r w:rsidRPr="007A221C">
          <w:rPr>
            <w:rStyle w:val="Hyperlink"/>
            <w:noProof/>
          </w:rPr>
          <w:t>Overbuilding by NBN Co</w:t>
        </w:r>
        <w:r>
          <w:rPr>
            <w:noProof/>
            <w:webHidden/>
          </w:rPr>
          <w:tab/>
        </w:r>
        <w:r>
          <w:rPr>
            <w:noProof/>
            <w:webHidden/>
          </w:rPr>
          <w:fldChar w:fldCharType="begin"/>
        </w:r>
        <w:r>
          <w:rPr>
            <w:noProof/>
            <w:webHidden/>
          </w:rPr>
          <w:instrText xml:space="preserve"> PAGEREF _Toc60751279 \h </w:instrText>
        </w:r>
        <w:r>
          <w:rPr>
            <w:noProof/>
            <w:webHidden/>
          </w:rPr>
        </w:r>
        <w:r>
          <w:rPr>
            <w:noProof/>
            <w:webHidden/>
          </w:rPr>
          <w:fldChar w:fldCharType="separate"/>
        </w:r>
        <w:r>
          <w:rPr>
            <w:noProof/>
            <w:webHidden/>
          </w:rPr>
          <w:t>18</w:t>
        </w:r>
        <w:r>
          <w:rPr>
            <w:noProof/>
            <w:webHidden/>
          </w:rPr>
          <w:fldChar w:fldCharType="end"/>
        </w:r>
      </w:hyperlink>
    </w:p>
    <w:p w14:paraId="4EAE847F" w14:textId="451E388A" w:rsidR="00EE3AB0" w:rsidRDefault="00EE3AB0">
      <w:pPr>
        <w:pStyle w:val="TOC3"/>
        <w:tabs>
          <w:tab w:val="left" w:pos="1855"/>
        </w:tabs>
        <w:rPr>
          <w:rFonts w:asciiTheme="minorHAnsi" w:eastAsiaTheme="minorEastAsia" w:hAnsiTheme="minorHAnsi"/>
          <w:noProof/>
          <w:lang w:eastAsia="en-AU"/>
        </w:rPr>
      </w:pPr>
      <w:hyperlink w:anchor="_Toc60751280" w:history="1">
        <w:r w:rsidRPr="007A221C">
          <w:rPr>
            <w:rStyle w:val="Hyperlink"/>
            <w:noProof/>
          </w:rPr>
          <w:t>3.6.2.</w:t>
        </w:r>
        <w:r>
          <w:rPr>
            <w:rFonts w:asciiTheme="minorHAnsi" w:eastAsiaTheme="minorEastAsia" w:hAnsiTheme="minorHAnsi"/>
            <w:noProof/>
            <w:lang w:eastAsia="en-AU"/>
          </w:rPr>
          <w:tab/>
        </w:r>
        <w:r w:rsidRPr="007A221C">
          <w:rPr>
            <w:rStyle w:val="Hyperlink"/>
            <w:noProof/>
          </w:rPr>
          <w:t>Infrastructure provider of last resort</w:t>
        </w:r>
        <w:r>
          <w:rPr>
            <w:noProof/>
            <w:webHidden/>
          </w:rPr>
          <w:tab/>
        </w:r>
        <w:r>
          <w:rPr>
            <w:noProof/>
            <w:webHidden/>
          </w:rPr>
          <w:fldChar w:fldCharType="begin"/>
        </w:r>
        <w:r>
          <w:rPr>
            <w:noProof/>
            <w:webHidden/>
          </w:rPr>
          <w:instrText xml:space="preserve"> PAGEREF _Toc60751280 \h </w:instrText>
        </w:r>
        <w:r>
          <w:rPr>
            <w:noProof/>
            <w:webHidden/>
          </w:rPr>
        </w:r>
        <w:r>
          <w:rPr>
            <w:noProof/>
            <w:webHidden/>
          </w:rPr>
          <w:fldChar w:fldCharType="separate"/>
        </w:r>
        <w:r>
          <w:rPr>
            <w:noProof/>
            <w:webHidden/>
          </w:rPr>
          <w:t>19</w:t>
        </w:r>
        <w:r>
          <w:rPr>
            <w:noProof/>
            <w:webHidden/>
          </w:rPr>
          <w:fldChar w:fldCharType="end"/>
        </w:r>
      </w:hyperlink>
    </w:p>
    <w:p w14:paraId="181DD587" w14:textId="7C9601FD" w:rsidR="00EE3AB0" w:rsidRDefault="00EE3AB0">
      <w:pPr>
        <w:pStyle w:val="TOC3"/>
        <w:tabs>
          <w:tab w:val="left" w:pos="1855"/>
        </w:tabs>
        <w:rPr>
          <w:rFonts w:asciiTheme="minorHAnsi" w:eastAsiaTheme="minorEastAsia" w:hAnsiTheme="minorHAnsi"/>
          <w:noProof/>
          <w:lang w:eastAsia="en-AU"/>
        </w:rPr>
      </w:pPr>
      <w:hyperlink w:anchor="_Toc60751281" w:history="1">
        <w:r w:rsidRPr="007A221C">
          <w:rPr>
            <w:rStyle w:val="Hyperlink"/>
            <w:noProof/>
          </w:rPr>
          <w:t>3.6.3.</w:t>
        </w:r>
        <w:r>
          <w:rPr>
            <w:rFonts w:asciiTheme="minorHAnsi" w:eastAsiaTheme="minorEastAsia" w:hAnsiTheme="minorHAnsi"/>
            <w:noProof/>
            <w:lang w:eastAsia="en-AU"/>
          </w:rPr>
          <w:tab/>
        </w:r>
        <w:r w:rsidRPr="007A221C">
          <w:rPr>
            <w:rStyle w:val="Hyperlink"/>
            <w:noProof/>
          </w:rPr>
          <w:t>Geo-spatial information</w:t>
        </w:r>
        <w:r>
          <w:rPr>
            <w:noProof/>
            <w:webHidden/>
          </w:rPr>
          <w:tab/>
        </w:r>
        <w:r>
          <w:rPr>
            <w:noProof/>
            <w:webHidden/>
          </w:rPr>
          <w:fldChar w:fldCharType="begin"/>
        </w:r>
        <w:r>
          <w:rPr>
            <w:noProof/>
            <w:webHidden/>
          </w:rPr>
          <w:instrText xml:space="preserve"> PAGEREF _Toc60751281 \h </w:instrText>
        </w:r>
        <w:r>
          <w:rPr>
            <w:noProof/>
            <w:webHidden/>
          </w:rPr>
        </w:r>
        <w:r>
          <w:rPr>
            <w:noProof/>
            <w:webHidden/>
          </w:rPr>
          <w:fldChar w:fldCharType="separate"/>
        </w:r>
        <w:r>
          <w:rPr>
            <w:noProof/>
            <w:webHidden/>
          </w:rPr>
          <w:t>19</w:t>
        </w:r>
        <w:r>
          <w:rPr>
            <w:noProof/>
            <w:webHidden/>
          </w:rPr>
          <w:fldChar w:fldCharType="end"/>
        </w:r>
      </w:hyperlink>
    </w:p>
    <w:p w14:paraId="4B956A45" w14:textId="6093F9DE" w:rsidR="00EE3AB0" w:rsidRDefault="00EE3AB0">
      <w:pPr>
        <w:pStyle w:val="TOC3"/>
        <w:tabs>
          <w:tab w:val="left" w:pos="1855"/>
        </w:tabs>
        <w:rPr>
          <w:rFonts w:asciiTheme="minorHAnsi" w:eastAsiaTheme="minorEastAsia" w:hAnsiTheme="minorHAnsi"/>
          <w:noProof/>
          <w:lang w:eastAsia="en-AU"/>
        </w:rPr>
      </w:pPr>
      <w:hyperlink w:anchor="_Toc60751282" w:history="1">
        <w:r w:rsidRPr="007A221C">
          <w:rPr>
            <w:rStyle w:val="Hyperlink"/>
            <w:noProof/>
          </w:rPr>
          <w:t>3.6.4.</w:t>
        </w:r>
        <w:r>
          <w:rPr>
            <w:rFonts w:asciiTheme="minorHAnsi" w:eastAsiaTheme="minorEastAsia" w:hAnsiTheme="minorHAnsi"/>
            <w:noProof/>
            <w:lang w:eastAsia="en-AU"/>
          </w:rPr>
          <w:tab/>
        </w:r>
        <w:r w:rsidRPr="007A221C">
          <w:rPr>
            <w:rStyle w:val="Hyperlink"/>
            <w:noProof/>
          </w:rPr>
          <w:t>Step-in arrangements</w:t>
        </w:r>
        <w:r>
          <w:rPr>
            <w:noProof/>
            <w:webHidden/>
          </w:rPr>
          <w:tab/>
        </w:r>
        <w:r>
          <w:rPr>
            <w:noProof/>
            <w:webHidden/>
          </w:rPr>
          <w:fldChar w:fldCharType="begin"/>
        </w:r>
        <w:r>
          <w:rPr>
            <w:noProof/>
            <w:webHidden/>
          </w:rPr>
          <w:instrText xml:space="preserve"> PAGEREF _Toc60751282 \h </w:instrText>
        </w:r>
        <w:r>
          <w:rPr>
            <w:noProof/>
            <w:webHidden/>
          </w:rPr>
        </w:r>
        <w:r>
          <w:rPr>
            <w:noProof/>
            <w:webHidden/>
          </w:rPr>
          <w:fldChar w:fldCharType="separate"/>
        </w:r>
        <w:r>
          <w:rPr>
            <w:noProof/>
            <w:webHidden/>
          </w:rPr>
          <w:t>19</w:t>
        </w:r>
        <w:r>
          <w:rPr>
            <w:noProof/>
            <w:webHidden/>
          </w:rPr>
          <w:fldChar w:fldCharType="end"/>
        </w:r>
      </w:hyperlink>
    </w:p>
    <w:p w14:paraId="3E1AA4D2" w14:textId="3DC56970" w:rsidR="00EE3AB0" w:rsidRDefault="00EE3AB0" w:rsidP="00EE3AB0">
      <w:pPr>
        <w:pStyle w:val="TOC1"/>
        <w:rPr>
          <w:rFonts w:asciiTheme="minorHAnsi" w:eastAsiaTheme="minorEastAsia" w:hAnsiTheme="minorHAnsi"/>
          <w:color w:val="auto"/>
          <w:sz w:val="22"/>
          <w:lang w:eastAsia="en-AU"/>
        </w:rPr>
      </w:pPr>
      <w:hyperlink w:anchor="_Toc60751283" w:history="1">
        <w:r w:rsidRPr="007A221C">
          <w:rPr>
            <w:rStyle w:val="Hyperlink"/>
          </w:rPr>
          <w:t>4.</w:t>
        </w:r>
        <w:r>
          <w:rPr>
            <w:rFonts w:asciiTheme="minorHAnsi" w:eastAsiaTheme="minorEastAsia" w:hAnsiTheme="minorHAnsi"/>
            <w:color w:val="auto"/>
            <w:sz w:val="22"/>
            <w:lang w:eastAsia="en-AU"/>
          </w:rPr>
          <w:tab/>
        </w:r>
        <w:r w:rsidRPr="007A221C">
          <w:rPr>
            <w:rStyle w:val="Hyperlink"/>
          </w:rPr>
          <w:t>INFRASTRUCTURE PROVIDERS OF LAST RESORT</w:t>
        </w:r>
        <w:r>
          <w:rPr>
            <w:webHidden/>
          </w:rPr>
          <w:tab/>
        </w:r>
        <w:r>
          <w:rPr>
            <w:webHidden/>
          </w:rPr>
          <w:fldChar w:fldCharType="begin"/>
        </w:r>
        <w:r>
          <w:rPr>
            <w:webHidden/>
          </w:rPr>
          <w:instrText xml:space="preserve"> PAGEREF _Toc60751283 \h </w:instrText>
        </w:r>
        <w:r>
          <w:rPr>
            <w:webHidden/>
          </w:rPr>
        </w:r>
        <w:r>
          <w:rPr>
            <w:webHidden/>
          </w:rPr>
          <w:fldChar w:fldCharType="separate"/>
        </w:r>
        <w:r>
          <w:rPr>
            <w:webHidden/>
          </w:rPr>
          <w:t>20</w:t>
        </w:r>
        <w:r>
          <w:rPr>
            <w:webHidden/>
          </w:rPr>
          <w:fldChar w:fldCharType="end"/>
        </w:r>
      </w:hyperlink>
    </w:p>
    <w:p w14:paraId="1F31D845" w14:textId="1E2EE22D" w:rsidR="00EE3AB0" w:rsidRDefault="00EE3AB0">
      <w:pPr>
        <w:pStyle w:val="TOC2"/>
        <w:rPr>
          <w:rFonts w:asciiTheme="minorHAnsi" w:eastAsiaTheme="minorEastAsia" w:hAnsiTheme="minorHAnsi"/>
          <w:noProof/>
          <w:lang w:eastAsia="en-AU"/>
        </w:rPr>
      </w:pPr>
      <w:hyperlink w:anchor="_Toc60751284" w:history="1">
        <w:r w:rsidRPr="007A221C">
          <w:rPr>
            <w:rStyle w:val="Hyperlink"/>
            <w:noProof/>
          </w:rPr>
          <w:t>4.1.</w:t>
        </w:r>
        <w:r>
          <w:rPr>
            <w:rFonts w:asciiTheme="minorHAnsi" w:eastAsiaTheme="minorEastAsia" w:hAnsiTheme="minorHAnsi"/>
            <w:noProof/>
            <w:lang w:eastAsia="en-AU"/>
          </w:rPr>
          <w:tab/>
        </w:r>
        <w:r w:rsidRPr="007A221C">
          <w:rPr>
            <w:rStyle w:val="Hyperlink"/>
            <w:noProof/>
          </w:rPr>
          <w:t>The role of NBN Co</w:t>
        </w:r>
        <w:r>
          <w:rPr>
            <w:noProof/>
            <w:webHidden/>
          </w:rPr>
          <w:tab/>
        </w:r>
        <w:r>
          <w:rPr>
            <w:noProof/>
            <w:webHidden/>
          </w:rPr>
          <w:fldChar w:fldCharType="begin"/>
        </w:r>
        <w:r>
          <w:rPr>
            <w:noProof/>
            <w:webHidden/>
          </w:rPr>
          <w:instrText xml:space="preserve"> PAGEREF _Toc60751284 \h </w:instrText>
        </w:r>
        <w:r>
          <w:rPr>
            <w:noProof/>
            <w:webHidden/>
          </w:rPr>
        </w:r>
        <w:r>
          <w:rPr>
            <w:noProof/>
            <w:webHidden/>
          </w:rPr>
          <w:fldChar w:fldCharType="separate"/>
        </w:r>
        <w:r>
          <w:rPr>
            <w:noProof/>
            <w:webHidden/>
          </w:rPr>
          <w:t>20</w:t>
        </w:r>
        <w:r>
          <w:rPr>
            <w:noProof/>
            <w:webHidden/>
          </w:rPr>
          <w:fldChar w:fldCharType="end"/>
        </w:r>
      </w:hyperlink>
    </w:p>
    <w:p w14:paraId="56428996" w14:textId="44C97363" w:rsidR="00EE3AB0" w:rsidRDefault="00EE3AB0">
      <w:pPr>
        <w:pStyle w:val="TOC2"/>
        <w:rPr>
          <w:rFonts w:asciiTheme="minorHAnsi" w:eastAsiaTheme="minorEastAsia" w:hAnsiTheme="minorHAnsi"/>
          <w:noProof/>
          <w:lang w:eastAsia="en-AU"/>
        </w:rPr>
      </w:pPr>
      <w:hyperlink w:anchor="_Toc60751285" w:history="1">
        <w:r w:rsidRPr="007A221C">
          <w:rPr>
            <w:rStyle w:val="Hyperlink"/>
            <w:noProof/>
          </w:rPr>
          <w:t>4.2.</w:t>
        </w:r>
        <w:r>
          <w:rPr>
            <w:rFonts w:asciiTheme="minorHAnsi" w:eastAsiaTheme="minorEastAsia" w:hAnsiTheme="minorHAnsi"/>
            <w:noProof/>
            <w:lang w:eastAsia="en-AU"/>
          </w:rPr>
          <w:tab/>
        </w:r>
        <w:r w:rsidRPr="007A221C">
          <w:rPr>
            <w:rStyle w:val="Hyperlink"/>
            <w:noProof/>
          </w:rPr>
          <w:t>The role of Telstra</w:t>
        </w:r>
        <w:r>
          <w:rPr>
            <w:noProof/>
            <w:webHidden/>
          </w:rPr>
          <w:tab/>
        </w:r>
        <w:r>
          <w:rPr>
            <w:noProof/>
            <w:webHidden/>
          </w:rPr>
          <w:fldChar w:fldCharType="begin"/>
        </w:r>
        <w:r>
          <w:rPr>
            <w:noProof/>
            <w:webHidden/>
          </w:rPr>
          <w:instrText xml:space="preserve"> PAGEREF _Toc60751285 \h </w:instrText>
        </w:r>
        <w:r>
          <w:rPr>
            <w:noProof/>
            <w:webHidden/>
          </w:rPr>
        </w:r>
        <w:r>
          <w:rPr>
            <w:noProof/>
            <w:webHidden/>
          </w:rPr>
          <w:fldChar w:fldCharType="separate"/>
        </w:r>
        <w:r>
          <w:rPr>
            <w:noProof/>
            <w:webHidden/>
          </w:rPr>
          <w:t>21</w:t>
        </w:r>
        <w:r>
          <w:rPr>
            <w:noProof/>
            <w:webHidden/>
          </w:rPr>
          <w:fldChar w:fldCharType="end"/>
        </w:r>
      </w:hyperlink>
    </w:p>
    <w:p w14:paraId="51A51403" w14:textId="5DD7E24C" w:rsidR="00EE3AB0" w:rsidRDefault="00EE3AB0">
      <w:pPr>
        <w:pStyle w:val="TOC2"/>
        <w:rPr>
          <w:rFonts w:asciiTheme="minorHAnsi" w:eastAsiaTheme="minorEastAsia" w:hAnsiTheme="minorHAnsi"/>
          <w:noProof/>
          <w:lang w:eastAsia="en-AU"/>
        </w:rPr>
      </w:pPr>
      <w:hyperlink w:anchor="_Toc60751286" w:history="1">
        <w:r w:rsidRPr="007A221C">
          <w:rPr>
            <w:rStyle w:val="Hyperlink"/>
            <w:noProof/>
          </w:rPr>
          <w:t>4.3.</w:t>
        </w:r>
        <w:r>
          <w:rPr>
            <w:rFonts w:asciiTheme="minorHAnsi" w:eastAsiaTheme="minorEastAsia" w:hAnsiTheme="minorHAnsi"/>
            <w:noProof/>
            <w:lang w:eastAsia="en-AU"/>
          </w:rPr>
          <w:tab/>
        </w:r>
        <w:r w:rsidRPr="007A221C">
          <w:rPr>
            <w:rStyle w:val="Hyperlink"/>
            <w:noProof/>
          </w:rPr>
          <w:t>Adjacency to NBN Co’s long term fixed line footprint</w:t>
        </w:r>
        <w:r>
          <w:rPr>
            <w:noProof/>
            <w:webHidden/>
          </w:rPr>
          <w:tab/>
        </w:r>
        <w:r>
          <w:rPr>
            <w:noProof/>
            <w:webHidden/>
          </w:rPr>
          <w:fldChar w:fldCharType="begin"/>
        </w:r>
        <w:r>
          <w:rPr>
            <w:noProof/>
            <w:webHidden/>
          </w:rPr>
          <w:instrText xml:space="preserve"> PAGEREF _Toc60751286 \h </w:instrText>
        </w:r>
        <w:r>
          <w:rPr>
            <w:noProof/>
            <w:webHidden/>
          </w:rPr>
        </w:r>
        <w:r>
          <w:rPr>
            <w:noProof/>
            <w:webHidden/>
          </w:rPr>
          <w:fldChar w:fldCharType="separate"/>
        </w:r>
        <w:r>
          <w:rPr>
            <w:noProof/>
            <w:webHidden/>
          </w:rPr>
          <w:t>22</w:t>
        </w:r>
        <w:r>
          <w:rPr>
            <w:noProof/>
            <w:webHidden/>
          </w:rPr>
          <w:fldChar w:fldCharType="end"/>
        </w:r>
      </w:hyperlink>
    </w:p>
    <w:p w14:paraId="44FD8CBC" w14:textId="01386741" w:rsidR="00EE3AB0" w:rsidRDefault="00EE3AB0">
      <w:pPr>
        <w:pStyle w:val="TOC2"/>
        <w:rPr>
          <w:rFonts w:asciiTheme="minorHAnsi" w:eastAsiaTheme="minorEastAsia" w:hAnsiTheme="minorHAnsi"/>
          <w:noProof/>
          <w:lang w:eastAsia="en-AU"/>
        </w:rPr>
      </w:pPr>
      <w:hyperlink w:anchor="_Toc60751287" w:history="1">
        <w:r w:rsidRPr="007A221C">
          <w:rPr>
            <w:rStyle w:val="Hyperlink"/>
            <w:noProof/>
          </w:rPr>
          <w:t>4.4.</w:t>
        </w:r>
        <w:r>
          <w:rPr>
            <w:rFonts w:asciiTheme="minorHAnsi" w:eastAsiaTheme="minorEastAsia" w:hAnsiTheme="minorHAnsi"/>
            <w:noProof/>
            <w:lang w:eastAsia="en-AU"/>
          </w:rPr>
          <w:tab/>
        </w:r>
        <w:r w:rsidRPr="007A221C">
          <w:rPr>
            <w:rStyle w:val="Hyperlink"/>
            <w:noProof/>
          </w:rPr>
          <w:t>Adjudicator</w:t>
        </w:r>
        <w:r>
          <w:rPr>
            <w:noProof/>
            <w:webHidden/>
          </w:rPr>
          <w:tab/>
        </w:r>
        <w:r>
          <w:rPr>
            <w:noProof/>
            <w:webHidden/>
          </w:rPr>
          <w:fldChar w:fldCharType="begin"/>
        </w:r>
        <w:r>
          <w:rPr>
            <w:noProof/>
            <w:webHidden/>
          </w:rPr>
          <w:instrText xml:space="preserve"> PAGEREF _Toc60751287 \h </w:instrText>
        </w:r>
        <w:r>
          <w:rPr>
            <w:noProof/>
            <w:webHidden/>
          </w:rPr>
        </w:r>
        <w:r>
          <w:rPr>
            <w:noProof/>
            <w:webHidden/>
          </w:rPr>
          <w:fldChar w:fldCharType="separate"/>
        </w:r>
        <w:r>
          <w:rPr>
            <w:noProof/>
            <w:webHidden/>
          </w:rPr>
          <w:t>22</w:t>
        </w:r>
        <w:r>
          <w:rPr>
            <w:noProof/>
            <w:webHidden/>
          </w:rPr>
          <w:fldChar w:fldCharType="end"/>
        </w:r>
      </w:hyperlink>
    </w:p>
    <w:p w14:paraId="4E0CD360" w14:textId="1BB21A84" w:rsidR="00EE3AB0" w:rsidRDefault="00EE3AB0">
      <w:pPr>
        <w:pStyle w:val="TOC2"/>
        <w:rPr>
          <w:rFonts w:asciiTheme="minorHAnsi" w:eastAsiaTheme="minorEastAsia" w:hAnsiTheme="minorHAnsi"/>
          <w:noProof/>
          <w:lang w:eastAsia="en-AU"/>
        </w:rPr>
      </w:pPr>
      <w:hyperlink w:anchor="_Toc60751288" w:history="1">
        <w:r w:rsidRPr="007A221C">
          <w:rPr>
            <w:rStyle w:val="Hyperlink"/>
            <w:noProof/>
          </w:rPr>
          <w:t>4.5.</w:t>
        </w:r>
        <w:r>
          <w:rPr>
            <w:rFonts w:asciiTheme="minorHAnsi" w:eastAsiaTheme="minorEastAsia" w:hAnsiTheme="minorHAnsi"/>
            <w:noProof/>
            <w:lang w:eastAsia="en-AU"/>
          </w:rPr>
          <w:tab/>
        </w:r>
        <w:r w:rsidRPr="007A221C">
          <w:rPr>
            <w:rStyle w:val="Hyperlink"/>
            <w:noProof/>
          </w:rPr>
          <w:t>Clarifying IPOLR obligations</w:t>
        </w:r>
        <w:r>
          <w:rPr>
            <w:noProof/>
            <w:webHidden/>
          </w:rPr>
          <w:tab/>
        </w:r>
        <w:r>
          <w:rPr>
            <w:noProof/>
            <w:webHidden/>
          </w:rPr>
          <w:fldChar w:fldCharType="begin"/>
        </w:r>
        <w:r>
          <w:rPr>
            <w:noProof/>
            <w:webHidden/>
          </w:rPr>
          <w:instrText xml:space="preserve"> PAGEREF _Toc60751288 \h </w:instrText>
        </w:r>
        <w:r>
          <w:rPr>
            <w:noProof/>
            <w:webHidden/>
          </w:rPr>
        </w:r>
        <w:r>
          <w:rPr>
            <w:noProof/>
            <w:webHidden/>
          </w:rPr>
          <w:fldChar w:fldCharType="separate"/>
        </w:r>
        <w:r>
          <w:rPr>
            <w:noProof/>
            <w:webHidden/>
          </w:rPr>
          <w:t>23</w:t>
        </w:r>
        <w:r>
          <w:rPr>
            <w:noProof/>
            <w:webHidden/>
          </w:rPr>
          <w:fldChar w:fldCharType="end"/>
        </w:r>
      </w:hyperlink>
    </w:p>
    <w:p w14:paraId="5D15E3DD" w14:textId="1006FF8B" w:rsidR="00EE3AB0" w:rsidRDefault="00EE3AB0">
      <w:pPr>
        <w:pStyle w:val="TOC2"/>
        <w:rPr>
          <w:rFonts w:asciiTheme="minorHAnsi" w:eastAsiaTheme="minorEastAsia" w:hAnsiTheme="minorHAnsi"/>
          <w:noProof/>
          <w:lang w:eastAsia="en-AU"/>
        </w:rPr>
      </w:pPr>
      <w:hyperlink w:anchor="_Toc60751289" w:history="1">
        <w:r w:rsidRPr="007A221C">
          <w:rPr>
            <w:rStyle w:val="Hyperlink"/>
            <w:noProof/>
          </w:rPr>
          <w:t>4.6.</w:t>
        </w:r>
        <w:r>
          <w:rPr>
            <w:rFonts w:asciiTheme="minorHAnsi" w:eastAsiaTheme="minorEastAsia" w:hAnsiTheme="minorHAnsi"/>
            <w:noProof/>
            <w:lang w:eastAsia="en-AU"/>
          </w:rPr>
          <w:tab/>
        </w:r>
        <w:r w:rsidRPr="007A221C">
          <w:rPr>
            <w:rStyle w:val="Hyperlink"/>
            <w:noProof/>
          </w:rPr>
          <w:t>Use of alternative networks</w:t>
        </w:r>
        <w:r>
          <w:rPr>
            <w:noProof/>
            <w:webHidden/>
          </w:rPr>
          <w:tab/>
        </w:r>
        <w:r>
          <w:rPr>
            <w:noProof/>
            <w:webHidden/>
          </w:rPr>
          <w:fldChar w:fldCharType="begin"/>
        </w:r>
        <w:r>
          <w:rPr>
            <w:noProof/>
            <w:webHidden/>
          </w:rPr>
          <w:instrText xml:space="preserve"> PAGEREF _Toc60751289 \h </w:instrText>
        </w:r>
        <w:r>
          <w:rPr>
            <w:noProof/>
            <w:webHidden/>
          </w:rPr>
        </w:r>
        <w:r>
          <w:rPr>
            <w:noProof/>
            <w:webHidden/>
          </w:rPr>
          <w:fldChar w:fldCharType="separate"/>
        </w:r>
        <w:r>
          <w:rPr>
            <w:noProof/>
            <w:webHidden/>
          </w:rPr>
          <w:t>23</w:t>
        </w:r>
        <w:r>
          <w:rPr>
            <w:noProof/>
            <w:webHidden/>
          </w:rPr>
          <w:fldChar w:fldCharType="end"/>
        </w:r>
      </w:hyperlink>
    </w:p>
    <w:p w14:paraId="2BD374E5" w14:textId="4E48B429" w:rsidR="00EE3AB0" w:rsidRDefault="00EE3AB0">
      <w:pPr>
        <w:pStyle w:val="TOC2"/>
        <w:rPr>
          <w:rFonts w:asciiTheme="minorHAnsi" w:eastAsiaTheme="minorEastAsia" w:hAnsiTheme="minorHAnsi"/>
          <w:noProof/>
          <w:lang w:eastAsia="en-AU"/>
        </w:rPr>
      </w:pPr>
      <w:hyperlink w:anchor="_Toc60751290" w:history="1">
        <w:r w:rsidRPr="007A221C">
          <w:rPr>
            <w:rStyle w:val="Hyperlink"/>
            <w:noProof/>
          </w:rPr>
          <w:t>4.7.</w:t>
        </w:r>
        <w:r>
          <w:rPr>
            <w:rFonts w:asciiTheme="minorHAnsi" w:eastAsiaTheme="minorEastAsia" w:hAnsiTheme="minorHAnsi"/>
            <w:noProof/>
            <w:lang w:eastAsia="en-AU"/>
          </w:rPr>
          <w:tab/>
        </w:r>
        <w:r w:rsidRPr="007A221C">
          <w:rPr>
            <w:rStyle w:val="Hyperlink"/>
            <w:noProof/>
          </w:rPr>
          <w:t>Co-ordination between providers</w:t>
        </w:r>
        <w:r>
          <w:rPr>
            <w:noProof/>
            <w:webHidden/>
          </w:rPr>
          <w:tab/>
        </w:r>
        <w:r>
          <w:rPr>
            <w:noProof/>
            <w:webHidden/>
          </w:rPr>
          <w:fldChar w:fldCharType="begin"/>
        </w:r>
        <w:r>
          <w:rPr>
            <w:noProof/>
            <w:webHidden/>
          </w:rPr>
          <w:instrText xml:space="preserve"> PAGEREF _Toc60751290 \h </w:instrText>
        </w:r>
        <w:r>
          <w:rPr>
            <w:noProof/>
            <w:webHidden/>
          </w:rPr>
        </w:r>
        <w:r>
          <w:rPr>
            <w:noProof/>
            <w:webHidden/>
          </w:rPr>
          <w:fldChar w:fldCharType="separate"/>
        </w:r>
        <w:r>
          <w:rPr>
            <w:noProof/>
            <w:webHidden/>
          </w:rPr>
          <w:t>24</w:t>
        </w:r>
        <w:r>
          <w:rPr>
            <w:noProof/>
            <w:webHidden/>
          </w:rPr>
          <w:fldChar w:fldCharType="end"/>
        </w:r>
      </w:hyperlink>
    </w:p>
    <w:p w14:paraId="6A384656" w14:textId="11360399" w:rsidR="00EE3AB0" w:rsidRDefault="00EE3AB0">
      <w:pPr>
        <w:pStyle w:val="TOC2"/>
        <w:rPr>
          <w:rFonts w:asciiTheme="minorHAnsi" w:eastAsiaTheme="minorEastAsia" w:hAnsiTheme="minorHAnsi"/>
          <w:noProof/>
          <w:lang w:eastAsia="en-AU"/>
        </w:rPr>
      </w:pPr>
      <w:hyperlink w:anchor="_Toc60751291" w:history="1">
        <w:r w:rsidRPr="007A221C">
          <w:rPr>
            <w:rStyle w:val="Hyperlink"/>
            <w:noProof/>
          </w:rPr>
          <w:t>4.8.</w:t>
        </w:r>
        <w:r>
          <w:rPr>
            <w:rFonts w:asciiTheme="minorHAnsi" w:eastAsiaTheme="minorEastAsia" w:hAnsiTheme="minorHAnsi"/>
            <w:noProof/>
            <w:lang w:eastAsia="en-AU"/>
          </w:rPr>
          <w:tab/>
        </w:r>
        <w:r w:rsidRPr="007A221C">
          <w:rPr>
            <w:rStyle w:val="Hyperlink"/>
            <w:noProof/>
          </w:rPr>
          <w:t>Pit and pipe specifications</w:t>
        </w:r>
        <w:r>
          <w:rPr>
            <w:noProof/>
            <w:webHidden/>
          </w:rPr>
          <w:tab/>
        </w:r>
        <w:r>
          <w:rPr>
            <w:noProof/>
            <w:webHidden/>
          </w:rPr>
          <w:fldChar w:fldCharType="begin"/>
        </w:r>
        <w:r>
          <w:rPr>
            <w:noProof/>
            <w:webHidden/>
          </w:rPr>
          <w:instrText xml:space="preserve"> PAGEREF _Toc60751291 \h </w:instrText>
        </w:r>
        <w:r>
          <w:rPr>
            <w:noProof/>
            <w:webHidden/>
          </w:rPr>
        </w:r>
        <w:r>
          <w:rPr>
            <w:noProof/>
            <w:webHidden/>
          </w:rPr>
          <w:fldChar w:fldCharType="separate"/>
        </w:r>
        <w:r>
          <w:rPr>
            <w:noProof/>
            <w:webHidden/>
          </w:rPr>
          <w:t>24</w:t>
        </w:r>
        <w:r>
          <w:rPr>
            <w:noProof/>
            <w:webHidden/>
          </w:rPr>
          <w:fldChar w:fldCharType="end"/>
        </w:r>
      </w:hyperlink>
    </w:p>
    <w:p w14:paraId="0BEF4695" w14:textId="1EF44E2E" w:rsidR="00EE3AB0" w:rsidRDefault="00EE3AB0">
      <w:pPr>
        <w:pStyle w:val="TOC2"/>
        <w:rPr>
          <w:rFonts w:asciiTheme="minorHAnsi" w:eastAsiaTheme="minorEastAsia" w:hAnsiTheme="minorHAnsi"/>
          <w:noProof/>
          <w:lang w:eastAsia="en-AU"/>
        </w:rPr>
      </w:pPr>
      <w:hyperlink w:anchor="_Toc60751292" w:history="1">
        <w:r w:rsidRPr="007A221C">
          <w:rPr>
            <w:rStyle w:val="Hyperlink"/>
            <w:noProof/>
          </w:rPr>
          <w:t>4.9.</w:t>
        </w:r>
        <w:r>
          <w:rPr>
            <w:rFonts w:asciiTheme="minorHAnsi" w:eastAsiaTheme="minorEastAsia" w:hAnsiTheme="minorHAnsi"/>
            <w:noProof/>
            <w:lang w:eastAsia="en-AU"/>
          </w:rPr>
          <w:tab/>
        </w:r>
        <w:r w:rsidRPr="007A221C">
          <w:rPr>
            <w:rStyle w:val="Hyperlink"/>
            <w:noProof/>
          </w:rPr>
          <w:t>Voice service provision</w:t>
        </w:r>
        <w:r>
          <w:rPr>
            <w:noProof/>
            <w:webHidden/>
          </w:rPr>
          <w:tab/>
        </w:r>
        <w:r>
          <w:rPr>
            <w:noProof/>
            <w:webHidden/>
          </w:rPr>
          <w:fldChar w:fldCharType="begin"/>
        </w:r>
        <w:r>
          <w:rPr>
            <w:noProof/>
            <w:webHidden/>
          </w:rPr>
          <w:instrText xml:space="preserve"> PAGEREF _Toc60751292 \h </w:instrText>
        </w:r>
        <w:r>
          <w:rPr>
            <w:noProof/>
            <w:webHidden/>
          </w:rPr>
        </w:r>
        <w:r>
          <w:rPr>
            <w:noProof/>
            <w:webHidden/>
          </w:rPr>
          <w:fldChar w:fldCharType="separate"/>
        </w:r>
        <w:r>
          <w:rPr>
            <w:noProof/>
            <w:webHidden/>
          </w:rPr>
          <w:t>25</w:t>
        </w:r>
        <w:r>
          <w:rPr>
            <w:noProof/>
            <w:webHidden/>
          </w:rPr>
          <w:fldChar w:fldCharType="end"/>
        </w:r>
      </w:hyperlink>
    </w:p>
    <w:p w14:paraId="757386D6" w14:textId="3842E404" w:rsidR="00EE3AB0" w:rsidRDefault="00EE3AB0">
      <w:pPr>
        <w:pStyle w:val="TOC2"/>
        <w:rPr>
          <w:rFonts w:asciiTheme="minorHAnsi" w:eastAsiaTheme="minorEastAsia" w:hAnsiTheme="minorHAnsi"/>
          <w:noProof/>
          <w:lang w:eastAsia="en-AU"/>
        </w:rPr>
      </w:pPr>
      <w:hyperlink w:anchor="_Toc60751293" w:history="1">
        <w:r w:rsidRPr="007A221C">
          <w:rPr>
            <w:rStyle w:val="Hyperlink"/>
            <w:noProof/>
          </w:rPr>
          <w:t>4.10.</w:t>
        </w:r>
        <w:r>
          <w:rPr>
            <w:rFonts w:asciiTheme="minorHAnsi" w:eastAsiaTheme="minorEastAsia" w:hAnsiTheme="minorHAnsi"/>
            <w:noProof/>
            <w:lang w:eastAsia="en-AU"/>
          </w:rPr>
          <w:tab/>
        </w:r>
        <w:r w:rsidRPr="007A221C">
          <w:rPr>
            <w:rStyle w:val="Hyperlink"/>
            <w:noProof/>
          </w:rPr>
          <w:t>NBN support for broadcasting and other value-added services</w:t>
        </w:r>
        <w:r>
          <w:rPr>
            <w:noProof/>
            <w:webHidden/>
          </w:rPr>
          <w:tab/>
        </w:r>
        <w:r>
          <w:rPr>
            <w:noProof/>
            <w:webHidden/>
          </w:rPr>
          <w:fldChar w:fldCharType="begin"/>
        </w:r>
        <w:r>
          <w:rPr>
            <w:noProof/>
            <w:webHidden/>
          </w:rPr>
          <w:instrText xml:space="preserve"> PAGEREF _Toc60751293 \h </w:instrText>
        </w:r>
        <w:r>
          <w:rPr>
            <w:noProof/>
            <w:webHidden/>
          </w:rPr>
        </w:r>
        <w:r>
          <w:rPr>
            <w:noProof/>
            <w:webHidden/>
          </w:rPr>
          <w:fldChar w:fldCharType="separate"/>
        </w:r>
        <w:r>
          <w:rPr>
            <w:noProof/>
            <w:webHidden/>
          </w:rPr>
          <w:t>26</w:t>
        </w:r>
        <w:r>
          <w:rPr>
            <w:noProof/>
            <w:webHidden/>
          </w:rPr>
          <w:fldChar w:fldCharType="end"/>
        </w:r>
      </w:hyperlink>
    </w:p>
    <w:p w14:paraId="6C08AF3C" w14:textId="2D62A866" w:rsidR="00EE3AB0" w:rsidRDefault="00EE3AB0">
      <w:pPr>
        <w:pStyle w:val="TOC2"/>
        <w:rPr>
          <w:rFonts w:asciiTheme="minorHAnsi" w:eastAsiaTheme="minorEastAsia" w:hAnsiTheme="minorHAnsi"/>
          <w:noProof/>
          <w:lang w:eastAsia="en-AU"/>
        </w:rPr>
      </w:pPr>
      <w:hyperlink w:anchor="_Toc60751294" w:history="1">
        <w:r w:rsidRPr="007A221C">
          <w:rPr>
            <w:rStyle w:val="Hyperlink"/>
            <w:noProof/>
          </w:rPr>
          <w:t>4.11.</w:t>
        </w:r>
        <w:r>
          <w:rPr>
            <w:rFonts w:asciiTheme="minorHAnsi" w:eastAsiaTheme="minorEastAsia" w:hAnsiTheme="minorHAnsi"/>
            <w:noProof/>
            <w:lang w:eastAsia="en-AU"/>
          </w:rPr>
          <w:tab/>
        </w:r>
        <w:r w:rsidRPr="007A221C">
          <w:rPr>
            <w:rStyle w:val="Hyperlink"/>
            <w:noProof/>
          </w:rPr>
          <w:t>Role of state, territory and local governments</w:t>
        </w:r>
        <w:r>
          <w:rPr>
            <w:noProof/>
            <w:webHidden/>
          </w:rPr>
          <w:tab/>
        </w:r>
        <w:r>
          <w:rPr>
            <w:noProof/>
            <w:webHidden/>
          </w:rPr>
          <w:fldChar w:fldCharType="begin"/>
        </w:r>
        <w:r>
          <w:rPr>
            <w:noProof/>
            <w:webHidden/>
          </w:rPr>
          <w:instrText xml:space="preserve"> PAGEREF _Toc60751294 \h </w:instrText>
        </w:r>
        <w:r>
          <w:rPr>
            <w:noProof/>
            <w:webHidden/>
          </w:rPr>
        </w:r>
        <w:r>
          <w:rPr>
            <w:noProof/>
            <w:webHidden/>
          </w:rPr>
          <w:fldChar w:fldCharType="separate"/>
        </w:r>
        <w:r>
          <w:rPr>
            <w:noProof/>
            <w:webHidden/>
          </w:rPr>
          <w:t>26</w:t>
        </w:r>
        <w:r>
          <w:rPr>
            <w:noProof/>
            <w:webHidden/>
          </w:rPr>
          <w:fldChar w:fldCharType="end"/>
        </w:r>
      </w:hyperlink>
    </w:p>
    <w:p w14:paraId="2437756D" w14:textId="024DBFBA" w:rsidR="00EE3AB0" w:rsidRDefault="00EE3AB0" w:rsidP="00EE3AB0">
      <w:pPr>
        <w:pStyle w:val="TOC1"/>
        <w:rPr>
          <w:rFonts w:asciiTheme="minorHAnsi" w:eastAsiaTheme="minorEastAsia" w:hAnsiTheme="minorHAnsi"/>
          <w:color w:val="auto"/>
          <w:sz w:val="22"/>
          <w:lang w:eastAsia="en-AU"/>
        </w:rPr>
      </w:pPr>
      <w:hyperlink w:anchor="_Toc60751295" w:history="1">
        <w:r w:rsidRPr="007A221C">
          <w:rPr>
            <w:rStyle w:val="Hyperlink"/>
          </w:rPr>
          <w:t>5.</w:t>
        </w:r>
        <w:r>
          <w:rPr>
            <w:rFonts w:asciiTheme="minorHAnsi" w:eastAsiaTheme="minorEastAsia" w:hAnsiTheme="minorHAnsi"/>
            <w:color w:val="auto"/>
            <w:sz w:val="22"/>
            <w:lang w:eastAsia="en-AU"/>
          </w:rPr>
          <w:tab/>
        </w:r>
        <w:r w:rsidRPr="007A221C">
          <w:rPr>
            <w:rStyle w:val="Hyperlink"/>
          </w:rPr>
          <w:t>BACKHAUL</w:t>
        </w:r>
        <w:r>
          <w:rPr>
            <w:webHidden/>
          </w:rPr>
          <w:tab/>
        </w:r>
        <w:r>
          <w:rPr>
            <w:webHidden/>
          </w:rPr>
          <w:fldChar w:fldCharType="begin"/>
        </w:r>
        <w:r>
          <w:rPr>
            <w:webHidden/>
          </w:rPr>
          <w:instrText xml:space="preserve"> PAGEREF _Toc60751295 \h </w:instrText>
        </w:r>
        <w:r>
          <w:rPr>
            <w:webHidden/>
          </w:rPr>
        </w:r>
        <w:r>
          <w:rPr>
            <w:webHidden/>
          </w:rPr>
          <w:fldChar w:fldCharType="separate"/>
        </w:r>
        <w:r>
          <w:rPr>
            <w:webHidden/>
          </w:rPr>
          <w:t>28</w:t>
        </w:r>
        <w:r>
          <w:rPr>
            <w:webHidden/>
          </w:rPr>
          <w:fldChar w:fldCharType="end"/>
        </w:r>
      </w:hyperlink>
    </w:p>
    <w:p w14:paraId="7EA0AE56" w14:textId="334CBDD3" w:rsidR="00EE3AB0" w:rsidRDefault="00EE3AB0">
      <w:pPr>
        <w:pStyle w:val="TOC2"/>
        <w:rPr>
          <w:rFonts w:asciiTheme="minorHAnsi" w:eastAsiaTheme="minorEastAsia" w:hAnsiTheme="minorHAnsi"/>
          <w:noProof/>
          <w:lang w:eastAsia="en-AU"/>
        </w:rPr>
      </w:pPr>
      <w:hyperlink w:anchor="_Toc60751296" w:history="1">
        <w:r w:rsidRPr="007A221C">
          <w:rPr>
            <w:rStyle w:val="Hyperlink"/>
            <w:noProof/>
          </w:rPr>
          <w:t>5.1.</w:t>
        </w:r>
        <w:r>
          <w:rPr>
            <w:rFonts w:asciiTheme="minorHAnsi" w:eastAsiaTheme="minorEastAsia" w:hAnsiTheme="minorHAnsi"/>
            <w:noProof/>
            <w:lang w:eastAsia="en-AU"/>
          </w:rPr>
          <w:tab/>
        </w:r>
        <w:r w:rsidRPr="007A221C">
          <w:rPr>
            <w:rStyle w:val="Hyperlink"/>
            <w:noProof/>
          </w:rPr>
          <w:t>Backhaul costs</w:t>
        </w:r>
        <w:r>
          <w:rPr>
            <w:noProof/>
            <w:webHidden/>
          </w:rPr>
          <w:tab/>
        </w:r>
        <w:r>
          <w:rPr>
            <w:noProof/>
            <w:webHidden/>
          </w:rPr>
          <w:fldChar w:fldCharType="begin"/>
        </w:r>
        <w:r>
          <w:rPr>
            <w:noProof/>
            <w:webHidden/>
          </w:rPr>
          <w:instrText xml:space="preserve"> PAGEREF _Toc60751296 \h </w:instrText>
        </w:r>
        <w:r>
          <w:rPr>
            <w:noProof/>
            <w:webHidden/>
          </w:rPr>
        </w:r>
        <w:r>
          <w:rPr>
            <w:noProof/>
            <w:webHidden/>
          </w:rPr>
          <w:fldChar w:fldCharType="separate"/>
        </w:r>
        <w:r>
          <w:rPr>
            <w:noProof/>
            <w:webHidden/>
          </w:rPr>
          <w:t>28</w:t>
        </w:r>
        <w:r>
          <w:rPr>
            <w:noProof/>
            <w:webHidden/>
          </w:rPr>
          <w:fldChar w:fldCharType="end"/>
        </w:r>
      </w:hyperlink>
    </w:p>
    <w:p w14:paraId="754D0DFA" w14:textId="7FAE8CFD" w:rsidR="00EE3AB0" w:rsidRDefault="00EE3AB0">
      <w:pPr>
        <w:pStyle w:val="TOC2"/>
        <w:rPr>
          <w:rFonts w:asciiTheme="minorHAnsi" w:eastAsiaTheme="minorEastAsia" w:hAnsiTheme="minorHAnsi"/>
          <w:noProof/>
          <w:lang w:eastAsia="en-AU"/>
        </w:rPr>
      </w:pPr>
      <w:hyperlink w:anchor="_Toc60751297" w:history="1">
        <w:r w:rsidRPr="007A221C">
          <w:rPr>
            <w:rStyle w:val="Hyperlink"/>
            <w:noProof/>
          </w:rPr>
          <w:t>5.2.</w:t>
        </w:r>
        <w:r>
          <w:rPr>
            <w:rFonts w:asciiTheme="minorHAnsi" w:eastAsiaTheme="minorEastAsia" w:hAnsiTheme="minorHAnsi"/>
            <w:noProof/>
            <w:lang w:eastAsia="en-AU"/>
          </w:rPr>
          <w:tab/>
        </w:r>
        <w:r w:rsidRPr="007A221C">
          <w:rPr>
            <w:rStyle w:val="Hyperlink"/>
            <w:noProof/>
          </w:rPr>
          <w:t>Provision of backhaul services by NBN Co</w:t>
        </w:r>
        <w:r>
          <w:rPr>
            <w:noProof/>
            <w:webHidden/>
          </w:rPr>
          <w:tab/>
        </w:r>
        <w:r>
          <w:rPr>
            <w:noProof/>
            <w:webHidden/>
          </w:rPr>
          <w:fldChar w:fldCharType="begin"/>
        </w:r>
        <w:r>
          <w:rPr>
            <w:noProof/>
            <w:webHidden/>
          </w:rPr>
          <w:instrText xml:space="preserve"> PAGEREF _Toc60751297 \h </w:instrText>
        </w:r>
        <w:r>
          <w:rPr>
            <w:noProof/>
            <w:webHidden/>
          </w:rPr>
        </w:r>
        <w:r>
          <w:rPr>
            <w:noProof/>
            <w:webHidden/>
          </w:rPr>
          <w:fldChar w:fldCharType="separate"/>
        </w:r>
        <w:r>
          <w:rPr>
            <w:noProof/>
            <w:webHidden/>
          </w:rPr>
          <w:t>28</w:t>
        </w:r>
        <w:r>
          <w:rPr>
            <w:noProof/>
            <w:webHidden/>
          </w:rPr>
          <w:fldChar w:fldCharType="end"/>
        </w:r>
      </w:hyperlink>
    </w:p>
    <w:p w14:paraId="281E3006" w14:textId="6A45BD0F" w:rsidR="00EE3AB0" w:rsidRDefault="00EE3AB0">
      <w:pPr>
        <w:pStyle w:val="TOC2"/>
        <w:rPr>
          <w:rFonts w:asciiTheme="minorHAnsi" w:eastAsiaTheme="minorEastAsia" w:hAnsiTheme="minorHAnsi"/>
          <w:noProof/>
          <w:lang w:eastAsia="en-AU"/>
        </w:rPr>
      </w:pPr>
      <w:hyperlink w:anchor="_Toc60751298" w:history="1">
        <w:r w:rsidRPr="007A221C">
          <w:rPr>
            <w:rStyle w:val="Hyperlink"/>
            <w:noProof/>
          </w:rPr>
          <w:t>5.3.</w:t>
        </w:r>
        <w:r>
          <w:rPr>
            <w:rFonts w:asciiTheme="minorHAnsi" w:eastAsiaTheme="minorEastAsia" w:hAnsiTheme="minorHAnsi"/>
            <w:noProof/>
            <w:lang w:eastAsia="en-AU"/>
          </w:rPr>
          <w:tab/>
        </w:r>
        <w:r w:rsidRPr="007A221C">
          <w:rPr>
            <w:rStyle w:val="Hyperlink"/>
            <w:noProof/>
          </w:rPr>
          <w:t>Capped backhaul contributions</w:t>
        </w:r>
        <w:r>
          <w:rPr>
            <w:noProof/>
            <w:webHidden/>
          </w:rPr>
          <w:tab/>
        </w:r>
        <w:r>
          <w:rPr>
            <w:noProof/>
            <w:webHidden/>
          </w:rPr>
          <w:fldChar w:fldCharType="begin"/>
        </w:r>
        <w:r>
          <w:rPr>
            <w:noProof/>
            <w:webHidden/>
          </w:rPr>
          <w:instrText xml:space="preserve"> PAGEREF _Toc60751298 \h </w:instrText>
        </w:r>
        <w:r>
          <w:rPr>
            <w:noProof/>
            <w:webHidden/>
          </w:rPr>
        </w:r>
        <w:r>
          <w:rPr>
            <w:noProof/>
            <w:webHidden/>
          </w:rPr>
          <w:fldChar w:fldCharType="separate"/>
        </w:r>
        <w:r>
          <w:rPr>
            <w:noProof/>
            <w:webHidden/>
          </w:rPr>
          <w:t>29</w:t>
        </w:r>
        <w:r>
          <w:rPr>
            <w:noProof/>
            <w:webHidden/>
          </w:rPr>
          <w:fldChar w:fldCharType="end"/>
        </w:r>
      </w:hyperlink>
    </w:p>
    <w:p w14:paraId="292527EE" w14:textId="5B4DDD39" w:rsidR="00EE3AB0" w:rsidRDefault="00EE3AB0">
      <w:pPr>
        <w:pStyle w:val="TOC2"/>
        <w:rPr>
          <w:rFonts w:asciiTheme="minorHAnsi" w:eastAsiaTheme="minorEastAsia" w:hAnsiTheme="minorHAnsi"/>
          <w:noProof/>
          <w:lang w:eastAsia="en-AU"/>
        </w:rPr>
      </w:pPr>
      <w:hyperlink w:anchor="_Toc60751299" w:history="1">
        <w:r w:rsidRPr="007A221C">
          <w:rPr>
            <w:rStyle w:val="Hyperlink"/>
            <w:noProof/>
          </w:rPr>
          <w:t>5.4.</w:t>
        </w:r>
        <w:r>
          <w:rPr>
            <w:rFonts w:asciiTheme="minorHAnsi" w:eastAsiaTheme="minorEastAsia" w:hAnsiTheme="minorHAnsi"/>
            <w:noProof/>
            <w:lang w:eastAsia="en-AU"/>
          </w:rPr>
          <w:tab/>
        </w:r>
        <w:r w:rsidRPr="007A221C">
          <w:rPr>
            <w:rStyle w:val="Hyperlink"/>
            <w:noProof/>
          </w:rPr>
          <w:t>Measures to assist developers with backhaul charges</w:t>
        </w:r>
        <w:r>
          <w:rPr>
            <w:noProof/>
            <w:webHidden/>
          </w:rPr>
          <w:tab/>
        </w:r>
        <w:r>
          <w:rPr>
            <w:noProof/>
            <w:webHidden/>
          </w:rPr>
          <w:fldChar w:fldCharType="begin"/>
        </w:r>
        <w:r>
          <w:rPr>
            <w:noProof/>
            <w:webHidden/>
          </w:rPr>
          <w:instrText xml:space="preserve"> PAGEREF _Toc60751299 \h </w:instrText>
        </w:r>
        <w:r>
          <w:rPr>
            <w:noProof/>
            <w:webHidden/>
          </w:rPr>
        </w:r>
        <w:r>
          <w:rPr>
            <w:noProof/>
            <w:webHidden/>
          </w:rPr>
          <w:fldChar w:fldCharType="separate"/>
        </w:r>
        <w:r>
          <w:rPr>
            <w:noProof/>
            <w:webHidden/>
          </w:rPr>
          <w:t>30</w:t>
        </w:r>
        <w:r>
          <w:rPr>
            <w:noProof/>
            <w:webHidden/>
          </w:rPr>
          <w:fldChar w:fldCharType="end"/>
        </w:r>
      </w:hyperlink>
    </w:p>
    <w:p w14:paraId="11798F75" w14:textId="32E1420A" w:rsidR="00EE3AB0" w:rsidRDefault="00EE3AB0" w:rsidP="00EE3AB0">
      <w:pPr>
        <w:pStyle w:val="TOC1"/>
        <w:rPr>
          <w:rFonts w:asciiTheme="minorHAnsi" w:eastAsiaTheme="minorEastAsia" w:hAnsiTheme="minorHAnsi"/>
          <w:color w:val="auto"/>
          <w:sz w:val="22"/>
          <w:lang w:eastAsia="en-AU"/>
        </w:rPr>
      </w:pPr>
      <w:hyperlink w:anchor="_Toc60751300" w:history="1">
        <w:r w:rsidRPr="007A221C">
          <w:rPr>
            <w:rStyle w:val="Hyperlink"/>
          </w:rPr>
          <w:t>6.</w:t>
        </w:r>
        <w:r>
          <w:rPr>
            <w:rFonts w:asciiTheme="minorHAnsi" w:eastAsiaTheme="minorEastAsia" w:hAnsiTheme="minorHAnsi"/>
            <w:color w:val="auto"/>
            <w:sz w:val="22"/>
            <w:lang w:eastAsia="en-AU"/>
          </w:rPr>
          <w:tab/>
        </w:r>
        <w:r w:rsidRPr="007A221C">
          <w:rPr>
            <w:rStyle w:val="Hyperlink"/>
          </w:rPr>
          <w:t>ALTERNATIVE PROVISION MODELS</w:t>
        </w:r>
        <w:r>
          <w:rPr>
            <w:webHidden/>
          </w:rPr>
          <w:tab/>
        </w:r>
        <w:r>
          <w:rPr>
            <w:webHidden/>
          </w:rPr>
          <w:fldChar w:fldCharType="begin"/>
        </w:r>
        <w:r>
          <w:rPr>
            <w:webHidden/>
          </w:rPr>
          <w:instrText xml:space="preserve"> PAGEREF _Toc60751300 \h </w:instrText>
        </w:r>
        <w:r>
          <w:rPr>
            <w:webHidden/>
          </w:rPr>
        </w:r>
        <w:r>
          <w:rPr>
            <w:webHidden/>
          </w:rPr>
          <w:fldChar w:fldCharType="separate"/>
        </w:r>
        <w:r>
          <w:rPr>
            <w:webHidden/>
          </w:rPr>
          <w:t>32</w:t>
        </w:r>
        <w:r>
          <w:rPr>
            <w:webHidden/>
          </w:rPr>
          <w:fldChar w:fldCharType="end"/>
        </w:r>
      </w:hyperlink>
    </w:p>
    <w:p w14:paraId="7F81459B" w14:textId="41DFBD89" w:rsidR="00EE3AB0" w:rsidRDefault="00EE3AB0">
      <w:pPr>
        <w:pStyle w:val="TOC2"/>
        <w:rPr>
          <w:rFonts w:asciiTheme="minorHAnsi" w:eastAsiaTheme="minorEastAsia" w:hAnsiTheme="minorHAnsi"/>
          <w:noProof/>
          <w:lang w:eastAsia="en-AU"/>
        </w:rPr>
      </w:pPr>
      <w:hyperlink w:anchor="_Toc60751301" w:history="1">
        <w:r w:rsidRPr="007A221C">
          <w:rPr>
            <w:rStyle w:val="Hyperlink"/>
            <w:noProof/>
          </w:rPr>
          <w:t>6.1.</w:t>
        </w:r>
        <w:r>
          <w:rPr>
            <w:rFonts w:asciiTheme="minorHAnsi" w:eastAsiaTheme="minorEastAsia" w:hAnsiTheme="minorHAnsi"/>
            <w:noProof/>
            <w:lang w:eastAsia="en-AU"/>
          </w:rPr>
          <w:tab/>
        </w:r>
        <w:r w:rsidRPr="007A221C">
          <w:rPr>
            <w:rStyle w:val="Hyperlink"/>
            <w:noProof/>
          </w:rPr>
          <w:t>Build and transfer</w:t>
        </w:r>
        <w:r>
          <w:rPr>
            <w:noProof/>
            <w:webHidden/>
          </w:rPr>
          <w:tab/>
        </w:r>
        <w:r>
          <w:rPr>
            <w:noProof/>
            <w:webHidden/>
          </w:rPr>
          <w:fldChar w:fldCharType="begin"/>
        </w:r>
        <w:r>
          <w:rPr>
            <w:noProof/>
            <w:webHidden/>
          </w:rPr>
          <w:instrText xml:space="preserve"> PAGEREF _Toc60751301 \h </w:instrText>
        </w:r>
        <w:r>
          <w:rPr>
            <w:noProof/>
            <w:webHidden/>
          </w:rPr>
        </w:r>
        <w:r>
          <w:rPr>
            <w:noProof/>
            <w:webHidden/>
          </w:rPr>
          <w:fldChar w:fldCharType="separate"/>
        </w:r>
        <w:r>
          <w:rPr>
            <w:noProof/>
            <w:webHidden/>
          </w:rPr>
          <w:t>32</w:t>
        </w:r>
        <w:r>
          <w:rPr>
            <w:noProof/>
            <w:webHidden/>
          </w:rPr>
          <w:fldChar w:fldCharType="end"/>
        </w:r>
      </w:hyperlink>
    </w:p>
    <w:p w14:paraId="1D583DCD" w14:textId="4A3F7305" w:rsidR="00EE3AB0" w:rsidRDefault="00EE3AB0">
      <w:pPr>
        <w:pStyle w:val="TOC2"/>
        <w:rPr>
          <w:rFonts w:asciiTheme="minorHAnsi" w:eastAsiaTheme="minorEastAsia" w:hAnsiTheme="minorHAnsi"/>
          <w:noProof/>
          <w:lang w:eastAsia="en-AU"/>
        </w:rPr>
      </w:pPr>
      <w:hyperlink w:anchor="_Toc60751302" w:history="1">
        <w:r w:rsidRPr="007A221C">
          <w:rPr>
            <w:rStyle w:val="Hyperlink"/>
            <w:noProof/>
          </w:rPr>
          <w:t>6.2.</w:t>
        </w:r>
        <w:r>
          <w:rPr>
            <w:rFonts w:asciiTheme="minorHAnsi" w:eastAsiaTheme="minorEastAsia" w:hAnsiTheme="minorHAnsi"/>
            <w:noProof/>
            <w:lang w:eastAsia="en-AU"/>
          </w:rPr>
          <w:tab/>
        </w:r>
        <w:r w:rsidRPr="007A221C">
          <w:rPr>
            <w:rStyle w:val="Hyperlink"/>
            <w:noProof/>
          </w:rPr>
          <w:t>Other contractual models</w:t>
        </w:r>
        <w:r>
          <w:rPr>
            <w:noProof/>
            <w:webHidden/>
          </w:rPr>
          <w:tab/>
        </w:r>
        <w:r>
          <w:rPr>
            <w:noProof/>
            <w:webHidden/>
          </w:rPr>
          <w:fldChar w:fldCharType="begin"/>
        </w:r>
        <w:r>
          <w:rPr>
            <w:noProof/>
            <w:webHidden/>
          </w:rPr>
          <w:instrText xml:space="preserve"> PAGEREF _Toc60751302 \h </w:instrText>
        </w:r>
        <w:r>
          <w:rPr>
            <w:noProof/>
            <w:webHidden/>
          </w:rPr>
        </w:r>
        <w:r>
          <w:rPr>
            <w:noProof/>
            <w:webHidden/>
          </w:rPr>
          <w:fldChar w:fldCharType="separate"/>
        </w:r>
        <w:r>
          <w:rPr>
            <w:noProof/>
            <w:webHidden/>
          </w:rPr>
          <w:t>32</w:t>
        </w:r>
        <w:r>
          <w:rPr>
            <w:noProof/>
            <w:webHidden/>
          </w:rPr>
          <w:fldChar w:fldCharType="end"/>
        </w:r>
      </w:hyperlink>
    </w:p>
    <w:p w14:paraId="5D47A9ED" w14:textId="313C3634" w:rsidR="00EE3AB0" w:rsidRDefault="00EE3AB0" w:rsidP="00EE3AB0">
      <w:pPr>
        <w:pStyle w:val="TOC1"/>
        <w:rPr>
          <w:rFonts w:asciiTheme="minorHAnsi" w:eastAsiaTheme="minorEastAsia" w:hAnsiTheme="minorHAnsi"/>
          <w:color w:val="auto"/>
          <w:sz w:val="22"/>
          <w:lang w:eastAsia="en-AU"/>
        </w:rPr>
      </w:pPr>
      <w:hyperlink w:anchor="_Toc60751303" w:history="1">
        <w:r w:rsidRPr="007A221C">
          <w:rPr>
            <w:rStyle w:val="Hyperlink"/>
          </w:rPr>
          <w:t>7.</w:t>
        </w:r>
        <w:r>
          <w:rPr>
            <w:rFonts w:asciiTheme="minorHAnsi" w:eastAsiaTheme="minorEastAsia" w:hAnsiTheme="minorHAnsi"/>
            <w:color w:val="auto"/>
            <w:sz w:val="22"/>
            <w:lang w:eastAsia="en-AU"/>
          </w:rPr>
          <w:tab/>
        </w:r>
        <w:r w:rsidRPr="007A221C">
          <w:rPr>
            <w:rStyle w:val="Hyperlink"/>
          </w:rPr>
          <w:t>TRANSITIONAL ARRANGEMENTS</w:t>
        </w:r>
        <w:r>
          <w:rPr>
            <w:webHidden/>
          </w:rPr>
          <w:tab/>
        </w:r>
        <w:r>
          <w:rPr>
            <w:webHidden/>
          </w:rPr>
          <w:fldChar w:fldCharType="begin"/>
        </w:r>
        <w:r>
          <w:rPr>
            <w:webHidden/>
          </w:rPr>
          <w:instrText xml:space="preserve"> PAGEREF _Toc60751303 \h </w:instrText>
        </w:r>
        <w:r>
          <w:rPr>
            <w:webHidden/>
          </w:rPr>
        </w:r>
        <w:r>
          <w:rPr>
            <w:webHidden/>
          </w:rPr>
          <w:fldChar w:fldCharType="separate"/>
        </w:r>
        <w:r>
          <w:rPr>
            <w:webHidden/>
          </w:rPr>
          <w:t>34</w:t>
        </w:r>
        <w:r>
          <w:rPr>
            <w:webHidden/>
          </w:rPr>
          <w:fldChar w:fldCharType="end"/>
        </w:r>
      </w:hyperlink>
    </w:p>
    <w:p w14:paraId="214EDBBD" w14:textId="5FF6FA26" w:rsidR="00EE3AB0" w:rsidRDefault="00EE3AB0" w:rsidP="00EE3AB0">
      <w:pPr>
        <w:pStyle w:val="TOC1"/>
        <w:rPr>
          <w:rFonts w:asciiTheme="minorHAnsi" w:eastAsiaTheme="minorEastAsia" w:hAnsiTheme="minorHAnsi"/>
          <w:color w:val="auto"/>
          <w:sz w:val="22"/>
          <w:lang w:eastAsia="en-AU"/>
        </w:rPr>
      </w:pPr>
      <w:hyperlink w:anchor="_Toc60751304" w:history="1">
        <w:r w:rsidRPr="007A221C">
          <w:rPr>
            <w:rStyle w:val="Hyperlink"/>
          </w:rPr>
          <w:t>8.</w:t>
        </w:r>
        <w:r>
          <w:rPr>
            <w:rFonts w:asciiTheme="minorHAnsi" w:eastAsiaTheme="minorEastAsia" w:hAnsiTheme="minorHAnsi"/>
            <w:color w:val="auto"/>
            <w:sz w:val="22"/>
            <w:lang w:eastAsia="en-AU"/>
          </w:rPr>
          <w:tab/>
        </w:r>
        <w:r w:rsidRPr="007A221C">
          <w:rPr>
            <w:rStyle w:val="Hyperlink"/>
          </w:rPr>
          <w:t>GLOSSARY</w:t>
        </w:r>
        <w:r>
          <w:rPr>
            <w:webHidden/>
          </w:rPr>
          <w:tab/>
        </w:r>
        <w:r>
          <w:rPr>
            <w:webHidden/>
          </w:rPr>
          <w:fldChar w:fldCharType="begin"/>
        </w:r>
        <w:r>
          <w:rPr>
            <w:webHidden/>
          </w:rPr>
          <w:instrText xml:space="preserve"> PAGEREF _Toc60751304 \h </w:instrText>
        </w:r>
        <w:r>
          <w:rPr>
            <w:webHidden/>
          </w:rPr>
        </w:r>
        <w:r>
          <w:rPr>
            <w:webHidden/>
          </w:rPr>
          <w:fldChar w:fldCharType="separate"/>
        </w:r>
        <w:r>
          <w:rPr>
            <w:webHidden/>
          </w:rPr>
          <w:t>36</w:t>
        </w:r>
        <w:r>
          <w:rPr>
            <w:webHidden/>
          </w:rPr>
          <w:fldChar w:fldCharType="end"/>
        </w:r>
      </w:hyperlink>
    </w:p>
    <w:p w14:paraId="6950B80D" w14:textId="7E1DE6DF" w:rsidR="00EE3AB0" w:rsidRDefault="00EE3AB0" w:rsidP="00EE3AB0">
      <w:pPr>
        <w:pStyle w:val="TOC1"/>
        <w:rPr>
          <w:rFonts w:asciiTheme="minorHAnsi" w:eastAsiaTheme="minorEastAsia" w:hAnsiTheme="minorHAnsi"/>
          <w:color w:val="auto"/>
          <w:sz w:val="22"/>
          <w:lang w:eastAsia="en-AU"/>
        </w:rPr>
      </w:pPr>
      <w:hyperlink w:anchor="_Toc60751305" w:history="1">
        <w:r w:rsidRPr="007A221C">
          <w:rPr>
            <w:rStyle w:val="Hyperlink"/>
          </w:rPr>
          <w:t>9.</w:t>
        </w:r>
        <w:r>
          <w:rPr>
            <w:rFonts w:asciiTheme="minorHAnsi" w:eastAsiaTheme="minorEastAsia" w:hAnsiTheme="minorHAnsi"/>
            <w:color w:val="auto"/>
            <w:sz w:val="22"/>
            <w:lang w:eastAsia="en-AU"/>
          </w:rPr>
          <w:tab/>
        </w:r>
        <w:r w:rsidRPr="007A221C">
          <w:rPr>
            <w:rStyle w:val="Hyperlink"/>
          </w:rPr>
          <w:t>KEY DATES</w:t>
        </w:r>
        <w:r>
          <w:rPr>
            <w:webHidden/>
          </w:rPr>
          <w:tab/>
        </w:r>
        <w:r>
          <w:rPr>
            <w:webHidden/>
          </w:rPr>
          <w:fldChar w:fldCharType="begin"/>
        </w:r>
        <w:r>
          <w:rPr>
            <w:webHidden/>
          </w:rPr>
          <w:instrText xml:space="preserve"> PAGEREF _Toc60751305 \h </w:instrText>
        </w:r>
        <w:r>
          <w:rPr>
            <w:webHidden/>
          </w:rPr>
        </w:r>
        <w:r>
          <w:rPr>
            <w:webHidden/>
          </w:rPr>
          <w:fldChar w:fldCharType="separate"/>
        </w:r>
        <w:r>
          <w:rPr>
            <w:webHidden/>
          </w:rPr>
          <w:t>37</w:t>
        </w:r>
        <w:r>
          <w:rPr>
            <w:webHidden/>
          </w:rPr>
          <w:fldChar w:fldCharType="end"/>
        </w:r>
      </w:hyperlink>
    </w:p>
    <w:p w14:paraId="203F1DC1" w14:textId="453D92A1" w:rsidR="00B46E1B" w:rsidRPr="00092DA3" w:rsidRDefault="00AF5855" w:rsidP="006917CB">
      <w:r>
        <w:rPr>
          <w:noProof/>
          <w:color w:val="0072B9"/>
          <w:sz w:val="24"/>
        </w:rPr>
        <w:fldChar w:fldCharType="end"/>
      </w:r>
      <w:r w:rsidR="00C61801" w:rsidRPr="00092DA3">
        <w:br w:type="page"/>
      </w:r>
      <w:bookmarkStart w:id="13" w:name="_Toc382493210"/>
      <w:bookmarkStart w:id="14" w:name="_Toc382580071"/>
    </w:p>
    <w:p w14:paraId="30652B96" w14:textId="77777777" w:rsidR="009C01C3" w:rsidRPr="00092DA3" w:rsidRDefault="009C01C3" w:rsidP="009C01C3">
      <w:pPr>
        <w:pStyle w:val="Heading1"/>
      </w:pPr>
      <w:bookmarkStart w:id="15" w:name="_Toc416175149"/>
      <w:bookmarkStart w:id="16" w:name="_Toc60751259"/>
      <w:bookmarkEnd w:id="13"/>
      <w:bookmarkEnd w:id="14"/>
      <w:r w:rsidRPr="00092DA3">
        <w:t>OVERVIEW</w:t>
      </w:r>
      <w:bookmarkEnd w:id="15"/>
      <w:bookmarkEnd w:id="16"/>
    </w:p>
    <w:p w14:paraId="3445F55B" w14:textId="3CB7C967" w:rsidR="009C01C3" w:rsidRDefault="009A07F7" w:rsidP="009C01C3">
      <w:pPr>
        <w:spacing w:after="120"/>
      </w:pPr>
      <w:r w:rsidRPr="00092DA3">
        <w:t xml:space="preserve">This </w:t>
      </w:r>
      <w:r w:rsidR="00D11F0D" w:rsidRPr="00092DA3">
        <w:t xml:space="preserve">document </w:t>
      </w:r>
      <w:r w:rsidRPr="00092DA3">
        <w:t xml:space="preserve">sets out the </w:t>
      </w:r>
      <w:r w:rsidR="00C44791" w:rsidRPr="00092DA3">
        <w:t xml:space="preserve">Australian </w:t>
      </w:r>
      <w:r w:rsidRPr="00092DA3">
        <w:t xml:space="preserve">Government’s </w:t>
      </w:r>
      <w:r w:rsidR="00D11F0D" w:rsidRPr="00092DA3">
        <w:t xml:space="preserve">revised </w:t>
      </w:r>
      <w:r w:rsidR="00C44791" w:rsidRPr="00092DA3">
        <w:t>policy on</w:t>
      </w:r>
      <w:r w:rsidRPr="00092DA3">
        <w:t xml:space="preserve"> the provision of telecommunications infrastructure in new developments.</w:t>
      </w:r>
      <w:r w:rsidR="00E53A0E">
        <w:t xml:space="preserve"> </w:t>
      </w:r>
      <w:r w:rsidR="00C44791" w:rsidRPr="00092DA3">
        <w:t xml:space="preserve">The policy’s fundamental objective is to </w:t>
      </w:r>
      <w:r w:rsidR="00D11F0D" w:rsidRPr="00092DA3">
        <w:t>increase</w:t>
      </w:r>
      <w:r w:rsidR="00C44791" w:rsidRPr="00092DA3">
        <w:t xml:space="preserve"> efficiency </w:t>
      </w:r>
      <w:r w:rsidR="00D11F0D" w:rsidRPr="00092DA3">
        <w:t xml:space="preserve">and broaden choice </w:t>
      </w:r>
      <w:r w:rsidR="00C44791" w:rsidRPr="00092DA3">
        <w:t xml:space="preserve">in the </w:t>
      </w:r>
      <w:r w:rsidR="005B3F6C" w:rsidRPr="00092DA3">
        <w:t xml:space="preserve">provision of telecommunications </w:t>
      </w:r>
      <w:r w:rsidR="00D11F0D" w:rsidRPr="00092DA3">
        <w:t>in these areas</w:t>
      </w:r>
      <w:r w:rsidR="005B3F6C" w:rsidRPr="00092DA3">
        <w:t xml:space="preserve"> </w:t>
      </w:r>
      <w:r w:rsidR="00D11F0D" w:rsidRPr="00092DA3">
        <w:t>by encouraging fair</w:t>
      </w:r>
      <w:r w:rsidR="00C44791" w:rsidRPr="00092DA3">
        <w:t xml:space="preserve"> compet</w:t>
      </w:r>
      <w:r w:rsidR="005B3F6C" w:rsidRPr="00092DA3">
        <w:t>i</w:t>
      </w:r>
      <w:r w:rsidR="00C44791" w:rsidRPr="00092DA3">
        <w:t xml:space="preserve">tion and </w:t>
      </w:r>
      <w:r w:rsidR="00D11F0D" w:rsidRPr="00092DA3">
        <w:t>ensuring some recovery of costs up front</w:t>
      </w:r>
      <w:r w:rsidR="005B3F6C" w:rsidRPr="00092DA3">
        <w:t xml:space="preserve">. </w:t>
      </w:r>
      <w:r w:rsidR="00936E73" w:rsidRPr="00092DA3">
        <w:t xml:space="preserve">The policy is effective from 1 March 2015. </w:t>
      </w:r>
      <w:r w:rsidR="00C44791" w:rsidRPr="00092DA3">
        <w:t xml:space="preserve">Page </w:t>
      </w:r>
      <w:r w:rsidR="00DA01D7" w:rsidRPr="00092DA3">
        <w:t>3</w:t>
      </w:r>
      <w:r w:rsidR="0076774A" w:rsidRPr="00092DA3">
        <w:t>7</w:t>
      </w:r>
      <w:r w:rsidR="00C44791" w:rsidRPr="00092DA3">
        <w:t xml:space="preserve"> has a</w:t>
      </w:r>
      <w:r w:rsidRPr="00092DA3">
        <w:t xml:space="preserve"> glossary of terms used in th</w:t>
      </w:r>
      <w:r w:rsidR="00C44791" w:rsidRPr="00092DA3">
        <w:t>e</w:t>
      </w:r>
      <w:r w:rsidRPr="00092DA3">
        <w:t xml:space="preserve"> document.</w:t>
      </w:r>
      <w:r w:rsidR="00E53A0E">
        <w:t xml:space="preserve"> </w:t>
      </w:r>
      <w:r w:rsidR="002A5928" w:rsidRPr="00092DA3">
        <w:t>All charges are GST inclusive, unless specifically marked otherwise.</w:t>
      </w:r>
    </w:p>
    <w:p w14:paraId="0D546AA4" w14:textId="77777777" w:rsidR="00044EB3" w:rsidRPr="00092DA3" w:rsidRDefault="00044EB3" w:rsidP="00044EB3">
      <w:pPr>
        <w:pBdr>
          <w:top w:val="single" w:sz="4" w:space="1" w:color="auto"/>
          <w:left w:val="single" w:sz="4" w:space="4" w:color="auto"/>
          <w:bottom w:val="single" w:sz="4" w:space="1" w:color="auto"/>
          <w:right w:val="single" w:sz="4" w:space="4" w:color="auto"/>
        </w:pBdr>
        <w:spacing w:before="120" w:after="200" w:line="276" w:lineRule="auto"/>
      </w:pPr>
      <w:r w:rsidRPr="00092DA3">
        <w:t>The key elements of this policy are:</w:t>
      </w:r>
    </w:p>
    <w:p w14:paraId="7A8BD2A4"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Developers will choose among competing infrastructure providers. Competition will put downward press</w:t>
      </w:r>
      <w:r>
        <w:t>ure</w:t>
      </w:r>
      <w:r w:rsidRPr="00092DA3">
        <w:t xml:space="preserve"> on costs and force providers to develop better offerings.</w:t>
      </w:r>
    </w:p>
    <w:p w14:paraId="611CDF34"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To ensure infrastructure in new developments meets consumer expectations, the Government will put in place carrier licence conditions specifying minimum standards.</w:t>
      </w:r>
    </w:p>
    <w:p w14:paraId="2BABB106" w14:textId="7DD61931"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NBN Co remains the infrastructure provider of last resort (IPOLR) in developments with 100 lots or more within its fixed line footprint.</w:t>
      </w:r>
      <w:r w:rsidR="00E53A0E">
        <w:t xml:space="preserve"> </w:t>
      </w:r>
      <w:r w:rsidRPr="00092DA3">
        <w:t>Telstra remains the IPOLR in developments with fewer than 100 lots and in developments outside the NBN fixed line footprint.</w:t>
      </w:r>
      <w:r w:rsidR="00E53A0E">
        <w:t xml:space="preserve"> </w:t>
      </w:r>
    </w:p>
    <w:p w14:paraId="74B2F291"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Telstra will continue to be the universal service provider for a basic voice service, with flexibility in the method of delivery and having regard to supply by other providers.</w:t>
      </w:r>
    </w:p>
    <w:p w14:paraId="10109825" w14:textId="791E478E"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Developers will meet the cost of pit and pipe infrastructure.</w:t>
      </w:r>
      <w:r w:rsidR="00E53A0E">
        <w:t xml:space="preserve"> </w:t>
      </w:r>
      <w:r w:rsidRPr="00092DA3">
        <w:t>Network providers (including NBN Co) may offer pit and pipe infrastructure as part of a turnkey solution.</w:t>
      </w:r>
    </w:p>
    <w:p w14:paraId="67A97378" w14:textId="78FAC578"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NBN Co will charge the retail service provider (RSP) which places an order for an NBN service to premises in a new development a one-time end-user</w:t>
      </w:r>
      <w:r w:rsidRPr="00092DA3">
        <w:rPr>
          <w:rStyle w:val="FootnoteReference"/>
        </w:rPr>
        <w:footnoteReference w:id="2"/>
      </w:r>
      <w:r w:rsidRPr="00092DA3">
        <w:t xml:space="preserve"> contribution of $300.</w:t>
      </w:r>
      <w:r w:rsidR="00E53A0E">
        <w:t xml:space="preserve"> </w:t>
      </w:r>
      <w:r w:rsidRPr="00092DA3">
        <w:t>It is anticipated that RSPs will pass the charge through to end</w:t>
      </w:r>
      <w:r>
        <w:t>-use</w:t>
      </w:r>
      <w:r w:rsidRPr="00092DA3">
        <w:t>rs.</w:t>
      </w:r>
    </w:p>
    <w:p w14:paraId="6ABFACFD" w14:textId="296BE6C9"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NBN Co will charge a deployment contribution on developers for in-estate infrastructure.</w:t>
      </w:r>
      <w:r w:rsidR="00E53A0E">
        <w:t xml:space="preserve"> </w:t>
      </w:r>
      <w:r w:rsidRPr="00092DA3">
        <w:t xml:space="preserve">The charge is $600 per single-dwelling unit lot/premises (SDU) and $400 per multi-dwelling unit premises (MDU). </w:t>
      </w:r>
    </w:p>
    <w:p w14:paraId="565C636A" w14:textId="2361949F"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NBN Co will not charge developers for backhaul if there is available backhaul for NBN Co to connect a new development. Where it does not have backhaul available to connect a new development, NBN Co may charge developers a contribution of up to 50 per cent of the first $1000 per lot of capital costs it incurs in providing backhaul.</w:t>
      </w:r>
      <w:r w:rsidR="00E53A0E">
        <w:t xml:space="preserve"> </w:t>
      </w:r>
      <w:r w:rsidRPr="00092DA3">
        <w:t>Developers will be liable for up to 100 per cent of backhaul costs in excess of $1000 per lot.</w:t>
      </w:r>
    </w:p>
    <w:p w14:paraId="315EBCDD"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NBN Co will provide developers with information relating to backhaul availability throughout the development process that will enable them to make informed costing decisions.</w:t>
      </w:r>
    </w:p>
    <w:p w14:paraId="1A803E95" w14:textId="243FF290"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 xml:space="preserve">NBN Co is to establish a process for identifying market demand for the provision of backhaul services on commercial terms to alternative network operators by 1 July 2015 with a view to bringing such services on stream as quickly as demand warrants and NBN </w:t>
      </w:r>
      <w:proofErr w:type="spellStart"/>
      <w:r w:rsidRPr="00092DA3">
        <w:t>Co’s</w:t>
      </w:r>
      <w:proofErr w:type="spellEnd"/>
      <w:r w:rsidRPr="00092DA3">
        <w:t xml:space="preserve"> processes allow.</w:t>
      </w:r>
      <w:r w:rsidR="00E53A0E">
        <w:t xml:space="preserve"> </w:t>
      </w:r>
    </w:p>
    <w:p w14:paraId="44ED9ADE"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While NBN Co will face competitive pressure to ensure its wholesale services can support the delivery of broadcasting and other value-added services by RSPs, NBN Co is required under this policy to endeavour to ensure its network supports the products that RSPs need to provide to meet consumer demand in these areas in new developments.</w:t>
      </w:r>
    </w:p>
    <w:p w14:paraId="6A5B0E16"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NBN Co will refine its processes for bringing RSPs onto its network and initially connecting new end-users in new developments so as to improve end-user experience.</w:t>
      </w:r>
    </w:p>
    <w:p w14:paraId="42386138" w14:textId="4A0A4165"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NBN Co will work with stakeholders to simplify its pit and pipe specification with a view to it being promulgated as the default industry standard which non-carriers would need to follow.</w:t>
      </w:r>
      <w:r w:rsidR="00E53A0E">
        <w:t xml:space="preserve"> </w:t>
      </w:r>
      <w:r w:rsidRPr="00092DA3">
        <w:t>Licensed carriers will be able to diverge from th</w:t>
      </w:r>
      <w:r>
        <w:t>is</w:t>
      </w:r>
      <w:r w:rsidRPr="00092DA3">
        <w:t xml:space="preserve"> specification where they have their own established alternatives and they comply with the industry guidelines published by the Communications Alliance.</w:t>
      </w:r>
    </w:p>
    <w:p w14:paraId="07F68B85" w14:textId="4FE2FAE3"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Industry (through the Communications Alliance) will establish an adjudicator to resolve disputes over IPOLR responsibilities.</w:t>
      </w:r>
      <w:r w:rsidR="00E53A0E">
        <w:t xml:space="preserve"> </w:t>
      </w:r>
      <w:r w:rsidRPr="00092DA3">
        <w:t>Alternatively, the Government will establish an adjudicator at industry’s expense.</w:t>
      </w:r>
    </w:p>
    <w:p w14:paraId="18532F8E"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NBN Co will be able to purchase networks built to its specifications at pre</w:t>
      </w:r>
      <w:r w:rsidRPr="00092DA3">
        <w:noBreakHyphen/>
        <w:t>agreed prices from infrastructure providers, contractors or developers.</w:t>
      </w:r>
    </w:p>
    <w:p w14:paraId="4A5423F1" w14:textId="42096FF0"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Industry should seek to minimise the number of business-to-business interfaces.</w:t>
      </w:r>
      <w:r w:rsidR="00E53A0E">
        <w:t xml:space="preserve"> </w:t>
      </w:r>
      <w:r w:rsidRPr="00092DA3">
        <w:t>If there is commercial demand for it, NBN Co will make the specifications of its interface available to alternative providers on an ongoing basis on fair commercial terms so they can operate their own interface on the same basis.</w:t>
      </w:r>
    </w:p>
    <w:p w14:paraId="6CF79574" w14:textId="18F3A7B9" w:rsidR="00044EB3" w:rsidRPr="00092DA3" w:rsidRDefault="00044EB3" w:rsidP="00044EB3">
      <w:pPr>
        <w:spacing w:after="120"/>
      </w:pPr>
      <w:r w:rsidRPr="00092DA3">
        <w:t>The Federal Government will work over time with state, territory and local governments and other stakeholders to have planning laws support quality telecommunications infrastructure and protect consumers in new developments.</w:t>
      </w:r>
    </w:p>
    <w:p w14:paraId="4380D7CC" w14:textId="77777777" w:rsidR="009A07F7" w:rsidRPr="00092DA3" w:rsidRDefault="009C01C3" w:rsidP="00773D70">
      <w:pPr>
        <w:pStyle w:val="Heading1"/>
      </w:pPr>
      <w:bookmarkStart w:id="17" w:name="_Toc416175150"/>
      <w:bookmarkStart w:id="18" w:name="_Toc416175700"/>
      <w:bookmarkStart w:id="19" w:name="_Toc416175948"/>
      <w:bookmarkStart w:id="20" w:name="_Toc416176027"/>
      <w:bookmarkStart w:id="21" w:name="_Toc416176173"/>
      <w:bookmarkStart w:id="22" w:name="_Toc416175151"/>
      <w:bookmarkStart w:id="23" w:name="_Toc60751260"/>
      <w:bookmarkEnd w:id="17"/>
      <w:bookmarkEnd w:id="18"/>
      <w:bookmarkEnd w:id="19"/>
      <w:bookmarkEnd w:id="20"/>
      <w:bookmarkEnd w:id="21"/>
      <w:r w:rsidRPr="00092DA3">
        <w:t>CONTEXT AND OBJECTIVES</w:t>
      </w:r>
      <w:bookmarkEnd w:id="22"/>
      <w:bookmarkEnd w:id="23"/>
    </w:p>
    <w:p w14:paraId="40E377E3" w14:textId="5DB7A05E" w:rsidR="009A07F7" w:rsidRPr="00092DA3" w:rsidRDefault="009A07F7" w:rsidP="009A07F7">
      <w:pPr>
        <w:pStyle w:val="BodyText"/>
        <w:rPr>
          <w:b/>
        </w:rPr>
      </w:pPr>
      <w:r w:rsidRPr="00092DA3">
        <w:t xml:space="preserve">This policy reflects the Government’s view that </w:t>
      </w:r>
      <w:r w:rsidR="00D11F0D" w:rsidRPr="00092DA3">
        <w:t xml:space="preserve">policy </w:t>
      </w:r>
      <w:r w:rsidRPr="00092DA3">
        <w:t xml:space="preserve">changes introduced in 2011 to the provision of telecommunications in new developments </w:t>
      </w:r>
      <w:r w:rsidR="00E108A9" w:rsidRPr="00092DA3">
        <w:t>(the 2011 policy update)</w:t>
      </w:r>
      <w:r w:rsidR="00E108A9" w:rsidRPr="00092DA3">
        <w:rPr>
          <w:rStyle w:val="FootnoteReference"/>
        </w:rPr>
        <w:footnoteReference w:id="3"/>
      </w:r>
      <w:r w:rsidR="00E108A9" w:rsidRPr="00092DA3">
        <w:t xml:space="preserve"> </w:t>
      </w:r>
      <w:r w:rsidRPr="00092DA3">
        <w:t>unduly tilted the playing field against private infrastructure providers.</w:t>
      </w:r>
      <w:r w:rsidR="00E53A0E">
        <w:t xml:space="preserve"> </w:t>
      </w:r>
      <w:r w:rsidRPr="00092DA3">
        <w:t xml:space="preserve">While the Government supports NBN </w:t>
      </w:r>
      <w:proofErr w:type="spellStart"/>
      <w:r w:rsidRPr="00092DA3">
        <w:t>Co’s</w:t>
      </w:r>
      <w:proofErr w:type="spellEnd"/>
      <w:r w:rsidRPr="00092DA3">
        <w:t xml:space="preserve"> participation in the new developments market, this should not be at the expense of </w:t>
      </w:r>
      <w:r w:rsidR="00D11F0D" w:rsidRPr="00092DA3">
        <w:t xml:space="preserve">fair </w:t>
      </w:r>
      <w:r w:rsidRPr="00092DA3">
        <w:t>competition.</w:t>
      </w:r>
    </w:p>
    <w:p w14:paraId="717B23F1" w14:textId="77777777" w:rsidR="009A07F7" w:rsidRPr="00092DA3" w:rsidRDefault="009A07F7" w:rsidP="009A07F7">
      <w:pPr>
        <w:pStyle w:val="Heading2"/>
      </w:pPr>
      <w:bookmarkStart w:id="24" w:name="_Toc416175152"/>
      <w:bookmarkStart w:id="25" w:name="_Toc60751261"/>
      <w:r w:rsidRPr="00092DA3">
        <w:t>Competition, choice and the NBN</w:t>
      </w:r>
      <w:bookmarkEnd w:id="24"/>
      <w:bookmarkEnd w:id="25"/>
    </w:p>
    <w:p w14:paraId="1C1EC4A5" w14:textId="7AB3A3B7" w:rsidR="009A07F7" w:rsidRPr="00092DA3" w:rsidRDefault="009A07F7" w:rsidP="009A07F7">
      <w:pPr>
        <w:pStyle w:val="BodyText"/>
        <w:rPr>
          <w:b/>
        </w:rPr>
      </w:pPr>
      <w:r w:rsidRPr="00092DA3">
        <w:t>The Government is committed to the rollout of the National Broadband Network (NBN), which is likely to become the dominant fixed line platform where it replaces the Telstra network.</w:t>
      </w:r>
      <w:r w:rsidR="00E53A0E">
        <w:t xml:space="preserve"> </w:t>
      </w:r>
      <w:r w:rsidRPr="00092DA3">
        <w:t xml:space="preserve">But a different dynamic applies in new developments, where there is no existing infrastructure and </w:t>
      </w:r>
      <w:r w:rsidR="0010565C" w:rsidRPr="00092DA3">
        <w:t xml:space="preserve">there is </w:t>
      </w:r>
      <w:r w:rsidRPr="00092DA3">
        <w:t xml:space="preserve">greater scope for competition (as long as competition delivers levels of </w:t>
      </w:r>
      <w:r w:rsidR="00D11F0D" w:rsidRPr="00092DA3">
        <w:t xml:space="preserve">network performance and retail diversity and choice </w:t>
      </w:r>
      <w:r w:rsidRPr="00092DA3">
        <w:t>comparable to those provided by the NBN elsewhere).</w:t>
      </w:r>
    </w:p>
    <w:p w14:paraId="636ABD97" w14:textId="0C0C84A7" w:rsidR="009A07F7" w:rsidRPr="00092DA3" w:rsidRDefault="009A07F7" w:rsidP="009A07F7">
      <w:pPr>
        <w:pStyle w:val="BodyText"/>
        <w:rPr>
          <w:b/>
        </w:rPr>
      </w:pPr>
      <w:r w:rsidRPr="00092DA3">
        <w:t>Three factors are particularly important for the future servicing of new developments.</w:t>
      </w:r>
      <w:r w:rsidR="00E53A0E">
        <w:t xml:space="preserve"> </w:t>
      </w:r>
    </w:p>
    <w:p w14:paraId="10F826EB" w14:textId="0DF62513" w:rsidR="009A07F7" w:rsidRPr="00092DA3" w:rsidRDefault="009A07F7" w:rsidP="008A4916">
      <w:pPr>
        <w:pStyle w:val="Bodybullet-Level1"/>
        <w:numPr>
          <w:ilvl w:val="0"/>
          <w:numId w:val="33"/>
        </w:numPr>
        <w:spacing w:after="120"/>
        <w:ind w:left="357" w:hanging="357"/>
        <w:rPr>
          <w:b/>
        </w:rPr>
      </w:pPr>
      <w:r w:rsidRPr="00092DA3">
        <w:t>Australia has decided to separate wholesale provision of infrastructure from supply of retail services to residential users.</w:t>
      </w:r>
      <w:r w:rsidR="00E53A0E">
        <w:t xml:space="preserve"> </w:t>
      </w:r>
      <w:r w:rsidRPr="00092DA3">
        <w:t xml:space="preserve">NBN </w:t>
      </w:r>
      <w:proofErr w:type="spellStart"/>
      <w:r w:rsidRPr="00092DA3">
        <w:t>Co operates</w:t>
      </w:r>
      <w:proofErr w:type="spellEnd"/>
      <w:r w:rsidRPr="00092DA3">
        <w:t xml:space="preserve"> on a wholesale-only basis and similar rules apply to other new superfast broadband access networks.</w:t>
      </w:r>
      <w:r w:rsidR="00E53A0E">
        <w:t xml:space="preserve"> </w:t>
      </w:r>
      <w:r w:rsidR="005B3F6C" w:rsidRPr="00092DA3">
        <w:t xml:space="preserve">As </w:t>
      </w:r>
      <w:r w:rsidRPr="00092DA3">
        <w:t xml:space="preserve">most areas </w:t>
      </w:r>
      <w:r w:rsidR="005B3F6C" w:rsidRPr="00092DA3">
        <w:t xml:space="preserve">are likely to </w:t>
      </w:r>
      <w:r w:rsidRPr="00092DA3">
        <w:t>be served by a single fixed line network, open access and the ability to attract RSPs are required to maximise consumer choice.</w:t>
      </w:r>
    </w:p>
    <w:p w14:paraId="1AF9CFC7" w14:textId="4977AE5D" w:rsidR="009A07F7" w:rsidRPr="00092DA3" w:rsidRDefault="009A07F7" w:rsidP="008A4916">
      <w:pPr>
        <w:pStyle w:val="Bodybullet-Level1"/>
        <w:numPr>
          <w:ilvl w:val="0"/>
          <w:numId w:val="33"/>
        </w:numPr>
        <w:spacing w:after="120"/>
        <w:ind w:left="357" w:hanging="357"/>
        <w:rPr>
          <w:b/>
        </w:rPr>
      </w:pPr>
      <w:r w:rsidRPr="00092DA3">
        <w:t>NBN Co will provide fixed line broadband to about 93 per cent of premises, and serve the remaining premises in regional and remote areas with wireless and satellite.</w:t>
      </w:r>
      <w:r w:rsidR="00E53A0E">
        <w:t xml:space="preserve"> </w:t>
      </w:r>
      <w:r w:rsidRPr="00092DA3">
        <w:t xml:space="preserve">As the fixed line NBN rolls out, NBN Co </w:t>
      </w:r>
      <w:r w:rsidR="00B0436D" w:rsidRPr="00092DA3">
        <w:t xml:space="preserve">will </w:t>
      </w:r>
      <w:r w:rsidRPr="00092DA3">
        <w:t>replace Telstra as the IPOLR in new developments.</w:t>
      </w:r>
      <w:r w:rsidR="00E53A0E">
        <w:t xml:space="preserve"> </w:t>
      </w:r>
      <w:r w:rsidRPr="00092DA3">
        <w:t xml:space="preserve">Telstra will retain this role </w:t>
      </w:r>
      <w:r w:rsidR="005B3F6C" w:rsidRPr="00092DA3">
        <w:t>in relation to</w:t>
      </w:r>
      <w:r w:rsidRPr="00092DA3">
        <w:t xml:space="preserve"> voice service in </w:t>
      </w:r>
      <w:r w:rsidR="005B3F6C" w:rsidRPr="00092DA3">
        <w:t xml:space="preserve">NBN </w:t>
      </w:r>
      <w:proofErr w:type="spellStart"/>
      <w:r w:rsidR="005B3F6C" w:rsidRPr="00092DA3">
        <w:t>Co’s</w:t>
      </w:r>
      <w:proofErr w:type="spellEnd"/>
      <w:r w:rsidR="005B3F6C" w:rsidRPr="00092DA3">
        <w:t xml:space="preserve"> </w:t>
      </w:r>
      <w:r w:rsidRPr="00092DA3">
        <w:t>wireless and satellite areas.</w:t>
      </w:r>
    </w:p>
    <w:p w14:paraId="7CA4C6ED" w14:textId="77777777" w:rsidR="009A07F7" w:rsidRPr="00092DA3" w:rsidRDefault="009A07F7" w:rsidP="008A4916">
      <w:pPr>
        <w:pStyle w:val="Bodybullet-Level1"/>
        <w:numPr>
          <w:ilvl w:val="0"/>
          <w:numId w:val="33"/>
        </w:numPr>
        <w:spacing w:after="120"/>
        <w:ind w:left="357" w:hanging="357"/>
        <w:rPr>
          <w:b/>
        </w:rPr>
      </w:pPr>
      <w:r w:rsidRPr="00092DA3">
        <w:t xml:space="preserve">The gradual structural separation of Telstra as the NBN rolls out means that Telstra can no longer provide fixed line infrastructure in areas where the fixed line NBN is active. </w:t>
      </w:r>
    </w:p>
    <w:p w14:paraId="587076CB" w14:textId="4D56B793" w:rsidR="005C2939" w:rsidRPr="00092DA3" w:rsidRDefault="005C2939" w:rsidP="009A07F7">
      <w:pPr>
        <w:pStyle w:val="BodyText"/>
      </w:pPr>
      <w:r w:rsidRPr="00092DA3">
        <w:t>Moreover, since 1997 Australia has had an open market in telecommunications. This means it is open to other providers to enter the market and compete to provide infrastructure in new developments. Equally, developers have a choice of infrastructure providers.</w:t>
      </w:r>
      <w:r w:rsidR="00E53A0E">
        <w:t xml:space="preserve"> </w:t>
      </w:r>
    </w:p>
    <w:p w14:paraId="6D8A3DF5" w14:textId="6C3BB5C5" w:rsidR="009A07F7" w:rsidRPr="00092DA3" w:rsidRDefault="009A07F7" w:rsidP="009A07F7">
      <w:pPr>
        <w:pStyle w:val="BodyText"/>
        <w:rPr>
          <w:b/>
        </w:rPr>
      </w:pPr>
      <w:r w:rsidRPr="00092DA3">
        <w:t>In a competitive market, developers and state</w:t>
      </w:r>
      <w:r w:rsidR="00B0436D" w:rsidRPr="00092DA3">
        <w:t>,</w:t>
      </w:r>
      <w:r w:rsidRPr="00092DA3">
        <w:t xml:space="preserve"> territory </w:t>
      </w:r>
      <w:r w:rsidR="00B0436D" w:rsidRPr="00092DA3">
        <w:t xml:space="preserve">and local </w:t>
      </w:r>
      <w:r w:rsidRPr="00092DA3">
        <w:t>governments need to play a more active role to ensure telecommunications services are available in new estates.</w:t>
      </w:r>
      <w:r w:rsidR="00E53A0E">
        <w:t xml:space="preserve"> </w:t>
      </w:r>
      <w:r w:rsidRPr="00092DA3">
        <w:t xml:space="preserve">Developers must choose between competing providers, with Telstra and NBN Co serving as </w:t>
      </w:r>
      <w:r w:rsidR="00E108A9" w:rsidRPr="00092DA3">
        <w:t>IPOLRs</w:t>
      </w:r>
      <w:r w:rsidRPr="00092DA3">
        <w:t>.</w:t>
      </w:r>
      <w:r w:rsidR="00E53A0E">
        <w:t xml:space="preserve"> </w:t>
      </w:r>
      <w:r w:rsidR="005C2939" w:rsidRPr="00092DA3">
        <w:t>However, competition w</w:t>
      </w:r>
      <w:r w:rsidR="00B1086D">
        <w:t>ould</w:t>
      </w:r>
      <w:r w:rsidR="005C2939" w:rsidRPr="00092DA3">
        <w:t xml:space="preserve"> be seriously distorted if NBN Co </w:t>
      </w:r>
      <w:r w:rsidR="00D11F0D" w:rsidRPr="00092DA3">
        <w:t>or</w:t>
      </w:r>
      <w:r w:rsidR="005C2939" w:rsidRPr="00092DA3">
        <w:t xml:space="preserve"> Telstra operate as </w:t>
      </w:r>
      <w:r w:rsidR="00E108A9" w:rsidRPr="00092DA3">
        <w:t>IPOLRs</w:t>
      </w:r>
      <w:r w:rsidR="005C2939" w:rsidRPr="00092DA3">
        <w:t xml:space="preserve"> for no charge. This is </w:t>
      </w:r>
      <w:r w:rsidR="004F7DB5" w:rsidRPr="00092DA3">
        <w:t>a</w:t>
      </w:r>
      <w:r w:rsidR="005C2939" w:rsidRPr="00092DA3">
        <w:t xml:space="preserve"> problem that has plagued th</w:t>
      </w:r>
      <w:r w:rsidR="004F7DB5" w:rsidRPr="00092DA3">
        <w:t xml:space="preserve">is part of </w:t>
      </w:r>
      <w:r w:rsidR="005C2939" w:rsidRPr="00092DA3">
        <w:t>telecommunications since 2011,</w:t>
      </w:r>
      <w:r w:rsidR="004F7DB5" w:rsidRPr="00092DA3">
        <w:t xml:space="preserve"> </w:t>
      </w:r>
      <w:r w:rsidR="005C2939" w:rsidRPr="00092DA3">
        <w:t xml:space="preserve">if not 1997. </w:t>
      </w:r>
    </w:p>
    <w:p w14:paraId="6B77D5A4" w14:textId="78434E99" w:rsidR="009A07F7" w:rsidRPr="00092DA3" w:rsidRDefault="009A07F7" w:rsidP="009A07F7">
      <w:pPr>
        <w:pStyle w:val="BodyText"/>
      </w:pPr>
      <w:r w:rsidRPr="00092DA3">
        <w:t xml:space="preserve">In practice this means developers need to actively manage the provision of telecommunications – just as they manage </w:t>
      </w:r>
      <w:r w:rsidR="002B4D18" w:rsidRPr="00092DA3">
        <w:t xml:space="preserve">the provision of </w:t>
      </w:r>
      <w:r w:rsidRPr="00092DA3">
        <w:t xml:space="preserve">other utilities such as roads, drainage, water, sewerage and power – and choose a </w:t>
      </w:r>
      <w:r w:rsidR="00552DCA">
        <w:t xml:space="preserve">telecommunications </w:t>
      </w:r>
      <w:r w:rsidRPr="00092DA3">
        <w:t xml:space="preserve">provider (which may be the </w:t>
      </w:r>
      <w:r w:rsidR="00E108A9" w:rsidRPr="00092DA3">
        <w:t>IPOLR</w:t>
      </w:r>
      <w:r w:rsidRPr="00092DA3">
        <w:t>).</w:t>
      </w:r>
      <w:r w:rsidR="00E53A0E">
        <w:t xml:space="preserve"> </w:t>
      </w:r>
      <w:r w:rsidRPr="00092DA3">
        <w:t>They will also need to contribute to the cost of provision.</w:t>
      </w:r>
      <w:r w:rsidR="00E53A0E">
        <w:t xml:space="preserve"> </w:t>
      </w:r>
      <w:r w:rsidR="004F7DB5" w:rsidRPr="00092DA3">
        <w:t>Additionally, t</w:t>
      </w:r>
      <w:r w:rsidR="005C2939" w:rsidRPr="00092DA3">
        <w:t xml:space="preserve">hey can no longer assume a default telecommunications carrier such as Telstra or NBN Co will identify </w:t>
      </w:r>
      <w:r w:rsidR="00B1086D">
        <w:t xml:space="preserve">that </w:t>
      </w:r>
      <w:r w:rsidR="005C2939" w:rsidRPr="00092DA3">
        <w:t>a development is planned or underway and come along to service it.</w:t>
      </w:r>
      <w:r w:rsidR="00E53A0E">
        <w:t xml:space="preserve"> </w:t>
      </w:r>
      <w:r w:rsidR="002B4D18" w:rsidRPr="00092DA3">
        <w:t>Developers must actively engage with carriers early.</w:t>
      </w:r>
    </w:p>
    <w:p w14:paraId="6F4BD54F" w14:textId="576BC15C" w:rsidR="009A07F7" w:rsidRPr="00092DA3" w:rsidRDefault="005C2939" w:rsidP="009A07F7">
      <w:pPr>
        <w:pStyle w:val="BodyText"/>
      </w:pPr>
      <w:r w:rsidRPr="00092DA3">
        <w:t>In this competitive environment, p</w:t>
      </w:r>
      <w:r w:rsidR="009A07F7" w:rsidRPr="00092DA3">
        <w:t xml:space="preserve">lanning departments in the states and territories </w:t>
      </w:r>
      <w:r w:rsidRPr="00092DA3">
        <w:t xml:space="preserve">also need to </w:t>
      </w:r>
      <w:r w:rsidR="009A07F7" w:rsidRPr="00092DA3">
        <w:t xml:space="preserve">consider </w:t>
      </w:r>
      <w:r w:rsidR="004F7DB5" w:rsidRPr="00092DA3">
        <w:t xml:space="preserve">changes to legislation </w:t>
      </w:r>
      <w:r w:rsidR="009A07F7" w:rsidRPr="00092DA3">
        <w:t xml:space="preserve">to ensure developers give appropriate consideration to telecommunications, given its importance in daily life and the penalty imposed on consumers if developers overlook its provision. </w:t>
      </w:r>
    </w:p>
    <w:p w14:paraId="4B4324B8" w14:textId="64A95E15" w:rsidR="009A07F7" w:rsidRPr="00092DA3" w:rsidRDefault="009A07F7" w:rsidP="001F2208">
      <w:pPr>
        <w:pStyle w:val="BodyText"/>
      </w:pPr>
      <w:r w:rsidRPr="00092DA3">
        <w:t xml:space="preserve">New developments vary greatly in their size, </w:t>
      </w:r>
      <w:r w:rsidR="00E75E93">
        <w:t xml:space="preserve">character, </w:t>
      </w:r>
      <w:r w:rsidRPr="00092DA3">
        <w:t>stage of occupancy and location.</w:t>
      </w:r>
      <w:r w:rsidR="00E53A0E">
        <w:t xml:space="preserve"> </w:t>
      </w:r>
      <w:r w:rsidRPr="00092DA3">
        <w:t xml:space="preserve">They may be </w:t>
      </w:r>
      <w:proofErr w:type="gramStart"/>
      <w:r w:rsidRPr="00092DA3">
        <w:t>greenfield</w:t>
      </w:r>
      <w:proofErr w:type="gramEnd"/>
      <w:r w:rsidRPr="00092DA3">
        <w:t xml:space="preserve"> or brownfield (infill); </w:t>
      </w:r>
      <w:r w:rsidR="00E75E93">
        <w:t xml:space="preserve">residential, commercial, industrial, special purpose or mixed; </w:t>
      </w:r>
      <w:proofErr w:type="spellStart"/>
      <w:r w:rsidRPr="00092DA3">
        <w:t>broadacre</w:t>
      </w:r>
      <w:proofErr w:type="spellEnd"/>
      <w:r w:rsidRPr="00092DA3">
        <w:t xml:space="preserve"> or high-density; inside or outside the existing NBN fixed line network; and adjacent to other developments or in an entirely new location.</w:t>
      </w:r>
      <w:r w:rsidR="00E53A0E">
        <w:t xml:space="preserve"> </w:t>
      </w:r>
      <w:r w:rsidRPr="00092DA3">
        <w:t>This policy aims to be flexible enough to accommodate these differences</w:t>
      </w:r>
      <w:r w:rsidR="00E75E93" w:rsidRPr="00E75E93">
        <w:t xml:space="preserve"> </w:t>
      </w:r>
      <w:r w:rsidR="00E75E93">
        <w:t>when it comes to</w:t>
      </w:r>
      <w:r w:rsidRPr="00092DA3">
        <w:t xml:space="preserve"> the way telecommunications services </w:t>
      </w:r>
      <w:r w:rsidR="00E75E93">
        <w:t xml:space="preserve">are </w:t>
      </w:r>
      <w:r w:rsidRPr="00092DA3">
        <w:t>provided.</w:t>
      </w:r>
    </w:p>
    <w:p w14:paraId="69E48BC5" w14:textId="77777777" w:rsidR="009A07F7" w:rsidRPr="00092DA3" w:rsidRDefault="009A07F7" w:rsidP="009A07F7">
      <w:pPr>
        <w:pStyle w:val="Heading2"/>
      </w:pPr>
      <w:bookmarkStart w:id="26" w:name="_Toc416175153"/>
      <w:bookmarkStart w:id="27" w:name="_Toc60751262"/>
      <w:r w:rsidRPr="00092DA3">
        <w:t>Balancing competing needs</w:t>
      </w:r>
      <w:bookmarkEnd w:id="26"/>
      <w:bookmarkEnd w:id="27"/>
    </w:p>
    <w:p w14:paraId="7FD2F81A" w14:textId="77777777" w:rsidR="008A4916" w:rsidRPr="00092DA3" w:rsidRDefault="009A07F7" w:rsidP="008A4916">
      <w:pPr>
        <w:spacing w:after="120"/>
      </w:pPr>
      <w:r w:rsidRPr="00092DA3">
        <w:t xml:space="preserve">This policy strives to balance a range of objectives and interests. </w:t>
      </w:r>
    </w:p>
    <w:p w14:paraId="5B850118" w14:textId="2AE1A60B" w:rsidR="009A07F7" w:rsidRPr="00092DA3" w:rsidRDefault="009A07F7" w:rsidP="008A4916">
      <w:pPr>
        <w:pStyle w:val="ListParagraph"/>
        <w:numPr>
          <w:ilvl w:val="0"/>
          <w:numId w:val="28"/>
        </w:numPr>
        <w:spacing w:before="120" w:after="120"/>
        <w:ind w:left="357" w:hanging="357"/>
        <w:contextualSpacing w:val="0"/>
      </w:pPr>
      <w:r w:rsidRPr="00092DA3">
        <w:t>The most important objective is to ensure occupants of new developments receive timely access to high quality telecommunications services.</w:t>
      </w:r>
      <w:r w:rsidR="00E53A0E">
        <w:t xml:space="preserve"> </w:t>
      </w:r>
      <w:r w:rsidRPr="00092DA3">
        <w:t xml:space="preserve">Since developments </w:t>
      </w:r>
      <w:r w:rsidR="005C2939" w:rsidRPr="00092DA3">
        <w:t>are often</w:t>
      </w:r>
      <w:r w:rsidRPr="00092DA3">
        <w:t xml:space="preserve"> serv</w:t>
      </w:r>
      <w:r w:rsidR="005C2939" w:rsidRPr="00092DA3">
        <w:t>ic</w:t>
      </w:r>
      <w:r w:rsidRPr="00092DA3">
        <w:t>ed by a single provider, this necessitates setting basic service standards.</w:t>
      </w:r>
      <w:r w:rsidR="00E53A0E">
        <w:t xml:space="preserve"> </w:t>
      </w:r>
      <w:r w:rsidRPr="00092DA3">
        <w:t>To the extent that there are localities which are unattractive to service, there must also be an IPOLR</w:t>
      </w:r>
      <w:r w:rsidR="005C2939" w:rsidRPr="00092DA3">
        <w:t xml:space="preserve"> that operates at or above those standards</w:t>
      </w:r>
      <w:r w:rsidRPr="00092DA3">
        <w:t>.</w:t>
      </w:r>
    </w:p>
    <w:p w14:paraId="1887D51B" w14:textId="309A5838" w:rsidR="009A07F7" w:rsidRPr="00092DA3" w:rsidRDefault="009A07F7" w:rsidP="008A4916">
      <w:pPr>
        <w:pStyle w:val="ListParagraph"/>
        <w:numPr>
          <w:ilvl w:val="0"/>
          <w:numId w:val="28"/>
        </w:numPr>
        <w:spacing w:before="120" w:after="120"/>
        <w:ind w:left="357" w:hanging="357"/>
        <w:contextualSpacing w:val="0"/>
      </w:pPr>
      <w:r w:rsidRPr="00092DA3">
        <w:t>Another objective is supporting choice.</w:t>
      </w:r>
      <w:r w:rsidR="00E53A0E">
        <w:t xml:space="preserve"> </w:t>
      </w:r>
      <w:r w:rsidRPr="00092DA3">
        <w:t xml:space="preserve">Buyers – in this case, developers – should be free to choose a preferred infrastructure provider, while infrastructure suppliers should be free to bid for developments they wish to </w:t>
      </w:r>
      <w:r w:rsidR="00E108A9" w:rsidRPr="00092DA3">
        <w:t>service</w:t>
      </w:r>
      <w:r w:rsidR="00045E43">
        <w:t>.</w:t>
      </w:r>
    </w:p>
    <w:p w14:paraId="2E07290D" w14:textId="5DA2152F" w:rsidR="009A07F7" w:rsidRPr="00092DA3" w:rsidRDefault="009A07F7" w:rsidP="00045E43">
      <w:pPr>
        <w:pStyle w:val="ListParagraph"/>
        <w:pageBreakBefore/>
        <w:numPr>
          <w:ilvl w:val="0"/>
          <w:numId w:val="28"/>
        </w:numPr>
        <w:spacing w:before="120" w:after="120"/>
        <w:ind w:left="357" w:hanging="357"/>
        <w:contextualSpacing w:val="0"/>
      </w:pPr>
      <w:r w:rsidRPr="00092DA3">
        <w:t xml:space="preserve">Similarly, consumers must be free to choose among competing </w:t>
      </w:r>
      <w:r w:rsidR="00E108A9" w:rsidRPr="00092DA3">
        <w:t>RSPs</w:t>
      </w:r>
      <w:r w:rsidRPr="00092DA3">
        <w:t>.</w:t>
      </w:r>
      <w:r w:rsidR="00E53A0E">
        <w:t xml:space="preserve"> </w:t>
      </w:r>
      <w:r w:rsidRPr="00092DA3">
        <w:t>Given the first network built in an area will often secure an effective monopoly, it is crucial that open access and competitive provision of retail services are supported.</w:t>
      </w:r>
    </w:p>
    <w:p w14:paraId="63BEB30F" w14:textId="4462DF7E" w:rsidR="009A07F7" w:rsidRPr="00092DA3" w:rsidRDefault="009A07F7" w:rsidP="008A4916">
      <w:pPr>
        <w:pStyle w:val="ListParagraph"/>
        <w:numPr>
          <w:ilvl w:val="0"/>
          <w:numId w:val="28"/>
        </w:numPr>
        <w:spacing w:before="120" w:after="120"/>
        <w:ind w:left="357" w:hanging="357"/>
        <w:contextualSpacing w:val="0"/>
      </w:pPr>
      <w:r w:rsidRPr="00092DA3">
        <w:t xml:space="preserve">Fair competition and competitive neutrality are related objectives. The Government supports NBN </w:t>
      </w:r>
      <w:proofErr w:type="spellStart"/>
      <w:r w:rsidRPr="00092DA3">
        <w:t>Co’s</w:t>
      </w:r>
      <w:proofErr w:type="spellEnd"/>
      <w:r w:rsidRPr="00092DA3">
        <w:t xml:space="preserve"> right to service new developments, but it must compete fairly with other providers.</w:t>
      </w:r>
      <w:r w:rsidR="00E53A0E">
        <w:t xml:space="preserve"> </w:t>
      </w:r>
      <w:r w:rsidRPr="00092DA3">
        <w:t>In 2011, the conduct of NBN Co in this market was the subject of a complaint to the Australian Government Competitive Neutrality Complaints Office (AGCNCO)</w:t>
      </w:r>
      <w:r w:rsidR="00E108A9" w:rsidRPr="00092DA3">
        <w:t>.</w:t>
      </w:r>
      <w:r w:rsidRPr="00092DA3">
        <w:rPr>
          <w:rStyle w:val="FootnoteReference"/>
        </w:rPr>
        <w:footnoteReference w:id="4"/>
      </w:r>
      <w:r w:rsidR="00E53A0E">
        <w:t xml:space="preserve"> </w:t>
      </w:r>
      <w:r w:rsidRPr="00092DA3">
        <w:t xml:space="preserve">While the AGCNCO found NBN Co had not breached competitive neutrality guidelines at that time, the Government considers NBN Co should be (and </w:t>
      </w:r>
      <w:r w:rsidR="002B4D18" w:rsidRPr="00092DA3">
        <w:t xml:space="preserve">should </w:t>
      </w:r>
      <w:r w:rsidRPr="00092DA3">
        <w:t>be seen to be) a competitor not unfairly reliant on its Government ownership and funding.</w:t>
      </w:r>
    </w:p>
    <w:p w14:paraId="25E83066" w14:textId="502B518D" w:rsidR="009A07F7" w:rsidRPr="00092DA3" w:rsidRDefault="009A07F7" w:rsidP="008A4916">
      <w:pPr>
        <w:pStyle w:val="ListParagraph"/>
        <w:numPr>
          <w:ilvl w:val="0"/>
          <w:numId w:val="28"/>
        </w:numPr>
        <w:spacing w:before="120" w:after="120"/>
        <w:ind w:left="357" w:hanging="357"/>
        <w:contextualSpacing w:val="0"/>
      </w:pPr>
      <w:r w:rsidRPr="00092DA3">
        <w:t xml:space="preserve">The Government (like most of its predecessors since the early 1980s) believes </w:t>
      </w:r>
      <w:r w:rsidR="004F7DB5" w:rsidRPr="00092DA3">
        <w:t>end</w:t>
      </w:r>
      <w:r w:rsidR="00E108A9" w:rsidRPr="00092DA3">
        <w:t>-</w:t>
      </w:r>
      <w:r w:rsidRPr="00092DA3">
        <w:t>users should, to the extent possible, pay for infrastructure.</w:t>
      </w:r>
      <w:r w:rsidR="00E53A0E">
        <w:t xml:space="preserve"> </w:t>
      </w:r>
      <w:r w:rsidRPr="00092DA3">
        <w:t xml:space="preserve">This enduring principle </w:t>
      </w:r>
      <w:r w:rsidR="005C2939" w:rsidRPr="00092DA3">
        <w:t>was</w:t>
      </w:r>
      <w:r w:rsidRPr="00092DA3">
        <w:t xml:space="preserve"> reiterated in </w:t>
      </w:r>
      <w:r w:rsidR="005C2939" w:rsidRPr="00092DA3">
        <w:t>2014</w:t>
      </w:r>
      <w:r w:rsidRPr="00092DA3">
        <w:t xml:space="preserve"> by the Productivity Commission and the </w:t>
      </w:r>
      <w:proofErr w:type="spellStart"/>
      <w:r w:rsidRPr="00092DA3">
        <w:t>Vertigan</w:t>
      </w:r>
      <w:proofErr w:type="spellEnd"/>
      <w:r w:rsidRPr="00092DA3">
        <w:t xml:space="preserve"> Cost</w:t>
      </w:r>
      <w:r w:rsidR="0063458C" w:rsidRPr="00092DA3">
        <w:t>-</w:t>
      </w:r>
      <w:r w:rsidRPr="00092DA3">
        <w:t>Benefit Analysis and Review of Regulation</w:t>
      </w:r>
      <w:r w:rsidR="001C049A" w:rsidRPr="00092DA3">
        <w:t>.</w:t>
      </w:r>
      <w:r w:rsidRPr="00092DA3">
        <w:rPr>
          <w:rStyle w:val="FootnoteReference"/>
        </w:rPr>
        <w:footnoteReference w:id="5"/>
      </w:r>
      <w:r w:rsidR="00E53A0E">
        <w:t xml:space="preserve"> </w:t>
      </w:r>
      <w:r w:rsidRPr="00092DA3">
        <w:t>However, telecommunications networks involve high initial capital costs and</w:t>
      </w:r>
      <w:r w:rsidR="001C049A" w:rsidRPr="00092DA3">
        <w:t>,</w:t>
      </w:r>
      <w:r w:rsidRPr="00092DA3">
        <w:t xml:space="preserve"> as long-lived network assets, benefit multiple parties, not just the initial party connected.</w:t>
      </w:r>
      <w:r w:rsidR="00E53A0E">
        <w:t xml:space="preserve"> </w:t>
      </w:r>
      <w:r w:rsidRPr="00092DA3">
        <w:t>Therefore it may not be optimal to recover all costs upfront.</w:t>
      </w:r>
      <w:r w:rsidR="00E53A0E">
        <w:t xml:space="preserve"> </w:t>
      </w:r>
      <w:r w:rsidRPr="00092DA3">
        <w:t xml:space="preserve">Where costs are </w:t>
      </w:r>
      <w:r w:rsidR="005C2939" w:rsidRPr="00092DA3">
        <w:t>not recovered upfront</w:t>
      </w:r>
      <w:r w:rsidRPr="00092DA3">
        <w:t>, this must be consistent with competitive neutrality.</w:t>
      </w:r>
    </w:p>
    <w:p w14:paraId="57958CC0" w14:textId="5D3F8212" w:rsidR="004F7DB5" w:rsidRPr="00092DA3" w:rsidRDefault="009A07F7" w:rsidP="00E3650E">
      <w:pPr>
        <w:pStyle w:val="ListParagraph"/>
        <w:numPr>
          <w:ilvl w:val="0"/>
          <w:numId w:val="28"/>
        </w:numPr>
        <w:spacing w:before="120" w:after="120"/>
        <w:contextualSpacing w:val="0"/>
      </w:pPr>
      <w:r w:rsidRPr="00092DA3">
        <w:t xml:space="preserve">NBN Co has been </w:t>
      </w:r>
      <w:r w:rsidR="00E3650E" w:rsidRPr="00092DA3">
        <w:t xml:space="preserve">established and </w:t>
      </w:r>
      <w:r w:rsidRPr="00092DA3">
        <w:t>directed to operate commercially</w:t>
      </w:r>
      <w:r w:rsidR="00E3650E" w:rsidRPr="00092DA3">
        <w:t>.</w:t>
      </w:r>
      <w:r w:rsidR="00E53A0E">
        <w:t xml:space="preserve"> </w:t>
      </w:r>
      <w:r w:rsidRPr="00092DA3">
        <w:t xml:space="preserve">A competitive market means NBN Co </w:t>
      </w:r>
      <w:r w:rsidR="00E3650E" w:rsidRPr="00092DA3">
        <w:t xml:space="preserve">needs to </w:t>
      </w:r>
      <w:r w:rsidR="005A0DD7" w:rsidRPr="00092DA3">
        <w:t xml:space="preserve">be able to </w:t>
      </w:r>
      <w:r w:rsidRPr="00092DA3">
        <w:t>participate and compete.</w:t>
      </w:r>
      <w:r w:rsidR="00E3650E" w:rsidRPr="00092DA3">
        <w:t xml:space="preserve"> NBN Co should not be expected to simply leave new developments to private providers</w:t>
      </w:r>
      <w:r w:rsidR="00EF0048" w:rsidRPr="00092DA3">
        <w:t xml:space="preserve">, but NBN Co will also have a role where private operators </w:t>
      </w:r>
      <w:r w:rsidR="00E3650E" w:rsidRPr="00092DA3">
        <w:t>do not want to service them.</w:t>
      </w:r>
    </w:p>
    <w:p w14:paraId="1F457778" w14:textId="181ED1B1" w:rsidR="009A07F7" w:rsidRPr="00092DA3" w:rsidRDefault="004F7DB5" w:rsidP="001F2208">
      <w:pPr>
        <w:pStyle w:val="ListParagraph"/>
        <w:numPr>
          <w:ilvl w:val="0"/>
          <w:numId w:val="28"/>
        </w:numPr>
        <w:spacing w:before="120" w:after="120"/>
        <w:contextualSpacing w:val="0"/>
      </w:pPr>
      <w:r w:rsidRPr="00092DA3">
        <w:t xml:space="preserve">In the spirit of commercial operation, NBN Co should not undertake </w:t>
      </w:r>
      <w:r w:rsidR="005446B1" w:rsidRPr="00092DA3">
        <w:t xml:space="preserve">uncommercial </w:t>
      </w:r>
      <w:r w:rsidRPr="00092DA3">
        <w:t xml:space="preserve">rollouts in new estates (e.g. </w:t>
      </w:r>
      <w:r w:rsidR="005446B1" w:rsidRPr="00092DA3">
        <w:t>an isolated block of</w:t>
      </w:r>
      <w:r w:rsidRPr="00092DA3">
        <w:t xml:space="preserve"> lots </w:t>
      </w:r>
      <w:r w:rsidR="005446B1" w:rsidRPr="00092DA3">
        <w:t>in an area</w:t>
      </w:r>
      <w:r w:rsidRPr="00092DA3">
        <w:t xml:space="preserve"> otherwise </w:t>
      </w:r>
      <w:r w:rsidR="005446B1" w:rsidRPr="00092DA3">
        <w:t>served by an alternative provider) except in its</w:t>
      </w:r>
      <w:r w:rsidRPr="00092DA3">
        <w:t xml:space="preserve"> </w:t>
      </w:r>
      <w:r w:rsidR="00552DCA">
        <w:t xml:space="preserve">provider of </w:t>
      </w:r>
      <w:r w:rsidRPr="00092DA3">
        <w:t>last resort</w:t>
      </w:r>
      <w:r w:rsidR="005446B1" w:rsidRPr="00092DA3">
        <w:t xml:space="preserve"> capacity</w:t>
      </w:r>
      <w:r w:rsidRPr="00092DA3">
        <w:t>.</w:t>
      </w:r>
      <w:r w:rsidR="00E53A0E">
        <w:t xml:space="preserve"> </w:t>
      </w:r>
      <w:r w:rsidRPr="00092DA3">
        <w:t>Likewise, it should ordinarily avoid duplicating or overbuilding</w:t>
      </w:r>
      <w:r w:rsidR="005A0DD7" w:rsidRPr="00092DA3">
        <w:rPr>
          <w:rStyle w:val="FootnoteReference"/>
        </w:rPr>
        <w:footnoteReference w:id="6"/>
      </w:r>
      <w:r w:rsidR="001C049A" w:rsidRPr="00092DA3">
        <w:t xml:space="preserve"> </w:t>
      </w:r>
      <w:r w:rsidRPr="00092DA3">
        <w:t xml:space="preserve">existing high-speed broadband networks in new estates except in cases where it has obtained consent from </w:t>
      </w:r>
      <w:r w:rsidR="005446B1" w:rsidRPr="00092DA3">
        <w:t xml:space="preserve">the </w:t>
      </w:r>
      <w:r w:rsidRPr="00092DA3">
        <w:t>Government for this</w:t>
      </w:r>
      <w:r w:rsidR="005446B1" w:rsidRPr="00092DA3">
        <w:t xml:space="preserve"> in advance</w:t>
      </w:r>
      <w:r w:rsidRPr="00092DA3">
        <w:t>.</w:t>
      </w:r>
      <w:r w:rsidR="00E53A0E">
        <w:t xml:space="preserve"> </w:t>
      </w:r>
      <w:r w:rsidRPr="00092DA3">
        <w:t xml:space="preserve">These principles are noted because of their relevance to this topic, but will be </w:t>
      </w:r>
      <w:r w:rsidR="005446B1" w:rsidRPr="00092DA3">
        <w:t>articulated</w:t>
      </w:r>
      <w:r w:rsidRPr="00092DA3">
        <w:t xml:space="preserve"> in the next revision of the Government’s Statement of Expectations</w:t>
      </w:r>
      <w:r w:rsidR="005446B1" w:rsidRPr="00092DA3">
        <w:t xml:space="preserve"> rather than this document.</w:t>
      </w:r>
    </w:p>
    <w:p w14:paraId="470508A4" w14:textId="6B95E3FF" w:rsidR="009A07F7" w:rsidRPr="00092DA3" w:rsidRDefault="009A07F7" w:rsidP="008A4916">
      <w:pPr>
        <w:pStyle w:val="ListParagraph"/>
        <w:numPr>
          <w:ilvl w:val="0"/>
          <w:numId w:val="28"/>
        </w:numPr>
        <w:spacing w:before="120" w:after="120"/>
        <w:ind w:left="357" w:hanging="357"/>
        <w:contextualSpacing w:val="0"/>
      </w:pPr>
      <w:r w:rsidRPr="00092DA3">
        <w:t xml:space="preserve">Since the NBN includes loss-making networks in urban fringe, regional, rural and remote areas, and the NBN </w:t>
      </w:r>
      <w:r w:rsidR="00E3650E" w:rsidRPr="00092DA3">
        <w:t>Co must</w:t>
      </w:r>
      <w:r w:rsidRPr="00092DA3">
        <w:t xml:space="preserve"> fund these through cross-subsidies, it follows that profitable networks in new developments which are not part of the NBN need to contribute to this cross-subsidy.</w:t>
      </w:r>
      <w:r w:rsidR="00E53A0E">
        <w:t xml:space="preserve"> </w:t>
      </w:r>
      <w:r w:rsidR="00E3650E" w:rsidRPr="00092DA3">
        <w:t xml:space="preserve">The Government’s wider Telecommunications </w:t>
      </w:r>
      <w:r w:rsidR="00791984" w:rsidRPr="00092DA3">
        <w:t>Regulatory</w:t>
      </w:r>
      <w:r w:rsidR="00E3650E" w:rsidRPr="00092DA3">
        <w:t xml:space="preserve"> </w:t>
      </w:r>
      <w:r w:rsidR="00791984" w:rsidRPr="00092DA3">
        <w:t xml:space="preserve">and Structural </w:t>
      </w:r>
      <w:r w:rsidR="00E3650E" w:rsidRPr="00092DA3">
        <w:t>Reform package released in December 2014</w:t>
      </w:r>
      <w:r w:rsidR="00791984" w:rsidRPr="00092DA3">
        <w:rPr>
          <w:rStyle w:val="FootnoteReference"/>
        </w:rPr>
        <w:footnoteReference w:id="7"/>
      </w:r>
      <w:r w:rsidR="00E3650E" w:rsidRPr="00092DA3">
        <w:t xml:space="preserve"> provides for the development of such a funding mechanism.</w:t>
      </w:r>
    </w:p>
    <w:p w14:paraId="27295173" w14:textId="776E61F0" w:rsidR="009A07F7" w:rsidRPr="00092DA3" w:rsidRDefault="009A07F7" w:rsidP="00E53A0E">
      <w:pPr>
        <w:keepLines/>
      </w:pPr>
      <w:r w:rsidRPr="00092DA3">
        <w:t>As well as competing objectives, there are multiple parties with an interest in infrastructure in new developments – developers, consumers, NBN Co, private infrastructure providers, contractors and all levels of government.</w:t>
      </w:r>
      <w:r w:rsidR="00E53A0E">
        <w:t xml:space="preserve"> </w:t>
      </w:r>
      <w:r w:rsidRPr="00092DA3">
        <w:t>This policy seeks to balance these varied interests while achieving the objectives set out above.</w:t>
      </w:r>
    </w:p>
    <w:p w14:paraId="77266265" w14:textId="77777777" w:rsidR="009A07F7" w:rsidRPr="00092DA3" w:rsidRDefault="009A07F7" w:rsidP="00773D70">
      <w:pPr>
        <w:pStyle w:val="Heading1"/>
        <w:keepLines w:val="0"/>
        <w:pageBreakBefore/>
        <w:spacing w:before="0" w:after="240" w:line="276" w:lineRule="auto"/>
        <w:ind w:left="357" w:hanging="357"/>
      </w:pPr>
      <w:bookmarkStart w:id="28" w:name="_Toc416175154"/>
      <w:bookmarkStart w:id="29" w:name="_Toc60751263"/>
      <w:r w:rsidRPr="00092DA3">
        <w:t>KEY ELEMENTS OF THE NEW DEVELOPMENTS POLICY</w:t>
      </w:r>
      <w:bookmarkEnd w:id="28"/>
      <w:bookmarkEnd w:id="29"/>
    </w:p>
    <w:p w14:paraId="1699B0AF" w14:textId="10C0D435" w:rsidR="009A07F7" w:rsidRPr="00092DA3" w:rsidRDefault="009A07F7" w:rsidP="009A07F7">
      <w:pPr>
        <w:pStyle w:val="BodyText"/>
        <w:rPr>
          <w:b/>
        </w:rPr>
      </w:pPr>
      <w:r w:rsidRPr="00092DA3">
        <w:t>The key feature of the Government’s arrangements is fair competition.</w:t>
      </w:r>
      <w:r w:rsidR="00E53A0E">
        <w:t xml:space="preserve"> </w:t>
      </w:r>
      <w:r w:rsidRPr="00092DA3">
        <w:t xml:space="preserve">Any provider capable of competently </w:t>
      </w:r>
      <w:r w:rsidR="00791984" w:rsidRPr="00092DA3">
        <w:t xml:space="preserve">installing and operating </w:t>
      </w:r>
      <w:r w:rsidRPr="00092DA3">
        <w:t xml:space="preserve">infrastructure in new developments </w:t>
      </w:r>
      <w:r w:rsidR="00791984" w:rsidRPr="00092DA3">
        <w:t xml:space="preserve">on an ongoing basis </w:t>
      </w:r>
      <w:r w:rsidRPr="00092DA3">
        <w:t>should have an opportunity to do so.</w:t>
      </w:r>
      <w:r w:rsidR="00E53A0E">
        <w:t xml:space="preserve"> </w:t>
      </w:r>
      <w:r w:rsidRPr="00092DA3">
        <w:t>To ensure satisfactory outcomes for consumers, some rules are proposed about the solutions provided.</w:t>
      </w:r>
      <w:r w:rsidR="00E53A0E">
        <w:t xml:space="preserve"> </w:t>
      </w:r>
      <w:r w:rsidRPr="00092DA3">
        <w:t>As long as these are followed, the goal is to allow fair and effective competition.</w:t>
      </w:r>
    </w:p>
    <w:p w14:paraId="211BE3F2" w14:textId="32217D26" w:rsidR="009A07F7" w:rsidRPr="00092DA3" w:rsidRDefault="009A07F7" w:rsidP="009A07F7">
      <w:pPr>
        <w:pStyle w:val="BodyText"/>
        <w:rPr>
          <w:b/>
        </w:rPr>
      </w:pPr>
      <w:r w:rsidRPr="00092DA3">
        <w:t xml:space="preserve">Developers are responsible for ensuring the provision of </w:t>
      </w:r>
      <w:r w:rsidR="0001441E" w:rsidRPr="00092DA3">
        <w:t xml:space="preserve">telecommunications </w:t>
      </w:r>
      <w:r w:rsidRPr="00092DA3">
        <w:t>infrastructure in their developments.</w:t>
      </w:r>
      <w:r w:rsidR="00E53A0E">
        <w:t xml:space="preserve"> </w:t>
      </w:r>
      <w:r w:rsidRPr="00092DA3">
        <w:t xml:space="preserve">To support competition, developers will need to make a greater financial contribution to the cost of providing </w:t>
      </w:r>
      <w:r w:rsidR="0001441E" w:rsidRPr="00092DA3">
        <w:t xml:space="preserve">such </w:t>
      </w:r>
      <w:r w:rsidRPr="00092DA3">
        <w:t>infrastructure in their developments than in the past.</w:t>
      </w:r>
    </w:p>
    <w:p w14:paraId="4604817F" w14:textId="77777777" w:rsidR="009A07F7" w:rsidRPr="00092DA3" w:rsidRDefault="009A07F7" w:rsidP="009A07F7">
      <w:pPr>
        <w:pStyle w:val="Heading2"/>
      </w:pPr>
      <w:bookmarkStart w:id="30" w:name="_Toc416175155"/>
      <w:bookmarkStart w:id="31" w:name="_Toc60751264"/>
      <w:r w:rsidRPr="00092DA3">
        <w:t>A level playing field</w:t>
      </w:r>
      <w:bookmarkEnd w:id="30"/>
      <w:bookmarkEnd w:id="31"/>
    </w:p>
    <w:p w14:paraId="35E8C306" w14:textId="09CA931C" w:rsidR="009A07F7" w:rsidRPr="00092DA3" w:rsidRDefault="009A07F7" w:rsidP="009A07F7">
      <w:pPr>
        <w:pStyle w:val="BodyText"/>
        <w:rPr>
          <w:b/>
        </w:rPr>
      </w:pPr>
      <w:r w:rsidRPr="00092DA3">
        <w:t xml:space="preserve">The 2011 policy update permitted private providers to supply telecommunications in new estates, but scope for non-NBN providers to compete </w:t>
      </w:r>
      <w:r w:rsidR="006D7EE4">
        <w:t xml:space="preserve">effectively </w:t>
      </w:r>
      <w:r w:rsidRPr="00092DA3">
        <w:t>was lessened by a decision that NBN Co would not levy upfront charges.</w:t>
      </w:r>
      <w:r w:rsidR="00E53A0E">
        <w:t xml:space="preserve"> </w:t>
      </w:r>
      <w:r w:rsidRPr="00092DA3">
        <w:t>As a result</w:t>
      </w:r>
      <w:r w:rsidR="0063458C" w:rsidRPr="00092DA3">
        <w:t>,</w:t>
      </w:r>
      <w:r w:rsidRPr="00092DA3">
        <w:t xml:space="preserve"> private providers only secured contracts where the NBN rollout was delayed or non-NBN providers offered value-added services (such as reticulation of television signals over the fixed line network) which NBN Co did not.</w:t>
      </w:r>
    </w:p>
    <w:p w14:paraId="3D8E8782" w14:textId="5DEDED04" w:rsidR="009A07F7" w:rsidRPr="00092DA3" w:rsidRDefault="009A07F7" w:rsidP="009A07F7">
      <w:pPr>
        <w:pStyle w:val="BodyText"/>
        <w:rPr>
          <w:b/>
        </w:rPr>
      </w:pPr>
      <w:r w:rsidRPr="00092DA3">
        <w:t>NBN Co has been able to provide ‘free’ infrastructure in part because it recovers these costs later from access charges, but also because it is supported by taxpayers.</w:t>
      </w:r>
      <w:r w:rsidR="00E53A0E">
        <w:t xml:space="preserve"> </w:t>
      </w:r>
      <w:r w:rsidRPr="00092DA3">
        <w:t xml:space="preserve">While NBN </w:t>
      </w:r>
      <w:proofErr w:type="spellStart"/>
      <w:r w:rsidRPr="00092DA3">
        <w:t>Co’s</w:t>
      </w:r>
      <w:proofErr w:type="spellEnd"/>
      <w:r w:rsidRPr="00092DA3">
        <w:t xml:space="preserve"> size and reach will always be advantages, the measures in this </w:t>
      </w:r>
      <w:r w:rsidR="007C3324" w:rsidRPr="00092DA3">
        <w:t xml:space="preserve">new </w:t>
      </w:r>
      <w:r w:rsidRPr="00092DA3">
        <w:t>policy will significantly level the playing field.</w:t>
      </w:r>
      <w:r w:rsidR="00E53A0E">
        <w:t xml:space="preserve"> </w:t>
      </w:r>
      <w:r w:rsidRPr="00092DA3">
        <w:t>Developers and</w:t>
      </w:r>
      <w:r w:rsidR="000C7424" w:rsidRPr="00092DA3">
        <w:t>,</w:t>
      </w:r>
      <w:r w:rsidR="008E33BB" w:rsidRPr="00092DA3">
        <w:t xml:space="preserve"> via their RSPs</w:t>
      </w:r>
      <w:r w:rsidR="000C7424" w:rsidRPr="00092DA3">
        <w:t>,</w:t>
      </w:r>
      <w:r w:rsidR="008E33BB" w:rsidRPr="00092DA3">
        <w:t xml:space="preserve"> </w:t>
      </w:r>
      <w:r w:rsidRPr="00092DA3">
        <w:t>end</w:t>
      </w:r>
      <w:r w:rsidR="006D7EE4">
        <w:t>-users</w:t>
      </w:r>
      <w:r w:rsidR="007657A9" w:rsidRPr="00092DA3">
        <w:t xml:space="preserve"> </w:t>
      </w:r>
      <w:r w:rsidRPr="00092DA3">
        <w:t>will both need to make larger upfront contributions.</w:t>
      </w:r>
      <w:r w:rsidR="00E53A0E">
        <w:t xml:space="preserve"> </w:t>
      </w:r>
      <w:r w:rsidRPr="00092DA3">
        <w:t xml:space="preserve">NBN Co will </w:t>
      </w:r>
      <w:r w:rsidR="007C3324" w:rsidRPr="00092DA3">
        <w:t>nevertheless</w:t>
      </w:r>
      <w:r w:rsidRPr="00092DA3">
        <w:t xml:space="preserve"> </w:t>
      </w:r>
      <w:r w:rsidR="00BC57BB" w:rsidRPr="00092DA3">
        <w:t xml:space="preserve">recover some </w:t>
      </w:r>
      <w:r w:rsidRPr="00092DA3">
        <w:t>cost</w:t>
      </w:r>
      <w:r w:rsidR="007C3324" w:rsidRPr="00092DA3">
        <w:t xml:space="preserve">s </w:t>
      </w:r>
      <w:r w:rsidR="001C049A" w:rsidRPr="00092DA3">
        <w:t>of</w:t>
      </w:r>
      <w:r w:rsidR="007C3324" w:rsidRPr="00092DA3">
        <w:t xml:space="preserve"> servicing new developments</w:t>
      </w:r>
      <w:r w:rsidR="00BC57BB" w:rsidRPr="00092DA3">
        <w:t xml:space="preserve"> over time</w:t>
      </w:r>
      <w:r w:rsidRPr="00092DA3">
        <w:t>.</w:t>
      </w:r>
    </w:p>
    <w:p w14:paraId="1FF16743" w14:textId="1809CAA3" w:rsidR="009A07F7" w:rsidRPr="00092DA3" w:rsidRDefault="009A07F7" w:rsidP="009A07F7">
      <w:pPr>
        <w:pStyle w:val="BodyText"/>
        <w:rPr>
          <w:b/>
        </w:rPr>
      </w:pPr>
      <w:r w:rsidRPr="00092DA3">
        <w:t xml:space="preserve">At the end of the day, it will be up to </w:t>
      </w:r>
      <w:r w:rsidR="007C3324" w:rsidRPr="00092DA3">
        <w:t xml:space="preserve">all </w:t>
      </w:r>
      <w:r w:rsidRPr="00092DA3">
        <w:t>providers to compete on their merits.</w:t>
      </w:r>
      <w:r w:rsidR="00E53A0E">
        <w:t xml:space="preserve"> </w:t>
      </w:r>
      <w:r w:rsidRPr="00092DA3">
        <w:t>To ensure all new developments obtain access to modern services, the Government will ensure there are default providers of last resort for infrastructure and services.</w:t>
      </w:r>
      <w:r w:rsidR="00E53A0E">
        <w:t xml:space="preserve"> </w:t>
      </w:r>
      <w:r w:rsidRPr="00092DA3">
        <w:t>But this safety net will also operate in a way that preserves competition – upfront charges will likewise apply to IPOLR networks.</w:t>
      </w:r>
    </w:p>
    <w:p w14:paraId="0B133170" w14:textId="77777777" w:rsidR="009A07F7" w:rsidRPr="00092DA3" w:rsidRDefault="009A07F7" w:rsidP="009A07F7">
      <w:pPr>
        <w:pStyle w:val="Heading2"/>
      </w:pPr>
      <w:bookmarkStart w:id="32" w:name="_Toc416175156"/>
      <w:bookmarkStart w:id="33" w:name="_Toc60751265"/>
      <w:r w:rsidRPr="00092DA3">
        <w:t>Summary of charges</w:t>
      </w:r>
      <w:bookmarkEnd w:id="32"/>
      <w:bookmarkEnd w:id="33"/>
    </w:p>
    <w:p w14:paraId="7A5C3CB9" w14:textId="34464DCC" w:rsidR="009A07F7" w:rsidRDefault="009A07F7" w:rsidP="009A07F7">
      <w:pPr>
        <w:ind w:left="45"/>
      </w:pPr>
      <w:r w:rsidRPr="00092DA3">
        <w:t>The table summarises the charges NBN Co will levy, the party responsible for paying them</w:t>
      </w:r>
      <w:r w:rsidR="007C3324" w:rsidRPr="00092DA3">
        <w:t>, and the date</w:t>
      </w:r>
      <w:r w:rsidR="006D7EE4">
        <w:t>s</w:t>
      </w:r>
      <w:r w:rsidR="007C3324" w:rsidRPr="00092DA3">
        <w:t xml:space="preserve"> of </w:t>
      </w:r>
      <w:r w:rsidR="006D7EE4">
        <w:t xml:space="preserve">their </w:t>
      </w:r>
      <w:r w:rsidR="007C3324" w:rsidRPr="00092DA3">
        <w:t>effect, noting that charging is being phased in</w:t>
      </w:r>
      <w:r w:rsidRPr="00092DA3">
        <w:t>.</w:t>
      </w:r>
      <w:r w:rsidR="00E53A0E">
        <w:t xml:space="preserve"> </w:t>
      </w:r>
      <w:r w:rsidRPr="00092DA3">
        <w:t>These charges are explained in more detail later in this document.</w:t>
      </w:r>
      <w:r w:rsidR="00E53A0E">
        <w:t xml:space="preserve"> </w:t>
      </w:r>
      <w:r w:rsidRPr="00092DA3">
        <w:t>Some practical examples of how the charges work are set out in the box on the next page.</w:t>
      </w:r>
    </w:p>
    <w:p w14:paraId="190D3FAD" w14:textId="43A02F45" w:rsidR="00E75E93" w:rsidRDefault="00E75E93" w:rsidP="00E75E93">
      <w:pPr>
        <w:ind w:left="45"/>
      </w:pPr>
      <w:r>
        <w:t xml:space="preserve">Charges can be </w:t>
      </w:r>
      <w:r w:rsidR="00045E43">
        <w:t>indexed in line with inflation.</w:t>
      </w:r>
    </w:p>
    <w:p w14:paraId="001F4C3B" w14:textId="6C8E9996" w:rsidR="001F6783" w:rsidRDefault="001F6783">
      <w:pPr>
        <w:spacing w:after="120"/>
        <w:ind w:left="1021" w:hanging="1021"/>
      </w:pPr>
      <w:r>
        <w:br w:type="page"/>
      </w:r>
    </w:p>
    <w:p w14:paraId="35A6F8C4" w14:textId="77777777" w:rsidR="00552DCA" w:rsidRDefault="00552DCA" w:rsidP="009A07F7">
      <w:pPr>
        <w:ind w:left="45"/>
      </w:pPr>
    </w:p>
    <w:tbl>
      <w:tblPr>
        <w:tblStyle w:val="TableGrid"/>
        <w:tblW w:w="5000" w:type="pct"/>
        <w:jc w:val="center"/>
        <w:tblLayout w:type="fixed"/>
        <w:tblCellMar>
          <w:left w:w="85" w:type="dxa"/>
          <w:right w:w="85" w:type="dxa"/>
        </w:tblCellMar>
        <w:tblLook w:val="04A0" w:firstRow="1" w:lastRow="0" w:firstColumn="1" w:lastColumn="0" w:noHBand="0" w:noVBand="1"/>
        <w:tblDescription w:val="Charges NBN Co will levy, the party responsible for paying them and the dates of their effect, noting that charging is being phased in."/>
      </w:tblPr>
      <w:tblGrid>
        <w:gridCol w:w="3711"/>
        <w:gridCol w:w="1549"/>
        <w:gridCol w:w="2132"/>
        <w:gridCol w:w="1658"/>
      </w:tblGrid>
      <w:tr w:rsidR="007C3324" w:rsidRPr="00092DA3" w14:paraId="5CC8E63C" w14:textId="77777777" w:rsidTr="00045E43">
        <w:trPr>
          <w:cantSplit/>
          <w:tblHeader/>
          <w:jc w:val="center"/>
        </w:trPr>
        <w:tc>
          <w:tcPr>
            <w:tcW w:w="2050" w:type="pct"/>
            <w:tcBorders>
              <w:top w:val="nil"/>
              <w:left w:val="nil"/>
              <w:bottom w:val="single" w:sz="4" w:space="0" w:color="auto"/>
              <w:right w:val="nil"/>
            </w:tcBorders>
          </w:tcPr>
          <w:p w14:paraId="3F927766" w14:textId="77777777" w:rsidR="007C3324" w:rsidRPr="00092DA3" w:rsidRDefault="007C3324" w:rsidP="009A07F7">
            <w:pPr>
              <w:spacing w:after="200" w:line="276" w:lineRule="auto"/>
              <w:rPr>
                <w:b/>
              </w:rPr>
            </w:pPr>
            <w:r w:rsidRPr="00092DA3">
              <w:rPr>
                <w:b/>
              </w:rPr>
              <w:t xml:space="preserve">NBN Co Charge Per Premises/Lot </w:t>
            </w:r>
          </w:p>
        </w:tc>
        <w:tc>
          <w:tcPr>
            <w:tcW w:w="856" w:type="pct"/>
            <w:tcBorders>
              <w:top w:val="nil"/>
              <w:left w:val="nil"/>
              <w:bottom w:val="single" w:sz="4" w:space="0" w:color="auto"/>
              <w:right w:val="nil"/>
            </w:tcBorders>
          </w:tcPr>
          <w:p w14:paraId="70FB56FF" w14:textId="77777777" w:rsidR="007C3324" w:rsidRPr="00092DA3" w:rsidRDefault="007C3324" w:rsidP="009A07F7">
            <w:pPr>
              <w:spacing w:after="200" w:line="276" w:lineRule="auto"/>
              <w:jc w:val="right"/>
              <w:rPr>
                <w:b/>
              </w:rPr>
            </w:pPr>
          </w:p>
        </w:tc>
        <w:tc>
          <w:tcPr>
            <w:tcW w:w="1178" w:type="pct"/>
            <w:tcBorders>
              <w:top w:val="nil"/>
              <w:left w:val="nil"/>
              <w:bottom w:val="single" w:sz="4" w:space="0" w:color="auto"/>
              <w:right w:val="nil"/>
            </w:tcBorders>
          </w:tcPr>
          <w:p w14:paraId="754577C2" w14:textId="77777777" w:rsidR="007C3324" w:rsidRPr="00092DA3" w:rsidRDefault="007C3324" w:rsidP="009A07F7">
            <w:pPr>
              <w:spacing w:after="200" w:line="276" w:lineRule="auto"/>
              <w:rPr>
                <w:b/>
              </w:rPr>
            </w:pPr>
            <w:r w:rsidRPr="00092DA3">
              <w:rPr>
                <w:b/>
              </w:rPr>
              <w:t xml:space="preserve">Party Responsible </w:t>
            </w:r>
          </w:p>
        </w:tc>
        <w:tc>
          <w:tcPr>
            <w:tcW w:w="916" w:type="pct"/>
            <w:tcBorders>
              <w:top w:val="nil"/>
              <w:left w:val="nil"/>
              <w:bottom w:val="single" w:sz="4" w:space="0" w:color="auto"/>
              <w:right w:val="nil"/>
            </w:tcBorders>
          </w:tcPr>
          <w:p w14:paraId="051048E3" w14:textId="77777777" w:rsidR="007C3324" w:rsidRPr="00092DA3" w:rsidRDefault="007C3324" w:rsidP="009A07F7">
            <w:pPr>
              <w:spacing w:after="200" w:line="276" w:lineRule="auto"/>
              <w:rPr>
                <w:b/>
              </w:rPr>
            </w:pPr>
            <w:r w:rsidRPr="00092DA3">
              <w:rPr>
                <w:b/>
              </w:rPr>
              <w:t>Date of Effect</w:t>
            </w:r>
          </w:p>
        </w:tc>
      </w:tr>
      <w:tr w:rsidR="007C3324" w:rsidRPr="00092DA3" w14:paraId="70243742" w14:textId="77777777" w:rsidTr="00045E43">
        <w:trPr>
          <w:cantSplit/>
          <w:jc w:val="center"/>
        </w:trPr>
        <w:tc>
          <w:tcPr>
            <w:tcW w:w="2050" w:type="pct"/>
            <w:tcBorders>
              <w:top w:val="single" w:sz="4" w:space="0" w:color="auto"/>
              <w:left w:val="single" w:sz="4" w:space="0" w:color="auto"/>
              <w:bottom w:val="single" w:sz="4" w:space="0" w:color="auto"/>
              <w:right w:val="nil"/>
            </w:tcBorders>
            <w:vAlign w:val="center"/>
          </w:tcPr>
          <w:p w14:paraId="2235675D" w14:textId="4C5EDE3A" w:rsidR="007C3324" w:rsidRPr="00092DA3" w:rsidRDefault="007C3324" w:rsidP="0035049E">
            <w:pPr>
              <w:spacing w:before="120"/>
            </w:pPr>
            <w:r w:rsidRPr="00092DA3">
              <w:t>End-user contribution</w:t>
            </w:r>
            <w:r w:rsidR="00D045DD" w:rsidRPr="00092DA3">
              <w:t xml:space="preserve"> per premise</w:t>
            </w:r>
            <w:r w:rsidR="00D5754D" w:rsidRPr="00092DA3">
              <w:t>s</w:t>
            </w:r>
          </w:p>
        </w:tc>
        <w:tc>
          <w:tcPr>
            <w:tcW w:w="856" w:type="pct"/>
            <w:tcBorders>
              <w:top w:val="single" w:sz="4" w:space="0" w:color="auto"/>
              <w:left w:val="nil"/>
              <w:bottom w:val="single" w:sz="4" w:space="0" w:color="auto"/>
              <w:right w:val="single" w:sz="4" w:space="0" w:color="auto"/>
            </w:tcBorders>
          </w:tcPr>
          <w:p w14:paraId="75CB0CE9" w14:textId="77777777" w:rsidR="007C3324" w:rsidRPr="00092DA3" w:rsidRDefault="007C3324" w:rsidP="000F0B1B">
            <w:pPr>
              <w:tabs>
                <w:tab w:val="left" w:pos="240"/>
                <w:tab w:val="center" w:pos="1225"/>
              </w:tabs>
              <w:spacing w:before="120"/>
              <w:jc w:val="right"/>
              <w:rPr>
                <w:b/>
              </w:rPr>
            </w:pPr>
            <w:r w:rsidRPr="00092DA3">
              <w:rPr>
                <w:b/>
              </w:rPr>
              <w:t>$300</w:t>
            </w:r>
          </w:p>
        </w:tc>
        <w:tc>
          <w:tcPr>
            <w:tcW w:w="1178" w:type="pct"/>
            <w:tcBorders>
              <w:top w:val="single" w:sz="4" w:space="0" w:color="auto"/>
              <w:left w:val="single" w:sz="4" w:space="0" w:color="auto"/>
              <w:bottom w:val="single" w:sz="4" w:space="0" w:color="auto"/>
              <w:right w:val="single" w:sz="4" w:space="0" w:color="auto"/>
            </w:tcBorders>
          </w:tcPr>
          <w:p w14:paraId="09BB3458" w14:textId="4A454542" w:rsidR="007C3324" w:rsidRPr="00092DA3" w:rsidRDefault="007C3324" w:rsidP="006C3DB1">
            <w:pPr>
              <w:spacing w:before="120"/>
            </w:pPr>
            <w:r w:rsidRPr="00092DA3">
              <w:t xml:space="preserve">RSP </w:t>
            </w:r>
            <w:r w:rsidR="000C7424" w:rsidRPr="00092DA3">
              <w:t xml:space="preserve">contracted </w:t>
            </w:r>
            <w:r w:rsidR="00DD1F6D" w:rsidRPr="00092DA3">
              <w:t>with NBN Co</w:t>
            </w:r>
            <w:r w:rsidR="00F76A1D" w:rsidRPr="00092DA3">
              <w:rPr>
                <w:rStyle w:val="FootnoteReference"/>
              </w:rPr>
              <w:footnoteReference w:id="8"/>
            </w:r>
            <w:r w:rsidR="00DD1F6D" w:rsidRPr="00092DA3">
              <w:t xml:space="preserve"> </w:t>
            </w:r>
            <w:r w:rsidRPr="00092DA3">
              <w:t>(</w:t>
            </w:r>
            <w:r w:rsidR="001C049A" w:rsidRPr="00092DA3">
              <w:t xml:space="preserve">RSP </w:t>
            </w:r>
            <w:r w:rsidR="00965193" w:rsidRPr="00092DA3">
              <w:t xml:space="preserve">may </w:t>
            </w:r>
            <w:r w:rsidRPr="00092DA3">
              <w:t xml:space="preserve">pass </w:t>
            </w:r>
            <w:r w:rsidR="00965193" w:rsidRPr="00092DA3">
              <w:t xml:space="preserve">through </w:t>
            </w:r>
            <w:r w:rsidRPr="00092DA3">
              <w:t xml:space="preserve">to </w:t>
            </w:r>
            <w:r w:rsidR="00965193" w:rsidRPr="00092DA3">
              <w:t>end-user</w:t>
            </w:r>
            <w:r w:rsidRPr="00092DA3">
              <w:t>)</w:t>
            </w:r>
          </w:p>
        </w:tc>
        <w:tc>
          <w:tcPr>
            <w:tcW w:w="916" w:type="pct"/>
            <w:tcBorders>
              <w:top w:val="single" w:sz="4" w:space="0" w:color="auto"/>
              <w:left w:val="single" w:sz="4" w:space="0" w:color="auto"/>
              <w:bottom w:val="single" w:sz="4" w:space="0" w:color="auto"/>
              <w:right w:val="single" w:sz="4" w:space="0" w:color="auto"/>
            </w:tcBorders>
          </w:tcPr>
          <w:p w14:paraId="6DD3C472" w14:textId="6F1ED2EC" w:rsidR="007C3324" w:rsidRPr="00092DA3" w:rsidRDefault="007C3324" w:rsidP="00E75E93">
            <w:pPr>
              <w:spacing w:before="120"/>
            </w:pPr>
            <w:r w:rsidRPr="00092DA3">
              <w:t xml:space="preserve">1 July 2015 </w:t>
            </w:r>
            <w:r w:rsidR="00E75E93">
              <w:t xml:space="preserve">subject to necessary implementation processes </w:t>
            </w:r>
            <w:r w:rsidRPr="00092DA3">
              <w:t>(</w:t>
            </w:r>
            <w:r w:rsidR="00DD1F6D" w:rsidRPr="00092DA3">
              <w:t xml:space="preserve">NBN Co will apply this charge to </w:t>
            </w:r>
            <w:r w:rsidRPr="00092DA3">
              <w:t xml:space="preserve">all new </w:t>
            </w:r>
            <w:r w:rsidR="00DD1F6D" w:rsidRPr="00092DA3">
              <w:t xml:space="preserve">orders for services </w:t>
            </w:r>
            <w:r w:rsidRPr="00092DA3">
              <w:t>in new developments)</w:t>
            </w:r>
          </w:p>
        </w:tc>
      </w:tr>
      <w:tr w:rsidR="007C3324" w:rsidRPr="00092DA3" w14:paraId="43181B24" w14:textId="77777777" w:rsidTr="00045E43">
        <w:trPr>
          <w:cantSplit/>
          <w:jc w:val="center"/>
        </w:trPr>
        <w:tc>
          <w:tcPr>
            <w:tcW w:w="2050" w:type="pct"/>
            <w:tcBorders>
              <w:top w:val="single" w:sz="4" w:space="0" w:color="auto"/>
              <w:left w:val="single" w:sz="4" w:space="0" w:color="auto"/>
              <w:bottom w:val="nil"/>
              <w:right w:val="nil"/>
            </w:tcBorders>
          </w:tcPr>
          <w:p w14:paraId="3868C3E8" w14:textId="5E7EE3CB" w:rsidR="007C3324" w:rsidRPr="00092DA3" w:rsidRDefault="007C3324" w:rsidP="0035049E">
            <w:pPr>
              <w:spacing w:before="120"/>
            </w:pPr>
            <w:r w:rsidRPr="00092DA3">
              <w:t>Deployment contribution</w:t>
            </w:r>
            <w:r w:rsidR="00D045DD" w:rsidRPr="00092DA3">
              <w:t xml:space="preserve"> per lot/premise</w:t>
            </w:r>
            <w:r w:rsidR="005A1340">
              <w:t>s</w:t>
            </w:r>
            <w:r w:rsidRPr="00092DA3">
              <w:t xml:space="preserve"> (SDU)</w:t>
            </w:r>
          </w:p>
        </w:tc>
        <w:tc>
          <w:tcPr>
            <w:tcW w:w="856" w:type="pct"/>
            <w:tcBorders>
              <w:top w:val="single" w:sz="4" w:space="0" w:color="auto"/>
              <w:left w:val="nil"/>
              <w:bottom w:val="nil"/>
              <w:right w:val="single" w:sz="4" w:space="0" w:color="auto"/>
            </w:tcBorders>
          </w:tcPr>
          <w:p w14:paraId="26306889" w14:textId="77777777" w:rsidR="007C3324" w:rsidRPr="00092DA3" w:rsidRDefault="007C3324" w:rsidP="000F0B1B">
            <w:pPr>
              <w:spacing w:before="120"/>
              <w:jc w:val="right"/>
              <w:rPr>
                <w:b/>
              </w:rPr>
            </w:pPr>
            <w:r w:rsidRPr="00092DA3">
              <w:rPr>
                <w:b/>
              </w:rPr>
              <w:t>$600</w:t>
            </w:r>
          </w:p>
        </w:tc>
        <w:tc>
          <w:tcPr>
            <w:tcW w:w="1178" w:type="pct"/>
            <w:tcBorders>
              <w:top w:val="single" w:sz="4" w:space="0" w:color="auto"/>
              <w:left w:val="single" w:sz="4" w:space="0" w:color="auto"/>
              <w:bottom w:val="nil"/>
              <w:right w:val="single" w:sz="4" w:space="0" w:color="auto"/>
            </w:tcBorders>
          </w:tcPr>
          <w:p w14:paraId="2A270DA9" w14:textId="77777777" w:rsidR="007C3324" w:rsidRPr="00092DA3" w:rsidRDefault="007C3324" w:rsidP="000F0B1B">
            <w:pPr>
              <w:spacing w:before="120"/>
            </w:pPr>
            <w:r w:rsidRPr="00092DA3">
              <w:t>Developer</w:t>
            </w:r>
          </w:p>
        </w:tc>
        <w:tc>
          <w:tcPr>
            <w:tcW w:w="916" w:type="pct"/>
            <w:tcBorders>
              <w:top w:val="single" w:sz="4" w:space="0" w:color="auto"/>
              <w:left w:val="single" w:sz="4" w:space="0" w:color="auto"/>
              <w:bottom w:val="nil"/>
              <w:right w:val="single" w:sz="4" w:space="0" w:color="auto"/>
            </w:tcBorders>
          </w:tcPr>
          <w:p w14:paraId="3743E795" w14:textId="77777777" w:rsidR="007C3324" w:rsidRPr="00092DA3" w:rsidRDefault="007C3324" w:rsidP="000F0B1B">
            <w:pPr>
              <w:spacing w:before="120"/>
            </w:pPr>
            <w:r w:rsidRPr="00092DA3">
              <w:t xml:space="preserve">1 March 2015 (applications approved </w:t>
            </w:r>
            <w:r w:rsidR="000C7424" w:rsidRPr="00092DA3">
              <w:t xml:space="preserve">on and </w:t>
            </w:r>
            <w:r w:rsidRPr="00092DA3">
              <w:t>aft</w:t>
            </w:r>
            <w:r w:rsidR="000C7424" w:rsidRPr="00092DA3">
              <w:t>er</w:t>
            </w:r>
            <w:r w:rsidRPr="00092DA3">
              <w:t xml:space="preserve"> this date)</w:t>
            </w:r>
          </w:p>
        </w:tc>
      </w:tr>
      <w:tr w:rsidR="007C3324" w:rsidRPr="00092DA3" w14:paraId="5126C6E2" w14:textId="77777777" w:rsidTr="00045E43">
        <w:trPr>
          <w:cantSplit/>
          <w:jc w:val="center"/>
        </w:trPr>
        <w:tc>
          <w:tcPr>
            <w:tcW w:w="2050" w:type="pct"/>
            <w:tcBorders>
              <w:top w:val="nil"/>
              <w:left w:val="single" w:sz="4" w:space="0" w:color="auto"/>
              <w:bottom w:val="single" w:sz="4" w:space="0" w:color="auto"/>
              <w:right w:val="nil"/>
            </w:tcBorders>
          </w:tcPr>
          <w:p w14:paraId="0ED61005" w14:textId="44F5D563" w:rsidR="007C3324" w:rsidRPr="00092DA3" w:rsidRDefault="007C3324" w:rsidP="0035049E">
            <w:pPr>
              <w:spacing w:before="120"/>
            </w:pPr>
            <w:r w:rsidRPr="00092DA3">
              <w:t>Deployment contribution</w:t>
            </w:r>
            <w:r w:rsidR="00D045DD" w:rsidRPr="00092DA3">
              <w:t xml:space="preserve"> per premise</w:t>
            </w:r>
            <w:r w:rsidR="005A1340">
              <w:t>s</w:t>
            </w:r>
            <w:r w:rsidRPr="00092DA3">
              <w:t xml:space="preserve"> (MDU)</w:t>
            </w:r>
          </w:p>
        </w:tc>
        <w:tc>
          <w:tcPr>
            <w:tcW w:w="856" w:type="pct"/>
            <w:tcBorders>
              <w:top w:val="nil"/>
              <w:left w:val="nil"/>
              <w:bottom w:val="single" w:sz="4" w:space="0" w:color="auto"/>
              <w:right w:val="single" w:sz="4" w:space="0" w:color="auto"/>
            </w:tcBorders>
          </w:tcPr>
          <w:p w14:paraId="45313E6C" w14:textId="77777777" w:rsidR="007C3324" w:rsidRPr="00092DA3" w:rsidRDefault="007C3324" w:rsidP="000F0B1B">
            <w:pPr>
              <w:spacing w:before="120"/>
              <w:jc w:val="right"/>
              <w:rPr>
                <w:b/>
              </w:rPr>
            </w:pPr>
            <w:r w:rsidRPr="00092DA3">
              <w:rPr>
                <w:b/>
              </w:rPr>
              <w:t>$400</w:t>
            </w:r>
          </w:p>
        </w:tc>
        <w:tc>
          <w:tcPr>
            <w:tcW w:w="1178" w:type="pct"/>
            <w:tcBorders>
              <w:top w:val="nil"/>
              <w:left w:val="single" w:sz="4" w:space="0" w:color="auto"/>
              <w:bottom w:val="single" w:sz="4" w:space="0" w:color="auto"/>
              <w:right w:val="single" w:sz="4" w:space="0" w:color="auto"/>
            </w:tcBorders>
          </w:tcPr>
          <w:p w14:paraId="0D348E54" w14:textId="77777777" w:rsidR="007C3324" w:rsidRPr="00092DA3" w:rsidRDefault="007C3324" w:rsidP="000F0B1B">
            <w:pPr>
              <w:spacing w:before="120"/>
            </w:pPr>
            <w:r w:rsidRPr="00092DA3">
              <w:t>Developer</w:t>
            </w:r>
          </w:p>
        </w:tc>
        <w:tc>
          <w:tcPr>
            <w:tcW w:w="916" w:type="pct"/>
            <w:tcBorders>
              <w:top w:val="nil"/>
              <w:left w:val="single" w:sz="4" w:space="0" w:color="auto"/>
              <w:bottom w:val="single" w:sz="4" w:space="0" w:color="auto"/>
              <w:right w:val="single" w:sz="4" w:space="0" w:color="auto"/>
            </w:tcBorders>
          </w:tcPr>
          <w:p w14:paraId="3444DEDE" w14:textId="77777777" w:rsidR="007C3324" w:rsidRPr="00092DA3" w:rsidRDefault="007C3324" w:rsidP="000F0B1B">
            <w:pPr>
              <w:spacing w:before="120"/>
            </w:pPr>
          </w:p>
        </w:tc>
      </w:tr>
      <w:tr w:rsidR="007C3324" w:rsidRPr="00092DA3" w14:paraId="4D4A05CF" w14:textId="77777777" w:rsidTr="00045E43">
        <w:trPr>
          <w:cantSplit/>
          <w:jc w:val="center"/>
        </w:trPr>
        <w:tc>
          <w:tcPr>
            <w:tcW w:w="2050" w:type="pct"/>
            <w:tcBorders>
              <w:top w:val="single" w:sz="4" w:space="0" w:color="auto"/>
              <w:left w:val="single" w:sz="4" w:space="0" w:color="auto"/>
              <w:bottom w:val="nil"/>
              <w:right w:val="nil"/>
            </w:tcBorders>
          </w:tcPr>
          <w:p w14:paraId="57A8BCF1" w14:textId="77777777" w:rsidR="007C3324" w:rsidRPr="00092DA3" w:rsidRDefault="007C3324" w:rsidP="000F0B1B">
            <w:pPr>
              <w:spacing w:before="120"/>
            </w:pPr>
            <w:r w:rsidRPr="00092DA3">
              <w:t>NBN backhaul already available</w:t>
            </w:r>
          </w:p>
        </w:tc>
        <w:tc>
          <w:tcPr>
            <w:tcW w:w="856" w:type="pct"/>
            <w:tcBorders>
              <w:top w:val="single" w:sz="4" w:space="0" w:color="auto"/>
              <w:left w:val="nil"/>
              <w:bottom w:val="nil"/>
              <w:right w:val="single" w:sz="4" w:space="0" w:color="auto"/>
            </w:tcBorders>
          </w:tcPr>
          <w:p w14:paraId="7F655884" w14:textId="77777777" w:rsidR="007C3324" w:rsidRPr="00092DA3" w:rsidRDefault="007C3324" w:rsidP="000F0B1B">
            <w:pPr>
              <w:spacing w:before="120"/>
              <w:jc w:val="right"/>
            </w:pPr>
            <w:r w:rsidRPr="00092DA3">
              <w:rPr>
                <w:b/>
              </w:rPr>
              <w:t>No charge</w:t>
            </w:r>
          </w:p>
        </w:tc>
        <w:tc>
          <w:tcPr>
            <w:tcW w:w="1178" w:type="pct"/>
            <w:tcBorders>
              <w:top w:val="single" w:sz="4" w:space="0" w:color="auto"/>
              <w:left w:val="single" w:sz="4" w:space="0" w:color="auto"/>
              <w:bottom w:val="nil"/>
              <w:right w:val="single" w:sz="4" w:space="0" w:color="auto"/>
            </w:tcBorders>
          </w:tcPr>
          <w:p w14:paraId="6E01C087" w14:textId="77777777" w:rsidR="007C3324" w:rsidRPr="00092DA3" w:rsidRDefault="007C3324" w:rsidP="000F0B1B">
            <w:pPr>
              <w:spacing w:before="120"/>
            </w:pPr>
            <w:r w:rsidRPr="00092DA3">
              <w:t xml:space="preserve"> N/A</w:t>
            </w:r>
          </w:p>
        </w:tc>
        <w:tc>
          <w:tcPr>
            <w:tcW w:w="916" w:type="pct"/>
            <w:tcBorders>
              <w:top w:val="single" w:sz="4" w:space="0" w:color="auto"/>
              <w:left w:val="single" w:sz="4" w:space="0" w:color="auto"/>
              <w:bottom w:val="nil"/>
              <w:right w:val="single" w:sz="4" w:space="0" w:color="auto"/>
            </w:tcBorders>
          </w:tcPr>
          <w:p w14:paraId="5443EF8E" w14:textId="77777777" w:rsidR="007C3324" w:rsidRPr="00092DA3" w:rsidRDefault="007C3324" w:rsidP="0035049E">
            <w:pPr>
              <w:spacing w:before="120"/>
            </w:pPr>
            <w:r w:rsidRPr="00092DA3">
              <w:t xml:space="preserve">1 July 2015 (applications approved </w:t>
            </w:r>
            <w:r w:rsidR="000C7424" w:rsidRPr="00092DA3">
              <w:t xml:space="preserve">on and </w:t>
            </w:r>
            <w:r w:rsidRPr="00092DA3">
              <w:t>after this date)</w:t>
            </w:r>
          </w:p>
        </w:tc>
      </w:tr>
      <w:tr w:rsidR="007C3324" w:rsidRPr="00092DA3" w14:paraId="2615EC36" w14:textId="77777777" w:rsidTr="00045E43">
        <w:trPr>
          <w:cantSplit/>
          <w:trHeight w:val="74"/>
          <w:jc w:val="center"/>
        </w:trPr>
        <w:tc>
          <w:tcPr>
            <w:tcW w:w="2050" w:type="pct"/>
            <w:tcBorders>
              <w:top w:val="nil"/>
              <w:left w:val="single" w:sz="4" w:space="0" w:color="auto"/>
              <w:bottom w:val="nil"/>
              <w:right w:val="nil"/>
            </w:tcBorders>
          </w:tcPr>
          <w:p w14:paraId="2BCDAD44" w14:textId="26080D5C" w:rsidR="007C3324" w:rsidRPr="00092DA3" w:rsidRDefault="007C3324" w:rsidP="0035049E">
            <w:pPr>
              <w:spacing w:before="120"/>
            </w:pPr>
            <w:r w:rsidRPr="00092DA3">
              <w:t>Backhaul costs up to $1000</w:t>
            </w:r>
            <w:r w:rsidR="00D045DD" w:rsidRPr="00092DA3">
              <w:t xml:space="preserve"> per lot/premise</w:t>
            </w:r>
            <w:r w:rsidR="00D5754D" w:rsidRPr="00092DA3">
              <w:t>s</w:t>
            </w:r>
          </w:p>
        </w:tc>
        <w:tc>
          <w:tcPr>
            <w:tcW w:w="856" w:type="pct"/>
            <w:tcBorders>
              <w:top w:val="nil"/>
              <w:left w:val="nil"/>
              <w:bottom w:val="nil"/>
              <w:right w:val="single" w:sz="4" w:space="0" w:color="auto"/>
            </w:tcBorders>
          </w:tcPr>
          <w:p w14:paraId="0C7CE618" w14:textId="77777777" w:rsidR="007C3324" w:rsidRPr="00092DA3" w:rsidRDefault="007C3324" w:rsidP="000F0B1B">
            <w:pPr>
              <w:spacing w:before="120"/>
              <w:jc w:val="right"/>
            </w:pPr>
            <w:r w:rsidRPr="00092DA3">
              <w:rPr>
                <w:b/>
              </w:rPr>
              <w:t>Up to 50% of costs</w:t>
            </w:r>
          </w:p>
        </w:tc>
        <w:tc>
          <w:tcPr>
            <w:tcW w:w="1178" w:type="pct"/>
            <w:tcBorders>
              <w:top w:val="nil"/>
              <w:left w:val="single" w:sz="4" w:space="0" w:color="auto"/>
              <w:bottom w:val="nil"/>
              <w:right w:val="single" w:sz="4" w:space="0" w:color="auto"/>
            </w:tcBorders>
          </w:tcPr>
          <w:p w14:paraId="2E93D8C6" w14:textId="77777777" w:rsidR="007C3324" w:rsidRPr="00092DA3" w:rsidRDefault="007C3324" w:rsidP="000F0B1B">
            <w:pPr>
              <w:spacing w:before="120"/>
            </w:pPr>
            <w:r w:rsidRPr="00092DA3">
              <w:t>Developer</w:t>
            </w:r>
          </w:p>
        </w:tc>
        <w:tc>
          <w:tcPr>
            <w:tcW w:w="916" w:type="pct"/>
            <w:tcBorders>
              <w:top w:val="nil"/>
              <w:left w:val="single" w:sz="4" w:space="0" w:color="auto"/>
              <w:bottom w:val="nil"/>
              <w:right w:val="single" w:sz="4" w:space="0" w:color="auto"/>
            </w:tcBorders>
          </w:tcPr>
          <w:p w14:paraId="78EFE44A" w14:textId="77777777" w:rsidR="007C3324" w:rsidRPr="00092DA3" w:rsidRDefault="007C3324" w:rsidP="000F0B1B">
            <w:pPr>
              <w:spacing w:before="120"/>
            </w:pPr>
          </w:p>
        </w:tc>
      </w:tr>
      <w:tr w:rsidR="007C3324" w:rsidRPr="00092DA3" w14:paraId="627E5AB4" w14:textId="77777777" w:rsidTr="00045E43">
        <w:trPr>
          <w:cantSplit/>
          <w:trHeight w:val="74"/>
          <w:jc w:val="center"/>
        </w:trPr>
        <w:tc>
          <w:tcPr>
            <w:tcW w:w="2050" w:type="pct"/>
            <w:tcBorders>
              <w:top w:val="nil"/>
              <w:left w:val="single" w:sz="4" w:space="0" w:color="auto"/>
              <w:bottom w:val="single" w:sz="4" w:space="0" w:color="auto"/>
              <w:right w:val="nil"/>
            </w:tcBorders>
          </w:tcPr>
          <w:p w14:paraId="32139AE0" w14:textId="4D2D1AC1" w:rsidR="007C3324" w:rsidRPr="00092DA3" w:rsidRDefault="007C3324" w:rsidP="0035049E">
            <w:pPr>
              <w:spacing w:before="120"/>
            </w:pPr>
            <w:r w:rsidRPr="00092DA3">
              <w:t xml:space="preserve">Backhaul costs </w:t>
            </w:r>
            <w:r w:rsidR="0035049E" w:rsidRPr="00092DA3">
              <w:t>over</w:t>
            </w:r>
            <w:r w:rsidR="00E53A0E">
              <w:t xml:space="preserve"> </w:t>
            </w:r>
            <w:r w:rsidRPr="00092DA3">
              <w:t>$1000</w:t>
            </w:r>
            <w:r w:rsidR="00D045DD" w:rsidRPr="00092DA3">
              <w:t xml:space="preserve"> per lot/premise</w:t>
            </w:r>
            <w:r w:rsidR="00D5754D" w:rsidRPr="00092DA3">
              <w:t>s</w:t>
            </w:r>
          </w:p>
        </w:tc>
        <w:tc>
          <w:tcPr>
            <w:tcW w:w="856" w:type="pct"/>
            <w:tcBorders>
              <w:top w:val="nil"/>
              <w:left w:val="nil"/>
              <w:bottom w:val="single" w:sz="4" w:space="0" w:color="auto"/>
              <w:right w:val="single" w:sz="4" w:space="0" w:color="auto"/>
            </w:tcBorders>
          </w:tcPr>
          <w:p w14:paraId="35295340" w14:textId="292CBA9F" w:rsidR="007C3324" w:rsidRPr="00092DA3" w:rsidRDefault="007C3324" w:rsidP="00734ED1">
            <w:pPr>
              <w:spacing w:before="120"/>
              <w:jc w:val="right"/>
              <w:rPr>
                <w:b/>
              </w:rPr>
            </w:pPr>
            <w:r w:rsidRPr="00092DA3">
              <w:rPr>
                <w:b/>
              </w:rPr>
              <w:t>Up to 100% of costs over $1000</w:t>
            </w:r>
            <w:r w:rsidR="0035049E" w:rsidRPr="00092DA3">
              <w:rPr>
                <w:b/>
              </w:rPr>
              <w:t xml:space="preserve"> (in addition to</w:t>
            </w:r>
            <w:r w:rsidR="0035049E" w:rsidRPr="00092DA3">
              <w:t xml:space="preserve"> </w:t>
            </w:r>
            <w:r w:rsidR="006003BF" w:rsidRPr="00092DA3">
              <w:rPr>
                <w:b/>
              </w:rPr>
              <w:t>up to</w:t>
            </w:r>
            <w:r w:rsidR="006003BF" w:rsidRPr="00092DA3">
              <w:t xml:space="preserve"> </w:t>
            </w:r>
            <w:r w:rsidR="0035049E" w:rsidRPr="00092DA3">
              <w:rPr>
                <w:b/>
              </w:rPr>
              <w:t>50%</w:t>
            </w:r>
            <w:r w:rsidR="00503A43">
              <w:rPr>
                <w:b/>
              </w:rPr>
              <w:t xml:space="preserve"> of</w:t>
            </w:r>
            <w:r w:rsidR="0035049E" w:rsidRPr="00092DA3">
              <w:rPr>
                <w:b/>
              </w:rPr>
              <w:t xml:space="preserve"> the first $1000) </w:t>
            </w:r>
          </w:p>
        </w:tc>
        <w:tc>
          <w:tcPr>
            <w:tcW w:w="1178" w:type="pct"/>
            <w:tcBorders>
              <w:top w:val="nil"/>
              <w:left w:val="single" w:sz="4" w:space="0" w:color="auto"/>
              <w:bottom w:val="single" w:sz="4" w:space="0" w:color="auto"/>
              <w:right w:val="single" w:sz="4" w:space="0" w:color="auto"/>
            </w:tcBorders>
          </w:tcPr>
          <w:p w14:paraId="0D6B89DB" w14:textId="77777777" w:rsidR="007C3324" w:rsidRPr="00092DA3" w:rsidRDefault="007C3324" w:rsidP="000F0B1B">
            <w:pPr>
              <w:spacing w:before="120"/>
            </w:pPr>
            <w:r w:rsidRPr="00092DA3">
              <w:t>Developer</w:t>
            </w:r>
          </w:p>
        </w:tc>
        <w:tc>
          <w:tcPr>
            <w:tcW w:w="916" w:type="pct"/>
            <w:tcBorders>
              <w:top w:val="nil"/>
              <w:left w:val="single" w:sz="4" w:space="0" w:color="auto"/>
              <w:bottom w:val="single" w:sz="4" w:space="0" w:color="auto"/>
              <w:right w:val="single" w:sz="4" w:space="0" w:color="auto"/>
            </w:tcBorders>
          </w:tcPr>
          <w:p w14:paraId="71945499" w14:textId="77777777" w:rsidR="007C3324" w:rsidRPr="00092DA3" w:rsidRDefault="007C3324" w:rsidP="000F0B1B">
            <w:pPr>
              <w:spacing w:before="120"/>
            </w:pPr>
          </w:p>
        </w:tc>
      </w:tr>
      <w:tr w:rsidR="0035049E" w:rsidRPr="00092DA3" w14:paraId="33314046" w14:textId="77777777" w:rsidTr="00045E43">
        <w:trPr>
          <w:cantSplit/>
          <w:trHeight w:val="74"/>
          <w:jc w:val="center"/>
        </w:trPr>
        <w:tc>
          <w:tcPr>
            <w:tcW w:w="2050" w:type="pct"/>
            <w:tcBorders>
              <w:top w:val="single" w:sz="4" w:space="0" w:color="auto"/>
              <w:left w:val="single" w:sz="4" w:space="0" w:color="auto"/>
              <w:bottom w:val="nil"/>
              <w:right w:val="nil"/>
            </w:tcBorders>
          </w:tcPr>
          <w:p w14:paraId="246AA59A" w14:textId="659CCDA5" w:rsidR="0035049E" w:rsidRPr="00092DA3" w:rsidRDefault="0035049E" w:rsidP="0035049E">
            <w:pPr>
              <w:spacing w:before="120"/>
            </w:pPr>
            <w:r w:rsidRPr="00092DA3">
              <w:t>Wireless/satellite contribution</w:t>
            </w:r>
            <w:r w:rsidR="006F352C" w:rsidRPr="00092DA3">
              <w:t xml:space="preserve"> per </w:t>
            </w:r>
            <w:r w:rsidR="00D045DD" w:rsidRPr="00092DA3">
              <w:t>premise</w:t>
            </w:r>
            <w:r w:rsidR="00D5754D" w:rsidRPr="00092DA3">
              <w:t>s</w:t>
            </w:r>
            <w:r w:rsidRPr="00092DA3">
              <w:t xml:space="preserve"> (SDU)</w:t>
            </w:r>
          </w:p>
        </w:tc>
        <w:tc>
          <w:tcPr>
            <w:tcW w:w="856" w:type="pct"/>
            <w:tcBorders>
              <w:top w:val="single" w:sz="4" w:space="0" w:color="auto"/>
              <w:left w:val="nil"/>
              <w:bottom w:val="nil"/>
              <w:right w:val="single" w:sz="4" w:space="0" w:color="auto"/>
            </w:tcBorders>
          </w:tcPr>
          <w:p w14:paraId="2A5FC23D" w14:textId="77777777" w:rsidR="0035049E" w:rsidRPr="00092DA3" w:rsidRDefault="0035049E" w:rsidP="000F0B1B">
            <w:pPr>
              <w:spacing w:before="120"/>
              <w:jc w:val="right"/>
              <w:rPr>
                <w:b/>
              </w:rPr>
            </w:pPr>
            <w:r w:rsidRPr="00092DA3">
              <w:rPr>
                <w:b/>
              </w:rPr>
              <w:t>$1300</w:t>
            </w:r>
          </w:p>
        </w:tc>
        <w:tc>
          <w:tcPr>
            <w:tcW w:w="1178" w:type="pct"/>
            <w:tcBorders>
              <w:top w:val="single" w:sz="4" w:space="0" w:color="auto"/>
              <w:left w:val="single" w:sz="4" w:space="0" w:color="auto"/>
              <w:bottom w:val="nil"/>
              <w:right w:val="single" w:sz="4" w:space="0" w:color="auto"/>
            </w:tcBorders>
          </w:tcPr>
          <w:p w14:paraId="36AB67F7" w14:textId="4B8A164C" w:rsidR="0035049E" w:rsidRPr="00092DA3" w:rsidRDefault="0035049E" w:rsidP="00083328">
            <w:pPr>
              <w:spacing w:before="120"/>
            </w:pPr>
            <w:r w:rsidRPr="00092DA3">
              <w:t>Developer</w:t>
            </w:r>
          </w:p>
        </w:tc>
        <w:tc>
          <w:tcPr>
            <w:tcW w:w="916" w:type="pct"/>
            <w:vMerge w:val="restart"/>
            <w:tcBorders>
              <w:top w:val="single" w:sz="4" w:space="0" w:color="auto"/>
              <w:left w:val="single" w:sz="4" w:space="0" w:color="auto"/>
              <w:right w:val="single" w:sz="4" w:space="0" w:color="auto"/>
            </w:tcBorders>
          </w:tcPr>
          <w:p w14:paraId="68C04558" w14:textId="77777777" w:rsidR="0035049E" w:rsidRPr="00092DA3" w:rsidRDefault="0035049E" w:rsidP="00083328">
            <w:pPr>
              <w:spacing w:before="120"/>
            </w:pPr>
            <w:r w:rsidRPr="00092DA3">
              <w:t xml:space="preserve">1 July 2015 (applications approved </w:t>
            </w:r>
            <w:r w:rsidR="000C7424" w:rsidRPr="00092DA3">
              <w:t xml:space="preserve">on and </w:t>
            </w:r>
            <w:r w:rsidRPr="00092DA3">
              <w:t>after this date)</w:t>
            </w:r>
          </w:p>
        </w:tc>
      </w:tr>
      <w:tr w:rsidR="0035049E" w:rsidRPr="00092DA3" w14:paraId="00EE77F1" w14:textId="77777777" w:rsidTr="00045E43">
        <w:trPr>
          <w:cantSplit/>
          <w:trHeight w:val="74"/>
          <w:jc w:val="center"/>
        </w:trPr>
        <w:tc>
          <w:tcPr>
            <w:tcW w:w="2050" w:type="pct"/>
            <w:tcBorders>
              <w:top w:val="nil"/>
              <w:left w:val="single" w:sz="4" w:space="0" w:color="auto"/>
              <w:bottom w:val="single" w:sz="4" w:space="0" w:color="auto"/>
              <w:right w:val="nil"/>
            </w:tcBorders>
          </w:tcPr>
          <w:p w14:paraId="037B8836" w14:textId="77777777" w:rsidR="0035049E" w:rsidRPr="00092DA3" w:rsidRDefault="0035049E" w:rsidP="000F0B1B">
            <w:pPr>
              <w:spacing w:before="120"/>
            </w:pPr>
            <w:r w:rsidRPr="00092DA3">
              <w:t>Wireless/satellite co-contribution</w:t>
            </w:r>
            <w:r w:rsidR="006F352C" w:rsidRPr="00092DA3">
              <w:t xml:space="preserve"> per </w:t>
            </w:r>
            <w:r w:rsidR="00D045DD" w:rsidRPr="00092DA3">
              <w:t>premise</w:t>
            </w:r>
            <w:r w:rsidR="00D5754D" w:rsidRPr="00092DA3">
              <w:t>s</w:t>
            </w:r>
            <w:r w:rsidRPr="00092DA3">
              <w:t xml:space="preserve"> (MDU)</w:t>
            </w:r>
          </w:p>
        </w:tc>
        <w:tc>
          <w:tcPr>
            <w:tcW w:w="856" w:type="pct"/>
            <w:tcBorders>
              <w:top w:val="nil"/>
              <w:left w:val="nil"/>
              <w:bottom w:val="single" w:sz="4" w:space="0" w:color="auto"/>
              <w:right w:val="single" w:sz="4" w:space="0" w:color="auto"/>
            </w:tcBorders>
          </w:tcPr>
          <w:p w14:paraId="35253DBC" w14:textId="77777777" w:rsidR="0035049E" w:rsidRPr="00092DA3" w:rsidRDefault="0035049E" w:rsidP="000F0B1B">
            <w:pPr>
              <w:spacing w:before="120"/>
              <w:jc w:val="right"/>
              <w:rPr>
                <w:b/>
              </w:rPr>
            </w:pPr>
            <w:r w:rsidRPr="00092DA3">
              <w:rPr>
                <w:b/>
              </w:rPr>
              <w:t>$1100</w:t>
            </w:r>
          </w:p>
        </w:tc>
        <w:tc>
          <w:tcPr>
            <w:tcW w:w="1178" w:type="pct"/>
            <w:tcBorders>
              <w:top w:val="nil"/>
              <w:left w:val="single" w:sz="4" w:space="0" w:color="auto"/>
              <w:bottom w:val="single" w:sz="4" w:space="0" w:color="auto"/>
              <w:right w:val="single" w:sz="4" w:space="0" w:color="auto"/>
            </w:tcBorders>
          </w:tcPr>
          <w:p w14:paraId="70BE1F06" w14:textId="0B8635E8" w:rsidR="0035049E" w:rsidRPr="00092DA3" w:rsidRDefault="0035049E" w:rsidP="00083328">
            <w:pPr>
              <w:spacing w:before="120"/>
            </w:pPr>
            <w:r w:rsidRPr="00092DA3">
              <w:t>Developer</w:t>
            </w:r>
          </w:p>
        </w:tc>
        <w:tc>
          <w:tcPr>
            <w:tcW w:w="916" w:type="pct"/>
            <w:vMerge/>
            <w:tcBorders>
              <w:left w:val="single" w:sz="4" w:space="0" w:color="auto"/>
              <w:bottom w:val="single" w:sz="4" w:space="0" w:color="auto"/>
              <w:right w:val="single" w:sz="4" w:space="0" w:color="auto"/>
            </w:tcBorders>
          </w:tcPr>
          <w:p w14:paraId="48B91F31" w14:textId="77777777" w:rsidR="0035049E" w:rsidRPr="00092DA3" w:rsidRDefault="0035049E" w:rsidP="00083328">
            <w:pPr>
              <w:spacing w:before="120"/>
            </w:pPr>
          </w:p>
        </w:tc>
      </w:tr>
    </w:tbl>
    <w:p w14:paraId="577C038F" w14:textId="7A59593A" w:rsidR="001213C4" w:rsidRDefault="001213C4" w:rsidP="00620960">
      <w:pPr>
        <w:ind w:left="45"/>
      </w:pPr>
      <w:r>
        <w:t>The specific definitions of what qualifies as an SDU and what qualifies as an MDU will be a matter for NBN Co in the first instance.</w:t>
      </w:r>
      <w:r w:rsidR="00E53A0E">
        <w:t xml:space="preserve"> </w:t>
      </w:r>
      <w:r w:rsidR="00120515">
        <w:t>Its</w:t>
      </w:r>
      <w:r>
        <w:t xml:space="preserve"> definitions will need to be consistent with generally accepted industry practice.</w:t>
      </w:r>
    </w:p>
    <w:p w14:paraId="4BA168D4" w14:textId="18345BF1" w:rsidR="00620960" w:rsidRPr="00092DA3" w:rsidRDefault="00620960" w:rsidP="00620960">
      <w:pPr>
        <w:ind w:left="45"/>
      </w:pPr>
      <w:r w:rsidRPr="00092DA3">
        <w:t xml:space="preserve">NBN </w:t>
      </w:r>
      <w:proofErr w:type="spellStart"/>
      <w:r w:rsidRPr="00092DA3">
        <w:t>Co’s</w:t>
      </w:r>
      <w:proofErr w:type="spellEnd"/>
      <w:r w:rsidRPr="00092DA3">
        <w:t xml:space="preserve"> charges reflect the significant costs it incurs to serve new developments.</w:t>
      </w:r>
      <w:r w:rsidR="00E53A0E">
        <w:t xml:space="preserve"> </w:t>
      </w:r>
      <w:r w:rsidRPr="00092DA3">
        <w:t xml:space="preserve">It should be noted the charges proposed are contributions to those costs, not necessarily NBN </w:t>
      </w:r>
      <w:proofErr w:type="spellStart"/>
      <w:r w:rsidRPr="00092DA3">
        <w:t>Co’s</w:t>
      </w:r>
      <w:proofErr w:type="spellEnd"/>
      <w:r w:rsidRPr="00092DA3">
        <w:t xml:space="preserve"> full costs.</w:t>
      </w:r>
    </w:p>
    <w:p w14:paraId="0A3F7731" w14:textId="77777777" w:rsidR="00620960" w:rsidRPr="00092DA3" w:rsidRDefault="00620960" w:rsidP="00620960">
      <w:pPr>
        <w:ind w:left="45"/>
      </w:pPr>
      <w:r w:rsidRPr="00092DA3">
        <w:t>Differing deployment charges of $600</w:t>
      </w:r>
      <w:r w:rsidR="00D045DD" w:rsidRPr="00092DA3">
        <w:t xml:space="preserve"> per lot/premise</w:t>
      </w:r>
      <w:r w:rsidR="00841F45" w:rsidRPr="00092DA3">
        <w:t>s</w:t>
      </w:r>
      <w:r w:rsidRPr="00092DA3">
        <w:t xml:space="preserve"> for SDUs and $400</w:t>
      </w:r>
      <w:r w:rsidR="00D045DD" w:rsidRPr="00092DA3">
        <w:t xml:space="preserve"> per premise</w:t>
      </w:r>
      <w:r w:rsidR="00841F45" w:rsidRPr="00092DA3">
        <w:t>s</w:t>
      </w:r>
      <w:r w:rsidRPr="00092DA3">
        <w:t xml:space="preserve"> for MDUs are proposed because costs to connect them vary</w:t>
      </w:r>
      <w:r w:rsidR="00D5754D" w:rsidRPr="00092DA3">
        <w:t>.</w:t>
      </w:r>
      <w:r w:rsidRPr="00092DA3">
        <w:t xml:space="preserve"> MDUs are typically less expensive </w:t>
      </w:r>
      <w:r w:rsidR="00D5754D" w:rsidRPr="00092DA3">
        <w:t xml:space="preserve">to service </w:t>
      </w:r>
      <w:r w:rsidRPr="00092DA3">
        <w:t>due to their higher density.</w:t>
      </w:r>
    </w:p>
    <w:p w14:paraId="3FCC550A" w14:textId="0726C3A9" w:rsidR="000F0B1B" w:rsidRPr="00092DA3" w:rsidRDefault="009A07F7" w:rsidP="000F0B1B">
      <w:pPr>
        <w:spacing w:after="120"/>
      </w:pPr>
      <w:r w:rsidRPr="00092DA3">
        <w:t>Note that in addition to these charges</w:t>
      </w:r>
      <w:r w:rsidR="0025550A">
        <w:t>,</w:t>
      </w:r>
      <w:r w:rsidRPr="00092DA3">
        <w:t xml:space="preserve"> developers are required</w:t>
      </w:r>
      <w:r w:rsidR="0063458C" w:rsidRPr="00092DA3">
        <w:t xml:space="preserve"> to</w:t>
      </w:r>
      <w:r w:rsidRPr="00092DA3">
        <w:t xml:space="preserve"> meet the cost of pit and pipe, which is estimated to range between $400 and $800 per lot in typical developments.</w:t>
      </w:r>
    </w:p>
    <w:p w14:paraId="1CE729FD" w14:textId="77777777" w:rsidR="0035049E" w:rsidRPr="00092DA3" w:rsidRDefault="006D7EE4" w:rsidP="000F0B1B">
      <w:pPr>
        <w:spacing w:after="120"/>
      </w:pPr>
      <w:r>
        <w:t>The level of c</w:t>
      </w:r>
      <w:r w:rsidR="0035049E" w:rsidRPr="00092DA3">
        <w:t>harges set by other providers is a commercial matter for them.</w:t>
      </w:r>
    </w:p>
    <w:p w14:paraId="6B42A214" w14:textId="058A492F" w:rsidR="00FE1DEE" w:rsidRPr="00092DA3" w:rsidRDefault="00FE1DEE" w:rsidP="00FE1DEE">
      <w:pPr>
        <w:spacing w:after="120"/>
      </w:pPr>
      <w:r w:rsidRPr="00092DA3">
        <w:t xml:space="preserve">In terms of timing, it is envisaged that NBN Co would seek </w:t>
      </w:r>
      <w:r w:rsidR="00E94ECF" w:rsidRPr="00092DA3">
        <w:t xml:space="preserve">part </w:t>
      </w:r>
      <w:r w:rsidRPr="00092DA3">
        <w:t xml:space="preserve">payment for deployment contributions </w:t>
      </w:r>
      <w:r w:rsidR="00E94ECF" w:rsidRPr="00092DA3">
        <w:t>prior to and at</w:t>
      </w:r>
      <w:r w:rsidRPr="00092DA3">
        <w:t xml:space="preserve"> the </w:t>
      </w:r>
      <w:r w:rsidR="00E94ECF" w:rsidRPr="00092DA3">
        <w:t xml:space="preserve">completion of the works </w:t>
      </w:r>
      <w:r w:rsidRPr="00092DA3">
        <w:t>in the estate and would seek the one</w:t>
      </w:r>
      <w:r w:rsidR="0025550A">
        <w:t>-</w:t>
      </w:r>
      <w:r w:rsidRPr="00092DA3">
        <w:t xml:space="preserve">time end-user contribution from the RSP after an order is lodged. Where backhaul is required, NBN Co would be able charge an initial payment (deposit) for backhaul contribution prior to starting work, with full payment following completion. However, </w:t>
      </w:r>
      <w:r w:rsidR="00E75E93">
        <w:t xml:space="preserve">payment </w:t>
      </w:r>
      <w:r w:rsidRPr="00092DA3">
        <w:t>arrangements may evolve over time and are ultimately a commercial matter for NBN Co, as they are for other providers.</w:t>
      </w:r>
    </w:p>
    <w:p w14:paraId="7650CAEE" w14:textId="6B9413D3" w:rsidR="001544B8" w:rsidRPr="00092DA3" w:rsidRDefault="001544B8" w:rsidP="00FE1DEE">
      <w:pPr>
        <w:spacing w:after="120"/>
      </w:pPr>
      <w:r w:rsidRPr="00092DA3">
        <w:t xml:space="preserve">These charges apply to typical </w:t>
      </w:r>
      <w:r w:rsidR="006D7EE4">
        <w:t xml:space="preserve">development </w:t>
      </w:r>
      <w:r w:rsidRPr="00092DA3">
        <w:t xml:space="preserve">projects providing residential, business and other premises. Consistent with established practice, the provision of telecommunications to one-off major projects like major office complexes, </w:t>
      </w:r>
      <w:r w:rsidR="00E75E93">
        <w:t xml:space="preserve">industrial sites, commercial premises, </w:t>
      </w:r>
      <w:r w:rsidRPr="00092DA3">
        <w:t>hospitals, airports, hotels or similar, would be subject to commercial negotiations.</w:t>
      </w:r>
    </w:p>
    <w:p w14:paraId="38F0DB79" w14:textId="77777777" w:rsidR="00045E43" w:rsidRPr="00092DA3" w:rsidRDefault="00045E43" w:rsidP="00045E43">
      <w:pPr>
        <w:pBdr>
          <w:top w:val="single" w:sz="4" w:space="1" w:color="auto"/>
          <w:left w:val="single" w:sz="4" w:space="4" w:color="auto"/>
          <w:bottom w:val="single" w:sz="4" w:space="1" w:color="auto"/>
          <w:right w:val="single" w:sz="4" w:space="4" w:color="auto"/>
        </w:pBdr>
        <w:rPr>
          <w:b/>
        </w:rPr>
      </w:pPr>
      <w:r w:rsidRPr="00092DA3">
        <w:rPr>
          <w:b/>
        </w:rPr>
        <w:t>SOME EXAMPLES OF NBN CO CHARGES INCLUDING BACKHAUL</w:t>
      </w:r>
    </w:p>
    <w:p w14:paraId="0B207FC9" w14:textId="75D685F7" w:rsidR="00045E43" w:rsidRPr="00092DA3" w:rsidRDefault="00045E43" w:rsidP="00045E43">
      <w:pPr>
        <w:pBdr>
          <w:top w:val="single" w:sz="4" w:space="1" w:color="auto"/>
          <w:left w:val="single" w:sz="4" w:space="4" w:color="auto"/>
          <w:bottom w:val="single" w:sz="4" w:space="1" w:color="auto"/>
          <w:right w:val="single" w:sz="4" w:space="4" w:color="auto"/>
        </w:pBdr>
        <w:rPr>
          <w:i/>
        </w:rPr>
      </w:pPr>
      <w:r w:rsidRPr="00092DA3">
        <w:rPr>
          <w:b/>
          <w:i/>
        </w:rPr>
        <w:t>An estate of 200 freestanding houses</w:t>
      </w:r>
      <w:r w:rsidRPr="001F2208">
        <w:rPr>
          <w:b/>
          <w:i/>
        </w:rPr>
        <w:t xml:space="preserve"> </w:t>
      </w:r>
      <w:r w:rsidRPr="00092DA3">
        <w:rPr>
          <w:b/>
          <w:i/>
        </w:rPr>
        <w:t>(SDU lots/premises)</w:t>
      </w:r>
      <w:r w:rsidRPr="00092DA3">
        <w:rPr>
          <w:i/>
        </w:rPr>
        <w:t xml:space="preserve"> is already passed by NBN </w:t>
      </w:r>
      <w:proofErr w:type="spellStart"/>
      <w:r w:rsidRPr="00092DA3">
        <w:rPr>
          <w:i/>
        </w:rPr>
        <w:t>Co’s</w:t>
      </w:r>
      <w:proofErr w:type="spellEnd"/>
      <w:r w:rsidRPr="00092DA3">
        <w:rPr>
          <w:i/>
        </w:rPr>
        <w:t xml:space="preserve"> transit network.</w:t>
      </w:r>
      <w:r w:rsidR="00E53A0E">
        <w:rPr>
          <w:i/>
        </w:rPr>
        <w:t xml:space="preserve"> </w:t>
      </w:r>
      <w:r w:rsidRPr="00092DA3">
        <w:rPr>
          <w:i/>
        </w:rPr>
        <w:t>Each RSP will pay an end-user contribution of $300 to NBN Co when placing the order</w:t>
      </w:r>
      <w:r>
        <w:rPr>
          <w:i/>
        </w:rPr>
        <w:t xml:space="preserve"> for an end-user’s premises</w:t>
      </w:r>
      <w:r w:rsidRPr="00092DA3">
        <w:rPr>
          <w:i/>
        </w:rPr>
        <w:t>.</w:t>
      </w:r>
      <w:r w:rsidR="00E53A0E">
        <w:rPr>
          <w:i/>
        </w:rPr>
        <w:t xml:space="preserve"> </w:t>
      </w:r>
      <w:r w:rsidRPr="00092DA3">
        <w:rPr>
          <w:i/>
        </w:rPr>
        <w:t>The RSP will be able to pass the contribution on to the end</w:t>
      </w:r>
      <w:r>
        <w:rPr>
          <w:i/>
        </w:rPr>
        <w:t>-user</w:t>
      </w:r>
      <w:r w:rsidRPr="00092DA3">
        <w:rPr>
          <w:i/>
        </w:rPr>
        <w:t xml:space="preserve">. The developer will pay NBN Co deployment charges of 200 x $600 = $120,000. </w:t>
      </w:r>
      <w:r w:rsidRPr="00092DA3">
        <w:rPr>
          <w:b/>
          <w:i/>
        </w:rPr>
        <w:t>Total developer contribution: $120,000</w:t>
      </w:r>
      <w:r w:rsidRPr="00092DA3">
        <w:rPr>
          <w:i/>
        </w:rPr>
        <w:t xml:space="preserve">. </w:t>
      </w:r>
    </w:p>
    <w:p w14:paraId="78D2F8CA" w14:textId="41F0C399" w:rsidR="00045E43" w:rsidRPr="00092DA3" w:rsidRDefault="00045E43" w:rsidP="00045E43">
      <w:pPr>
        <w:pBdr>
          <w:top w:val="single" w:sz="4" w:space="1" w:color="auto"/>
          <w:left w:val="single" w:sz="4" w:space="4" w:color="auto"/>
          <w:bottom w:val="single" w:sz="4" w:space="1" w:color="auto"/>
          <w:right w:val="single" w:sz="4" w:space="4" w:color="auto"/>
        </w:pBdr>
        <w:rPr>
          <w:i/>
        </w:rPr>
      </w:pPr>
      <w:r w:rsidRPr="00092DA3">
        <w:rPr>
          <w:b/>
          <w:i/>
        </w:rPr>
        <w:t>An estate of 1000 lots zoned for 1000 freestanding houses (SDU lots/premises)</w:t>
      </w:r>
      <w:r w:rsidRPr="00092DA3">
        <w:rPr>
          <w:i/>
        </w:rPr>
        <w:t xml:space="preserve"> is not currently passed by NBN </w:t>
      </w:r>
      <w:proofErr w:type="spellStart"/>
      <w:r w:rsidRPr="00092DA3">
        <w:rPr>
          <w:i/>
        </w:rPr>
        <w:t>Co’s</w:t>
      </w:r>
      <w:proofErr w:type="spellEnd"/>
      <w:r w:rsidRPr="00092DA3">
        <w:rPr>
          <w:i/>
        </w:rPr>
        <w:t xml:space="preserve"> transit network.</w:t>
      </w:r>
      <w:r w:rsidR="00E53A0E">
        <w:rPr>
          <w:i/>
        </w:rPr>
        <w:t xml:space="preserve"> </w:t>
      </w:r>
      <w:r w:rsidRPr="00092DA3">
        <w:rPr>
          <w:i/>
        </w:rPr>
        <w:t xml:space="preserve">NBN </w:t>
      </w:r>
      <w:proofErr w:type="spellStart"/>
      <w:r w:rsidRPr="00092DA3">
        <w:rPr>
          <w:i/>
        </w:rPr>
        <w:t>Co’s</w:t>
      </w:r>
      <w:proofErr w:type="spellEnd"/>
      <w:r w:rsidRPr="00092DA3">
        <w:rPr>
          <w:i/>
        </w:rPr>
        <w:t xml:space="preserve"> capital costs to provide backhaul are $400,000 (or $400/lot). Each RSP will pay an end-user contribution of $300 to NBN Co when placing the order for a</w:t>
      </w:r>
      <w:r>
        <w:rPr>
          <w:i/>
        </w:rPr>
        <w:t>n end-user’s</w:t>
      </w:r>
      <w:r w:rsidRPr="00092DA3">
        <w:rPr>
          <w:i/>
        </w:rPr>
        <w:t xml:space="preserve"> premises.</w:t>
      </w:r>
      <w:r w:rsidR="00E53A0E">
        <w:rPr>
          <w:i/>
        </w:rPr>
        <w:t xml:space="preserve"> </w:t>
      </w:r>
      <w:r w:rsidRPr="00092DA3">
        <w:rPr>
          <w:i/>
        </w:rPr>
        <w:t>The RSP will be able to pass the charge on to the end-user. The developer pays NBN Co deployment charges of 1000 x $600 = $600,000.</w:t>
      </w:r>
      <w:r w:rsidR="00E53A0E">
        <w:rPr>
          <w:i/>
        </w:rPr>
        <w:t xml:space="preserve"> </w:t>
      </w:r>
      <w:r w:rsidRPr="00092DA3">
        <w:rPr>
          <w:i/>
        </w:rPr>
        <w:t xml:space="preserve">NBN Co also charges the developer a backhaul contribution of $400,000 x 50% = $200,000. </w:t>
      </w:r>
      <w:r w:rsidRPr="00092DA3">
        <w:rPr>
          <w:b/>
          <w:i/>
        </w:rPr>
        <w:t>Total developer contribution: $800,000</w:t>
      </w:r>
      <w:r w:rsidRPr="00092DA3">
        <w:rPr>
          <w:i/>
        </w:rPr>
        <w:t>.</w:t>
      </w:r>
    </w:p>
    <w:p w14:paraId="509F551E" w14:textId="4D317485" w:rsidR="00045E43" w:rsidRPr="00092DA3" w:rsidRDefault="00045E43" w:rsidP="00045E43">
      <w:pPr>
        <w:pBdr>
          <w:top w:val="single" w:sz="4" w:space="1" w:color="auto"/>
          <w:left w:val="single" w:sz="4" w:space="4" w:color="auto"/>
          <w:bottom w:val="single" w:sz="4" w:space="1" w:color="auto"/>
          <w:right w:val="single" w:sz="4" w:space="4" w:color="auto"/>
        </w:pBdr>
        <w:rPr>
          <w:i/>
        </w:rPr>
      </w:pPr>
      <w:r w:rsidRPr="00092DA3">
        <w:rPr>
          <w:b/>
          <w:i/>
        </w:rPr>
        <w:t>An urban infill development of 400 townhouses</w:t>
      </w:r>
      <w:r w:rsidRPr="001F2208">
        <w:rPr>
          <w:b/>
          <w:i/>
        </w:rPr>
        <w:t xml:space="preserve"> </w:t>
      </w:r>
      <w:r w:rsidRPr="00092DA3">
        <w:rPr>
          <w:b/>
          <w:i/>
        </w:rPr>
        <w:t>(MDU premises)</w:t>
      </w:r>
      <w:r w:rsidRPr="00092DA3">
        <w:rPr>
          <w:i/>
        </w:rPr>
        <w:t xml:space="preserve"> is not currently passed by NBN </w:t>
      </w:r>
      <w:proofErr w:type="spellStart"/>
      <w:r w:rsidRPr="00092DA3">
        <w:rPr>
          <w:i/>
        </w:rPr>
        <w:t>Co’s</w:t>
      </w:r>
      <w:proofErr w:type="spellEnd"/>
      <w:r w:rsidRPr="00092DA3">
        <w:rPr>
          <w:i/>
        </w:rPr>
        <w:t xml:space="preserve"> transit network.</w:t>
      </w:r>
      <w:r w:rsidR="00E53A0E">
        <w:rPr>
          <w:i/>
        </w:rPr>
        <w:t xml:space="preserve"> </w:t>
      </w:r>
      <w:r w:rsidRPr="00092DA3">
        <w:rPr>
          <w:i/>
        </w:rPr>
        <w:t xml:space="preserve">NBN </w:t>
      </w:r>
      <w:proofErr w:type="spellStart"/>
      <w:r w:rsidRPr="00092DA3">
        <w:rPr>
          <w:i/>
        </w:rPr>
        <w:t>Co’s</w:t>
      </w:r>
      <w:proofErr w:type="spellEnd"/>
      <w:r w:rsidRPr="00092DA3">
        <w:rPr>
          <w:i/>
        </w:rPr>
        <w:t xml:space="preserve"> capital costs to provide backhaul are $100,000 (or $250/lot). Each RSP will pay an end-user contribution of $300 to NBN Co when placing the order for a</w:t>
      </w:r>
      <w:r>
        <w:rPr>
          <w:i/>
        </w:rPr>
        <w:t>n end-user’s</w:t>
      </w:r>
      <w:r w:rsidRPr="00092DA3">
        <w:rPr>
          <w:i/>
        </w:rPr>
        <w:t xml:space="preserve"> premises.</w:t>
      </w:r>
      <w:r w:rsidR="00E53A0E">
        <w:rPr>
          <w:i/>
        </w:rPr>
        <w:t xml:space="preserve"> </w:t>
      </w:r>
      <w:r w:rsidRPr="00092DA3">
        <w:rPr>
          <w:i/>
        </w:rPr>
        <w:t>The RSP will be able to pass the contribution on to the end-user. The developer pays NBN Co deployment charges of 400 x $400 = $160,000.</w:t>
      </w:r>
      <w:r w:rsidR="00E53A0E">
        <w:rPr>
          <w:i/>
        </w:rPr>
        <w:t xml:space="preserve"> </w:t>
      </w:r>
      <w:r w:rsidRPr="00092DA3">
        <w:rPr>
          <w:i/>
        </w:rPr>
        <w:t>NBN Co could also charge the developer a backhaul contribution of $100,000 x 50% = $50,000, but because it expects to use this backhaul for additional premises later, the charge is reduced by NBN Co to $25,000 or $62.50/lot.</w:t>
      </w:r>
      <w:r w:rsidR="00E53A0E">
        <w:rPr>
          <w:i/>
        </w:rPr>
        <w:t xml:space="preserve"> </w:t>
      </w:r>
      <w:r w:rsidRPr="00092DA3">
        <w:rPr>
          <w:b/>
          <w:i/>
        </w:rPr>
        <w:t>Total developer contribution: $185,000</w:t>
      </w:r>
      <w:r w:rsidRPr="00092DA3">
        <w:rPr>
          <w:i/>
        </w:rPr>
        <w:t>.</w:t>
      </w:r>
    </w:p>
    <w:p w14:paraId="0B9143EE" w14:textId="6A82C80E" w:rsidR="00045E43" w:rsidRPr="00092DA3" w:rsidRDefault="00045E43" w:rsidP="00045E43">
      <w:pPr>
        <w:pBdr>
          <w:top w:val="single" w:sz="4" w:space="1" w:color="auto"/>
          <w:left w:val="single" w:sz="4" w:space="4" w:color="auto"/>
          <w:bottom w:val="single" w:sz="4" w:space="1" w:color="auto"/>
          <w:right w:val="single" w:sz="4" w:space="4" w:color="auto"/>
        </w:pBdr>
        <w:rPr>
          <w:i/>
        </w:rPr>
      </w:pPr>
      <w:r w:rsidRPr="00092DA3">
        <w:rPr>
          <w:b/>
          <w:i/>
        </w:rPr>
        <w:t xml:space="preserve">A new development of 200 land-and-house project (SDU </w:t>
      </w:r>
      <w:r>
        <w:rPr>
          <w:b/>
          <w:i/>
        </w:rPr>
        <w:t>lots/</w:t>
      </w:r>
      <w:r w:rsidRPr="00092DA3">
        <w:rPr>
          <w:b/>
          <w:i/>
        </w:rPr>
        <w:t>premises) homes 6km outside a regional centre</w:t>
      </w:r>
      <w:r w:rsidRPr="00092DA3">
        <w:rPr>
          <w:i/>
        </w:rPr>
        <w:t xml:space="preserve"> is not currently passed by NBN </w:t>
      </w:r>
      <w:proofErr w:type="spellStart"/>
      <w:r w:rsidRPr="00092DA3">
        <w:rPr>
          <w:i/>
        </w:rPr>
        <w:t>Co’s</w:t>
      </w:r>
      <w:proofErr w:type="spellEnd"/>
      <w:r w:rsidRPr="00092DA3">
        <w:rPr>
          <w:i/>
        </w:rPr>
        <w:t xml:space="preserve"> transit network.</w:t>
      </w:r>
      <w:r w:rsidR="00E53A0E">
        <w:rPr>
          <w:i/>
        </w:rPr>
        <w:t xml:space="preserve"> </w:t>
      </w:r>
      <w:r w:rsidRPr="00092DA3">
        <w:rPr>
          <w:i/>
        </w:rPr>
        <w:t xml:space="preserve">NBN </w:t>
      </w:r>
      <w:proofErr w:type="spellStart"/>
      <w:r w:rsidRPr="00092DA3">
        <w:rPr>
          <w:i/>
        </w:rPr>
        <w:t>Co’s</w:t>
      </w:r>
      <w:proofErr w:type="spellEnd"/>
      <w:r w:rsidRPr="00092DA3">
        <w:rPr>
          <w:i/>
        </w:rPr>
        <w:t xml:space="preserve"> capital costs to provide backhaul are $300,000 (or $1500/lot).</w:t>
      </w:r>
      <w:r w:rsidR="00E53A0E">
        <w:rPr>
          <w:i/>
        </w:rPr>
        <w:t xml:space="preserve"> </w:t>
      </w:r>
      <w:r w:rsidRPr="00092DA3">
        <w:rPr>
          <w:i/>
        </w:rPr>
        <w:t>Each RSP will pay an end-user contribution of $300 to NBN Co when placing the order for a</w:t>
      </w:r>
      <w:r>
        <w:rPr>
          <w:i/>
        </w:rPr>
        <w:t>n end-user’s</w:t>
      </w:r>
      <w:r w:rsidRPr="00092DA3">
        <w:rPr>
          <w:i/>
        </w:rPr>
        <w:t xml:space="preserve"> premises.</w:t>
      </w:r>
      <w:r w:rsidR="00E53A0E">
        <w:rPr>
          <w:i/>
        </w:rPr>
        <w:t xml:space="preserve"> </w:t>
      </w:r>
      <w:r w:rsidRPr="00092DA3">
        <w:rPr>
          <w:i/>
        </w:rPr>
        <w:t>The RSP will be able to pass the contribution on to the end-user.</w:t>
      </w:r>
      <w:r w:rsidR="00E53A0E">
        <w:rPr>
          <w:i/>
        </w:rPr>
        <w:t xml:space="preserve"> </w:t>
      </w:r>
      <w:r w:rsidRPr="00092DA3">
        <w:rPr>
          <w:i/>
        </w:rPr>
        <w:t>The developer pays NBN Co deployment charges of 200 x $600 = $120,000.</w:t>
      </w:r>
      <w:r w:rsidR="00E53A0E">
        <w:rPr>
          <w:i/>
        </w:rPr>
        <w:t xml:space="preserve"> </w:t>
      </w:r>
      <w:r w:rsidRPr="00092DA3">
        <w:rPr>
          <w:i/>
        </w:rPr>
        <w:t>NBN Co also charges the developer a backhaul contribution of $1000 x 50% + $500 x 100% = $1000/lot.</w:t>
      </w:r>
      <w:r w:rsidR="00E53A0E">
        <w:rPr>
          <w:i/>
        </w:rPr>
        <w:t xml:space="preserve"> </w:t>
      </w:r>
      <w:r w:rsidRPr="00092DA3">
        <w:rPr>
          <w:i/>
        </w:rPr>
        <w:t>Therefore, for 200 lots, the total backhaul contribution is $200,000.</w:t>
      </w:r>
      <w:r w:rsidR="00E53A0E">
        <w:rPr>
          <w:i/>
        </w:rPr>
        <w:t xml:space="preserve"> </w:t>
      </w:r>
      <w:r w:rsidRPr="00092DA3">
        <w:rPr>
          <w:b/>
          <w:i/>
        </w:rPr>
        <w:t>Total developer contribution: $320,000</w:t>
      </w:r>
      <w:r w:rsidRPr="00092DA3">
        <w:rPr>
          <w:i/>
        </w:rPr>
        <w:t>.</w:t>
      </w:r>
    </w:p>
    <w:p w14:paraId="7B52AD13" w14:textId="652FCC8E" w:rsidR="00045E43" w:rsidRDefault="00045E43" w:rsidP="00045E43">
      <w:pPr>
        <w:pBdr>
          <w:top w:val="single" w:sz="4" w:space="1" w:color="auto"/>
          <w:left w:val="single" w:sz="4" w:space="4" w:color="auto"/>
          <w:bottom w:val="single" w:sz="4" w:space="1" w:color="auto"/>
          <w:right w:val="single" w:sz="4" w:space="4" w:color="auto"/>
        </w:pBdr>
      </w:pPr>
      <w:r w:rsidRPr="00092DA3">
        <w:rPr>
          <w:b/>
          <w:i/>
        </w:rPr>
        <w:t xml:space="preserve">An eco-friendly retirement development (combination of MDU and SDU </w:t>
      </w:r>
      <w:r>
        <w:rPr>
          <w:b/>
          <w:i/>
        </w:rPr>
        <w:t>lots/</w:t>
      </w:r>
      <w:r w:rsidRPr="00092DA3">
        <w:rPr>
          <w:b/>
          <w:i/>
        </w:rPr>
        <w:t>premises) of 100 townhouses and 100 freestanding residences is situated in a ‘tree-change’ area 10km from the nearest large town</w:t>
      </w:r>
      <w:r w:rsidRPr="00092DA3">
        <w:rPr>
          <w:i/>
        </w:rPr>
        <w:t>.</w:t>
      </w:r>
      <w:r w:rsidR="00E53A0E">
        <w:rPr>
          <w:i/>
        </w:rPr>
        <w:t xml:space="preserve"> </w:t>
      </w:r>
      <w:r w:rsidRPr="00092DA3">
        <w:rPr>
          <w:i/>
        </w:rPr>
        <w:t>The area is served by the fixed wireless NBN, the developer chooses NBN Co to serve the development even though Telstra remains responsible for the delivery of voice services. NBN Co determines fixed wireless is optimal and charges the developer the co-contribution: $1100 x 100 MDUs + $1300 x 100 SDUs = $240,000.</w:t>
      </w:r>
      <w:r w:rsidR="00E53A0E">
        <w:rPr>
          <w:i/>
        </w:rPr>
        <w:t xml:space="preserve"> </w:t>
      </w:r>
      <w:r w:rsidRPr="00092DA3">
        <w:rPr>
          <w:i/>
        </w:rPr>
        <w:t>The developer decides to pass through $300/premise</w:t>
      </w:r>
      <w:r>
        <w:rPr>
          <w:i/>
        </w:rPr>
        <w:t>s</w:t>
      </w:r>
      <w:r w:rsidRPr="00092DA3">
        <w:rPr>
          <w:i/>
        </w:rPr>
        <w:t xml:space="preserve"> of this to owners.</w:t>
      </w:r>
      <w:r w:rsidR="00E53A0E">
        <w:rPr>
          <w:i/>
        </w:rPr>
        <w:t xml:space="preserve"> </w:t>
      </w:r>
      <w:r w:rsidRPr="00092DA3">
        <w:rPr>
          <w:i/>
        </w:rPr>
        <w:t>Each home owner therefore pays a co-contribution of $300 for fixed wireless infrastructure (or a total of 200 x $300 = $60,000).</w:t>
      </w:r>
      <w:r w:rsidR="00E53A0E">
        <w:rPr>
          <w:i/>
        </w:rPr>
        <w:t xml:space="preserve"> </w:t>
      </w:r>
      <w:r w:rsidRPr="00092DA3">
        <w:rPr>
          <w:i/>
        </w:rPr>
        <w:t>Each RSP will pay an end-user contribution of $300 when placing the order for a</w:t>
      </w:r>
      <w:r>
        <w:rPr>
          <w:i/>
        </w:rPr>
        <w:t>n end-user’s</w:t>
      </w:r>
      <w:r w:rsidRPr="00092DA3">
        <w:rPr>
          <w:i/>
        </w:rPr>
        <w:t xml:space="preserve"> premises.</w:t>
      </w:r>
      <w:r w:rsidR="00E53A0E">
        <w:rPr>
          <w:i/>
        </w:rPr>
        <w:t xml:space="preserve"> </w:t>
      </w:r>
      <w:r w:rsidRPr="00092DA3">
        <w:rPr>
          <w:i/>
        </w:rPr>
        <w:t>The RSP will be able to pass the contribution on to the end-user. The developer pays the remaining co-contribution.</w:t>
      </w:r>
      <w:r w:rsidR="00E53A0E">
        <w:rPr>
          <w:i/>
        </w:rPr>
        <w:t xml:space="preserve"> </w:t>
      </w:r>
      <w:r w:rsidRPr="00092DA3">
        <w:rPr>
          <w:b/>
          <w:i/>
        </w:rPr>
        <w:t>Total owners’ co-contributions: $60,000.</w:t>
      </w:r>
      <w:r w:rsidR="00E53A0E">
        <w:rPr>
          <w:b/>
          <w:i/>
        </w:rPr>
        <w:t xml:space="preserve"> </w:t>
      </w:r>
      <w:r w:rsidRPr="00092DA3">
        <w:rPr>
          <w:b/>
          <w:i/>
        </w:rPr>
        <w:t>Total developer co-contribution: $180,000</w:t>
      </w:r>
      <w:r w:rsidRPr="00092DA3">
        <w:rPr>
          <w:i/>
        </w:rPr>
        <w:t>.</w:t>
      </w:r>
    </w:p>
    <w:p w14:paraId="00D71132" w14:textId="7C4F196F" w:rsidR="009A07F7" w:rsidRPr="00092DA3" w:rsidRDefault="009A07F7" w:rsidP="009A07F7">
      <w:r w:rsidRPr="00092DA3">
        <w:t>The charges in this document may need to be varied over time given the limited NBN rollout in new developments to date and the dynamic nature of the telecommunications industry.</w:t>
      </w:r>
      <w:r w:rsidR="00E53A0E">
        <w:t xml:space="preserve"> </w:t>
      </w:r>
      <w:r w:rsidRPr="00092DA3">
        <w:t>Should such adjustments become necessary at some point in the future</w:t>
      </w:r>
      <w:r w:rsidR="0063458C" w:rsidRPr="00092DA3">
        <w:t>,</w:t>
      </w:r>
      <w:r w:rsidRPr="00092DA3">
        <w:t xml:space="preserve"> the Government will consult widely with stakeholders prior to any decision.</w:t>
      </w:r>
    </w:p>
    <w:p w14:paraId="55BB62C3" w14:textId="77777777" w:rsidR="009A07F7" w:rsidRPr="00092DA3" w:rsidRDefault="009A07F7" w:rsidP="009A07F7">
      <w:pPr>
        <w:pStyle w:val="Heading2"/>
      </w:pPr>
      <w:bookmarkStart w:id="34" w:name="_Toc416175157"/>
      <w:bookmarkStart w:id="35" w:name="_Toc60751266"/>
      <w:r w:rsidRPr="00092DA3">
        <w:t>Consumer outcomes</w:t>
      </w:r>
      <w:bookmarkEnd w:id="34"/>
      <w:bookmarkEnd w:id="35"/>
    </w:p>
    <w:p w14:paraId="10C8A424" w14:textId="77777777" w:rsidR="009A07F7" w:rsidRPr="00092DA3" w:rsidRDefault="009A07F7" w:rsidP="009A07F7">
      <w:pPr>
        <w:pStyle w:val="BodyText"/>
        <w:rPr>
          <w:i/>
          <w:iCs/>
        </w:rPr>
      </w:pPr>
      <w:r w:rsidRPr="00092DA3">
        <w:t>The Government’s fundamental objective is to ensure occupants of new developments have timely access to high quality and fairly priced telecommunications services.</w:t>
      </w:r>
    </w:p>
    <w:p w14:paraId="7C4DBB16" w14:textId="77777777" w:rsidR="009A07F7" w:rsidRPr="00092DA3" w:rsidRDefault="009A07F7" w:rsidP="009A07F7">
      <w:pPr>
        <w:pStyle w:val="Heading3"/>
        <w:spacing w:after="200"/>
      </w:pPr>
      <w:bookmarkStart w:id="36" w:name="_Toc416175158"/>
      <w:bookmarkStart w:id="37" w:name="_Toc60751267"/>
      <w:r w:rsidRPr="00092DA3">
        <w:t>Availability</w:t>
      </w:r>
      <w:bookmarkEnd w:id="36"/>
      <w:bookmarkEnd w:id="37"/>
    </w:p>
    <w:p w14:paraId="4D0F3C2B" w14:textId="6A7C5216" w:rsidR="009A07F7" w:rsidRPr="00092DA3" w:rsidRDefault="009A07F7" w:rsidP="009A07F7">
      <w:r w:rsidRPr="00092DA3">
        <w:t>It could be argued telecommunications services are so essential they could be safely left to the market to deliver.</w:t>
      </w:r>
      <w:r w:rsidR="00E53A0E">
        <w:t xml:space="preserve"> </w:t>
      </w:r>
      <w:r w:rsidRPr="00092DA3">
        <w:t>The Government broadly considers this to be the case, but recognises there is a risk that some developments may not be serviced at all and sub-optimal solutions may be provided at others, particularly if developments are less commercially attractive</w:t>
      </w:r>
      <w:r w:rsidR="008424BE" w:rsidRPr="00092DA3">
        <w:t xml:space="preserve"> to providers</w:t>
      </w:r>
      <w:r w:rsidRPr="00092DA3">
        <w:t>.</w:t>
      </w:r>
      <w:r w:rsidR="00E53A0E">
        <w:t xml:space="preserve"> </w:t>
      </w:r>
      <w:r w:rsidR="00B237C5" w:rsidRPr="00092DA3">
        <w:t>To address these concerns the Australian Government will work with state, territory and local governments to put in place planning laws to ensure all developments are adequately serviced.</w:t>
      </w:r>
      <w:r w:rsidR="00E53A0E">
        <w:t xml:space="preserve"> </w:t>
      </w:r>
      <w:r w:rsidR="00B237C5" w:rsidRPr="00092DA3">
        <w:t>In all instances, providers of last resort will be available to service developments, subject to the payment of relevant charges.</w:t>
      </w:r>
    </w:p>
    <w:p w14:paraId="5C841D27" w14:textId="77777777" w:rsidR="009A07F7" w:rsidRPr="00092DA3" w:rsidRDefault="009A07F7" w:rsidP="00045E43">
      <w:pPr>
        <w:pStyle w:val="Heading3"/>
        <w:spacing w:after="200"/>
      </w:pPr>
      <w:bookmarkStart w:id="38" w:name="_Toc416175159"/>
      <w:bookmarkStart w:id="39" w:name="_Toc60751268"/>
      <w:r w:rsidRPr="00092DA3">
        <w:t>Minimum service standards</w:t>
      </w:r>
      <w:bookmarkEnd w:id="38"/>
      <w:bookmarkEnd w:id="39"/>
    </w:p>
    <w:p w14:paraId="535F51B6" w14:textId="031DBD7F" w:rsidR="009A07F7" w:rsidRPr="00092DA3" w:rsidRDefault="009A07F7" w:rsidP="00045E43">
      <w:pPr>
        <w:keepNext/>
        <w:keepLines/>
      </w:pPr>
      <w:r w:rsidRPr="00092DA3">
        <w:t>Infrastructure in new developments must support high-speed broadband and voice services</w:t>
      </w:r>
      <w:r w:rsidR="006D7EE4">
        <w:t>.</w:t>
      </w:r>
      <w:r w:rsidRPr="00092DA3">
        <w:rPr>
          <w:rStyle w:val="FootnoteReference"/>
        </w:rPr>
        <w:footnoteReference w:id="9"/>
      </w:r>
      <w:r w:rsidR="00E53A0E">
        <w:t xml:space="preserve"> </w:t>
      </w:r>
      <w:r w:rsidRPr="00092DA3">
        <w:t>It will also need to be upgradeable and affordable if it is to remain competitive.</w:t>
      </w:r>
      <w:r w:rsidR="00E53A0E">
        <w:t xml:space="preserve"> </w:t>
      </w:r>
      <w:r w:rsidRPr="00092DA3">
        <w:t>For reasons of efficiency, there may be some variability in approach and outcomes in infill developments in brownfield areas on a transitional basis while the NBN rolls out.</w:t>
      </w:r>
      <w:r w:rsidR="00E53A0E">
        <w:t xml:space="preserve"> </w:t>
      </w:r>
      <w:r w:rsidRPr="00092DA3">
        <w:t>Voice services that meet general community expectations, consistent with Communications Alliance guidance in this area, will be required.</w:t>
      </w:r>
      <w:r w:rsidR="00E53A0E">
        <w:t xml:space="preserve"> </w:t>
      </w:r>
      <w:r w:rsidRPr="00092DA3">
        <w:t xml:space="preserve">This may be via Voice over Internet Protocol </w:t>
      </w:r>
      <w:r w:rsidR="00BB3C44" w:rsidRPr="00092DA3">
        <w:t>(</w:t>
      </w:r>
      <w:r w:rsidRPr="00092DA3">
        <w:t>VOIP</w:t>
      </w:r>
      <w:r w:rsidR="00BB3C44" w:rsidRPr="00092DA3">
        <w:t>)</w:t>
      </w:r>
      <w:r w:rsidRPr="00092DA3">
        <w:t>.</w:t>
      </w:r>
    </w:p>
    <w:p w14:paraId="0ACE8637" w14:textId="6526D835" w:rsidR="00F673F7" w:rsidRPr="001F2208" w:rsidRDefault="009A07F7" w:rsidP="009A07F7">
      <w:pPr>
        <w:pStyle w:val="BodyText"/>
        <w:rPr>
          <w:i/>
        </w:rPr>
      </w:pPr>
      <w:r w:rsidRPr="00092DA3">
        <w:t>Broadband service requirements will be set to be consistent with guidance to NBN Co regarding its level of service in fixed line areas</w:t>
      </w:r>
      <w:r w:rsidR="00F223C7" w:rsidRPr="00092DA3">
        <w:t xml:space="preserve"> </w:t>
      </w:r>
      <w:r w:rsidRPr="00092DA3">
        <w:t xml:space="preserve">– as a starting point, download data rates of 50 </w:t>
      </w:r>
      <w:r w:rsidR="008424BE" w:rsidRPr="00092DA3">
        <w:t>m</w:t>
      </w:r>
      <w:r w:rsidRPr="00092DA3">
        <w:t>egabits per second</w:t>
      </w:r>
      <w:r w:rsidR="008424BE" w:rsidRPr="00092DA3">
        <w:t xml:space="preserve"> (Mbps)</w:t>
      </w:r>
      <w:r w:rsidRPr="00092DA3">
        <w:t>, with upload capability being proportional.</w:t>
      </w:r>
      <w:r w:rsidR="00E53A0E">
        <w:t xml:space="preserve"> </w:t>
      </w:r>
      <w:r w:rsidR="00F673F7" w:rsidRPr="00092DA3">
        <w:t>Carrier licence conditions will be amended to ensure that</w:t>
      </w:r>
      <w:r w:rsidR="0025550A">
        <w:t>,</w:t>
      </w:r>
      <w:r w:rsidR="00F673F7" w:rsidRPr="00092DA3">
        <w:t xml:space="preserve"> in servicing new developments</w:t>
      </w:r>
      <w:r w:rsidR="0025550A">
        <w:t>,</w:t>
      </w:r>
      <w:r w:rsidR="00F673F7" w:rsidRPr="00092DA3">
        <w:t xml:space="preserve"> network operators provide </w:t>
      </w:r>
      <w:r w:rsidR="00EE448F" w:rsidRPr="00092DA3">
        <w:t>solutions consistent</w:t>
      </w:r>
      <w:r w:rsidR="00F673F7" w:rsidRPr="00092DA3">
        <w:t xml:space="preserve"> with those to be delivered </w:t>
      </w:r>
      <w:r w:rsidR="0025550A">
        <w:t>on</w:t>
      </w:r>
      <w:r w:rsidR="00F673F7" w:rsidRPr="00092DA3">
        <w:t xml:space="preserve"> the NBN.</w:t>
      </w:r>
      <w:r w:rsidR="00E53A0E">
        <w:t xml:space="preserve"> </w:t>
      </w:r>
      <w:r w:rsidR="00F673F7" w:rsidRPr="00092DA3">
        <w:t>But it will be important that these requirements do not inhibit innovation.</w:t>
      </w:r>
      <w:r w:rsidR="00E53A0E">
        <w:t xml:space="preserve"> </w:t>
      </w:r>
      <w:r w:rsidR="00F673F7" w:rsidRPr="00092DA3">
        <w:t>Compliance with any such rules could</w:t>
      </w:r>
      <w:r w:rsidR="006D7EE4">
        <w:t>,</w:t>
      </w:r>
      <w:r w:rsidR="00F673F7" w:rsidRPr="00092DA3">
        <w:t xml:space="preserve"> </w:t>
      </w:r>
      <w:r w:rsidR="005446B1" w:rsidRPr="00092DA3">
        <w:t>over</w:t>
      </w:r>
      <w:r w:rsidR="00F673F7" w:rsidRPr="00092DA3">
        <w:t xml:space="preserve"> time</w:t>
      </w:r>
      <w:r w:rsidR="006D7EE4">
        <w:t>,</w:t>
      </w:r>
      <w:r w:rsidR="00F673F7" w:rsidRPr="00092DA3">
        <w:t xml:space="preserve"> be integrated into state and territory planning processes.</w:t>
      </w:r>
    </w:p>
    <w:p w14:paraId="2FFFB051" w14:textId="77777777" w:rsidR="009A07F7" w:rsidRPr="00092DA3" w:rsidRDefault="009A07F7" w:rsidP="009A07F7">
      <w:pPr>
        <w:pStyle w:val="Heading3"/>
        <w:spacing w:after="200"/>
      </w:pPr>
      <w:bookmarkStart w:id="40" w:name="_Toc416175160"/>
      <w:bookmarkStart w:id="41" w:name="_Toc60751269"/>
      <w:r w:rsidRPr="00092DA3">
        <w:t>Access technology</w:t>
      </w:r>
      <w:bookmarkEnd w:id="40"/>
      <w:bookmarkEnd w:id="41"/>
    </w:p>
    <w:p w14:paraId="7F1BE013" w14:textId="5EF3DE49" w:rsidR="009A07F7" w:rsidRPr="00092DA3" w:rsidRDefault="009A07F7" w:rsidP="009A07F7">
      <w:r w:rsidRPr="00092DA3">
        <w:t>Consistent with a multi-technology mix model</w:t>
      </w:r>
      <w:r w:rsidR="0035049E" w:rsidRPr="00092DA3">
        <w:t xml:space="preserve"> the Government has adopted for the NBN</w:t>
      </w:r>
      <w:r w:rsidRPr="00092DA3">
        <w:t>, the Government considers that network operators and developers should be free to determine which access technology is most cost</w:t>
      </w:r>
      <w:r w:rsidR="008424BE" w:rsidRPr="00092DA3">
        <w:t>-</w:t>
      </w:r>
      <w:r w:rsidRPr="00092DA3">
        <w:t>effective and deploy it, subject to general performance requirements.</w:t>
      </w:r>
    </w:p>
    <w:p w14:paraId="6B703222" w14:textId="49A376C9" w:rsidR="009A07F7" w:rsidRPr="00092DA3" w:rsidRDefault="009A07F7" w:rsidP="009A07F7">
      <w:r w:rsidRPr="00092DA3">
        <w:t xml:space="preserve">In most circumstances fibre-to-the-premises (FTTP) </w:t>
      </w:r>
      <w:r w:rsidR="00F673F7" w:rsidRPr="00092DA3">
        <w:t xml:space="preserve">is expected to </w:t>
      </w:r>
      <w:r w:rsidRPr="00092DA3">
        <w:t>be the preferred technology in new developments.</w:t>
      </w:r>
      <w:r w:rsidR="00E53A0E">
        <w:t xml:space="preserve"> </w:t>
      </w:r>
      <w:r w:rsidRPr="00092DA3">
        <w:t xml:space="preserve">The incremental cost of fibre over other options in a new estate, particularly if it includes a large number of premises, is marginal – in contrast to brownfield areas where leveraging existing copper and hybrid fibre-coaxial cable (HFC) infrastructure </w:t>
      </w:r>
      <w:r w:rsidR="008424BE" w:rsidRPr="00092DA3">
        <w:t xml:space="preserve">is expected to </w:t>
      </w:r>
      <w:r w:rsidRPr="00092DA3">
        <w:t>provide high-speed broadband sooner and at far less cost.</w:t>
      </w:r>
    </w:p>
    <w:p w14:paraId="4A403EA8" w14:textId="6517FBB2" w:rsidR="009A07F7" w:rsidRPr="00092DA3" w:rsidRDefault="009A07F7" w:rsidP="009A07F7">
      <w:r w:rsidRPr="00092DA3">
        <w:t xml:space="preserve">As demand for higher download and upload data rates increases, FTTP </w:t>
      </w:r>
      <w:r w:rsidR="008424BE" w:rsidRPr="00092DA3">
        <w:t xml:space="preserve">will </w:t>
      </w:r>
      <w:r w:rsidRPr="00092DA3">
        <w:t>readily provide the capacity required</w:t>
      </w:r>
      <w:r w:rsidR="008424BE" w:rsidRPr="00092DA3">
        <w:t>.</w:t>
      </w:r>
      <w:r w:rsidRPr="00092DA3">
        <w:rPr>
          <w:rStyle w:val="FootnoteReference"/>
        </w:rPr>
        <w:footnoteReference w:id="10"/>
      </w:r>
      <w:r w:rsidR="00E53A0E">
        <w:t xml:space="preserve"> </w:t>
      </w:r>
    </w:p>
    <w:p w14:paraId="1DB09A0F" w14:textId="54E8A16D" w:rsidR="009A07F7" w:rsidRPr="00092DA3" w:rsidRDefault="009A07F7" w:rsidP="009A07F7">
      <w:pPr>
        <w:pStyle w:val="BodyText"/>
        <w:rPr>
          <w:i/>
          <w:iCs/>
        </w:rPr>
      </w:pPr>
      <w:r w:rsidRPr="00092DA3">
        <w:t>While FTTP will often be the cost</w:t>
      </w:r>
      <w:r w:rsidR="008424BE" w:rsidRPr="00092DA3">
        <w:t>-</w:t>
      </w:r>
      <w:r w:rsidRPr="00092DA3">
        <w:t>effective option in new developments, this will not always be the case – e.g. in new developments with small numbers of premises in brownfield areas with ready access to HFC or fibre-to-the-node (FTTN).</w:t>
      </w:r>
    </w:p>
    <w:p w14:paraId="1B1301ED" w14:textId="22763F50" w:rsidR="009A07F7" w:rsidRPr="00092DA3" w:rsidRDefault="009A07F7" w:rsidP="009A07F7">
      <w:pPr>
        <w:pStyle w:val="Heading3"/>
        <w:spacing w:after="200"/>
      </w:pPr>
      <w:bookmarkStart w:id="42" w:name="_Toc416175161"/>
      <w:bookmarkStart w:id="43" w:name="_Toc416175711"/>
      <w:bookmarkStart w:id="44" w:name="_Toc416175959"/>
      <w:bookmarkStart w:id="45" w:name="_Toc416176038"/>
      <w:bookmarkStart w:id="46" w:name="_Toc416176184"/>
      <w:bookmarkStart w:id="47" w:name="_Toc416175162"/>
      <w:bookmarkStart w:id="48" w:name="_Toc60751270"/>
      <w:bookmarkEnd w:id="42"/>
      <w:bookmarkEnd w:id="43"/>
      <w:bookmarkEnd w:id="44"/>
      <w:bookmarkEnd w:id="45"/>
      <w:bookmarkEnd w:id="46"/>
      <w:r w:rsidRPr="00092DA3">
        <w:t>Retail service competition</w:t>
      </w:r>
      <w:bookmarkEnd w:id="47"/>
      <w:bookmarkEnd w:id="48"/>
    </w:p>
    <w:p w14:paraId="433D97B8" w14:textId="3C41D661" w:rsidR="009A07F7" w:rsidRPr="00092DA3" w:rsidRDefault="009A07F7" w:rsidP="009A07F7">
      <w:r w:rsidRPr="00092DA3">
        <w:t xml:space="preserve">One of the strengths of the NBN is the range </w:t>
      </w:r>
      <w:r w:rsidR="005446B1" w:rsidRPr="00092DA3">
        <w:t xml:space="preserve">and diversity of </w:t>
      </w:r>
      <w:r w:rsidRPr="00092DA3">
        <w:t>RSPs it offers to consumers.</w:t>
      </w:r>
      <w:r w:rsidR="00E53A0E">
        <w:t xml:space="preserve"> </w:t>
      </w:r>
      <w:r w:rsidRPr="00092DA3">
        <w:t>For alternative networks to be attractive to RSPs, the number of business-to-business interfaces RSPs need to integrate with for ordering and managing services should be kept to a minimum – or a standard interface should be available for use by all network operators.</w:t>
      </w:r>
      <w:r w:rsidR="00E53A0E">
        <w:t xml:space="preserve"> </w:t>
      </w:r>
      <w:r w:rsidR="000E744C" w:rsidRPr="00092DA3">
        <w:t xml:space="preserve">There are a range of models that could be used to facilitate this, ranging from a new third party industry interface through to the use of NBN </w:t>
      </w:r>
      <w:proofErr w:type="spellStart"/>
      <w:r w:rsidR="000E744C" w:rsidRPr="00092DA3">
        <w:t>Co’s</w:t>
      </w:r>
      <w:proofErr w:type="spellEnd"/>
      <w:r w:rsidR="000E744C" w:rsidRPr="00092DA3">
        <w:t xml:space="preserve"> existing interface. Given the technical and operational considerations, </w:t>
      </w:r>
      <w:r w:rsidR="00786C6C" w:rsidRPr="00092DA3">
        <w:t>this will, in the first instance, be left to industry.</w:t>
      </w:r>
      <w:r w:rsidR="00E53A0E">
        <w:t xml:space="preserve"> </w:t>
      </w:r>
      <w:r w:rsidR="00786C6C" w:rsidRPr="00092DA3">
        <w:t xml:space="preserve">If </w:t>
      </w:r>
      <w:r w:rsidR="00F00D2E" w:rsidRPr="00092DA3">
        <w:t xml:space="preserve">there is commercial demand for it, NBN Co will make the specifications of its interface available to alternative providers on an ongoing basis on fair commercial terms so they can operate their own interface on the same basis. </w:t>
      </w:r>
    </w:p>
    <w:p w14:paraId="2CF257A5" w14:textId="77777777" w:rsidR="009A07F7" w:rsidRPr="00092DA3" w:rsidRDefault="009A07F7" w:rsidP="009A07F7">
      <w:r w:rsidRPr="00092DA3">
        <w:t xml:space="preserve">It is also open to NBN Co to obtain access to infrastructure owned by alternative network operators and resupply </w:t>
      </w:r>
      <w:r w:rsidR="005722D7" w:rsidRPr="00092DA3">
        <w:t xml:space="preserve">services </w:t>
      </w:r>
      <w:r w:rsidRPr="00092DA3">
        <w:t xml:space="preserve">– potentially expanding its reach, earning a margin, and fostering retail competition. </w:t>
      </w:r>
    </w:p>
    <w:p w14:paraId="68191AB3" w14:textId="77777777" w:rsidR="009A07F7" w:rsidRPr="00092DA3" w:rsidRDefault="009A07F7" w:rsidP="009A07F7">
      <w:pPr>
        <w:pStyle w:val="Heading2"/>
      </w:pPr>
      <w:bookmarkStart w:id="49" w:name="_Toc416175163"/>
      <w:bookmarkStart w:id="50" w:name="_Toc60751271"/>
      <w:r w:rsidRPr="00092DA3">
        <w:t>Developer responsibilities</w:t>
      </w:r>
      <w:bookmarkEnd w:id="49"/>
      <w:bookmarkEnd w:id="50"/>
    </w:p>
    <w:p w14:paraId="262222FD" w14:textId="4C32E49B" w:rsidR="009A07F7" w:rsidRPr="00092DA3" w:rsidRDefault="009A07F7" w:rsidP="009A07F7">
      <w:r w:rsidRPr="00092DA3">
        <w:t xml:space="preserve">Developers have a choice of network provider in all cases and can purchase network components (including the network itself and the pit-and-pipe infrastructure through which it typically runs) as they wish, noting that under the arrangements a non-NBN provider would be obliged to provide solutions that </w:t>
      </w:r>
      <w:r w:rsidR="00F223C7" w:rsidRPr="00092DA3">
        <w:t>provide</w:t>
      </w:r>
      <w:r w:rsidRPr="00092DA3">
        <w:t xml:space="preserve"> NBN consistent outcomes.</w:t>
      </w:r>
    </w:p>
    <w:p w14:paraId="06A51536" w14:textId="185B59D7" w:rsidR="009A07F7" w:rsidRPr="00092DA3" w:rsidRDefault="009A07F7" w:rsidP="009A07F7">
      <w:r w:rsidRPr="00092DA3">
        <w:t xml:space="preserve">If the developer </w:t>
      </w:r>
      <w:r w:rsidR="008424BE" w:rsidRPr="00092DA3">
        <w:t xml:space="preserve">simply </w:t>
      </w:r>
      <w:r w:rsidRPr="00092DA3">
        <w:t>seeks to contract network construction to a construction contractor, it should be mindful that a carrier is still needed to operate the network subject to the requirements of the carrier licence condition</w:t>
      </w:r>
      <w:r w:rsidR="0025550A">
        <w:t>s</w:t>
      </w:r>
      <w:r w:rsidRPr="00092DA3">
        <w:t>.</w:t>
      </w:r>
      <w:r w:rsidR="00E53A0E">
        <w:t xml:space="preserve"> </w:t>
      </w:r>
      <w:r w:rsidRPr="00092DA3">
        <w:t xml:space="preserve">Clearly construction firms will need to have regard to the obligations on carriers and build </w:t>
      </w:r>
      <w:r w:rsidR="008424BE" w:rsidRPr="00092DA3">
        <w:t xml:space="preserve">networks </w:t>
      </w:r>
      <w:r w:rsidRPr="00092DA3">
        <w:t>accordingly.</w:t>
      </w:r>
    </w:p>
    <w:p w14:paraId="062B6F2B" w14:textId="77777777" w:rsidR="00D23F1F" w:rsidRPr="00092DA3" w:rsidRDefault="00D23F1F" w:rsidP="009A07F7">
      <w:r w:rsidRPr="00092DA3">
        <w:t xml:space="preserve">It is generally envisaged that a developer that is subdividing land would be responsible for ensuring telecommunications are brought to the development and reticulated within it, </w:t>
      </w:r>
      <w:r w:rsidR="008424BE" w:rsidRPr="00092DA3">
        <w:t xml:space="preserve">and made </w:t>
      </w:r>
      <w:r w:rsidRPr="00092DA3">
        <w:t xml:space="preserve">available to each </w:t>
      </w:r>
      <w:r w:rsidR="00F17154" w:rsidRPr="00092DA3">
        <w:t>lot</w:t>
      </w:r>
      <w:r w:rsidRPr="00092DA3">
        <w:t xml:space="preserve"> of land. Developers of MDUs would be responsible for ensuring telecommunications </w:t>
      </w:r>
      <w:r w:rsidR="008424BE" w:rsidRPr="00092DA3">
        <w:t>are</w:t>
      </w:r>
      <w:r w:rsidRPr="00092DA3">
        <w:t xml:space="preserve"> reticulated to individual units in</w:t>
      </w:r>
      <w:r w:rsidR="008424BE" w:rsidRPr="00092DA3">
        <w:t xml:space="preserve"> the</w:t>
      </w:r>
      <w:r w:rsidRPr="00092DA3">
        <w:t xml:space="preserve"> development</w:t>
      </w:r>
      <w:r w:rsidR="006D7EE4">
        <w:t>s</w:t>
      </w:r>
      <w:r w:rsidRPr="00092DA3">
        <w:t>. It is envisaged these matters can generally be determined as part of a carrier</w:t>
      </w:r>
      <w:r w:rsidR="008424BE" w:rsidRPr="00092DA3">
        <w:t>’</w:t>
      </w:r>
      <w:r w:rsidRPr="00092DA3">
        <w:t>s day-to</w:t>
      </w:r>
      <w:r w:rsidR="008424BE" w:rsidRPr="00092DA3">
        <w:t>-</w:t>
      </w:r>
      <w:r w:rsidRPr="00092DA3">
        <w:t xml:space="preserve">day business practices. </w:t>
      </w:r>
    </w:p>
    <w:p w14:paraId="4B548116" w14:textId="1C06AE57" w:rsidR="00D23F1F" w:rsidRPr="00092DA3" w:rsidRDefault="00D23F1F" w:rsidP="009A07F7">
      <w:r w:rsidRPr="00092DA3">
        <w:t>It is envisaged that any SDU charges incurred in developing land would be offset if that land was subsequently used for MDUs. For example, if a developer was originally charged $600 for a</w:t>
      </w:r>
      <w:r w:rsidR="008424BE" w:rsidRPr="00092DA3">
        <w:t>n</w:t>
      </w:r>
      <w:r w:rsidRPr="00092DA3">
        <w:t xml:space="preserve"> SDU</w:t>
      </w:r>
      <w:r w:rsidR="00F043DD" w:rsidRPr="00092DA3">
        <w:t xml:space="preserve"> </w:t>
      </w:r>
      <w:r w:rsidR="00F223C7" w:rsidRPr="00092DA3">
        <w:t>lot</w:t>
      </w:r>
      <w:r w:rsidRPr="00092DA3">
        <w:t xml:space="preserve">, but that </w:t>
      </w:r>
      <w:r w:rsidR="00F043DD" w:rsidRPr="00092DA3">
        <w:t>lot</w:t>
      </w:r>
      <w:r w:rsidRPr="00092DA3">
        <w:t xml:space="preserve"> was then used </w:t>
      </w:r>
      <w:r w:rsidR="00B9451A" w:rsidRPr="00092DA3">
        <w:t>to construct</w:t>
      </w:r>
      <w:r w:rsidRPr="00092DA3">
        <w:t xml:space="preserve"> </w:t>
      </w:r>
      <w:r w:rsidR="0021340C" w:rsidRPr="00092DA3">
        <w:t>five</w:t>
      </w:r>
      <w:r w:rsidRPr="00092DA3">
        <w:t xml:space="preserve"> MDU </w:t>
      </w:r>
      <w:r w:rsidR="0021340C" w:rsidRPr="00092DA3">
        <w:t>premises</w:t>
      </w:r>
      <w:r w:rsidR="00B9451A" w:rsidRPr="00092DA3">
        <w:t xml:space="preserve"> (where possible)</w:t>
      </w:r>
      <w:r w:rsidRPr="00092DA3">
        <w:t xml:space="preserve">, the MDU charges would be payable for each </w:t>
      </w:r>
      <w:r w:rsidR="0021340C" w:rsidRPr="00092DA3">
        <w:t>unit</w:t>
      </w:r>
      <w:r w:rsidRPr="00092DA3">
        <w:t>, but</w:t>
      </w:r>
      <w:r w:rsidR="0021340C" w:rsidRPr="00092DA3">
        <w:t xml:space="preserve"> t</w:t>
      </w:r>
      <w:r w:rsidRPr="00092DA3">
        <w:t xml:space="preserve">he SDU charge would be </w:t>
      </w:r>
      <w:r w:rsidR="0021340C" w:rsidRPr="00092DA3">
        <w:t>offset against it.</w:t>
      </w:r>
      <w:r w:rsidR="00E53A0E">
        <w:t xml:space="preserve"> </w:t>
      </w:r>
      <w:r w:rsidRPr="00092DA3">
        <w:t>It is envisaged such detail</w:t>
      </w:r>
      <w:r w:rsidR="00F223C7" w:rsidRPr="00092DA3">
        <w:t>s</w:t>
      </w:r>
      <w:r w:rsidRPr="00092DA3">
        <w:t xml:space="preserve"> </w:t>
      </w:r>
      <w:r w:rsidR="00F223C7" w:rsidRPr="00092DA3">
        <w:t>would</w:t>
      </w:r>
      <w:r w:rsidRPr="00092DA3">
        <w:t xml:space="preserve"> be covered in carrier contracts.</w:t>
      </w:r>
      <w:r w:rsidR="0021340C" w:rsidRPr="00092DA3">
        <w:t xml:space="preserve"> </w:t>
      </w:r>
    </w:p>
    <w:p w14:paraId="03E9193D" w14:textId="77777777" w:rsidR="009A07F7" w:rsidRPr="00092DA3" w:rsidRDefault="009A07F7" w:rsidP="009A07F7">
      <w:pPr>
        <w:pStyle w:val="Heading3"/>
        <w:spacing w:after="200"/>
      </w:pPr>
      <w:bookmarkStart w:id="51" w:name="_Toc416175164"/>
      <w:bookmarkStart w:id="52" w:name="_Toc60751272"/>
      <w:r w:rsidRPr="00092DA3">
        <w:t>Planning</w:t>
      </w:r>
      <w:bookmarkEnd w:id="51"/>
      <w:bookmarkEnd w:id="52"/>
    </w:p>
    <w:p w14:paraId="2079F062" w14:textId="079F3922" w:rsidR="009A07F7" w:rsidRPr="00092DA3" w:rsidRDefault="009A07F7" w:rsidP="009A07F7">
      <w:r w:rsidRPr="00092DA3">
        <w:t>Because of the complexity, costs and logistics of providing telecommunications infrastructure in new developments, developers must consider telecommunications provision</w:t>
      </w:r>
      <w:r w:rsidR="00FF038C">
        <w:t>s</w:t>
      </w:r>
      <w:r w:rsidRPr="00092DA3">
        <w:t xml:space="preserve"> in the earliest stages of their planning and costing processes</w:t>
      </w:r>
      <w:r w:rsidR="00F673F7" w:rsidRPr="00092DA3">
        <w:t>, including pre-</w:t>
      </w:r>
      <w:r w:rsidR="00734ED1" w:rsidRPr="00092DA3">
        <w:t>acquisition</w:t>
      </w:r>
      <w:r w:rsidRPr="00092DA3">
        <w:t>.</w:t>
      </w:r>
      <w:r w:rsidR="00E53A0E">
        <w:t xml:space="preserve"> </w:t>
      </w:r>
      <w:r w:rsidRPr="00092DA3">
        <w:t xml:space="preserve">They should engage with prospective </w:t>
      </w:r>
      <w:r w:rsidR="00F223C7" w:rsidRPr="00092DA3">
        <w:t xml:space="preserve">providers of telecommunications infrastructure </w:t>
      </w:r>
      <w:r w:rsidRPr="00092DA3">
        <w:t xml:space="preserve">and decide upon their provider as early as possible. </w:t>
      </w:r>
      <w:r w:rsidR="00F673F7" w:rsidRPr="00092DA3">
        <w:t xml:space="preserve">To assist them in this regard, NBN Co will be </w:t>
      </w:r>
      <w:r w:rsidR="00266485" w:rsidRPr="00092DA3">
        <w:t xml:space="preserve">required </w:t>
      </w:r>
      <w:r w:rsidR="00F673F7" w:rsidRPr="00092DA3">
        <w:t xml:space="preserve">to provide information throughout the planning process. This will put competitive pressure on alternative providers to do the same. NBN Co will also adopt a strategic approach to network provisioning in new developments, including </w:t>
      </w:r>
      <w:r w:rsidR="00B9451A" w:rsidRPr="00092DA3">
        <w:t>having regard to</w:t>
      </w:r>
      <w:r w:rsidR="00F673F7" w:rsidRPr="00092DA3">
        <w:t xml:space="preserve"> </w:t>
      </w:r>
      <w:r w:rsidR="00B9451A" w:rsidRPr="00092DA3">
        <w:t>the</w:t>
      </w:r>
      <w:r w:rsidR="00F673F7" w:rsidRPr="00092DA3">
        <w:t xml:space="preserve"> strategic growth corridor</w:t>
      </w:r>
      <w:r w:rsidR="0071626C" w:rsidRPr="00092DA3">
        <w:t>s</w:t>
      </w:r>
      <w:r w:rsidR="00B9451A" w:rsidRPr="00092DA3">
        <w:t xml:space="preserve"> of planning authorities</w:t>
      </w:r>
      <w:r w:rsidR="00F673F7" w:rsidRPr="00092DA3">
        <w:t>.</w:t>
      </w:r>
    </w:p>
    <w:p w14:paraId="0107B46D" w14:textId="0817D2B3" w:rsidR="009A07F7" w:rsidRPr="00092DA3" w:rsidRDefault="009A07F7" w:rsidP="009A07F7">
      <w:r w:rsidRPr="00092DA3">
        <w:t>State</w:t>
      </w:r>
      <w:r w:rsidR="0071626C" w:rsidRPr="00092DA3">
        <w:t>, territory and local</w:t>
      </w:r>
      <w:r w:rsidRPr="00092DA3">
        <w:t xml:space="preserve"> governments </w:t>
      </w:r>
      <w:r w:rsidR="005446B1" w:rsidRPr="00092DA3">
        <w:t>can play</w:t>
      </w:r>
      <w:r w:rsidRPr="00092DA3">
        <w:t xml:space="preserve"> an important role in this regard by incorporating supply of telecommunications into their development application processes</w:t>
      </w:r>
      <w:r w:rsidR="005446B1" w:rsidRPr="00092DA3">
        <w:t xml:space="preserve"> and laws.</w:t>
      </w:r>
    </w:p>
    <w:p w14:paraId="1FA15E64" w14:textId="77777777" w:rsidR="009A07F7" w:rsidRPr="00092DA3" w:rsidRDefault="009A07F7" w:rsidP="009A07F7">
      <w:pPr>
        <w:pStyle w:val="Heading3"/>
        <w:spacing w:after="200"/>
      </w:pPr>
      <w:bookmarkStart w:id="53" w:name="_Toc416175165"/>
      <w:bookmarkStart w:id="54" w:name="_Toc60751273"/>
      <w:r w:rsidRPr="00092DA3">
        <w:t>Choice of provider</w:t>
      </w:r>
      <w:bookmarkEnd w:id="53"/>
      <w:bookmarkEnd w:id="54"/>
    </w:p>
    <w:p w14:paraId="0CAEDCED" w14:textId="14FACDE2" w:rsidR="009A07F7" w:rsidRPr="00092DA3" w:rsidRDefault="009A07F7" w:rsidP="009A07F7">
      <w:r w:rsidRPr="00092DA3">
        <w:t xml:space="preserve">To choose a network provider, a developer should ask appropriately qualified network operators (including NBN Co) </w:t>
      </w:r>
      <w:r w:rsidR="00C20C88" w:rsidRPr="00092DA3">
        <w:t>and/</w:t>
      </w:r>
      <w:r w:rsidRPr="00092DA3">
        <w:t>or infrastructure builders for quotes, and proceed with the one they consider best meets their needs. Apart from cost and meeting minimum service requirements, other important considerations will be the provider’s track record, sustainability into the future, and ability to meet the developer’s timeframes.</w:t>
      </w:r>
    </w:p>
    <w:p w14:paraId="2B5E30BA" w14:textId="2BA4BCEB" w:rsidR="009A07F7" w:rsidRPr="00092DA3" w:rsidRDefault="009A07F7" w:rsidP="009A07F7">
      <w:r w:rsidRPr="00092DA3">
        <w:t>Developers would meet the costs included in the successful contractor’s tender. These charges would fundamentally be a matter for the carrier, but charges are likely to be</w:t>
      </w:r>
      <w:r w:rsidR="0071626C" w:rsidRPr="00092DA3">
        <w:t>,</w:t>
      </w:r>
      <w:r w:rsidRPr="00092DA3">
        <w:t xml:space="preserve"> at least to some extent</w:t>
      </w:r>
      <w:r w:rsidR="0071626C" w:rsidRPr="00092DA3">
        <w:t>,</w:t>
      </w:r>
      <w:r w:rsidRPr="00092DA3">
        <w:t xml:space="preserve"> influenced by what IPOLRs charge.</w:t>
      </w:r>
    </w:p>
    <w:p w14:paraId="57800960" w14:textId="1452F6B6" w:rsidR="00D85998" w:rsidRPr="00092DA3" w:rsidRDefault="00D85998" w:rsidP="009A07F7">
      <w:r w:rsidRPr="00092DA3">
        <w:t>While NBN Co and Telstra are providers of last resort and are obliged to provide infrastructure according to their responsibilities set out below, they are also free to compete i</w:t>
      </w:r>
      <w:r w:rsidR="00266485" w:rsidRPr="00092DA3">
        <w:t>n</w:t>
      </w:r>
      <w:r w:rsidRPr="00092DA3">
        <w:t xml:space="preserve"> the market as they wish. In the case of NBN Co, the Government’s clear expectation is that it also competes aggressively, but fairly, as indicated elsewhere in this policy. This is inherent in NBN </w:t>
      </w:r>
      <w:proofErr w:type="spellStart"/>
      <w:r w:rsidRPr="00092DA3">
        <w:t>Co’s</w:t>
      </w:r>
      <w:proofErr w:type="spellEnd"/>
      <w:r w:rsidRPr="00092DA3">
        <w:t xml:space="preserve"> commercial operation. </w:t>
      </w:r>
      <w:r w:rsidR="0020217B" w:rsidRPr="00092DA3">
        <w:t>While</w:t>
      </w:r>
      <w:r w:rsidRPr="00092DA3">
        <w:t xml:space="preserve"> developers are encouraged in</w:t>
      </w:r>
      <w:r w:rsidR="0020217B" w:rsidRPr="00092DA3">
        <w:t xml:space="preserve"> a competitive marketplace</w:t>
      </w:r>
      <w:r w:rsidRPr="00092DA3">
        <w:t xml:space="preserve"> to shop around for the provider who can best meet their needs, this does not mean they have to try </w:t>
      </w:r>
      <w:r w:rsidR="0020217B" w:rsidRPr="00092DA3">
        <w:t xml:space="preserve">private </w:t>
      </w:r>
      <w:r w:rsidRPr="00092DA3">
        <w:t>competing providers before they can approach NBN</w:t>
      </w:r>
      <w:r w:rsidR="0020217B" w:rsidRPr="00092DA3">
        <w:t xml:space="preserve"> </w:t>
      </w:r>
      <w:r w:rsidRPr="00092DA3">
        <w:t xml:space="preserve">Co </w:t>
      </w:r>
      <w:r w:rsidR="0020217B" w:rsidRPr="00092DA3">
        <w:t>or</w:t>
      </w:r>
      <w:r w:rsidRPr="00092DA3">
        <w:t xml:space="preserve"> Telstra. They can be approach</w:t>
      </w:r>
      <w:r w:rsidR="002D7545" w:rsidRPr="00092DA3">
        <w:t>ed</w:t>
      </w:r>
      <w:r w:rsidRPr="00092DA3">
        <w:t xml:space="preserve"> first, at the same </w:t>
      </w:r>
      <w:r w:rsidR="0020217B" w:rsidRPr="00092DA3">
        <w:t>time</w:t>
      </w:r>
      <w:r w:rsidRPr="00092DA3">
        <w:t xml:space="preserve"> </w:t>
      </w:r>
      <w:r w:rsidR="008317E8" w:rsidRPr="00092DA3">
        <w:t xml:space="preserve">as other providers </w:t>
      </w:r>
      <w:r w:rsidRPr="00092DA3">
        <w:t xml:space="preserve">or later. That they are </w:t>
      </w:r>
      <w:r w:rsidR="0020217B" w:rsidRPr="00092DA3">
        <w:t xml:space="preserve">called </w:t>
      </w:r>
      <w:r w:rsidR="008317E8" w:rsidRPr="00092DA3">
        <w:t xml:space="preserve">providers of last resort </w:t>
      </w:r>
      <w:r w:rsidRPr="00092DA3">
        <w:t>does not me</w:t>
      </w:r>
      <w:r w:rsidR="0020217B" w:rsidRPr="00092DA3">
        <w:t>an</w:t>
      </w:r>
      <w:r w:rsidRPr="00092DA3">
        <w:t xml:space="preserve"> </w:t>
      </w:r>
      <w:r w:rsidR="0071626C" w:rsidRPr="00092DA3">
        <w:t xml:space="preserve">developers can only </w:t>
      </w:r>
      <w:r w:rsidRPr="00092DA3">
        <w:t>use</w:t>
      </w:r>
      <w:r w:rsidR="0071626C" w:rsidRPr="00092DA3">
        <w:t xml:space="preserve"> them</w:t>
      </w:r>
      <w:r w:rsidRPr="00092DA3">
        <w:t xml:space="preserve"> </w:t>
      </w:r>
      <w:r w:rsidR="0020217B" w:rsidRPr="00092DA3">
        <w:t xml:space="preserve">if no </w:t>
      </w:r>
      <w:r w:rsidR="0071626C" w:rsidRPr="00092DA3">
        <w:t>other provider</w:t>
      </w:r>
      <w:r w:rsidR="0020217B" w:rsidRPr="00092DA3">
        <w:t xml:space="preserve"> will take on the</w:t>
      </w:r>
      <w:r w:rsidR="0071626C" w:rsidRPr="00092DA3">
        <w:t>ir</w:t>
      </w:r>
      <w:r w:rsidR="0020217B" w:rsidRPr="00092DA3">
        <w:t xml:space="preserve"> </w:t>
      </w:r>
      <w:r w:rsidR="0071626C" w:rsidRPr="00092DA3">
        <w:t>estates.</w:t>
      </w:r>
      <w:r w:rsidR="0020217B" w:rsidRPr="00092DA3">
        <w:t xml:space="preserve"> </w:t>
      </w:r>
      <w:r w:rsidR="0071626C" w:rsidRPr="00092DA3">
        <w:t>R</w:t>
      </w:r>
      <w:r w:rsidR="0020217B" w:rsidRPr="00092DA3">
        <w:t>ather</w:t>
      </w:r>
      <w:r w:rsidR="0071626C" w:rsidRPr="00092DA3">
        <w:t>,</w:t>
      </w:r>
      <w:r w:rsidR="0020217B" w:rsidRPr="00092DA3">
        <w:t xml:space="preserve"> it means that they are the only provider</w:t>
      </w:r>
      <w:r w:rsidR="002D7545" w:rsidRPr="00092DA3">
        <w:t>s</w:t>
      </w:r>
      <w:r w:rsidR="0020217B" w:rsidRPr="00092DA3">
        <w:t xml:space="preserve"> obliged to </w:t>
      </w:r>
      <w:r w:rsidR="00B9451A" w:rsidRPr="00092DA3">
        <w:t xml:space="preserve">offer and provide </w:t>
      </w:r>
      <w:r w:rsidR="0020217B" w:rsidRPr="00092DA3">
        <w:t>service</w:t>
      </w:r>
      <w:r w:rsidR="00B9451A" w:rsidRPr="00092DA3">
        <w:t>s</w:t>
      </w:r>
      <w:r w:rsidR="0020217B" w:rsidRPr="00092DA3">
        <w:t xml:space="preserve"> </w:t>
      </w:r>
      <w:r w:rsidR="00B9451A" w:rsidRPr="00092DA3">
        <w:t xml:space="preserve">on commercially agreed terms to </w:t>
      </w:r>
      <w:r w:rsidR="0020217B" w:rsidRPr="00092DA3">
        <w:t>an estate in their area of responsibility if asked to</w:t>
      </w:r>
      <w:r w:rsidR="0071626C" w:rsidRPr="00092DA3">
        <w:t>. In contrast,</w:t>
      </w:r>
      <w:r w:rsidR="0020217B" w:rsidRPr="00092DA3">
        <w:t xml:space="preserve"> other providers can refuse as they wish</w:t>
      </w:r>
      <w:r w:rsidR="00266485" w:rsidRPr="00092DA3">
        <w:t xml:space="preserve"> (unless they are the IPOLR for the relevant area</w:t>
      </w:r>
      <w:r w:rsidR="008317E8" w:rsidRPr="00092DA3">
        <w:t>, as explained in section 3.6.2</w:t>
      </w:r>
      <w:r w:rsidR="00266485" w:rsidRPr="00092DA3">
        <w:t>)</w:t>
      </w:r>
      <w:r w:rsidR="0020217B" w:rsidRPr="00092DA3">
        <w:t>.</w:t>
      </w:r>
      <w:r w:rsidR="0020217B" w:rsidRPr="00092DA3">
        <w:rPr>
          <w:rStyle w:val="FootnoteReference"/>
        </w:rPr>
        <w:footnoteReference w:id="11"/>
      </w:r>
      <w:r w:rsidR="00E53A0E">
        <w:t xml:space="preserve"> </w:t>
      </w:r>
      <w:r w:rsidR="0020217B" w:rsidRPr="00092DA3">
        <w:t>Any competing provider saying that NBN Co and Telstra can only be used if there is no alternative private provider is not accurately reflecting the policy.</w:t>
      </w:r>
      <w:r w:rsidR="00E53A0E">
        <w:t xml:space="preserve"> </w:t>
      </w:r>
      <w:r w:rsidR="0020217B" w:rsidRPr="00092DA3">
        <w:t xml:space="preserve">The objective of the policy is to promote competition between providers, including NBN Co and Telstra, </w:t>
      </w:r>
      <w:r w:rsidR="006D7EE4">
        <w:t xml:space="preserve">in order </w:t>
      </w:r>
      <w:r w:rsidR="0020217B" w:rsidRPr="00092DA3">
        <w:t xml:space="preserve">to push costs and prices down. </w:t>
      </w:r>
    </w:p>
    <w:p w14:paraId="65F49A1A" w14:textId="01BCB73B" w:rsidR="00F673F7" w:rsidRPr="00092DA3" w:rsidRDefault="00F673F7" w:rsidP="009A07F7">
      <w:r w:rsidRPr="00092DA3">
        <w:t xml:space="preserve">It </w:t>
      </w:r>
      <w:r w:rsidR="00374E3A" w:rsidRPr="00092DA3">
        <w:t>will be a matter</w:t>
      </w:r>
      <w:r w:rsidRPr="00092DA3">
        <w:t xml:space="preserve"> left to stakeholders and entrepreneurs as to whether they see merit in establishing an online clearing house or similar forum to help developers and carriers identify one a</w:t>
      </w:r>
      <w:r w:rsidR="00276C7B" w:rsidRPr="00092DA3">
        <w:t>nother.</w:t>
      </w:r>
      <w:r w:rsidR="00E53A0E">
        <w:t xml:space="preserve"> </w:t>
      </w:r>
      <w:r w:rsidR="005446B1" w:rsidRPr="00092DA3">
        <w:t>However, t</w:t>
      </w:r>
      <w:r w:rsidR="00276C7B" w:rsidRPr="00092DA3">
        <w:t xml:space="preserve">he Department of Communications </w:t>
      </w:r>
      <w:r w:rsidR="008317E8" w:rsidRPr="00092DA3">
        <w:t xml:space="preserve">is </w:t>
      </w:r>
      <w:r w:rsidR="00276C7B" w:rsidRPr="00092DA3">
        <w:t>establish</w:t>
      </w:r>
      <w:r w:rsidR="008317E8" w:rsidRPr="00092DA3">
        <w:t>ing</w:t>
      </w:r>
      <w:r w:rsidR="00276C7B" w:rsidRPr="00092DA3">
        <w:t xml:space="preserve"> an online </w:t>
      </w:r>
      <w:r w:rsidR="005446B1" w:rsidRPr="00092DA3">
        <w:t xml:space="preserve">portal where an accurate map of the location and boundaries of </w:t>
      </w:r>
      <w:r w:rsidR="00276C7B" w:rsidRPr="00092DA3">
        <w:t>new develop</w:t>
      </w:r>
      <w:r w:rsidR="005446B1" w:rsidRPr="00092DA3">
        <w:t>ments and the identity of carriers serving them will be maintained.</w:t>
      </w:r>
      <w:r w:rsidR="00E53A0E">
        <w:t xml:space="preserve"> </w:t>
      </w:r>
      <w:r w:rsidR="00276C7B" w:rsidRPr="00092DA3">
        <w:t>This should assist developers in identifying carriers servicing the area in which they intend to develop property</w:t>
      </w:r>
      <w:r w:rsidR="0033734E" w:rsidRPr="00092DA3">
        <w:t>, and help resolve disputes.</w:t>
      </w:r>
    </w:p>
    <w:p w14:paraId="73C8C117" w14:textId="77777777" w:rsidR="00FF3C90" w:rsidRPr="00092DA3" w:rsidRDefault="00FF3C90" w:rsidP="009A07F7">
      <w:r w:rsidRPr="00092DA3">
        <w:t xml:space="preserve">Developer associations </w:t>
      </w:r>
      <w:r w:rsidR="002A6962" w:rsidRPr="00092DA3">
        <w:t xml:space="preserve">may like to </w:t>
      </w:r>
      <w:r w:rsidRPr="00092DA3">
        <w:t>establish webpages with contact details of carriers that specialise in servicing new developments.</w:t>
      </w:r>
    </w:p>
    <w:p w14:paraId="77A493E7" w14:textId="77777777" w:rsidR="009A07F7" w:rsidRPr="00092DA3" w:rsidRDefault="009A07F7" w:rsidP="009A07F7">
      <w:pPr>
        <w:pStyle w:val="Heading3"/>
        <w:spacing w:after="200"/>
      </w:pPr>
      <w:bookmarkStart w:id="55" w:name="_Toc416175166"/>
      <w:bookmarkStart w:id="56" w:name="_Toc60751274"/>
      <w:r w:rsidRPr="00092DA3">
        <w:t>Pit and pipe infrastructure</w:t>
      </w:r>
      <w:bookmarkEnd w:id="55"/>
      <w:bookmarkEnd w:id="56"/>
    </w:p>
    <w:p w14:paraId="7FCAEB31" w14:textId="77777777" w:rsidR="009A07F7" w:rsidRPr="00092DA3" w:rsidRDefault="009A07F7" w:rsidP="009A07F7">
      <w:r w:rsidRPr="00092DA3">
        <w:t xml:space="preserve">Developers will remain responsible for the cost and delivery of appropriate pit and pipe infrastructure unless otherwise arranged </w:t>
      </w:r>
      <w:r w:rsidR="008317E8" w:rsidRPr="00092DA3">
        <w:t xml:space="preserve">under contract </w:t>
      </w:r>
      <w:r w:rsidRPr="00092DA3">
        <w:t>with the network provider.</w:t>
      </w:r>
    </w:p>
    <w:p w14:paraId="26ADB4C2" w14:textId="6B4D4A17" w:rsidR="009A07F7" w:rsidRPr="00092DA3" w:rsidRDefault="009A07F7" w:rsidP="009A07F7">
      <w:r w:rsidRPr="00092DA3">
        <w:t>It is the responsibility of the network provider contracted in each new estate to determine whether they require ownership of the pit and pipe to be transferred to them as a condition of servicing the estate.</w:t>
      </w:r>
      <w:r w:rsidR="00E53A0E">
        <w:t xml:space="preserve"> </w:t>
      </w:r>
      <w:r w:rsidRPr="00092DA3">
        <w:t>From the Government’s perspective, there is merit in carriers taking ownership of pit and pipe for ongoing operation and maintenance.</w:t>
      </w:r>
      <w:r w:rsidR="00E53A0E">
        <w:t xml:space="preserve"> </w:t>
      </w:r>
      <w:r w:rsidRPr="00092DA3">
        <w:t>Carriers are also subject to obligations to provide access to pit and pipe infrastructure.</w:t>
      </w:r>
    </w:p>
    <w:p w14:paraId="70FC36FD" w14:textId="65A0CBF9" w:rsidR="009A07F7" w:rsidRPr="00092DA3" w:rsidRDefault="009A07F7" w:rsidP="009A07F7">
      <w:r w:rsidRPr="00092DA3">
        <w:t xml:space="preserve">The Government proposes to amend Schedule 3 of the </w:t>
      </w:r>
      <w:r w:rsidRPr="00092DA3">
        <w:rPr>
          <w:i/>
        </w:rPr>
        <w:t>Telecommunications Act 1997</w:t>
      </w:r>
      <w:r w:rsidRPr="00092DA3">
        <w:t xml:space="preserve"> to make it clear carrier powers and immunities (e.g. in relation to installation and maintenance) apply to pit and pipe </w:t>
      </w:r>
      <w:r w:rsidR="005D72E6" w:rsidRPr="00092DA3">
        <w:t xml:space="preserve">and </w:t>
      </w:r>
      <w:r w:rsidR="008317E8" w:rsidRPr="00092DA3">
        <w:t xml:space="preserve">any other </w:t>
      </w:r>
      <w:r w:rsidR="005D72E6" w:rsidRPr="00092DA3">
        <w:t xml:space="preserve">network </w:t>
      </w:r>
      <w:r w:rsidRPr="00092DA3">
        <w:t>infrastructure</w:t>
      </w:r>
      <w:r w:rsidR="005D72E6" w:rsidRPr="00092DA3">
        <w:t>)</w:t>
      </w:r>
      <w:r w:rsidRPr="00092DA3">
        <w:t xml:space="preserve"> transferred to carriers just as they apply to similar infrastructure built by carriers themselves.</w:t>
      </w:r>
      <w:r w:rsidR="00E53A0E">
        <w:t xml:space="preserve"> </w:t>
      </w:r>
      <w:r w:rsidRPr="00092DA3">
        <w:t xml:space="preserve">Where pit and pipe is not transferred to </w:t>
      </w:r>
      <w:r w:rsidR="008317E8" w:rsidRPr="00092DA3">
        <w:t>a carrier</w:t>
      </w:r>
      <w:r w:rsidRPr="00092DA3">
        <w:t xml:space="preserve">, the Government will consider amending Part 20A of the </w:t>
      </w:r>
      <w:r w:rsidRPr="00092DA3">
        <w:rPr>
          <w:i/>
        </w:rPr>
        <w:t>Telecommunications Act 1997</w:t>
      </w:r>
      <w:r w:rsidRPr="00092DA3">
        <w:t xml:space="preserve"> to require </w:t>
      </w:r>
      <w:r w:rsidR="008317E8" w:rsidRPr="00092DA3">
        <w:t xml:space="preserve">the </w:t>
      </w:r>
      <w:r w:rsidRPr="00092DA3">
        <w:t>owners to maintain it.</w:t>
      </w:r>
      <w:r w:rsidR="00914607" w:rsidRPr="00092DA3">
        <w:t xml:space="preserve"> </w:t>
      </w:r>
    </w:p>
    <w:p w14:paraId="16D670D0" w14:textId="0BEE17B0" w:rsidR="009A07F7" w:rsidRPr="00092DA3" w:rsidRDefault="009A07F7" w:rsidP="009A07F7">
      <w:r w:rsidRPr="00092DA3">
        <w:t xml:space="preserve">If a developer does not choose a network provider, but defaults to the IPOLR, the developer remains subject to the </w:t>
      </w:r>
      <w:r w:rsidR="001C4A4F" w:rsidRPr="00092DA3">
        <w:t xml:space="preserve">pit and pipe </w:t>
      </w:r>
      <w:r w:rsidRPr="00092DA3">
        <w:t xml:space="preserve">obligations (including charges) applying to </w:t>
      </w:r>
      <w:r w:rsidR="001C4A4F" w:rsidRPr="00092DA3">
        <w:t>supply by an IPOLR.</w:t>
      </w:r>
    </w:p>
    <w:p w14:paraId="3BB29A6E" w14:textId="77777777" w:rsidR="009A07F7" w:rsidRPr="00092DA3" w:rsidRDefault="009A07F7" w:rsidP="009A07F7">
      <w:pPr>
        <w:pStyle w:val="Heading3"/>
        <w:spacing w:after="200"/>
      </w:pPr>
      <w:bookmarkStart w:id="57" w:name="_Toc416175167"/>
      <w:bookmarkStart w:id="58" w:name="_Toc60751275"/>
      <w:r w:rsidRPr="00092DA3">
        <w:t>Notice periods</w:t>
      </w:r>
      <w:bookmarkEnd w:id="57"/>
      <w:bookmarkEnd w:id="58"/>
    </w:p>
    <w:p w14:paraId="4DDB30A6" w14:textId="4561BDB8" w:rsidR="009A07F7" w:rsidRPr="00092DA3" w:rsidRDefault="009A07F7" w:rsidP="009A07F7">
      <w:r w:rsidRPr="00092DA3">
        <w:t>In addition to any obligations to transfer ownership of pit and pipe and charges, IPOLRs can insist on developers providing them with a specified notice period before they are obliged to provide infrastructure.</w:t>
      </w:r>
      <w:r w:rsidR="00E53A0E">
        <w:t xml:space="preserve"> </w:t>
      </w:r>
      <w:r w:rsidRPr="00092DA3">
        <w:t xml:space="preserve">Unless an IPOLR agrees otherwise in writing, the </w:t>
      </w:r>
      <w:r w:rsidR="008531B8" w:rsidRPr="00092DA3">
        <w:t xml:space="preserve">standard </w:t>
      </w:r>
      <w:r w:rsidRPr="00092DA3">
        <w:t>notice period is six months (180 calendar days) prior to the development’s estimated first occupancy date</w:t>
      </w:r>
      <w:r w:rsidR="008531B8" w:rsidRPr="00092DA3">
        <w:t>.</w:t>
      </w:r>
      <w:r w:rsidR="00E53A0E">
        <w:t xml:space="preserve"> </w:t>
      </w:r>
      <w:r w:rsidR="008531B8" w:rsidRPr="00092DA3">
        <w:t>That is, six months is the minimum notice developers must give and the maximum notice carriers can ask for.</w:t>
      </w:r>
      <w:r w:rsidR="00E53A0E">
        <w:t xml:space="preserve"> </w:t>
      </w:r>
      <w:r w:rsidR="008531B8" w:rsidRPr="00092DA3">
        <w:t>Parties can always agree alternative arrangements.</w:t>
      </w:r>
      <w:r w:rsidR="00E53A0E">
        <w:t xml:space="preserve"> </w:t>
      </w:r>
      <w:r w:rsidR="008531B8" w:rsidRPr="00092DA3">
        <w:t xml:space="preserve">This arrangement assumes </w:t>
      </w:r>
      <w:r w:rsidRPr="00092DA3">
        <w:t xml:space="preserve">that </w:t>
      </w:r>
      <w:r w:rsidR="008531B8" w:rsidRPr="00092DA3">
        <w:t xml:space="preserve">a </w:t>
      </w:r>
      <w:r w:rsidRPr="00092DA3">
        <w:t>network need</w:t>
      </w:r>
      <w:r w:rsidR="008531B8" w:rsidRPr="00092DA3">
        <w:t>s</w:t>
      </w:r>
      <w:r w:rsidRPr="00092DA3">
        <w:t xml:space="preserve"> to be ready for service and to activate customers </w:t>
      </w:r>
      <w:r w:rsidR="008531B8" w:rsidRPr="00092DA3">
        <w:t>by the estimated first occupancy date</w:t>
      </w:r>
      <w:r w:rsidRPr="00092DA3">
        <w:t>.</w:t>
      </w:r>
      <w:r w:rsidR="00E53A0E">
        <w:t xml:space="preserve"> </w:t>
      </w:r>
      <w:r w:rsidR="008531B8" w:rsidRPr="00092DA3">
        <w:t>In all instances</w:t>
      </w:r>
      <w:r w:rsidR="003C607A" w:rsidRPr="00092DA3">
        <w:t>,</w:t>
      </w:r>
      <w:r w:rsidR="008531B8" w:rsidRPr="00092DA3">
        <w:t xml:space="preserve"> the earlier notice can be provided, the greater the scope for smooth planning and provisioning.</w:t>
      </w:r>
    </w:p>
    <w:p w14:paraId="6CE61D1B" w14:textId="47A2C6EE" w:rsidR="009A07F7" w:rsidRPr="00092DA3" w:rsidRDefault="009A07F7" w:rsidP="009A07F7">
      <w:r w:rsidRPr="00092DA3">
        <w:t>IPOLRs can also specify a minimum period for which pit and pipe should be available prior to the date when infrastructure needs to be ready for service.</w:t>
      </w:r>
      <w:r w:rsidR="00E53A0E">
        <w:t xml:space="preserve"> </w:t>
      </w:r>
      <w:r w:rsidR="008531B8" w:rsidRPr="00092DA3">
        <w:t>NBN Co asks for a</w:t>
      </w:r>
      <w:r w:rsidRPr="00092DA3">
        <w:t xml:space="preserve"> minimum of four months between the provision of pit and pipe and the ready for service date.</w:t>
      </w:r>
      <w:r w:rsidR="00E53A0E">
        <w:t xml:space="preserve"> </w:t>
      </w:r>
      <w:r w:rsidR="008531B8" w:rsidRPr="00092DA3">
        <w:t>This is essentially a contractual matter, on which providers can compete.</w:t>
      </w:r>
    </w:p>
    <w:p w14:paraId="52F7759D" w14:textId="5EAB14D8" w:rsidR="009A07F7" w:rsidRPr="00092DA3" w:rsidRDefault="008531B8" w:rsidP="009A07F7">
      <w:r w:rsidRPr="00092DA3">
        <w:t>In the case of an IPOLR, t</w:t>
      </w:r>
      <w:r w:rsidR="009A07F7" w:rsidRPr="00092DA3">
        <w:t xml:space="preserve">he notice period simply means this is the amount of time an IPOLR has to provide the infrastructure required – it cannot </w:t>
      </w:r>
      <w:r w:rsidR="0033734E" w:rsidRPr="00092DA3">
        <w:t xml:space="preserve">choose </w:t>
      </w:r>
      <w:r w:rsidR="009A07F7" w:rsidRPr="00092DA3">
        <w:t>to not service a development because the developer has not provided sufficient notice.</w:t>
      </w:r>
      <w:r w:rsidR="00E53A0E">
        <w:t xml:space="preserve"> </w:t>
      </w:r>
      <w:r w:rsidR="009A07F7" w:rsidRPr="00092DA3">
        <w:t xml:space="preserve">In other words, if </w:t>
      </w:r>
      <w:r w:rsidR="0033734E" w:rsidRPr="00092DA3">
        <w:t xml:space="preserve">a </w:t>
      </w:r>
      <w:r w:rsidR="009A07F7" w:rsidRPr="00092DA3">
        <w:t xml:space="preserve">developer does not provide sufficient notice, it </w:t>
      </w:r>
      <w:r w:rsidR="0033734E" w:rsidRPr="00092DA3">
        <w:t xml:space="preserve">may </w:t>
      </w:r>
      <w:r w:rsidR="009A07F7" w:rsidRPr="00092DA3">
        <w:t xml:space="preserve">be told </w:t>
      </w:r>
      <w:r w:rsidR="0033734E" w:rsidRPr="00092DA3">
        <w:t xml:space="preserve">that its development </w:t>
      </w:r>
      <w:r w:rsidR="009A07F7" w:rsidRPr="00092DA3">
        <w:t xml:space="preserve">will have to wait until </w:t>
      </w:r>
      <w:r w:rsidRPr="00092DA3">
        <w:t>the required period</w:t>
      </w:r>
      <w:r w:rsidR="0033734E" w:rsidRPr="00092DA3">
        <w:t xml:space="preserve"> has elapsed</w:t>
      </w:r>
      <w:r w:rsidRPr="00092DA3">
        <w:t xml:space="preserve">, </w:t>
      </w:r>
      <w:r w:rsidR="009A07F7" w:rsidRPr="00092DA3">
        <w:t xml:space="preserve">but </w:t>
      </w:r>
      <w:r w:rsidR="0033734E" w:rsidRPr="00092DA3">
        <w:t xml:space="preserve">it </w:t>
      </w:r>
      <w:r w:rsidR="009A07F7" w:rsidRPr="00092DA3">
        <w:t>cannot be told the IPOLR is not obliged to service the estate</w:t>
      </w:r>
      <w:r w:rsidR="0033734E" w:rsidRPr="00092DA3">
        <w:t xml:space="preserve"> at all</w:t>
      </w:r>
      <w:r w:rsidR="009A07F7" w:rsidRPr="00092DA3">
        <w:t>.</w:t>
      </w:r>
      <w:r w:rsidR="00E53A0E">
        <w:t xml:space="preserve"> </w:t>
      </w:r>
      <w:r w:rsidRPr="00092DA3">
        <w:t xml:space="preserve">This may mean </w:t>
      </w:r>
      <w:r w:rsidR="0033734E" w:rsidRPr="00092DA3">
        <w:t xml:space="preserve">premises in new estates are sometimes </w:t>
      </w:r>
      <w:r w:rsidRPr="00092DA3">
        <w:t xml:space="preserve">occupied before infrastructure is </w:t>
      </w:r>
      <w:r w:rsidR="0033734E" w:rsidRPr="00092DA3">
        <w:t>available</w:t>
      </w:r>
      <w:r w:rsidRPr="00092DA3">
        <w:t xml:space="preserve">, creating </w:t>
      </w:r>
      <w:r w:rsidR="0033734E" w:rsidRPr="00092DA3">
        <w:t xml:space="preserve">inconvenience for home buyers and </w:t>
      </w:r>
      <w:r w:rsidRPr="00092DA3">
        <w:t>potential reputational risk for developers.</w:t>
      </w:r>
      <w:r w:rsidR="00E53A0E">
        <w:t xml:space="preserve"> </w:t>
      </w:r>
      <w:r w:rsidRPr="00092DA3">
        <w:t xml:space="preserve">This </w:t>
      </w:r>
      <w:r w:rsidR="00F043DD" w:rsidRPr="00092DA3">
        <w:t>possibility</w:t>
      </w:r>
      <w:r w:rsidR="00374E3A" w:rsidRPr="00092DA3">
        <w:t xml:space="preserve"> </w:t>
      </w:r>
      <w:r w:rsidRPr="00092DA3">
        <w:t xml:space="preserve">emphasises the need for </w:t>
      </w:r>
      <w:r w:rsidR="003C607A" w:rsidRPr="00092DA3">
        <w:t xml:space="preserve">a </w:t>
      </w:r>
      <w:r w:rsidRPr="00092DA3">
        <w:t xml:space="preserve">developer to engage early </w:t>
      </w:r>
      <w:r w:rsidR="0033734E" w:rsidRPr="00092DA3">
        <w:t xml:space="preserve">and effectively </w:t>
      </w:r>
      <w:r w:rsidRPr="00092DA3">
        <w:t>with carriers.</w:t>
      </w:r>
    </w:p>
    <w:p w14:paraId="7A67FBF2" w14:textId="77777777" w:rsidR="006B1C58" w:rsidRPr="00092DA3" w:rsidRDefault="006B1C58" w:rsidP="005D72E6">
      <w:pPr>
        <w:pStyle w:val="Heading3"/>
        <w:spacing w:after="200"/>
      </w:pPr>
      <w:bookmarkStart w:id="59" w:name="_Toc416175168"/>
      <w:bookmarkStart w:id="60" w:name="_Toc60751276"/>
      <w:r w:rsidRPr="00092DA3">
        <w:t>On-sale of land by developers and charging</w:t>
      </w:r>
      <w:bookmarkEnd w:id="59"/>
      <w:bookmarkEnd w:id="60"/>
    </w:p>
    <w:p w14:paraId="0239730C" w14:textId="55D6BEAD" w:rsidR="00146EA6" w:rsidRPr="00092DA3" w:rsidRDefault="001203E7" w:rsidP="001203E7">
      <w:pPr>
        <w:pStyle w:val="BodyText"/>
      </w:pPr>
      <w:r w:rsidRPr="00092DA3">
        <w:t xml:space="preserve">It is not uncommon for a developer to on-sell land before a </w:t>
      </w:r>
      <w:r w:rsidR="00146EA6" w:rsidRPr="00092DA3">
        <w:t xml:space="preserve">development </w:t>
      </w:r>
      <w:r w:rsidRPr="00092DA3">
        <w:t>project is completed.</w:t>
      </w:r>
      <w:r w:rsidR="00E53A0E">
        <w:t xml:space="preserve"> </w:t>
      </w:r>
      <w:r w:rsidRPr="00092DA3">
        <w:t>The question then arises as to what obligations should apply in relation to the provision of telecommunications infrastructure in relation to that land.</w:t>
      </w:r>
      <w:r w:rsidR="00E53A0E">
        <w:t xml:space="preserve"> </w:t>
      </w:r>
      <w:r w:rsidRPr="00092DA3">
        <w:t xml:space="preserve">Generally this is seen as a contractual matter for the parties concerned: the seller, the buyer and the </w:t>
      </w:r>
      <w:r w:rsidR="00146EA6" w:rsidRPr="00092DA3">
        <w:t xml:space="preserve">pre-contracted </w:t>
      </w:r>
      <w:r w:rsidRPr="00092DA3">
        <w:t>carrier</w:t>
      </w:r>
      <w:r w:rsidR="00146EA6" w:rsidRPr="00092DA3">
        <w:t xml:space="preserve"> if any</w:t>
      </w:r>
      <w:r w:rsidRPr="00092DA3">
        <w:t>.</w:t>
      </w:r>
      <w:r w:rsidR="00E53A0E">
        <w:t xml:space="preserve"> </w:t>
      </w:r>
      <w:r w:rsidR="00146EA6" w:rsidRPr="00092DA3">
        <w:t xml:space="preserve">This could include suitable novation or termination and cancellation rights. </w:t>
      </w:r>
    </w:p>
    <w:p w14:paraId="70FF37D9" w14:textId="1A7CA3FD" w:rsidR="00146EA6" w:rsidRPr="00092DA3" w:rsidRDefault="001203E7" w:rsidP="001203E7">
      <w:pPr>
        <w:pStyle w:val="BodyText"/>
      </w:pPr>
      <w:r w:rsidRPr="00092DA3">
        <w:t xml:space="preserve">That said, </w:t>
      </w:r>
      <w:r w:rsidR="00146EA6" w:rsidRPr="00092DA3">
        <w:t xml:space="preserve">the Government considers some basic principles are important. </w:t>
      </w:r>
      <w:r w:rsidR="006563CE" w:rsidRPr="00092DA3">
        <w:t>First, d</w:t>
      </w:r>
      <w:r w:rsidR="00146EA6" w:rsidRPr="00092DA3">
        <w:t xml:space="preserve">evelopers should </w:t>
      </w:r>
      <w:r w:rsidR="00A73D1E" w:rsidRPr="00092DA3">
        <w:t>al</w:t>
      </w:r>
      <w:r w:rsidR="001E747E" w:rsidRPr="00092DA3">
        <w:t>ways be able to have th</w:t>
      </w:r>
      <w:r w:rsidR="00A73D1E" w:rsidRPr="00092DA3">
        <w:t>eir developments serviced.</w:t>
      </w:r>
      <w:r w:rsidR="00E53A0E">
        <w:t xml:space="preserve"> </w:t>
      </w:r>
      <w:r w:rsidR="00A73D1E" w:rsidRPr="00092DA3">
        <w:t>Sale should not affect this.</w:t>
      </w:r>
      <w:r w:rsidR="00E53A0E">
        <w:t xml:space="preserve"> </w:t>
      </w:r>
      <w:r w:rsidR="006563CE" w:rsidRPr="00092DA3">
        <w:t>Second, d</w:t>
      </w:r>
      <w:r w:rsidR="00A73D1E" w:rsidRPr="00092DA3">
        <w:t xml:space="preserve">evelopers should </w:t>
      </w:r>
      <w:r w:rsidR="00146EA6" w:rsidRPr="00092DA3">
        <w:t>only have to pay once to ensure lots and premises are fully serviced.</w:t>
      </w:r>
      <w:r w:rsidR="00E53A0E">
        <w:t xml:space="preserve"> </w:t>
      </w:r>
      <w:r w:rsidR="00146EA6" w:rsidRPr="00092DA3">
        <w:t>There should be no double-dipping by one or more carriers</w:t>
      </w:r>
      <w:r w:rsidR="001E747E" w:rsidRPr="00092DA3">
        <w:t>, although there may be cost adjustment or compensation payments</w:t>
      </w:r>
      <w:r w:rsidR="00146EA6" w:rsidRPr="00092DA3">
        <w:t>.</w:t>
      </w:r>
      <w:r w:rsidR="00E53A0E">
        <w:t xml:space="preserve"> </w:t>
      </w:r>
      <w:r w:rsidR="00A73D1E" w:rsidRPr="00092DA3">
        <w:t>Due provision should be made for prior payments, for example, through contract novation or termination arrangements.</w:t>
      </w:r>
      <w:r w:rsidR="00E53A0E">
        <w:t xml:space="preserve"> </w:t>
      </w:r>
      <w:r w:rsidR="006563CE" w:rsidRPr="00092DA3">
        <w:t>Third, t</w:t>
      </w:r>
      <w:r w:rsidR="001E747E" w:rsidRPr="00092DA3">
        <w:t>here should be scope for pre-contracted commitments to be novated</w:t>
      </w:r>
      <w:r w:rsidR="00A73D1E" w:rsidRPr="00092DA3">
        <w:t>, with pre-contracted timeframes continuing to apply if possible</w:t>
      </w:r>
      <w:r w:rsidR="001E747E" w:rsidRPr="00092DA3">
        <w:t>.</w:t>
      </w:r>
      <w:r w:rsidR="00E53A0E">
        <w:t xml:space="preserve"> </w:t>
      </w:r>
      <w:r w:rsidR="006563CE" w:rsidRPr="00092DA3">
        <w:t>Fourth, t</w:t>
      </w:r>
      <w:r w:rsidR="001E747E" w:rsidRPr="00092DA3">
        <w:t xml:space="preserve">here should be scope for a new developer to choose a new provider if it wishes, subject to the termination of pre-existing contracts. </w:t>
      </w:r>
      <w:r w:rsidR="00A73D1E" w:rsidRPr="00092DA3">
        <w:t xml:space="preserve">In the case of IPOLRs, minimum notification timeframes would generally apply to </w:t>
      </w:r>
      <w:proofErr w:type="gramStart"/>
      <w:r w:rsidR="00A73D1E" w:rsidRPr="00092DA3">
        <w:t>new ‘re</w:t>
      </w:r>
      <w:proofErr w:type="gramEnd"/>
      <w:r w:rsidR="00A73D1E" w:rsidRPr="00092DA3">
        <w:t>-applications’, noting</w:t>
      </w:r>
      <w:r w:rsidR="00374E3A" w:rsidRPr="00092DA3">
        <w:t xml:space="preserve"> that</w:t>
      </w:r>
      <w:r w:rsidR="00A73D1E" w:rsidRPr="00092DA3">
        <w:t xml:space="preserve"> these are flexible at the IPOLR’s discretion.</w:t>
      </w:r>
      <w:r w:rsidR="00E53A0E">
        <w:t xml:space="preserve"> </w:t>
      </w:r>
      <w:r w:rsidR="006563CE" w:rsidRPr="00092DA3">
        <w:t>Finally, i</w:t>
      </w:r>
      <w:r w:rsidR="00146EA6" w:rsidRPr="00092DA3">
        <w:t xml:space="preserve">f a </w:t>
      </w:r>
      <w:r w:rsidR="001E747E" w:rsidRPr="00092DA3">
        <w:t xml:space="preserve">new </w:t>
      </w:r>
      <w:r w:rsidR="00146EA6" w:rsidRPr="00092DA3">
        <w:t xml:space="preserve">developer </w:t>
      </w:r>
      <w:r w:rsidR="001E747E" w:rsidRPr="00092DA3">
        <w:t xml:space="preserve">(or even the original developer) </w:t>
      </w:r>
      <w:r w:rsidR="00146EA6" w:rsidRPr="00092DA3">
        <w:t xml:space="preserve">takes a different approach to developing land, then the charges </w:t>
      </w:r>
      <w:r w:rsidR="00A73D1E" w:rsidRPr="00092DA3">
        <w:t xml:space="preserve">and timing </w:t>
      </w:r>
      <w:r w:rsidR="00374E3A" w:rsidRPr="00092DA3">
        <w:t xml:space="preserve">that </w:t>
      </w:r>
      <w:r w:rsidR="00146EA6" w:rsidRPr="00092DA3">
        <w:t>apply should be able to be adjusted accordingly.</w:t>
      </w:r>
      <w:r w:rsidR="00E53A0E">
        <w:t xml:space="preserve"> </w:t>
      </w:r>
      <w:r w:rsidR="00146EA6" w:rsidRPr="00092DA3">
        <w:t>For example if a block that was ori</w:t>
      </w:r>
      <w:r w:rsidR="001E747E" w:rsidRPr="00092DA3">
        <w:t>ginally</w:t>
      </w:r>
      <w:r w:rsidR="00146EA6" w:rsidRPr="00092DA3">
        <w:t xml:space="preserve"> to be for a</w:t>
      </w:r>
      <w:r w:rsidR="00374E3A" w:rsidRPr="00092DA3">
        <w:t>n</w:t>
      </w:r>
      <w:r w:rsidR="00146EA6" w:rsidRPr="00092DA3">
        <w:t xml:space="preserve"> SDU is no</w:t>
      </w:r>
      <w:r w:rsidR="001E747E" w:rsidRPr="00092DA3">
        <w:t>w</w:t>
      </w:r>
      <w:r w:rsidR="00146EA6" w:rsidRPr="00092DA3">
        <w:t xml:space="preserve"> to be used for an MDU with </w:t>
      </w:r>
      <w:r w:rsidR="001E747E" w:rsidRPr="00092DA3">
        <w:t>five</w:t>
      </w:r>
      <w:r w:rsidR="00146EA6" w:rsidRPr="00092DA3">
        <w:t xml:space="preserve"> units, the MDU charges should apply with any necessary </w:t>
      </w:r>
      <w:r w:rsidR="001E747E" w:rsidRPr="00092DA3">
        <w:t>charging adjustments</w:t>
      </w:r>
      <w:r w:rsidR="00146EA6" w:rsidRPr="00092DA3">
        <w:t>.</w:t>
      </w:r>
      <w:r w:rsidR="00A73D1E" w:rsidRPr="00092DA3">
        <w:t xml:space="preserve"> </w:t>
      </w:r>
    </w:p>
    <w:p w14:paraId="0A0E6B49" w14:textId="77777777" w:rsidR="009A07F7" w:rsidRPr="00092DA3" w:rsidRDefault="009A07F7" w:rsidP="009A07F7">
      <w:pPr>
        <w:pStyle w:val="Heading2"/>
      </w:pPr>
      <w:bookmarkStart w:id="61" w:name="_Toc416175169"/>
      <w:bookmarkStart w:id="62" w:name="_Toc60751277"/>
      <w:r w:rsidRPr="00092DA3">
        <w:t xml:space="preserve">Property owner </w:t>
      </w:r>
      <w:r w:rsidR="000C2D5A" w:rsidRPr="00092DA3">
        <w:t xml:space="preserve">and end-user </w:t>
      </w:r>
      <w:r w:rsidRPr="00092DA3">
        <w:t>responsibilities</w:t>
      </w:r>
      <w:bookmarkEnd w:id="61"/>
      <w:bookmarkEnd w:id="62"/>
    </w:p>
    <w:p w14:paraId="663685D7" w14:textId="6F193373" w:rsidR="009A07F7" w:rsidRPr="00092DA3" w:rsidRDefault="00D35E3B" w:rsidP="009A07F7">
      <w:r w:rsidRPr="00092DA3">
        <w:t xml:space="preserve">Increasingly new premises – and particularly apartments </w:t>
      </w:r>
      <w:r w:rsidR="00734ED1" w:rsidRPr="00092DA3">
        <w:t>– are</w:t>
      </w:r>
      <w:r w:rsidRPr="00092DA3">
        <w:t xml:space="preserve"> having telecommunications pre–installed during construction. However, if this is not the case</w:t>
      </w:r>
      <w:r w:rsidR="009A07F7" w:rsidRPr="00092DA3">
        <w:t>, property owners are generally responsible for organising the individual connection of telecommunications to their premises.</w:t>
      </w:r>
      <w:r w:rsidR="00E53A0E">
        <w:t xml:space="preserve"> </w:t>
      </w:r>
    </w:p>
    <w:p w14:paraId="54B97D65" w14:textId="11867727" w:rsidR="009A07F7" w:rsidRPr="00092DA3" w:rsidRDefault="009A07F7" w:rsidP="009A07F7">
      <w:r w:rsidRPr="00092DA3">
        <w:t xml:space="preserve">As has been the case for many years, </w:t>
      </w:r>
      <w:r w:rsidR="00374E3A" w:rsidRPr="00092DA3">
        <w:t>owners</w:t>
      </w:r>
      <w:r w:rsidRPr="00092DA3">
        <w:t xml:space="preserve"> remain responsible for paying for any on</w:t>
      </w:r>
      <w:r w:rsidR="00374E3A" w:rsidRPr="00092DA3">
        <w:noBreakHyphen/>
      </w:r>
      <w:r w:rsidRPr="00092DA3">
        <w:t>property trenching, conduit and installation costs.</w:t>
      </w:r>
      <w:r w:rsidR="00E53A0E">
        <w:t xml:space="preserve"> </w:t>
      </w:r>
      <w:r w:rsidRPr="00092DA3">
        <w:t>It may be that this is organised by their developer or builder as part of their house and land package.</w:t>
      </w:r>
      <w:r w:rsidR="00E53A0E">
        <w:t xml:space="preserve"> </w:t>
      </w:r>
      <w:r w:rsidRPr="00092DA3">
        <w:t>Property buyers should check these matters.</w:t>
      </w:r>
      <w:r w:rsidR="00E53A0E">
        <w:t xml:space="preserve"> </w:t>
      </w:r>
    </w:p>
    <w:p w14:paraId="6B0C61EE" w14:textId="301746B4" w:rsidR="009A07F7" w:rsidRPr="00092DA3" w:rsidRDefault="009A07F7" w:rsidP="009A07F7">
      <w:r w:rsidRPr="00092DA3">
        <w:t xml:space="preserve">New occupants also need to contact the </w:t>
      </w:r>
      <w:r w:rsidR="00374E3A" w:rsidRPr="00092DA3">
        <w:t>RSP</w:t>
      </w:r>
      <w:r w:rsidRPr="00092DA3">
        <w:t xml:space="preserve"> of their choice to choose their retail plan and activate their service. </w:t>
      </w:r>
    </w:p>
    <w:p w14:paraId="5515EA49" w14:textId="727FB4DC" w:rsidR="009A07F7" w:rsidRPr="00092DA3" w:rsidRDefault="009A07F7" w:rsidP="009A07F7">
      <w:r w:rsidRPr="00092DA3">
        <w:t xml:space="preserve">Under the IPOLR arrangements set out below, NBN Co will charge </w:t>
      </w:r>
      <w:r w:rsidR="00C20C88" w:rsidRPr="00092DA3">
        <w:t xml:space="preserve">the </w:t>
      </w:r>
      <w:r w:rsidR="00E0226E" w:rsidRPr="00092DA3">
        <w:t xml:space="preserve">RSP </w:t>
      </w:r>
      <w:r w:rsidR="00C20C88" w:rsidRPr="00092DA3">
        <w:t>wh</w:t>
      </w:r>
      <w:r w:rsidR="00374E3A" w:rsidRPr="00092DA3">
        <w:t>ich</w:t>
      </w:r>
      <w:r w:rsidR="00C20C88" w:rsidRPr="00092DA3">
        <w:t xml:space="preserve"> places an order for an NBN service to a new development </w:t>
      </w:r>
      <w:r w:rsidRPr="00092DA3">
        <w:t>a</w:t>
      </w:r>
      <w:r w:rsidR="002A6FF1" w:rsidRPr="00092DA3">
        <w:t xml:space="preserve"> one-time end-user </w:t>
      </w:r>
      <w:r w:rsidR="00D35E3B" w:rsidRPr="00092DA3">
        <w:t>contribution</w:t>
      </w:r>
      <w:r w:rsidR="002A6FF1" w:rsidRPr="00092DA3">
        <w:t xml:space="preserve"> of $300</w:t>
      </w:r>
      <w:r w:rsidRPr="00092DA3">
        <w:t>.</w:t>
      </w:r>
      <w:r w:rsidR="00E53A0E">
        <w:t xml:space="preserve"> </w:t>
      </w:r>
      <w:r w:rsidR="002A6FF1" w:rsidRPr="00092DA3">
        <w:t xml:space="preserve">It is anticipated that RSPs will pass the charge through to </w:t>
      </w:r>
      <w:r w:rsidR="002A6962" w:rsidRPr="00092DA3">
        <w:t xml:space="preserve">the </w:t>
      </w:r>
      <w:r w:rsidR="002A6FF1" w:rsidRPr="00092DA3">
        <w:t>end-users</w:t>
      </w:r>
      <w:r w:rsidR="00C20C88" w:rsidRPr="00092DA3">
        <w:t xml:space="preserve"> (who may not necessarily be the property owner)</w:t>
      </w:r>
      <w:r w:rsidR="002A6FF1" w:rsidRPr="00092DA3">
        <w:t>.</w:t>
      </w:r>
      <w:r w:rsidR="00E53A0E">
        <w:t xml:space="preserve"> </w:t>
      </w:r>
    </w:p>
    <w:p w14:paraId="76E37723" w14:textId="037B4FE3" w:rsidR="00E75E93" w:rsidRDefault="006E6243" w:rsidP="009A07F7">
      <w:r w:rsidRPr="00092DA3">
        <w:t xml:space="preserve">The </w:t>
      </w:r>
      <w:r w:rsidR="004C54DD" w:rsidRPr="00092DA3">
        <w:t>end</w:t>
      </w:r>
      <w:r w:rsidR="00374E3A" w:rsidRPr="00092DA3">
        <w:t>-user</w:t>
      </w:r>
      <w:r w:rsidRPr="00092DA3">
        <w:t xml:space="preserve"> contribution will </w:t>
      </w:r>
      <w:r w:rsidR="004C54DD" w:rsidRPr="00092DA3">
        <w:t xml:space="preserve">be charged </w:t>
      </w:r>
      <w:r w:rsidR="00BB5781" w:rsidRPr="00092DA3">
        <w:t xml:space="preserve">by NBN Co </w:t>
      </w:r>
      <w:r w:rsidR="004C54DD" w:rsidRPr="00092DA3">
        <w:t xml:space="preserve">to the RSP </w:t>
      </w:r>
      <w:r w:rsidR="00E75E93">
        <w:t>with which it has a direct contractual relationship</w:t>
      </w:r>
      <w:r w:rsidR="00E75E93" w:rsidRPr="00092DA3">
        <w:t xml:space="preserve"> </w:t>
      </w:r>
      <w:r w:rsidR="00E75E93">
        <w:t xml:space="preserve">that first </w:t>
      </w:r>
      <w:r w:rsidR="004C54DD" w:rsidRPr="00092DA3">
        <w:t>order</w:t>
      </w:r>
      <w:r w:rsidR="00E75E93">
        <w:t>s</w:t>
      </w:r>
      <w:r w:rsidR="004C54DD" w:rsidRPr="00092DA3">
        <w:t xml:space="preserve"> an NBN service </w:t>
      </w:r>
      <w:r w:rsidR="00C20C88" w:rsidRPr="00092DA3">
        <w:t>for a</w:t>
      </w:r>
      <w:r w:rsidRPr="00092DA3">
        <w:t xml:space="preserve"> new premises in </w:t>
      </w:r>
      <w:r w:rsidR="00C20C88" w:rsidRPr="00092DA3">
        <w:t xml:space="preserve">a </w:t>
      </w:r>
      <w:r w:rsidRPr="00092DA3">
        <w:t>new development</w:t>
      </w:r>
      <w:r w:rsidR="00E75E93">
        <w:t>.</w:t>
      </w:r>
      <w:r w:rsidR="00E53A0E">
        <w:t xml:space="preserve"> </w:t>
      </w:r>
      <w:r w:rsidR="00E75E93">
        <w:t>NBN Co is expected to levy the charge in relation to orders</w:t>
      </w:r>
      <w:r w:rsidRPr="00092DA3">
        <w:t xml:space="preserve"> on and from 1 July 2015, whether the development exi</w:t>
      </w:r>
      <w:r w:rsidR="00732039" w:rsidRPr="00092DA3">
        <w:t>s</w:t>
      </w:r>
      <w:r w:rsidRPr="00092DA3">
        <w:t>ted before that date or not</w:t>
      </w:r>
      <w:r w:rsidR="00E75E93">
        <w:t>, subject to relevant implementation processes</w:t>
      </w:r>
      <w:r w:rsidRPr="00092DA3">
        <w:t>.</w:t>
      </w:r>
      <w:r w:rsidR="00E53A0E">
        <w:t xml:space="preserve"> </w:t>
      </w:r>
      <w:r w:rsidR="00E75E93">
        <w:t>It may take time, for example, for RSPs to update their systems and train staff as well as for NBN Co to develop an implementation method through its commercial arrangements such as the Wholesale Broadband Agreement.</w:t>
      </w:r>
    </w:p>
    <w:p w14:paraId="44C9D20E" w14:textId="1D8EF2B8" w:rsidR="006E6243" w:rsidRPr="00092DA3" w:rsidRDefault="006E6243" w:rsidP="009A07F7">
      <w:r w:rsidRPr="00092DA3">
        <w:t xml:space="preserve">The </w:t>
      </w:r>
      <w:r w:rsidR="00E75E93">
        <w:t xml:space="preserve">end-user </w:t>
      </w:r>
      <w:r w:rsidRPr="00092DA3">
        <w:t>contribution does not apply outside of new developments</w:t>
      </w:r>
      <w:r w:rsidR="00E470A7" w:rsidRPr="00092DA3">
        <w:t>.</w:t>
      </w:r>
      <w:r w:rsidR="00E53A0E">
        <w:t xml:space="preserve"> </w:t>
      </w:r>
      <w:r w:rsidR="00E470A7" w:rsidRPr="00092DA3">
        <w:t xml:space="preserve">That is, </w:t>
      </w:r>
      <w:r w:rsidRPr="00092DA3">
        <w:t>it does not apply</w:t>
      </w:r>
      <w:r w:rsidR="00C60361" w:rsidRPr="00092DA3">
        <w:t xml:space="preserve"> to existing premises where</w:t>
      </w:r>
      <w:r w:rsidRPr="00092DA3">
        <w:t xml:space="preserve"> </w:t>
      </w:r>
      <w:r w:rsidR="00E75E93">
        <w:t xml:space="preserve">in </w:t>
      </w:r>
      <w:r w:rsidR="00C60361" w:rsidRPr="00092DA3">
        <w:t xml:space="preserve">‘brownfields’ </w:t>
      </w:r>
      <w:r w:rsidR="00E75E93">
        <w:t xml:space="preserve">where </w:t>
      </w:r>
      <w:r w:rsidR="00C60361" w:rsidRPr="00092DA3">
        <w:t>NBN network</w:t>
      </w:r>
      <w:r w:rsidR="00696297" w:rsidRPr="00092DA3">
        <w:t>s</w:t>
      </w:r>
      <w:r w:rsidR="00C60361" w:rsidRPr="00092DA3">
        <w:t xml:space="preserve"> are being rolled out</w:t>
      </w:r>
      <w:r w:rsidR="00E470A7" w:rsidRPr="00092DA3">
        <w:t>. However, it does apply to new premises in new infill developments in brownfields</w:t>
      </w:r>
      <w:r w:rsidRPr="00092DA3">
        <w:t>.</w:t>
      </w:r>
    </w:p>
    <w:p w14:paraId="0D8C2D45" w14:textId="43AD75CA" w:rsidR="00891E6D" w:rsidRPr="00092DA3" w:rsidRDefault="00A66B73" w:rsidP="009A07F7">
      <w:r w:rsidRPr="00092DA3">
        <w:t>In the case of tenants of a property that is subject to the end-user contribution, it will be a matter for the contractual relationship between the property owner and the tenant as to who meet</w:t>
      </w:r>
      <w:r w:rsidR="00891E6D" w:rsidRPr="00092DA3">
        <w:t>s</w:t>
      </w:r>
      <w:r w:rsidRPr="00092DA3">
        <w:t xml:space="preserve"> this charge.</w:t>
      </w:r>
      <w:r w:rsidR="00E53A0E">
        <w:t xml:space="preserve"> </w:t>
      </w:r>
      <w:r w:rsidRPr="00092DA3">
        <w:t>Given tenants are likely to expect ready access to telecommunications in a property they rent</w:t>
      </w:r>
      <w:r w:rsidR="0025550A">
        <w:t>,</w:t>
      </w:r>
      <w:r w:rsidRPr="00092DA3">
        <w:t xml:space="preserve"> and connection of the NBN will provide ongoing utility, property owners may wish to consider</w:t>
      </w:r>
      <w:r w:rsidR="00891E6D" w:rsidRPr="00092DA3">
        <w:t xml:space="preserve"> the extent to which they offer a rental rebate in relation to the end-user contribution cost.</w:t>
      </w:r>
    </w:p>
    <w:p w14:paraId="55B15CCC" w14:textId="77777777" w:rsidR="009A07F7" w:rsidRPr="00092DA3" w:rsidRDefault="009A07F7" w:rsidP="009A07F7">
      <w:pPr>
        <w:pStyle w:val="Heading2"/>
      </w:pPr>
      <w:bookmarkStart w:id="63" w:name="_Toc416175170"/>
      <w:bookmarkStart w:id="64" w:name="_Toc60751278"/>
      <w:r w:rsidRPr="00092DA3">
        <w:t>Network operator and infrastructure contractor responsibilities</w:t>
      </w:r>
      <w:bookmarkEnd w:id="63"/>
      <w:bookmarkEnd w:id="64"/>
    </w:p>
    <w:p w14:paraId="1041E8CF" w14:textId="60444159" w:rsidR="009A07F7" w:rsidRPr="00092DA3" w:rsidRDefault="009A07F7" w:rsidP="009A07F7">
      <w:r w:rsidRPr="00092DA3">
        <w:t>Network providers</w:t>
      </w:r>
      <w:r w:rsidR="00891E6D" w:rsidRPr="00092DA3">
        <w:t>, who are typically carriers,</w:t>
      </w:r>
      <w:r w:rsidRPr="00092DA3">
        <w:t xml:space="preserve"> or infrastructure contractors servicing new developments will need to meet all infrastructure and service requirements set out in relevant industry legislation, regulatory instruments and other binding standards or documents.</w:t>
      </w:r>
      <w:r w:rsidR="00E53A0E">
        <w:t xml:space="preserve"> </w:t>
      </w:r>
      <w:r w:rsidRPr="00092DA3">
        <w:t>Network providers (or infrastructure contractors) are also expected to meet their contractual obligations.</w:t>
      </w:r>
    </w:p>
    <w:p w14:paraId="4B8D19DA" w14:textId="77777777" w:rsidR="009A07F7" w:rsidRPr="00092DA3" w:rsidRDefault="009A07F7" w:rsidP="009A07F7">
      <w:r w:rsidRPr="00092DA3">
        <w:t>The precise expectations and requirements on network providers (or infrastructure contractors) are set out elsewhere in this document. More specific responsibilities of NBN Co and Telstra as IPOLRs are also discussed elsewhere.</w:t>
      </w:r>
    </w:p>
    <w:p w14:paraId="7F259310" w14:textId="7C101672" w:rsidR="009A07F7" w:rsidRPr="00092DA3" w:rsidRDefault="009A07F7" w:rsidP="009A07F7">
      <w:r w:rsidRPr="00092DA3">
        <w:t xml:space="preserve">Network providers including NBN Co can provide turnkey packages, including offering pit and pipe </w:t>
      </w:r>
      <w:proofErr w:type="spellStart"/>
      <w:r w:rsidRPr="00092DA3">
        <w:t>infrastructure,</w:t>
      </w:r>
      <w:proofErr w:type="spellEnd"/>
      <w:r w:rsidRPr="00092DA3">
        <w:t xml:space="preserve"> if they wish.</w:t>
      </w:r>
      <w:r w:rsidR="00E53A0E">
        <w:t xml:space="preserve"> </w:t>
      </w:r>
      <w:r w:rsidRPr="00092DA3">
        <w:t>However, developers can also seek to source individual network elements as they wish, for example, sourcing pit and pi</w:t>
      </w:r>
      <w:r w:rsidR="00BE1592" w:rsidRPr="00092DA3">
        <w:t>pe</w:t>
      </w:r>
      <w:r w:rsidRPr="00092DA3">
        <w:t xml:space="preserve"> from one supplier and cabling from another.</w:t>
      </w:r>
      <w:r w:rsidR="00E53A0E">
        <w:t xml:space="preserve"> </w:t>
      </w:r>
      <w:r w:rsidR="006E6243" w:rsidRPr="00092DA3">
        <w:t xml:space="preserve">However, </w:t>
      </w:r>
      <w:r w:rsidR="00374E3A" w:rsidRPr="00092DA3">
        <w:t xml:space="preserve">if developers choose to do this, </w:t>
      </w:r>
      <w:r w:rsidR="006E6243" w:rsidRPr="00092DA3">
        <w:t xml:space="preserve">they will also bear the risk of </w:t>
      </w:r>
      <w:r w:rsidR="00374E3A" w:rsidRPr="00092DA3">
        <w:t xml:space="preserve">ensuring </w:t>
      </w:r>
      <w:r w:rsidR="006E6243" w:rsidRPr="00092DA3">
        <w:t>system integration and finding a carrier to operate the infrastructure and provide services to occupants in new developments.</w:t>
      </w:r>
      <w:r w:rsidR="00E53A0E">
        <w:t xml:space="preserve"> </w:t>
      </w:r>
      <w:r w:rsidR="00891E6D" w:rsidRPr="00092DA3">
        <w:t>No provider is obliged to take ownership of infrastructure installed by third parties, other than in accordance with prior agreements.</w:t>
      </w:r>
      <w:r w:rsidR="00E53A0E">
        <w:t xml:space="preserve"> </w:t>
      </w:r>
      <w:r w:rsidR="00891E6D" w:rsidRPr="00092DA3">
        <w:t xml:space="preserve">However the general expectation is that where pit and pipe is installed to </w:t>
      </w:r>
      <w:r w:rsidR="00F37DF0" w:rsidRPr="00092DA3">
        <w:t xml:space="preserve">mandated </w:t>
      </w:r>
      <w:r w:rsidR="00891E6D" w:rsidRPr="00092DA3">
        <w:t>specification, the carrier taking responsibility for servicing the development would take ownership of this infrastructure.</w:t>
      </w:r>
      <w:r w:rsidR="00E53A0E">
        <w:t xml:space="preserve"> </w:t>
      </w:r>
      <w:r w:rsidR="00891E6D" w:rsidRPr="00092DA3">
        <w:t xml:space="preserve">The best way to minimise uncertainty in this regard </w:t>
      </w:r>
      <w:r w:rsidR="0025550A">
        <w:t xml:space="preserve">is </w:t>
      </w:r>
      <w:r w:rsidR="00891E6D" w:rsidRPr="00092DA3">
        <w:t>to have prior agreements in place.</w:t>
      </w:r>
    </w:p>
    <w:p w14:paraId="5F87C8F8" w14:textId="1DD8F41D" w:rsidR="009A07F7" w:rsidRPr="00092DA3" w:rsidRDefault="009A07F7" w:rsidP="009A07F7">
      <w:r w:rsidRPr="00092DA3">
        <w:t xml:space="preserve">As indicated in </w:t>
      </w:r>
      <w:r w:rsidR="001E5354" w:rsidRPr="00092DA3">
        <w:t xml:space="preserve">the Telecommunications Regulatory and Structural Reform package released in </w:t>
      </w:r>
      <w:r w:rsidRPr="00092DA3">
        <w:t xml:space="preserve">December 2014, the Government </w:t>
      </w:r>
      <w:r w:rsidR="0020065B" w:rsidRPr="00092DA3">
        <w:t>intends</w:t>
      </w:r>
      <w:r w:rsidR="006927F9" w:rsidRPr="00092DA3">
        <w:t xml:space="preserve"> to</w:t>
      </w:r>
      <w:r w:rsidRPr="00092DA3">
        <w:t xml:space="preserve"> introduc</w:t>
      </w:r>
      <w:r w:rsidR="006927F9" w:rsidRPr="00092DA3">
        <w:t>e</w:t>
      </w:r>
      <w:r w:rsidRPr="00092DA3">
        <w:t xml:space="preserve"> an industry-based scheme to fund the provision of broadband infrastructure in loss-making areas.</w:t>
      </w:r>
      <w:r w:rsidR="00E53A0E">
        <w:t xml:space="preserve"> </w:t>
      </w:r>
      <w:r w:rsidRPr="00092DA3">
        <w:t>Infrastructure providers in new developments would be expected to contribute to this scheme on an equitable basis.</w:t>
      </w:r>
    </w:p>
    <w:p w14:paraId="7735AB2E" w14:textId="77777777" w:rsidR="009A07F7" w:rsidRPr="00092DA3" w:rsidRDefault="009A07F7" w:rsidP="009A07F7">
      <w:pPr>
        <w:pStyle w:val="Heading3"/>
        <w:spacing w:after="200"/>
      </w:pPr>
      <w:bookmarkStart w:id="65" w:name="_Toc416175171"/>
      <w:bookmarkStart w:id="66" w:name="_Toc60751279"/>
      <w:r w:rsidRPr="00092DA3">
        <w:t>Overbuilding by NBN Co</w:t>
      </w:r>
      <w:bookmarkEnd w:id="65"/>
      <w:bookmarkEnd w:id="66"/>
    </w:p>
    <w:p w14:paraId="60F502CA" w14:textId="083957FB" w:rsidR="009A07F7" w:rsidRPr="00092DA3" w:rsidRDefault="009A07F7" w:rsidP="009A07F7">
      <w:r w:rsidRPr="00092DA3">
        <w:t xml:space="preserve">Both private providers and NBN Co need clarity on </w:t>
      </w:r>
      <w:r w:rsidR="001E5354" w:rsidRPr="00092DA3">
        <w:t xml:space="preserve">whether </w:t>
      </w:r>
      <w:r w:rsidRPr="00092DA3">
        <w:t xml:space="preserve">and when NBN Co is expected to </w:t>
      </w:r>
      <w:r w:rsidR="0033734E" w:rsidRPr="00092DA3">
        <w:t xml:space="preserve">(or able to) </w:t>
      </w:r>
      <w:r w:rsidRPr="00092DA3">
        <w:t xml:space="preserve">overbuild existing </w:t>
      </w:r>
      <w:r w:rsidR="0033734E" w:rsidRPr="00092DA3">
        <w:t xml:space="preserve">broadband </w:t>
      </w:r>
      <w:r w:rsidRPr="00092DA3">
        <w:t>infrastructure that provide</w:t>
      </w:r>
      <w:r w:rsidR="00F37DF0" w:rsidRPr="00092DA3">
        <w:t>s</w:t>
      </w:r>
      <w:r w:rsidRPr="00092DA3">
        <w:t xml:space="preserve"> NBN</w:t>
      </w:r>
      <w:r w:rsidR="0033734E" w:rsidRPr="00092DA3">
        <w:t>-</w:t>
      </w:r>
      <w:r w:rsidRPr="00092DA3">
        <w:t>comparable outcomes.</w:t>
      </w:r>
      <w:r w:rsidR="00E53A0E">
        <w:t xml:space="preserve"> </w:t>
      </w:r>
      <w:r w:rsidR="0033734E" w:rsidRPr="00092DA3">
        <w:t xml:space="preserve">For </w:t>
      </w:r>
      <w:r w:rsidRPr="00092DA3">
        <w:t xml:space="preserve">NBN Co to </w:t>
      </w:r>
      <w:r w:rsidR="004176CC" w:rsidRPr="00092DA3">
        <w:t xml:space="preserve">effectively </w:t>
      </w:r>
      <w:r w:rsidRPr="00092DA3">
        <w:t>compete in the market</w:t>
      </w:r>
      <w:r w:rsidR="0033734E" w:rsidRPr="00092DA3">
        <w:t>, and to ensure alternative providers have an incentive to upgrade their networks over time, NB</w:t>
      </w:r>
      <w:r w:rsidR="004176CC" w:rsidRPr="00092DA3">
        <w:t>N</w:t>
      </w:r>
      <w:r w:rsidR="0033734E" w:rsidRPr="00092DA3">
        <w:t xml:space="preserve"> Co needs to </w:t>
      </w:r>
      <w:r w:rsidR="00F37DF0" w:rsidRPr="00092DA3">
        <w:t>be able</w:t>
      </w:r>
      <w:r w:rsidR="004176CC" w:rsidRPr="00092DA3">
        <w:t xml:space="preserve"> to overbuild in the long term.</w:t>
      </w:r>
      <w:r w:rsidR="00E53A0E">
        <w:t xml:space="preserve"> </w:t>
      </w:r>
      <w:r w:rsidR="004176CC" w:rsidRPr="00092DA3">
        <w:t>But in many</w:t>
      </w:r>
      <w:r w:rsidR="00374E3A" w:rsidRPr="00092DA3">
        <w:t>,</w:t>
      </w:r>
      <w:r w:rsidR="004176CC" w:rsidRPr="00092DA3">
        <w:t xml:space="preserve"> if not most</w:t>
      </w:r>
      <w:r w:rsidR="00374E3A" w:rsidRPr="00092DA3">
        <w:t>,</w:t>
      </w:r>
      <w:r w:rsidR="004176CC" w:rsidRPr="00092DA3">
        <w:t xml:space="preserve"> </w:t>
      </w:r>
      <w:r w:rsidRPr="00092DA3">
        <w:t xml:space="preserve">instances it is likely </w:t>
      </w:r>
      <w:r w:rsidR="004176CC" w:rsidRPr="00092DA3">
        <w:t xml:space="preserve">NBN Co </w:t>
      </w:r>
      <w:r w:rsidRPr="00092DA3">
        <w:t xml:space="preserve">will be competing </w:t>
      </w:r>
      <w:r w:rsidR="001E5354" w:rsidRPr="00092DA3">
        <w:t>‘</w:t>
      </w:r>
      <w:r w:rsidRPr="00092DA3">
        <w:t>for the market</w:t>
      </w:r>
      <w:r w:rsidR="001E5354" w:rsidRPr="00092DA3">
        <w:t>’</w:t>
      </w:r>
      <w:r w:rsidRPr="00092DA3">
        <w:t xml:space="preserve">, but not necessarily </w:t>
      </w:r>
      <w:r w:rsidR="001E5354" w:rsidRPr="00092DA3">
        <w:t>‘</w:t>
      </w:r>
      <w:r w:rsidRPr="00092DA3">
        <w:t>in the market</w:t>
      </w:r>
      <w:r w:rsidR="001E5354" w:rsidRPr="00092DA3">
        <w:t xml:space="preserve">’ (i.e. it, like other </w:t>
      </w:r>
      <w:r w:rsidR="004176CC" w:rsidRPr="00092DA3">
        <w:t>providers</w:t>
      </w:r>
      <w:r w:rsidR="001E5354" w:rsidRPr="00092DA3">
        <w:t>, will compete to</w:t>
      </w:r>
      <w:r w:rsidR="004176CC" w:rsidRPr="00092DA3">
        <w:t xml:space="preserve"> be </w:t>
      </w:r>
      <w:r w:rsidR="001E5354" w:rsidRPr="00092DA3">
        <w:t xml:space="preserve">the </w:t>
      </w:r>
      <w:r w:rsidR="004176CC" w:rsidRPr="00092DA3">
        <w:t>initial</w:t>
      </w:r>
      <w:r w:rsidR="001E5354" w:rsidRPr="00092DA3">
        <w:t xml:space="preserve"> and </w:t>
      </w:r>
      <w:r w:rsidR="004176CC" w:rsidRPr="00092DA3">
        <w:t>only</w:t>
      </w:r>
      <w:r w:rsidR="001E5354" w:rsidRPr="00092DA3">
        <w:t xml:space="preserve"> provider, not </w:t>
      </w:r>
      <w:r w:rsidR="004176CC" w:rsidRPr="00092DA3">
        <w:t xml:space="preserve">to </w:t>
      </w:r>
      <w:r w:rsidR="001E5354" w:rsidRPr="00092DA3">
        <w:t xml:space="preserve">compete as </w:t>
      </w:r>
      <w:r w:rsidR="004176CC" w:rsidRPr="00092DA3">
        <w:t>a</w:t>
      </w:r>
      <w:r w:rsidR="001E5354" w:rsidRPr="00092DA3">
        <w:t xml:space="preserve"> subsequent provider)</w:t>
      </w:r>
      <w:r w:rsidRPr="00092DA3">
        <w:t>.</w:t>
      </w:r>
      <w:r w:rsidR="00E53A0E">
        <w:t xml:space="preserve"> </w:t>
      </w:r>
      <w:r w:rsidR="004176CC" w:rsidRPr="00092DA3">
        <w:t xml:space="preserve">This is particularly true during the period when the NBN is under construction, when it is the Government’s strong preference that NBN Co focus on its primary responsibility (ensuring </w:t>
      </w:r>
      <w:r w:rsidR="00F37DF0" w:rsidRPr="00092DA3">
        <w:t xml:space="preserve">national </w:t>
      </w:r>
      <w:r w:rsidR="004176CC" w:rsidRPr="00092DA3">
        <w:t>access to high speed broadband) before contemplating any overbuilding of existing networks.</w:t>
      </w:r>
    </w:p>
    <w:p w14:paraId="3278DB9F" w14:textId="26992F10" w:rsidR="009A07F7" w:rsidRPr="00092DA3" w:rsidRDefault="009A07F7" w:rsidP="009A07F7">
      <w:r w:rsidRPr="00092DA3">
        <w:t>The Government will no longer apply a formal ‘Adequately Served’ Policy</w:t>
      </w:r>
      <w:r w:rsidR="00374E3A" w:rsidRPr="00092DA3">
        <w:t>.</w:t>
      </w:r>
      <w:r w:rsidR="001E5354" w:rsidRPr="00092DA3">
        <w:rPr>
          <w:rStyle w:val="FootnoteReference"/>
        </w:rPr>
        <w:footnoteReference w:id="12"/>
      </w:r>
      <w:r w:rsidR="00E53A0E">
        <w:t xml:space="preserve"> </w:t>
      </w:r>
      <w:r w:rsidR="001E5354" w:rsidRPr="00092DA3">
        <w:t xml:space="preserve">However </w:t>
      </w:r>
      <w:r w:rsidRPr="00092DA3">
        <w:t xml:space="preserve">the </w:t>
      </w:r>
      <w:r w:rsidR="004176CC" w:rsidRPr="00092DA3">
        <w:t xml:space="preserve">new </w:t>
      </w:r>
      <w:r w:rsidRPr="00092DA3">
        <w:t xml:space="preserve">arrangements </w:t>
      </w:r>
      <w:r w:rsidR="001E5354" w:rsidRPr="00092DA3">
        <w:t xml:space="preserve">will </w:t>
      </w:r>
      <w:r w:rsidRPr="00092DA3">
        <w:t>provide a high level of certainty for industry participants</w:t>
      </w:r>
      <w:r w:rsidR="001E5354" w:rsidRPr="00092DA3">
        <w:t xml:space="preserve"> and will be largely ‘self-correcting’.</w:t>
      </w:r>
    </w:p>
    <w:p w14:paraId="618E2D3D" w14:textId="4760056A" w:rsidR="009A07F7" w:rsidRPr="00092DA3" w:rsidRDefault="009A07F7" w:rsidP="009A07F7">
      <w:r w:rsidRPr="00092DA3">
        <w:t>Wher</w:t>
      </w:r>
      <w:r w:rsidR="004176CC" w:rsidRPr="00092DA3">
        <w:t>ever</w:t>
      </w:r>
      <w:r w:rsidRPr="00092DA3">
        <w:t xml:space="preserve"> a network provides NBN-comparable services – including wholesale-only operation, open access, and fulfilment of the IPOLR role – there </w:t>
      </w:r>
      <w:r w:rsidR="004176CC" w:rsidRPr="00092DA3">
        <w:t xml:space="preserve">is no policy basis and little </w:t>
      </w:r>
      <w:r w:rsidRPr="00092DA3">
        <w:t xml:space="preserve">commercial </w:t>
      </w:r>
      <w:r w:rsidR="004176CC" w:rsidRPr="00092DA3">
        <w:t xml:space="preserve">reason for </w:t>
      </w:r>
      <w:r w:rsidRPr="00092DA3">
        <w:t>NBN Co to overbuild.</w:t>
      </w:r>
      <w:r w:rsidR="00E53A0E">
        <w:t xml:space="preserve"> </w:t>
      </w:r>
      <w:r w:rsidRPr="00092DA3">
        <w:t xml:space="preserve">This describes networks such as those operated by </w:t>
      </w:r>
      <w:proofErr w:type="spellStart"/>
      <w:r w:rsidRPr="00092DA3">
        <w:t>Opti</w:t>
      </w:r>
      <w:r w:rsidR="00B321DC">
        <w:t>C</w:t>
      </w:r>
      <w:r w:rsidRPr="00092DA3">
        <w:t>omm</w:t>
      </w:r>
      <w:proofErr w:type="spellEnd"/>
      <w:r w:rsidRPr="00092DA3">
        <w:t xml:space="preserve"> or </w:t>
      </w:r>
      <w:proofErr w:type="spellStart"/>
      <w:r w:rsidRPr="00092DA3">
        <w:t>Pivit</w:t>
      </w:r>
      <w:proofErr w:type="spellEnd"/>
      <w:r w:rsidRPr="00092DA3">
        <w:t xml:space="preserve"> that currently have ‘adequately served’ status, and </w:t>
      </w:r>
      <w:r w:rsidR="00374E3A" w:rsidRPr="00092DA3">
        <w:t>they</w:t>
      </w:r>
      <w:r w:rsidR="004176CC" w:rsidRPr="00092DA3">
        <w:t xml:space="preserve"> will continue to </w:t>
      </w:r>
      <w:r w:rsidR="00374E3A" w:rsidRPr="00092DA3">
        <w:t xml:space="preserve">be </w:t>
      </w:r>
      <w:r w:rsidR="004176CC" w:rsidRPr="00092DA3">
        <w:t>describe</w:t>
      </w:r>
      <w:r w:rsidR="00374E3A" w:rsidRPr="00092DA3">
        <w:t>d</w:t>
      </w:r>
      <w:r w:rsidR="004176CC" w:rsidRPr="00092DA3">
        <w:t xml:space="preserve"> </w:t>
      </w:r>
      <w:r w:rsidR="00374E3A" w:rsidRPr="00092DA3">
        <w:t xml:space="preserve">as such </w:t>
      </w:r>
      <w:r w:rsidRPr="00092DA3">
        <w:t>provided the</w:t>
      </w:r>
      <w:r w:rsidR="00374E3A" w:rsidRPr="00092DA3">
        <w:t xml:space="preserve"> networks</w:t>
      </w:r>
      <w:r w:rsidRPr="00092DA3">
        <w:t xml:space="preserve"> </w:t>
      </w:r>
      <w:r w:rsidR="004176CC" w:rsidRPr="00092DA3">
        <w:t xml:space="preserve">are upgraded over time and </w:t>
      </w:r>
      <w:r w:rsidRPr="00092DA3">
        <w:t>continue to meet the conditions under which that status was granted.</w:t>
      </w:r>
      <w:r w:rsidR="00E53A0E">
        <w:t xml:space="preserve"> </w:t>
      </w:r>
      <w:r w:rsidR="001E5354" w:rsidRPr="00092DA3">
        <w:t xml:space="preserve">It also describes </w:t>
      </w:r>
      <w:r w:rsidR="004176CC" w:rsidRPr="00092DA3">
        <w:t>prospective</w:t>
      </w:r>
      <w:r w:rsidR="001E5354" w:rsidRPr="00092DA3">
        <w:t xml:space="preserve"> networks that meet </w:t>
      </w:r>
      <w:r w:rsidR="00F37DF0" w:rsidRPr="00092DA3">
        <w:t xml:space="preserve">specified </w:t>
      </w:r>
      <w:r w:rsidR="001E5354" w:rsidRPr="00092DA3">
        <w:t xml:space="preserve">standards – and this will be underpinned by the carrier licence conditions </w:t>
      </w:r>
      <w:r w:rsidR="00F37DF0" w:rsidRPr="00092DA3">
        <w:t xml:space="preserve">to be </w:t>
      </w:r>
      <w:r w:rsidR="001E5354" w:rsidRPr="00092DA3">
        <w:t xml:space="preserve">put in place to safeguard minimum performance. </w:t>
      </w:r>
    </w:p>
    <w:p w14:paraId="266A6C21" w14:textId="5B66E0CA" w:rsidR="009A07F7" w:rsidRPr="00092DA3" w:rsidRDefault="001E5354" w:rsidP="009A07F7">
      <w:r w:rsidRPr="00092DA3">
        <w:t>Under th</w:t>
      </w:r>
      <w:r w:rsidR="003D6F45" w:rsidRPr="00092DA3">
        <w:t xml:space="preserve">e new </w:t>
      </w:r>
      <w:r w:rsidRPr="00092DA3">
        <w:t>policy</w:t>
      </w:r>
      <w:r w:rsidR="003D6F45" w:rsidRPr="00092DA3">
        <w:t xml:space="preserve">, </w:t>
      </w:r>
      <w:r w:rsidR="009A07F7" w:rsidRPr="00092DA3">
        <w:t>NBN Co</w:t>
      </w:r>
      <w:r w:rsidRPr="00092DA3">
        <w:t xml:space="preserve"> must</w:t>
      </w:r>
      <w:r w:rsidR="009A07F7" w:rsidRPr="00092DA3">
        <w:t xml:space="preserve"> advise Shareholder Ministers </w:t>
      </w:r>
      <w:r w:rsidR="003D6F45" w:rsidRPr="00092DA3">
        <w:t xml:space="preserve">in advance of construction if </w:t>
      </w:r>
      <w:r w:rsidR="009A07F7" w:rsidRPr="00092DA3">
        <w:t xml:space="preserve">it considers there is a commercial case to </w:t>
      </w:r>
      <w:r w:rsidR="003D6F45" w:rsidRPr="00092DA3">
        <w:t xml:space="preserve">materially </w:t>
      </w:r>
      <w:r w:rsidR="009A07F7" w:rsidRPr="00092DA3">
        <w:t>overbuild a</w:t>
      </w:r>
      <w:r w:rsidR="003D6F45" w:rsidRPr="00092DA3">
        <w:t>n existing</w:t>
      </w:r>
      <w:r w:rsidR="009A07F7" w:rsidRPr="00092DA3">
        <w:t xml:space="preserve"> network providing NBN-comparable outcomes.</w:t>
      </w:r>
      <w:r w:rsidR="00E53A0E">
        <w:t xml:space="preserve"> </w:t>
      </w:r>
      <w:r w:rsidR="00374E3A" w:rsidRPr="00092DA3">
        <w:t>This will be reflected in the next Statement of Expectations.</w:t>
      </w:r>
      <w:r w:rsidR="00E53A0E">
        <w:t xml:space="preserve"> </w:t>
      </w:r>
      <w:r w:rsidR="009A07F7" w:rsidRPr="00092DA3">
        <w:t xml:space="preserve">Shareholder Ministers will </w:t>
      </w:r>
      <w:r w:rsidR="003D6F45" w:rsidRPr="00092DA3">
        <w:t xml:space="preserve">carefully </w:t>
      </w:r>
      <w:r w:rsidR="009A07F7" w:rsidRPr="00092DA3">
        <w:t xml:space="preserve">scrutinise any </w:t>
      </w:r>
      <w:r w:rsidR="003D6F45" w:rsidRPr="00092DA3">
        <w:t xml:space="preserve">such case, given the </w:t>
      </w:r>
      <w:r w:rsidR="00F37DF0" w:rsidRPr="00092DA3">
        <w:t xml:space="preserve">cost </w:t>
      </w:r>
      <w:r w:rsidR="003D6F45" w:rsidRPr="00092DA3">
        <w:t xml:space="preserve">inherent in undertaking </w:t>
      </w:r>
      <w:r w:rsidR="009A07F7" w:rsidRPr="00092DA3">
        <w:t>capital expenditure in areas that</w:t>
      </w:r>
      <w:r w:rsidR="00374E3A" w:rsidRPr="00092DA3">
        <w:t xml:space="preserve"> already</w:t>
      </w:r>
      <w:r w:rsidR="009A07F7" w:rsidRPr="00092DA3">
        <w:t xml:space="preserve"> have high </w:t>
      </w:r>
      <w:r w:rsidR="003D6F45" w:rsidRPr="00092DA3">
        <w:t xml:space="preserve">speed </w:t>
      </w:r>
      <w:r w:rsidR="009A07F7" w:rsidRPr="00092DA3">
        <w:t>broadband.</w:t>
      </w:r>
      <w:r w:rsidR="00E53A0E">
        <w:t xml:space="preserve"> </w:t>
      </w:r>
      <w:r w:rsidR="003D6F45" w:rsidRPr="00092DA3">
        <w:t>Such a commercial case</w:t>
      </w:r>
      <w:r w:rsidRPr="00092DA3">
        <w:t xml:space="preserve"> will need to be approved by Shareholder Minister</w:t>
      </w:r>
      <w:r w:rsidR="003D6F45" w:rsidRPr="00092DA3">
        <w:t>s (or be shown to adhere to</w:t>
      </w:r>
      <w:r w:rsidRPr="00092DA3">
        <w:t xml:space="preserve"> </w:t>
      </w:r>
      <w:r w:rsidR="003D6F45" w:rsidRPr="00092DA3">
        <w:t xml:space="preserve">a set of </w:t>
      </w:r>
      <w:r w:rsidRPr="00092DA3">
        <w:t>strict</w:t>
      </w:r>
      <w:r w:rsidR="003D6F45" w:rsidRPr="00092DA3">
        <w:t>ly</w:t>
      </w:r>
      <w:r w:rsidRPr="00092DA3">
        <w:t xml:space="preserve"> </w:t>
      </w:r>
      <w:r w:rsidR="003D6F45" w:rsidRPr="00092DA3">
        <w:t>defined conditions that</w:t>
      </w:r>
      <w:r w:rsidR="00374E3A" w:rsidRPr="00092DA3">
        <w:t xml:space="preserve"> Shareholder</w:t>
      </w:r>
      <w:r w:rsidR="003D6F45" w:rsidRPr="00092DA3">
        <w:t xml:space="preserve"> Ministers determine should be used to judge such requests) </w:t>
      </w:r>
      <w:r w:rsidRPr="00092DA3">
        <w:t xml:space="preserve">before </w:t>
      </w:r>
      <w:r w:rsidR="003D6F45" w:rsidRPr="00092DA3">
        <w:t>NBN Co</w:t>
      </w:r>
      <w:r w:rsidRPr="00092DA3">
        <w:t xml:space="preserve"> can proceed.</w:t>
      </w:r>
    </w:p>
    <w:p w14:paraId="5BC30833" w14:textId="6FF6A378" w:rsidR="009A07F7" w:rsidRPr="00092DA3" w:rsidRDefault="009A07F7" w:rsidP="009A07F7">
      <w:r w:rsidRPr="00092DA3">
        <w:t xml:space="preserve">If </w:t>
      </w:r>
      <w:r w:rsidR="003D6F45" w:rsidRPr="00092DA3">
        <w:t xml:space="preserve">existing </w:t>
      </w:r>
      <w:r w:rsidRPr="00092DA3">
        <w:t xml:space="preserve">networks in new developments do not provide </w:t>
      </w:r>
      <w:r w:rsidR="003D6F45" w:rsidRPr="00092DA3">
        <w:t xml:space="preserve">broadly </w:t>
      </w:r>
      <w:r w:rsidRPr="00092DA3">
        <w:t>NBN-consistent outcomes, NBN Co may overbuild them.</w:t>
      </w:r>
      <w:r w:rsidR="00E53A0E">
        <w:t xml:space="preserve"> </w:t>
      </w:r>
      <w:r w:rsidRPr="00092DA3">
        <w:t xml:space="preserve">This provides alternative network </w:t>
      </w:r>
      <w:r w:rsidR="00374E3A" w:rsidRPr="00092DA3">
        <w:t xml:space="preserve">providers </w:t>
      </w:r>
      <w:r w:rsidRPr="00092DA3">
        <w:t>with a</w:t>
      </w:r>
      <w:r w:rsidR="003B1D0C" w:rsidRPr="00092DA3">
        <w:t xml:space="preserve"> strong</w:t>
      </w:r>
      <w:r w:rsidRPr="00092DA3">
        <w:t xml:space="preserve"> incentive to deliver solutions that match or exceed those available on the NBN.</w:t>
      </w:r>
      <w:r w:rsidR="00E53A0E">
        <w:t xml:space="preserve"> </w:t>
      </w:r>
      <w:r w:rsidRPr="00092DA3">
        <w:t>This includes future upgrades.</w:t>
      </w:r>
      <w:r w:rsidR="00E53A0E">
        <w:t xml:space="preserve"> </w:t>
      </w:r>
      <w:r w:rsidRPr="00092DA3">
        <w:t xml:space="preserve">For example, if a future review of broadband standards decides NBN </w:t>
      </w:r>
      <w:proofErr w:type="spellStart"/>
      <w:r w:rsidRPr="00092DA3">
        <w:t>Co</w:t>
      </w:r>
      <w:r w:rsidR="001B0A34" w:rsidRPr="00092DA3">
        <w:t>’s</w:t>
      </w:r>
      <w:proofErr w:type="spellEnd"/>
      <w:r w:rsidR="001B0A34" w:rsidRPr="00092DA3">
        <w:t xml:space="preserve"> fixed </w:t>
      </w:r>
      <w:r w:rsidR="00374E3A" w:rsidRPr="00092DA3">
        <w:t xml:space="preserve">line </w:t>
      </w:r>
      <w:r w:rsidRPr="00092DA3">
        <w:t xml:space="preserve">networks should offer a higher level of minimum performance, the Government expects alternative networks would </w:t>
      </w:r>
      <w:r w:rsidR="001B0A34" w:rsidRPr="00092DA3">
        <w:t xml:space="preserve">also </w:t>
      </w:r>
      <w:r w:rsidRPr="00092DA3">
        <w:t>be upgraded as necessary to meet community expectations.</w:t>
      </w:r>
      <w:r w:rsidR="00E53A0E">
        <w:t xml:space="preserve"> </w:t>
      </w:r>
      <w:r w:rsidRPr="00092DA3">
        <w:t xml:space="preserve">If not, NBN Co </w:t>
      </w:r>
      <w:r w:rsidR="001B0A34" w:rsidRPr="00092DA3">
        <w:t>c</w:t>
      </w:r>
      <w:r w:rsidRPr="00092DA3">
        <w:t>ould consider whether to overbuild.</w:t>
      </w:r>
    </w:p>
    <w:p w14:paraId="641E810A" w14:textId="61A258FC" w:rsidR="009A07F7" w:rsidRPr="00092DA3" w:rsidRDefault="009A07F7" w:rsidP="009A07F7">
      <w:r w:rsidRPr="00092DA3">
        <w:t xml:space="preserve">These overbuild </w:t>
      </w:r>
      <w:r w:rsidR="001B0A34" w:rsidRPr="00092DA3">
        <w:t xml:space="preserve">restrictions </w:t>
      </w:r>
      <w:r w:rsidRPr="00092DA3">
        <w:t>will be reviewed by the Productivity Commission as part of its pre-privatisation review of NBN Co after the NBN is completed.</w:t>
      </w:r>
    </w:p>
    <w:p w14:paraId="014947C9" w14:textId="77777777" w:rsidR="009A07F7" w:rsidRPr="00092DA3" w:rsidRDefault="009A07F7" w:rsidP="009A07F7">
      <w:pPr>
        <w:pStyle w:val="Heading3"/>
        <w:spacing w:after="200"/>
      </w:pPr>
      <w:bookmarkStart w:id="67" w:name="_Toc416175172"/>
      <w:bookmarkStart w:id="68" w:name="_Toc60751280"/>
      <w:r w:rsidRPr="00092DA3">
        <w:t>Infrastructure provider of last resort</w:t>
      </w:r>
      <w:bookmarkEnd w:id="67"/>
      <w:bookmarkEnd w:id="68"/>
    </w:p>
    <w:p w14:paraId="735393C0" w14:textId="61A8ACE5" w:rsidR="009A07F7" w:rsidRPr="00092DA3" w:rsidRDefault="009A07F7" w:rsidP="009A07F7">
      <w:r w:rsidRPr="00092DA3">
        <w:t>A non-NBN or non-Telstra network operator servicing a development will take on the role of primary IPOLR and be responsible for all premises within the footprint it has been contracted by the developer to service</w:t>
      </w:r>
      <w:r w:rsidR="003B1D0C" w:rsidRPr="00092DA3">
        <w:t>.</w:t>
      </w:r>
      <w:r w:rsidR="00E53A0E">
        <w:t xml:space="preserve"> </w:t>
      </w:r>
      <w:r w:rsidR="00FF3C90" w:rsidRPr="00092DA3">
        <w:t xml:space="preserve">This will be a condition of the </w:t>
      </w:r>
      <w:r w:rsidR="00325823">
        <w:t xml:space="preserve">proposed </w:t>
      </w:r>
      <w:r w:rsidR="00FF3C90" w:rsidRPr="00092DA3">
        <w:t>carrier licence condition</w:t>
      </w:r>
      <w:r w:rsidR="00325823">
        <w:t>s</w:t>
      </w:r>
      <w:r w:rsidR="00FF3C90" w:rsidRPr="00092DA3">
        <w:t xml:space="preserve"> to be put in place for carriers servicing new developments.</w:t>
      </w:r>
      <w:r w:rsidR="00E53A0E">
        <w:t xml:space="preserve"> </w:t>
      </w:r>
      <w:r w:rsidR="003B1D0C" w:rsidRPr="00092DA3">
        <w:t xml:space="preserve">NBN Co and Telstra will have IPOLR </w:t>
      </w:r>
      <w:r w:rsidR="00FF051F" w:rsidRPr="00092DA3">
        <w:t>obligations</w:t>
      </w:r>
      <w:r w:rsidR="003B1D0C" w:rsidRPr="00092DA3">
        <w:t xml:space="preserve"> outside these areas as described below.</w:t>
      </w:r>
      <w:r w:rsidR="00E53A0E">
        <w:t xml:space="preserve"> </w:t>
      </w:r>
      <w:r w:rsidR="003B1D0C" w:rsidRPr="00092DA3">
        <w:t xml:space="preserve">It will be open to other IPOLRs to compete to </w:t>
      </w:r>
      <w:r w:rsidR="00FF051F" w:rsidRPr="00092DA3">
        <w:t>service</w:t>
      </w:r>
      <w:r w:rsidR="003B1D0C" w:rsidRPr="00092DA3">
        <w:t xml:space="preserve"> adjacent development </w:t>
      </w:r>
      <w:r w:rsidR="00FF051F" w:rsidRPr="00092DA3">
        <w:t>and</w:t>
      </w:r>
      <w:r w:rsidR="003B1D0C" w:rsidRPr="00092DA3">
        <w:t xml:space="preserve"> for </w:t>
      </w:r>
      <w:r w:rsidR="00FF051F" w:rsidRPr="00092DA3">
        <w:t>developers</w:t>
      </w:r>
      <w:r w:rsidR="003B1D0C" w:rsidRPr="00092DA3">
        <w:t xml:space="preserve"> to contract them.</w:t>
      </w:r>
      <w:r w:rsidR="00E53A0E">
        <w:t xml:space="preserve"> </w:t>
      </w:r>
      <w:r w:rsidR="003B1D0C" w:rsidRPr="00092DA3">
        <w:t>Their presence in an area would be expected to give them a competitive advantage over IPOLRs wh</w:t>
      </w:r>
      <w:r w:rsidR="00374E3A" w:rsidRPr="00092DA3">
        <w:t>ich</w:t>
      </w:r>
      <w:r w:rsidR="003B1D0C" w:rsidRPr="00092DA3">
        <w:t xml:space="preserve"> </w:t>
      </w:r>
      <w:r w:rsidR="00374E3A" w:rsidRPr="00092DA3">
        <w:t xml:space="preserve">are </w:t>
      </w:r>
      <w:r w:rsidR="003B1D0C" w:rsidRPr="00092DA3">
        <w:t>not present in an area</w:t>
      </w:r>
      <w:r w:rsidR="00C000BE" w:rsidRPr="00092DA3">
        <w:t>.</w:t>
      </w:r>
      <w:r w:rsidRPr="00092DA3">
        <w:t xml:space="preserve"> </w:t>
      </w:r>
    </w:p>
    <w:p w14:paraId="6858339F" w14:textId="77777777" w:rsidR="009A07F7" w:rsidRPr="00092DA3" w:rsidRDefault="009A07F7" w:rsidP="009A07F7">
      <w:pPr>
        <w:pStyle w:val="Heading3"/>
        <w:spacing w:after="200"/>
      </w:pPr>
      <w:bookmarkStart w:id="69" w:name="_Toc416175173"/>
      <w:bookmarkStart w:id="70" w:name="_Toc60751281"/>
      <w:r w:rsidRPr="00092DA3">
        <w:t>Geo-spatial information</w:t>
      </w:r>
      <w:bookmarkEnd w:id="69"/>
      <w:bookmarkEnd w:id="70"/>
    </w:p>
    <w:p w14:paraId="1AC13E58" w14:textId="3E4DF02D" w:rsidR="009A07F7" w:rsidRPr="00092DA3" w:rsidRDefault="009A07F7" w:rsidP="009A07F7">
      <w:r w:rsidRPr="00092DA3">
        <w:t xml:space="preserve">Carriers </w:t>
      </w:r>
      <w:r w:rsidR="00FF051F" w:rsidRPr="00092DA3">
        <w:t xml:space="preserve">will </w:t>
      </w:r>
      <w:r w:rsidRPr="00092DA3">
        <w:t xml:space="preserve">be required </w:t>
      </w:r>
      <w:r w:rsidR="00F37DF0" w:rsidRPr="00092DA3">
        <w:t xml:space="preserve">by </w:t>
      </w:r>
      <w:r w:rsidRPr="00092DA3">
        <w:t>the carrier licence condition</w:t>
      </w:r>
      <w:r w:rsidR="00F37DF0" w:rsidRPr="00092DA3">
        <w:t>s</w:t>
      </w:r>
      <w:r w:rsidRPr="00092DA3">
        <w:t xml:space="preserve"> to lodge </w:t>
      </w:r>
      <w:r w:rsidR="006F45AD" w:rsidRPr="00092DA3">
        <w:t xml:space="preserve">on an ongoing basis </w:t>
      </w:r>
      <w:r w:rsidR="00FF051F" w:rsidRPr="00092DA3">
        <w:t xml:space="preserve">standardised </w:t>
      </w:r>
      <w:r w:rsidRPr="00092DA3">
        <w:t xml:space="preserve">geo-spatial information on </w:t>
      </w:r>
      <w:r w:rsidR="001B0A34" w:rsidRPr="00092DA3">
        <w:t xml:space="preserve">the location and boundaries of new </w:t>
      </w:r>
      <w:r w:rsidR="00FF051F" w:rsidRPr="00092DA3">
        <w:t xml:space="preserve">developments </w:t>
      </w:r>
      <w:r w:rsidR="00AB3772" w:rsidRPr="00092DA3">
        <w:t xml:space="preserve">that they bring into service on and from 1 March 2015 and contract to service from that date. </w:t>
      </w:r>
      <w:r w:rsidR="006F45AD" w:rsidRPr="00092DA3">
        <w:t>Carriers will also be encouraged to provide information of earlier developments they service, but this will be a matter for them.</w:t>
      </w:r>
      <w:r w:rsidR="00E53A0E">
        <w:t xml:space="preserve"> </w:t>
      </w:r>
      <w:r w:rsidR="00374E3A" w:rsidRPr="00092DA3">
        <w:t>This will</w:t>
      </w:r>
      <w:r w:rsidR="00FF051F" w:rsidRPr="00092DA3">
        <w:t xml:space="preserve"> enable</w:t>
      </w:r>
      <w:r w:rsidR="001B0A34" w:rsidRPr="00092DA3">
        <w:t xml:space="preserve"> </w:t>
      </w:r>
      <w:r w:rsidRPr="00092DA3">
        <w:t>the Department of Communications</w:t>
      </w:r>
      <w:r w:rsidR="006F45AD" w:rsidRPr="00092DA3">
        <w:t xml:space="preserve"> to maintain an accurate, up-to-date online map of new developments and the carriers servicing them</w:t>
      </w:r>
      <w:r w:rsidRPr="00092DA3">
        <w:t>.</w:t>
      </w:r>
      <w:r w:rsidR="00E53A0E">
        <w:t xml:space="preserve"> </w:t>
      </w:r>
      <w:r w:rsidR="000E744C" w:rsidRPr="00092DA3">
        <w:t>Th</w:t>
      </w:r>
      <w:r w:rsidR="001B0A34" w:rsidRPr="00092DA3">
        <w:t xml:space="preserve">e specified </w:t>
      </w:r>
      <w:r w:rsidR="000E744C" w:rsidRPr="00092DA3">
        <w:t>information</w:t>
      </w:r>
      <w:r w:rsidR="001B0A34" w:rsidRPr="00092DA3">
        <w:t xml:space="preserve"> to be lodged</w:t>
      </w:r>
      <w:r w:rsidR="000E744C" w:rsidRPr="00092DA3">
        <w:t xml:space="preserve"> </w:t>
      </w:r>
      <w:r w:rsidR="00FF051F" w:rsidRPr="00092DA3">
        <w:t>will</w:t>
      </w:r>
      <w:r w:rsidR="000E744C" w:rsidRPr="00092DA3">
        <w:t xml:space="preserve"> include the name and boundaries of the estate</w:t>
      </w:r>
      <w:r w:rsidR="001B0A34" w:rsidRPr="00092DA3">
        <w:t xml:space="preserve">, </w:t>
      </w:r>
      <w:r w:rsidR="00FF051F" w:rsidRPr="00092DA3">
        <w:t>the carrier servicing it</w:t>
      </w:r>
      <w:r w:rsidR="001B0A34" w:rsidRPr="00092DA3">
        <w:t xml:space="preserve">, and the </w:t>
      </w:r>
      <w:r w:rsidR="006F45AD" w:rsidRPr="00092DA3">
        <w:t xml:space="preserve">type of </w:t>
      </w:r>
      <w:r w:rsidR="001B0A34" w:rsidRPr="00092DA3">
        <w:t xml:space="preserve">network </w:t>
      </w:r>
      <w:r w:rsidR="006F45AD" w:rsidRPr="00092DA3">
        <w:t xml:space="preserve">installed. </w:t>
      </w:r>
      <w:r w:rsidRPr="00092DA3">
        <w:t>This will</w:t>
      </w:r>
      <w:r w:rsidR="001B0A34" w:rsidRPr="00092DA3">
        <w:t xml:space="preserve"> assist</w:t>
      </w:r>
      <w:r w:rsidRPr="00092DA3">
        <w:t xml:space="preserve"> carriers </w:t>
      </w:r>
      <w:r w:rsidR="001B0A34" w:rsidRPr="00092DA3">
        <w:t xml:space="preserve">to better </w:t>
      </w:r>
      <w:r w:rsidRPr="00092DA3">
        <w:t>co-ordinate provision of infrastructure</w:t>
      </w:r>
      <w:r w:rsidR="001B0A34" w:rsidRPr="00092DA3">
        <w:t>;</w:t>
      </w:r>
      <w:r w:rsidRPr="00092DA3">
        <w:t xml:space="preserve"> </w:t>
      </w:r>
      <w:r w:rsidR="001B0A34" w:rsidRPr="00092DA3">
        <w:t xml:space="preserve">allow </w:t>
      </w:r>
      <w:r w:rsidRPr="00092DA3">
        <w:t xml:space="preserve">developers </w:t>
      </w:r>
      <w:r w:rsidR="001B0A34" w:rsidRPr="00092DA3">
        <w:t xml:space="preserve">to </w:t>
      </w:r>
      <w:r w:rsidRPr="00092DA3">
        <w:t>locate carriers</w:t>
      </w:r>
      <w:r w:rsidR="001B0A34" w:rsidRPr="00092DA3">
        <w:t xml:space="preserve"> operating nearby networks; </w:t>
      </w:r>
      <w:r w:rsidR="006F45AD" w:rsidRPr="00092DA3">
        <w:t xml:space="preserve">enable </w:t>
      </w:r>
      <w:r w:rsidRPr="00092DA3">
        <w:t xml:space="preserve">consumers to check who </w:t>
      </w:r>
      <w:r w:rsidR="006F45AD" w:rsidRPr="00092DA3">
        <w:t xml:space="preserve">can </w:t>
      </w:r>
      <w:r w:rsidR="00325823">
        <w:t>connect</w:t>
      </w:r>
      <w:r w:rsidR="001B0A34" w:rsidRPr="00092DA3">
        <w:t xml:space="preserve"> </w:t>
      </w:r>
      <w:r w:rsidRPr="00092DA3">
        <w:t xml:space="preserve">their </w:t>
      </w:r>
      <w:r w:rsidR="00B87D78" w:rsidRPr="00092DA3">
        <w:t>premises</w:t>
      </w:r>
      <w:r w:rsidR="001B0A34" w:rsidRPr="00092DA3">
        <w:t>;</w:t>
      </w:r>
      <w:r w:rsidRPr="00092DA3">
        <w:t xml:space="preserve"> and </w:t>
      </w:r>
      <w:r w:rsidR="001B0A34" w:rsidRPr="00092DA3">
        <w:t>allow</w:t>
      </w:r>
      <w:r w:rsidRPr="00092DA3">
        <w:t xml:space="preserve"> governments </w:t>
      </w:r>
      <w:r w:rsidR="001B0A34" w:rsidRPr="00092DA3">
        <w:t xml:space="preserve">to verify that </w:t>
      </w:r>
      <w:r w:rsidRPr="00092DA3">
        <w:t>infrastructure</w:t>
      </w:r>
      <w:r w:rsidR="001B0A34" w:rsidRPr="00092DA3">
        <w:t xml:space="preserve"> has been provided</w:t>
      </w:r>
      <w:r w:rsidRPr="00092DA3">
        <w:t>.</w:t>
      </w:r>
      <w:r w:rsidR="00FF051F" w:rsidRPr="00092DA3">
        <w:t xml:space="preserve"> The intention is</w:t>
      </w:r>
      <w:r w:rsidR="001B0A34" w:rsidRPr="00092DA3">
        <w:t xml:space="preserve"> that </w:t>
      </w:r>
      <w:r w:rsidR="00FF051F" w:rsidRPr="00092DA3">
        <w:t xml:space="preserve">this data be open source </w:t>
      </w:r>
      <w:r w:rsidR="001B0A34" w:rsidRPr="00092DA3">
        <w:t>and widely useable.</w:t>
      </w:r>
      <w:r w:rsidR="00D421B8">
        <w:t xml:space="preserve"> As part of the development of the online map, the Government will consider a </w:t>
      </w:r>
      <w:r w:rsidR="00C0124A">
        <w:t xml:space="preserve">size </w:t>
      </w:r>
      <w:r w:rsidR="00D421B8">
        <w:t>threshold at which new developments would be captured by the map.</w:t>
      </w:r>
    </w:p>
    <w:p w14:paraId="028178CF" w14:textId="77777777" w:rsidR="009A07F7" w:rsidRPr="00092DA3" w:rsidRDefault="009A07F7" w:rsidP="009A07F7">
      <w:pPr>
        <w:pStyle w:val="Heading3"/>
        <w:spacing w:after="200"/>
      </w:pPr>
      <w:bookmarkStart w:id="71" w:name="_Toc416175174"/>
      <w:bookmarkStart w:id="72" w:name="_Toc60751282"/>
      <w:r w:rsidRPr="00092DA3">
        <w:t>Step-in arrangements</w:t>
      </w:r>
      <w:bookmarkEnd w:id="71"/>
      <w:bookmarkEnd w:id="72"/>
    </w:p>
    <w:p w14:paraId="3C045193" w14:textId="21803AEA" w:rsidR="00434FC8" w:rsidRPr="00092DA3" w:rsidRDefault="009A07F7" w:rsidP="009A07F7">
      <w:r w:rsidRPr="00092DA3">
        <w:t xml:space="preserve">In the event that a non-NBN provider is at risk of failing, in a competitive market </w:t>
      </w:r>
      <w:r w:rsidR="00104DFA" w:rsidRPr="00092DA3">
        <w:t xml:space="preserve">it is open to </w:t>
      </w:r>
      <w:r w:rsidRPr="00092DA3">
        <w:t>other providers including NBN Co</w:t>
      </w:r>
      <w:r w:rsidR="00104DFA" w:rsidRPr="00092DA3">
        <w:t xml:space="preserve"> to</w:t>
      </w:r>
      <w:r w:rsidRPr="00092DA3">
        <w:t xml:space="preserve"> acquire the business on a commercial basis, subject to compliance with relevant rules (e.g. wholesale-only</w:t>
      </w:r>
      <w:r w:rsidR="00104DFA" w:rsidRPr="00092DA3">
        <w:t xml:space="preserve"> operation</w:t>
      </w:r>
      <w:r w:rsidR="00B87D78" w:rsidRPr="00092DA3">
        <w:t>; generic merger and acquisition laws</w:t>
      </w:r>
      <w:r w:rsidRPr="00092DA3">
        <w:t>).</w:t>
      </w:r>
      <w:r w:rsidR="00E53A0E">
        <w:t xml:space="preserve"> </w:t>
      </w:r>
      <w:r w:rsidRPr="00092DA3">
        <w:t>Providers can also enter into commercial arrangements in advance to deal with such eventualities.</w:t>
      </w:r>
      <w:r w:rsidR="00E53A0E">
        <w:t xml:space="preserve"> </w:t>
      </w:r>
      <w:r w:rsidR="00B87D78" w:rsidRPr="00092DA3">
        <w:t xml:space="preserve">Ultimately NBN Co and Telstra </w:t>
      </w:r>
      <w:r w:rsidR="006D7EE4">
        <w:t>have</w:t>
      </w:r>
      <w:r w:rsidR="006D7EE4" w:rsidRPr="00092DA3">
        <w:t xml:space="preserve"> </w:t>
      </w:r>
      <w:r w:rsidR="00B87D78" w:rsidRPr="00092DA3">
        <w:t>provider of last resort responsibilities.</w:t>
      </w:r>
      <w:r w:rsidR="00E53A0E">
        <w:t xml:space="preserve"> </w:t>
      </w:r>
      <w:r w:rsidR="00B87D78" w:rsidRPr="00092DA3">
        <w:t xml:space="preserve">This </w:t>
      </w:r>
      <w:r w:rsidR="00045E43">
        <w:t>ensures continuity of service.</w:t>
      </w:r>
    </w:p>
    <w:p w14:paraId="0CBA4CF9" w14:textId="50B808BA" w:rsidR="009A07F7" w:rsidRPr="00092DA3" w:rsidRDefault="00FF051F" w:rsidP="009A07F7">
      <w:r w:rsidRPr="00092DA3">
        <w:t>The continuity of pre-existing services will be a commercial matter for any carrier that takes over a pre-existing operation.</w:t>
      </w:r>
      <w:r w:rsidR="00E53A0E">
        <w:t xml:space="preserve"> </w:t>
      </w:r>
      <w:r w:rsidRPr="00092DA3">
        <w:t>This includes IPOLRs, wh</w:t>
      </w:r>
      <w:r w:rsidR="00374E3A" w:rsidRPr="00092DA3">
        <w:t>ich</w:t>
      </w:r>
      <w:r w:rsidR="00434FC8" w:rsidRPr="00092DA3">
        <w:t>,</w:t>
      </w:r>
      <w:r w:rsidRPr="00092DA3">
        <w:t xml:space="preserve"> while encouraged to innovate </w:t>
      </w:r>
      <w:r w:rsidR="00CC4AC2" w:rsidRPr="00092DA3">
        <w:t xml:space="preserve">and </w:t>
      </w:r>
      <w:r w:rsidR="00B87D78" w:rsidRPr="00092DA3">
        <w:t xml:space="preserve">support </w:t>
      </w:r>
      <w:r w:rsidR="00CC4AC2" w:rsidRPr="00092DA3">
        <w:t xml:space="preserve">value-added services, </w:t>
      </w:r>
      <w:r w:rsidRPr="00092DA3">
        <w:t xml:space="preserve">ultimately need </w:t>
      </w:r>
      <w:r w:rsidR="00104DFA" w:rsidRPr="00092DA3">
        <w:t xml:space="preserve">only </w:t>
      </w:r>
      <w:r w:rsidRPr="00092DA3">
        <w:t xml:space="preserve">provide minimum </w:t>
      </w:r>
      <w:r w:rsidR="00104DFA" w:rsidRPr="00092DA3">
        <w:t>requirement</w:t>
      </w:r>
      <w:r w:rsidR="00B87D78" w:rsidRPr="00092DA3">
        <w:t xml:space="preserve">s, such as, in the case of NBN Co, </w:t>
      </w:r>
      <w:r w:rsidR="00104DFA" w:rsidRPr="00092DA3">
        <w:t xml:space="preserve">a </w:t>
      </w:r>
      <w:r w:rsidR="00CC4AC2" w:rsidRPr="00092DA3">
        <w:t xml:space="preserve">Layer 2 </w:t>
      </w:r>
      <w:proofErr w:type="spellStart"/>
      <w:r w:rsidR="00CC4AC2" w:rsidRPr="00092DA3">
        <w:t>bitstream</w:t>
      </w:r>
      <w:proofErr w:type="spellEnd"/>
      <w:r w:rsidR="00CC4AC2" w:rsidRPr="00092DA3">
        <w:t xml:space="preserve"> service. Th</w:t>
      </w:r>
      <w:r w:rsidR="00B87D78" w:rsidRPr="00092DA3">
        <w:t>e provision of this basic functionality</w:t>
      </w:r>
      <w:r w:rsidR="00CC4AC2" w:rsidRPr="00092DA3">
        <w:t xml:space="preserve"> </w:t>
      </w:r>
      <w:r w:rsidR="00104DFA" w:rsidRPr="00092DA3">
        <w:t>allows</w:t>
      </w:r>
      <w:r w:rsidR="00CC4AC2" w:rsidRPr="00092DA3">
        <w:t xml:space="preserve"> </w:t>
      </w:r>
      <w:r w:rsidR="00374E3A" w:rsidRPr="00092DA3">
        <w:t>RSPs</w:t>
      </w:r>
      <w:r w:rsidR="00CC4AC2" w:rsidRPr="00092DA3">
        <w:t xml:space="preserve"> to provide a </w:t>
      </w:r>
      <w:r w:rsidR="00104DFA" w:rsidRPr="00092DA3">
        <w:t xml:space="preserve">range </w:t>
      </w:r>
      <w:r w:rsidR="00CC4AC2" w:rsidRPr="00092DA3">
        <w:t>of value-added services</w:t>
      </w:r>
      <w:r w:rsidR="00104DFA" w:rsidRPr="00092DA3">
        <w:t xml:space="preserve">, </w:t>
      </w:r>
      <w:r w:rsidR="00CC4AC2" w:rsidRPr="00092DA3">
        <w:t>with appropriate investment.</w:t>
      </w:r>
    </w:p>
    <w:p w14:paraId="6227AB65" w14:textId="77777777" w:rsidR="009A07F7" w:rsidRPr="00092DA3" w:rsidRDefault="009A07F7" w:rsidP="00773D70">
      <w:pPr>
        <w:pStyle w:val="Heading1"/>
        <w:keepLines w:val="0"/>
        <w:pageBreakBefore/>
        <w:spacing w:before="0" w:after="200" w:line="276" w:lineRule="auto"/>
        <w:ind w:left="357" w:hanging="357"/>
      </w:pPr>
      <w:bookmarkStart w:id="73" w:name="_Toc416175175"/>
      <w:bookmarkStart w:id="74" w:name="_Toc60751283"/>
      <w:r w:rsidRPr="00092DA3">
        <w:t>INFRASTRUCTURE PROVIDERS OF LAST RESORT</w:t>
      </w:r>
      <w:bookmarkEnd w:id="73"/>
      <w:bookmarkEnd w:id="74"/>
    </w:p>
    <w:p w14:paraId="26E731B6" w14:textId="3C9895BD" w:rsidR="009A07F7" w:rsidRPr="00092DA3" w:rsidRDefault="009A07F7" w:rsidP="009A07F7">
      <w:pPr>
        <w:pStyle w:val="BodyText"/>
      </w:pPr>
      <w:r w:rsidRPr="00092DA3">
        <w:t>When people move into new premises, they expect telecommunications services to be available</w:t>
      </w:r>
      <w:r w:rsidR="005D72E6" w:rsidRPr="00092DA3">
        <w:t xml:space="preserve"> at an affordable price</w:t>
      </w:r>
      <w:r w:rsidRPr="00092DA3">
        <w:t>.</w:t>
      </w:r>
      <w:r w:rsidR="00E53A0E">
        <w:t xml:space="preserve"> </w:t>
      </w:r>
      <w:r w:rsidRPr="00092DA3">
        <w:t>In circumstances where a developer is not otherwise able to find a network provider to service a</w:t>
      </w:r>
      <w:r w:rsidR="00A57DAD" w:rsidRPr="00092DA3">
        <w:t xml:space="preserve"> development</w:t>
      </w:r>
      <w:r w:rsidR="005D72E6" w:rsidRPr="00092DA3">
        <w:t xml:space="preserve"> on </w:t>
      </w:r>
      <w:r w:rsidR="00944950" w:rsidRPr="00092DA3">
        <w:t xml:space="preserve">a </w:t>
      </w:r>
      <w:r w:rsidR="005D72E6" w:rsidRPr="00092DA3">
        <w:t>commercial</w:t>
      </w:r>
      <w:r w:rsidR="00944950" w:rsidRPr="00092DA3">
        <w:t xml:space="preserve"> basis</w:t>
      </w:r>
      <w:r w:rsidRPr="00092DA3">
        <w:t xml:space="preserve">, NBN Co and Telstra will continue to have obligations as </w:t>
      </w:r>
      <w:r w:rsidR="00944950" w:rsidRPr="00092DA3">
        <w:t xml:space="preserve">providers of last </w:t>
      </w:r>
      <w:r w:rsidR="009E6352" w:rsidRPr="00092DA3">
        <w:t xml:space="preserve">resort </w:t>
      </w:r>
      <w:r w:rsidR="00944950" w:rsidRPr="00092DA3">
        <w:t>to offer to service the development on commercially agreed terms</w:t>
      </w:r>
      <w:r w:rsidRPr="00092DA3">
        <w:t>.</w:t>
      </w:r>
    </w:p>
    <w:p w14:paraId="0E6ADBCD" w14:textId="776B7BB3" w:rsidR="00270336" w:rsidRPr="001F2208" w:rsidRDefault="00270336" w:rsidP="001F2208">
      <w:r w:rsidRPr="00092DA3">
        <w:t>IPOLR obligations are subject to the advance notice requir</w:t>
      </w:r>
      <w:r w:rsidR="0065435A" w:rsidRPr="00092DA3">
        <w:t>e</w:t>
      </w:r>
      <w:r w:rsidRPr="00092DA3">
        <w:t xml:space="preserve">ments set out in section </w:t>
      </w:r>
      <w:r w:rsidR="006D7EE4">
        <w:t>3.4.4 above.</w:t>
      </w:r>
      <w:r w:rsidR="00E53A0E">
        <w:t xml:space="preserve"> </w:t>
      </w:r>
      <w:r w:rsidRPr="00092DA3">
        <w:t>IPOLRs will be expected to include in their contracts with developers penalty provisions that would apply in the event the IPOLR failed to meet it delivery deadline.</w:t>
      </w:r>
    </w:p>
    <w:p w14:paraId="347F024B" w14:textId="77777777" w:rsidR="0065435A" w:rsidRPr="00092DA3" w:rsidRDefault="0065435A" w:rsidP="0065435A">
      <w:pPr>
        <w:pStyle w:val="BodyText"/>
        <w:rPr>
          <w:b/>
        </w:rPr>
      </w:pPr>
      <w:r w:rsidRPr="00092DA3">
        <w:t>NBN Co and Telstra, like other providers, will publish information on the developments they service commercially and as IPOLRs on a website managed by the Department of Communications.</w:t>
      </w:r>
    </w:p>
    <w:p w14:paraId="0787C147" w14:textId="77777777" w:rsidR="00545714" w:rsidRPr="00092DA3" w:rsidRDefault="00545714" w:rsidP="00545714">
      <w:pPr>
        <w:pStyle w:val="Heading2"/>
      </w:pPr>
      <w:bookmarkStart w:id="75" w:name="_Toc416175176"/>
      <w:bookmarkStart w:id="76" w:name="_Toc60751284"/>
      <w:r w:rsidRPr="00092DA3">
        <w:t>The role of NBN Co</w:t>
      </w:r>
      <w:bookmarkEnd w:id="75"/>
      <w:bookmarkEnd w:id="76"/>
    </w:p>
    <w:p w14:paraId="7E0E85F3" w14:textId="56C5F3EB" w:rsidR="009A07F7" w:rsidRPr="00092DA3" w:rsidRDefault="009A07F7" w:rsidP="009A07F7">
      <w:r w:rsidRPr="00092DA3">
        <w:t xml:space="preserve">NBN Co will be the IPOLR for fixed infrastructure supporting broadband </w:t>
      </w:r>
      <w:r w:rsidR="00636DF2" w:rsidRPr="00092DA3">
        <w:t xml:space="preserve">and voice </w:t>
      </w:r>
      <w:r w:rsidRPr="00092DA3">
        <w:t>in:</w:t>
      </w:r>
    </w:p>
    <w:p w14:paraId="0E35AE39" w14:textId="18ECD2BC" w:rsidR="009A07F7" w:rsidRPr="00092DA3" w:rsidRDefault="00104DFA" w:rsidP="008A4916">
      <w:pPr>
        <w:pStyle w:val="ListParagraph"/>
        <w:numPr>
          <w:ilvl w:val="0"/>
          <w:numId w:val="25"/>
        </w:numPr>
        <w:spacing w:before="120" w:after="120"/>
        <w:ind w:left="357" w:hanging="357"/>
      </w:pPr>
      <w:r w:rsidRPr="00092DA3">
        <w:t>N</w:t>
      </w:r>
      <w:r w:rsidR="009A07F7" w:rsidRPr="00092DA3">
        <w:t>ew developments</w:t>
      </w:r>
      <w:r w:rsidR="00636DF2" w:rsidRPr="00092DA3">
        <w:t>, irrespective o</w:t>
      </w:r>
      <w:r w:rsidR="00B8576E" w:rsidRPr="00092DA3">
        <w:t>f</w:t>
      </w:r>
      <w:r w:rsidR="00636DF2" w:rsidRPr="00092DA3">
        <w:t xml:space="preserve"> size o</w:t>
      </w:r>
      <w:r w:rsidR="00B8576E" w:rsidRPr="00092DA3">
        <w:t>r</w:t>
      </w:r>
      <w:r w:rsidR="00636DF2" w:rsidRPr="00092DA3">
        <w:t xml:space="preserve"> type,</w:t>
      </w:r>
      <w:r w:rsidR="009A07F7" w:rsidRPr="00092DA3">
        <w:t xml:space="preserve"> in </w:t>
      </w:r>
      <w:r w:rsidR="00A57DAD" w:rsidRPr="00092DA3">
        <w:t xml:space="preserve">those areas of </w:t>
      </w:r>
      <w:r w:rsidR="009A07F7" w:rsidRPr="00092DA3">
        <w:t xml:space="preserve">its fixed line footprint where NBN </w:t>
      </w:r>
      <w:r w:rsidR="00A57DAD" w:rsidRPr="00092DA3">
        <w:t xml:space="preserve">Co </w:t>
      </w:r>
      <w:r w:rsidR="009A07F7" w:rsidRPr="00092DA3">
        <w:t>has established its network (that is, those areas that have been declared ‘ready for service’)</w:t>
      </w:r>
      <w:r w:rsidRPr="00092DA3">
        <w:t>.</w:t>
      </w:r>
      <w:r w:rsidRPr="00092DA3" w:rsidDel="00104DFA">
        <w:t xml:space="preserve"> </w:t>
      </w:r>
    </w:p>
    <w:p w14:paraId="3C696666" w14:textId="77777777" w:rsidR="00A57DAD" w:rsidRPr="00092DA3" w:rsidRDefault="00104DFA" w:rsidP="00636DF2">
      <w:pPr>
        <w:pStyle w:val="ListParagraph"/>
        <w:numPr>
          <w:ilvl w:val="0"/>
          <w:numId w:val="25"/>
        </w:numPr>
        <w:spacing w:before="120" w:after="120"/>
        <w:ind w:left="357" w:hanging="357"/>
      </w:pPr>
      <w:r w:rsidRPr="00092DA3">
        <w:t>N</w:t>
      </w:r>
      <w:r w:rsidR="00636DF2" w:rsidRPr="00092DA3">
        <w:t>ew developments of 100 or more lots/premises</w:t>
      </w:r>
      <w:r w:rsidR="00636DF2" w:rsidRPr="00092DA3">
        <w:rPr>
          <w:rStyle w:val="FootnoteReference"/>
        </w:rPr>
        <w:footnoteReference w:id="13"/>
      </w:r>
      <w:r w:rsidR="00636DF2" w:rsidRPr="00092DA3">
        <w:t xml:space="preserve"> in those parts of NBN </w:t>
      </w:r>
      <w:proofErr w:type="spellStart"/>
      <w:r w:rsidR="00636DF2" w:rsidRPr="00092DA3">
        <w:t>Co’s</w:t>
      </w:r>
      <w:proofErr w:type="spellEnd"/>
      <w:r w:rsidR="00636DF2" w:rsidRPr="00092DA3">
        <w:t xml:space="preserve"> fixed line footprint where the NBN has not yet been rolled out</w:t>
      </w:r>
      <w:r w:rsidRPr="00092DA3">
        <w:t>.</w:t>
      </w:r>
    </w:p>
    <w:p w14:paraId="328A188B" w14:textId="21D8F9F0" w:rsidR="00A57DAD" w:rsidRPr="00092DA3" w:rsidRDefault="00104DFA" w:rsidP="008A4916">
      <w:pPr>
        <w:pStyle w:val="ListParagraph"/>
        <w:numPr>
          <w:ilvl w:val="0"/>
          <w:numId w:val="25"/>
        </w:numPr>
        <w:spacing w:before="120" w:after="120"/>
        <w:ind w:left="357" w:hanging="357"/>
      </w:pPr>
      <w:r w:rsidRPr="00092DA3">
        <w:t>N</w:t>
      </w:r>
      <w:r w:rsidR="00A57DAD" w:rsidRPr="00092DA3">
        <w:t>ew developments in its fi</w:t>
      </w:r>
      <w:r w:rsidR="006E0361" w:rsidRPr="00092DA3">
        <w:t>xed line</w:t>
      </w:r>
      <w:r w:rsidR="00A57DAD" w:rsidRPr="00092DA3">
        <w:t xml:space="preserve"> footprint where NBN Co has publicly identified </w:t>
      </w:r>
      <w:r w:rsidR="00D41093" w:rsidRPr="00092DA3">
        <w:t>an</w:t>
      </w:r>
      <w:r w:rsidR="00A57DAD" w:rsidRPr="00092DA3">
        <w:t xml:space="preserve"> area as a </w:t>
      </w:r>
      <w:r w:rsidR="00DA5EAA" w:rsidRPr="00092DA3">
        <w:t xml:space="preserve">fixed line </w:t>
      </w:r>
      <w:r w:rsidR="00A57DAD" w:rsidRPr="00092DA3">
        <w:t>rollout region</w:t>
      </w:r>
      <w:r w:rsidR="006E0361" w:rsidRPr="00092DA3">
        <w:t xml:space="preserve"> </w:t>
      </w:r>
      <w:r w:rsidR="00AC4272" w:rsidRPr="00092DA3">
        <w:t>–</w:t>
      </w:r>
      <w:r w:rsidR="006E0361" w:rsidRPr="00092DA3">
        <w:t xml:space="preserve"> </w:t>
      </w:r>
      <w:r w:rsidR="00AC4272" w:rsidRPr="00092DA3">
        <w:t xml:space="preserve">on the basis </w:t>
      </w:r>
      <w:r w:rsidR="006E0361" w:rsidRPr="00092DA3">
        <w:t>r</w:t>
      </w:r>
      <w:r w:rsidR="00A57DAD" w:rsidRPr="00092DA3">
        <w:t>ollout regions are announced 12 months prior to the ready for service date</w:t>
      </w:r>
      <w:r w:rsidR="00D41093" w:rsidRPr="00092DA3">
        <w:t>.</w:t>
      </w:r>
    </w:p>
    <w:p w14:paraId="76DC5CE4" w14:textId="422C191D" w:rsidR="00B06C75" w:rsidRPr="00092DA3" w:rsidRDefault="00B06C75" w:rsidP="00B06C75">
      <w:pPr>
        <w:ind w:left="45"/>
      </w:pPr>
      <w:r w:rsidRPr="00092DA3">
        <w:t>In its role as IPOLR, NBN Co will levy the charges set out in the table on page</w:t>
      </w:r>
      <w:r w:rsidR="006516B6" w:rsidRPr="00092DA3">
        <w:t xml:space="preserve">s </w:t>
      </w:r>
      <w:r w:rsidR="00323F91" w:rsidRPr="00092DA3">
        <w:t>10</w:t>
      </w:r>
      <w:r w:rsidR="006516B6" w:rsidRPr="00092DA3">
        <w:t xml:space="preserve"> and 1</w:t>
      </w:r>
      <w:r w:rsidR="00323F91" w:rsidRPr="00092DA3">
        <w:t>1</w:t>
      </w:r>
      <w:r w:rsidRPr="00092DA3">
        <w:t xml:space="preserve"> when it services new developments.</w:t>
      </w:r>
      <w:r w:rsidR="00E53A0E">
        <w:t xml:space="preserve"> </w:t>
      </w:r>
      <w:r w:rsidRPr="00092DA3">
        <w:t xml:space="preserve">These charges are not binding on any other provider. </w:t>
      </w:r>
    </w:p>
    <w:p w14:paraId="7EE49335" w14:textId="76EEAD60" w:rsidR="007C0BFD" w:rsidRPr="00092DA3" w:rsidRDefault="00F7520A" w:rsidP="007C0BFD">
      <w:r w:rsidRPr="00092DA3">
        <w:t>In the case of new developments in fixed line rollout regions (</w:t>
      </w:r>
      <w:r w:rsidR="00F23D6F">
        <w:t xml:space="preserve">the third dot point </w:t>
      </w:r>
      <w:r w:rsidRPr="00092DA3">
        <w:t xml:space="preserve">above), </w:t>
      </w:r>
      <w:r w:rsidR="007C0BFD" w:rsidRPr="00092DA3">
        <w:t>pending the provi</w:t>
      </w:r>
      <w:r w:rsidR="00DC71C1" w:rsidRPr="00092DA3">
        <w:t xml:space="preserve">sion </w:t>
      </w:r>
      <w:r w:rsidR="007C0BFD" w:rsidRPr="00092DA3">
        <w:t xml:space="preserve">of permanent high-speed broadband solutions, </w:t>
      </w:r>
      <w:r w:rsidR="00C0124A">
        <w:t xml:space="preserve">NBN Co </w:t>
      </w:r>
      <w:r w:rsidR="007C0BFD" w:rsidRPr="00092DA3">
        <w:t xml:space="preserve">can </w:t>
      </w:r>
      <w:r w:rsidR="00DC71C1" w:rsidRPr="00092DA3">
        <w:t>arrange the provision of interim solutions, including voice-only solutions that are consistent with USO requirement.</w:t>
      </w:r>
      <w:r w:rsidR="00E53A0E">
        <w:t xml:space="preserve"> </w:t>
      </w:r>
      <w:r w:rsidR="00F043DD" w:rsidRPr="00092DA3">
        <w:t xml:space="preserve">Interim solutions may be </w:t>
      </w:r>
      <w:r w:rsidR="007C0BFD" w:rsidRPr="00092DA3">
        <w:t>whether fixed or wireless.</w:t>
      </w:r>
      <w:r w:rsidR="00E53A0E">
        <w:t xml:space="preserve"> </w:t>
      </w:r>
      <w:r w:rsidR="007C0BFD" w:rsidRPr="00092DA3">
        <w:t xml:space="preserve">NBN Co can provide </w:t>
      </w:r>
      <w:r w:rsidR="00C0124A">
        <w:t xml:space="preserve">such </w:t>
      </w:r>
      <w:r w:rsidR="007C0BFD" w:rsidRPr="00092DA3">
        <w:t>solutions itself (consistent with its whole</w:t>
      </w:r>
      <w:r w:rsidR="00F043DD" w:rsidRPr="00092DA3">
        <w:t>sale</w:t>
      </w:r>
      <w:r w:rsidR="007C0BFD" w:rsidRPr="00092DA3">
        <w:t>-only status) or have other parties do so on its behalf.</w:t>
      </w:r>
    </w:p>
    <w:p w14:paraId="21F0462D" w14:textId="4EA7EAE0" w:rsidR="003C388F" w:rsidRPr="00092DA3" w:rsidRDefault="00242493" w:rsidP="001F2208">
      <w:r w:rsidRPr="00092DA3">
        <w:t>The</w:t>
      </w:r>
      <w:r w:rsidR="003C388F" w:rsidRPr="00092DA3">
        <w:t xml:space="preserve"> Government indicated in its </w:t>
      </w:r>
      <w:r w:rsidRPr="00092DA3">
        <w:t>Telecommunications</w:t>
      </w:r>
      <w:r w:rsidR="003C388F" w:rsidRPr="00092DA3">
        <w:t xml:space="preserve"> </w:t>
      </w:r>
      <w:r w:rsidRPr="00092DA3">
        <w:t>Regulatory a</w:t>
      </w:r>
      <w:r w:rsidR="003C388F" w:rsidRPr="00092DA3">
        <w:t xml:space="preserve">nd </w:t>
      </w:r>
      <w:r w:rsidRPr="00092DA3">
        <w:t>Structural</w:t>
      </w:r>
      <w:r w:rsidR="003C388F" w:rsidRPr="00092DA3">
        <w:t xml:space="preserve"> Reform package in </w:t>
      </w:r>
      <w:r w:rsidRPr="00092DA3">
        <w:t>December</w:t>
      </w:r>
      <w:r w:rsidR="003C388F" w:rsidRPr="00092DA3">
        <w:t xml:space="preserve"> 2014 that it would put </w:t>
      </w:r>
      <w:r w:rsidRPr="00092DA3">
        <w:t>in place</w:t>
      </w:r>
      <w:r w:rsidR="003C388F" w:rsidRPr="00092DA3">
        <w:t xml:space="preserve"> a leg</w:t>
      </w:r>
      <w:r w:rsidRPr="00092DA3">
        <w:t>islated</w:t>
      </w:r>
      <w:r w:rsidR="003C388F" w:rsidRPr="00092DA3">
        <w:t xml:space="preserve"> infrastructure provider of last resort </w:t>
      </w:r>
      <w:r w:rsidRPr="00092DA3">
        <w:t>obligations</w:t>
      </w:r>
      <w:r w:rsidR="003C388F" w:rsidRPr="00092DA3">
        <w:t xml:space="preserve"> on NBN Co, commencing from 1 </w:t>
      </w:r>
      <w:r w:rsidRPr="00092DA3">
        <w:t>January</w:t>
      </w:r>
      <w:r w:rsidR="003C388F" w:rsidRPr="00092DA3">
        <w:t xml:space="preserve"> 2017. The </w:t>
      </w:r>
      <w:r w:rsidRPr="00092DA3">
        <w:t>obligations</w:t>
      </w:r>
      <w:r w:rsidR="003C388F" w:rsidRPr="00092DA3">
        <w:t xml:space="preserve"> would take </w:t>
      </w:r>
      <w:r w:rsidRPr="00092DA3">
        <w:t>practical</w:t>
      </w:r>
      <w:r w:rsidR="003C388F" w:rsidRPr="00092DA3">
        <w:t xml:space="preserve"> effect in an area as NBN Co completes it</w:t>
      </w:r>
      <w:r w:rsidR="006516B6" w:rsidRPr="00092DA3">
        <w:t>s</w:t>
      </w:r>
      <w:r w:rsidR="003C388F" w:rsidRPr="00092DA3">
        <w:t xml:space="preserve"> </w:t>
      </w:r>
      <w:r w:rsidRPr="00092DA3">
        <w:t>network</w:t>
      </w:r>
      <w:r w:rsidR="003C388F" w:rsidRPr="00092DA3">
        <w:t xml:space="preserve"> and establishes a firm operational footing.</w:t>
      </w:r>
    </w:p>
    <w:p w14:paraId="19C0F1CF" w14:textId="7FA1BE1D" w:rsidR="009A2A7A" w:rsidRDefault="009A2A7A" w:rsidP="009A2A7A">
      <w:r w:rsidRPr="00092DA3">
        <w:t>NBN Co can also service any other development it wishes to service, subject to its adherence to this policy and its other obligations.</w:t>
      </w:r>
      <w:r w:rsidR="00E53A0E">
        <w:t xml:space="preserve"> </w:t>
      </w:r>
      <w:r w:rsidRPr="00092DA3">
        <w:t xml:space="preserve">It is envisaged that where it has active transit network, it will be more cost effective </w:t>
      </w:r>
      <w:r w:rsidR="00C0124A">
        <w:t xml:space="preserve">for it </w:t>
      </w:r>
      <w:r w:rsidRPr="00092DA3">
        <w:t xml:space="preserve">to roll out infrastructure and </w:t>
      </w:r>
      <w:r w:rsidR="00C0124A">
        <w:t xml:space="preserve">it </w:t>
      </w:r>
      <w:r w:rsidRPr="00092DA3">
        <w:t>will have an incentive to service smaller developments.</w:t>
      </w:r>
      <w:r w:rsidR="00E53A0E">
        <w:t xml:space="preserve"> </w:t>
      </w:r>
      <w:r w:rsidRPr="00092DA3">
        <w:t>Once it is operational in an area, it becomes the IPOLR for that area.</w:t>
      </w:r>
      <w:r w:rsidR="00E53A0E">
        <w:t xml:space="preserve"> </w:t>
      </w:r>
      <w:r w:rsidRPr="00092DA3">
        <w:t>Equally it has an ability and incentive to service nearby areas, noting it will need to compete to service them.</w:t>
      </w:r>
    </w:p>
    <w:p w14:paraId="1A09544A" w14:textId="77777777" w:rsidR="009A2A7A" w:rsidRPr="00092DA3" w:rsidRDefault="009A2A7A" w:rsidP="009A07F7">
      <w:r w:rsidRPr="00092DA3">
        <w:t xml:space="preserve">Given NBN Co has agreed to make a one-time payment to Telstra in respect of each premises NBN Co connects to its network that was previously served by a Telstra line, NBN Co has a commercial incentive to attempt to serve such premises without utilising Telstra, and avoid incurring this payment in addition to the normal costs of connecting the premises to its network. </w:t>
      </w:r>
    </w:p>
    <w:p w14:paraId="72F3564C" w14:textId="77777777" w:rsidR="00545714" w:rsidRPr="00092DA3" w:rsidRDefault="00545714" w:rsidP="00545714">
      <w:pPr>
        <w:pStyle w:val="Heading2"/>
      </w:pPr>
      <w:bookmarkStart w:id="77" w:name="_Toc416175177"/>
      <w:bookmarkStart w:id="78" w:name="_Toc60751285"/>
      <w:r w:rsidRPr="00092DA3">
        <w:t>The role of Telstra</w:t>
      </w:r>
      <w:bookmarkEnd w:id="77"/>
      <w:bookmarkEnd w:id="78"/>
    </w:p>
    <w:p w14:paraId="7C42A362" w14:textId="77777777" w:rsidR="009A07F7" w:rsidRPr="00092DA3" w:rsidRDefault="0026594B" w:rsidP="009A07F7">
      <w:r w:rsidRPr="00092DA3">
        <w:t xml:space="preserve">Pending NBN Co being ready to provide infrastructure and services in an area, </w:t>
      </w:r>
      <w:r w:rsidR="009A07F7" w:rsidRPr="00092DA3">
        <w:t>Telstra will be the IPOLR supporting voice services in:</w:t>
      </w:r>
    </w:p>
    <w:p w14:paraId="2382D785" w14:textId="581F0199" w:rsidR="00C26451" w:rsidRPr="00092DA3" w:rsidRDefault="00104DFA" w:rsidP="00C26451">
      <w:pPr>
        <w:pStyle w:val="ListParagraph"/>
        <w:numPr>
          <w:ilvl w:val="0"/>
          <w:numId w:val="34"/>
        </w:numPr>
        <w:spacing w:before="120" w:after="200"/>
      </w:pPr>
      <w:r w:rsidRPr="00092DA3">
        <w:t>N</w:t>
      </w:r>
      <w:r w:rsidR="00C26451" w:rsidRPr="00092DA3">
        <w:t>ew developments which received planning approval before 1 January 2011 other than developments which are now being serviced by NBN Co or which were ‘</w:t>
      </w:r>
      <w:proofErr w:type="spellStart"/>
      <w:r w:rsidR="00C26451" w:rsidRPr="00092DA3">
        <w:t>landbanked</w:t>
      </w:r>
      <w:proofErr w:type="spellEnd"/>
      <w:r w:rsidR="00C26451" w:rsidRPr="00092DA3">
        <w:t>’—that is, developments that had been approved before 1 January 2011 but which have not proceeded</w:t>
      </w:r>
      <w:r w:rsidR="00CE70B3" w:rsidRPr="00092DA3">
        <w:t xml:space="preserve"> by that date</w:t>
      </w:r>
      <w:r w:rsidRPr="00092DA3">
        <w:t>.</w:t>
      </w:r>
    </w:p>
    <w:p w14:paraId="6D92D8F6" w14:textId="77777777" w:rsidR="009A07F7" w:rsidRPr="00092DA3" w:rsidRDefault="00104DFA" w:rsidP="008A4916">
      <w:pPr>
        <w:pStyle w:val="ListParagraph"/>
        <w:numPr>
          <w:ilvl w:val="0"/>
          <w:numId w:val="34"/>
        </w:numPr>
        <w:spacing w:before="120" w:after="200"/>
        <w:ind w:left="357" w:hanging="357"/>
      </w:pPr>
      <w:r w:rsidRPr="00092DA3">
        <w:t>N</w:t>
      </w:r>
      <w:r w:rsidR="009A07F7" w:rsidRPr="00092DA3">
        <w:t>ew developments</w:t>
      </w:r>
      <w:r w:rsidR="0026594B" w:rsidRPr="00092DA3">
        <w:t xml:space="preserve">, whether </w:t>
      </w:r>
      <w:proofErr w:type="spellStart"/>
      <w:r w:rsidR="0026594B" w:rsidRPr="00092DA3">
        <w:t>broadacre</w:t>
      </w:r>
      <w:proofErr w:type="spellEnd"/>
      <w:r w:rsidR="0026594B" w:rsidRPr="00092DA3">
        <w:t xml:space="preserve"> or infill,</w:t>
      </w:r>
      <w:r w:rsidR="009A07F7" w:rsidRPr="00092DA3">
        <w:t xml:space="preserve"> of fewer than 100 lots/premises in the NBN Co fixed line footprint where NBN Co has not established its network (i.e. declared its network ready for service)</w:t>
      </w:r>
      <w:r w:rsidRPr="00092DA3">
        <w:t>.</w:t>
      </w:r>
      <w:r w:rsidR="002A5928" w:rsidRPr="00092DA3">
        <w:rPr>
          <w:rStyle w:val="FootnoteReference"/>
        </w:rPr>
        <w:footnoteReference w:id="14"/>
      </w:r>
    </w:p>
    <w:p w14:paraId="359A58CB" w14:textId="77777777" w:rsidR="00DC71C1" w:rsidRPr="00092DA3" w:rsidRDefault="00104DFA" w:rsidP="00CE70B3">
      <w:pPr>
        <w:pStyle w:val="ListParagraph"/>
        <w:numPr>
          <w:ilvl w:val="0"/>
          <w:numId w:val="34"/>
        </w:numPr>
        <w:spacing w:before="120" w:after="200"/>
        <w:ind w:left="357" w:hanging="357"/>
      </w:pPr>
      <w:r w:rsidRPr="00092DA3">
        <w:t>N</w:t>
      </w:r>
      <w:r w:rsidR="009A07F7" w:rsidRPr="00092DA3">
        <w:t xml:space="preserve">ew developments in </w:t>
      </w:r>
      <w:r w:rsidR="00D41093" w:rsidRPr="00092DA3">
        <w:t xml:space="preserve">NBN Co </w:t>
      </w:r>
      <w:r w:rsidR="009A07F7" w:rsidRPr="00092DA3">
        <w:t>fixed wireless and satellite areas.</w:t>
      </w:r>
    </w:p>
    <w:p w14:paraId="7D4D2E4C" w14:textId="77777777" w:rsidR="009D3FDC" w:rsidRPr="00092DA3" w:rsidRDefault="009D3FDC" w:rsidP="009A07F7">
      <w:r w:rsidRPr="00092DA3">
        <w:t xml:space="preserve">Developers with </w:t>
      </w:r>
      <w:r w:rsidR="00C90396" w:rsidRPr="00092DA3">
        <w:t xml:space="preserve">developments </w:t>
      </w:r>
      <w:r w:rsidRPr="00092DA3">
        <w:t xml:space="preserve">approved before </w:t>
      </w:r>
      <w:r w:rsidR="004B1BEC" w:rsidRPr="00092DA3">
        <w:t xml:space="preserve">1 </w:t>
      </w:r>
      <w:r w:rsidRPr="00092DA3">
        <w:t>January</w:t>
      </w:r>
      <w:r w:rsidR="004B1BEC" w:rsidRPr="00092DA3">
        <w:t xml:space="preserve"> 2011</w:t>
      </w:r>
      <w:r w:rsidRPr="00092DA3">
        <w:t xml:space="preserve">, which were subsequently </w:t>
      </w:r>
      <w:proofErr w:type="spellStart"/>
      <w:r w:rsidRPr="00092DA3">
        <w:t>landbanked</w:t>
      </w:r>
      <w:proofErr w:type="spellEnd"/>
      <w:r w:rsidRPr="00092DA3">
        <w:t>, need to seek a provider to service their developments in line with the general principles of this policy. Equally</w:t>
      </w:r>
      <w:r w:rsidR="004C00D6">
        <w:t>,</w:t>
      </w:r>
      <w:r w:rsidRPr="00092DA3">
        <w:t xml:space="preserve"> if they wish to use an IPOLR they will need to lodge new applications. They will be subject to all charges and obligations applying under this policy.</w:t>
      </w:r>
    </w:p>
    <w:p w14:paraId="14F60F8D" w14:textId="6393D85F" w:rsidR="00270336" w:rsidRPr="00092DA3" w:rsidRDefault="00270336" w:rsidP="00270336">
      <w:pPr>
        <w:pStyle w:val="BodyText"/>
        <w:rPr>
          <w:b/>
        </w:rPr>
      </w:pPr>
      <w:r w:rsidRPr="00092DA3">
        <w:t>Telstra can charge for infrastructure consistent with the general principles applying in new developments.</w:t>
      </w:r>
      <w:r w:rsidR="00E53A0E">
        <w:t xml:space="preserve"> </w:t>
      </w:r>
      <w:r w:rsidRPr="00092DA3">
        <w:t>This provides a further incentive for developers to consider paying an alternative provider an incremental sum for a superior solution.</w:t>
      </w:r>
    </w:p>
    <w:p w14:paraId="3EBF441A" w14:textId="77777777" w:rsidR="009D2EA3" w:rsidRPr="00092DA3" w:rsidRDefault="009D2EA3" w:rsidP="009A07F7">
      <w:r w:rsidRPr="00092DA3">
        <w:t xml:space="preserve">There may be circumstances where Telstra </w:t>
      </w:r>
      <w:r w:rsidR="00210E9D" w:rsidRPr="00092DA3">
        <w:t>enters into an agreement</w:t>
      </w:r>
      <w:r w:rsidRPr="00092DA3">
        <w:t xml:space="preserve"> for a development well in advance of its construction and</w:t>
      </w:r>
      <w:r w:rsidR="006516B6" w:rsidRPr="00092DA3">
        <w:t>,</w:t>
      </w:r>
      <w:r w:rsidRPr="00092DA3">
        <w:t xml:space="preserve"> by the time the development comes to be constructed</w:t>
      </w:r>
      <w:r w:rsidR="00210E9D" w:rsidRPr="00092DA3">
        <w:t xml:space="preserve"> but prior to the estimated first occupancy date</w:t>
      </w:r>
      <w:r w:rsidR="006516B6" w:rsidRPr="00092DA3">
        <w:t>,</w:t>
      </w:r>
      <w:r w:rsidRPr="00092DA3">
        <w:t xml:space="preserve"> NBN Co or a competing provider </w:t>
      </w:r>
      <w:r w:rsidR="00CE70B3" w:rsidRPr="00092DA3">
        <w:t xml:space="preserve">is operating a network </w:t>
      </w:r>
      <w:r w:rsidRPr="00092DA3">
        <w:t>in the area in which the development is located. In these circumstances, it will be open to Telstra to negotiate more appropriate provisioning arrangements with other providers.</w:t>
      </w:r>
    </w:p>
    <w:p w14:paraId="4AA475E8" w14:textId="7B343127" w:rsidR="009A07F7" w:rsidRPr="00DD69D3" w:rsidRDefault="009A07F7" w:rsidP="009A07F7">
      <w:r w:rsidRPr="00DD69D3">
        <w:t xml:space="preserve">Telstra’s responsibilities </w:t>
      </w:r>
      <w:r w:rsidR="00B349C0" w:rsidRPr="00DD69D3">
        <w:t>derive from its responsibilities as the universal service provider for the standard telephone service.</w:t>
      </w:r>
      <w:r w:rsidR="00E53A0E">
        <w:t xml:space="preserve"> </w:t>
      </w:r>
      <w:r w:rsidR="00B349C0" w:rsidRPr="00DD69D3">
        <w:t xml:space="preserve">They </w:t>
      </w:r>
      <w:r w:rsidRPr="00DD69D3">
        <w:t>reflect its ability to service small new developments in established areas where copper infrastructure is readily available and copper is likely to be the most cost-effective option in the short term, pending</w:t>
      </w:r>
      <w:r w:rsidR="006516B6" w:rsidRPr="00DD69D3">
        <w:t xml:space="preserve"> the</w:t>
      </w:r>
      <w:r w:rsidRPr="00DD69D3">
        <w:t xml:space="preserve"> rollout of the NBN or other next generation broadband platforms.</w:t>
      </w:r>
    </w:p>
    <w:p w14:paraId="224C24AB" w14:textId="77777777" w:rsidR="0091028B" w:rsidRPr="00DD69D3" w:rsidRDefault="0091028B" w:rsidP="009A07F7">
      <w:r w:rsidRPr="005E5A85">
        <w:t>Once NBN Co has complete</w:t>
      </w:r>
      <w:r w:rsidR="00B8576E" w:rsidRPr="00DD69D3">
        <w:t>d</w:t>
      </w:r>
      <w:r w:rsidRPr="00DD69D3">
        <w:t xml:space="preserve"> it</w:t>
      </w:r>
      <w:r w:rsidR="00B8576E" w:rsidRPr="00DD69D3">
        <w:t>s</w:t>
      </w:r>
      <w:r w:rsidRPr="00DD69D3">
        <w:t xml:space="preserve"> </w:t>
      </w:r>
      <w:r w:rsidR="00FF7121" w:rsidRPr="00DD69D3">
        <w:t>network</w:t>
      </w:r>
      <w:r w:rsidRPr="00DD69D3">
        <w:t xml:space="preserve"> rollout, it will </w:t>
      </w:r>
      <w:r w:rsidR="00FF7121" w:rsidRPr="00DD69D3">
        <w:t>essentially be the</w:t>
      </w:r>
      <w:r w:rsidR="00B06C75" w:rsidRPr="00DD69D3">
        <w:t xml:space="preserve"> </w:t>
      </w:r>
      <w:r w:rsidR="006516B6" w:rsidRPr="00DD69D3">
        <w:t>IPOLR</w:t>
      </w:r>
      <w:r w:rsidR="00FF7121" w:rsidRPr="00DD69D3">
        <w:t xml:space="preserve"> for all of Australia, except for those areas specifically serviced by competing providers </w:t>
      </w:r>
      <w:r w:rsidR="00104DFA" w:rsidRPr="00DD69D3">
        <w:t>or areas</w:t>
      </w:r>
      <w:r w:rsidR="00B964F7" w:rsidRPr="00DD69D3">
        <w:t xml:space="preserve"> </w:t>
      </w:r>
      <w:r w:rsidR="00FF7121" w:rsidRPr="00DD69D3">
        <w:t>where Telstra need</w:t>
      </w:r>
      <w:r w:rsidR="00B964F7" w:rsidRPr="00DD69D3">
        <w:t>s</w:t>
      </w:r>
      <w:r w:rsidR="00FF7121" w:rsidRPr="00DD69D3">
        <w:t xml:space="preserve"> to provide infrastructure to fulfil it</w:t>
      </w:r>
      <w:r w:rsidR="00104DFA" w:rsidRPr="00DD69D3">
        <w:t>s</w:t>
      </w:r>
      <w:r w:rsidR="00FF7121" w:rsidRPr="00DD69D3">
        <w:t xml:space="preserve"> </w:t>
      </w:r>
      <w:r w:rsidR="00104DFA" w:rsidRPr="00DD69D3">
        <w:t xml:space="preserve">residual </w:t>
      </w:r>
      <w:r w:rsidR="006516B6" w:rsidRPr="00DD69D3">
        <w:t>U</w:t>
      </w:r>
      <w:r w:rsidR="00FF7121" w:rsidRPr="00DD69D3">
        <w:t xml:space="preserve">niversal </w:t>
      </w:r>
      <w:r w:rsidR="006516B6" w:rsidRPr="00DD69D3">
        <w:t>S</w:t>
      </w:r>
      <w:r w:rsidR="00FF7121" w:rsidRPr="00DD69D3">
        <w:t xml:space="preserve">ervice </w:t>
      </w:r>
      <w:r w:rsidR="006516B6" w:rsidRPr="00DD69D3">
        <w:t>O</w:t>
      </w:r>
      <w:r w:rsidR="00FF7121" w:rsidRPr="00DD69D3">
        <w:t>bligation</w:t>
      </w:r>
      <w:r w:rsidR="006516B6" w:rsidRPr="00DD69D3">
        <w:t xml:space="preserve"> (USO)</w:t>
      </w:r>
      <w:r w:rsidR="00FF7121" w:rsidRPr="00DD69D3">
        <w:t xml:space="preserve"> to provide </w:t>
      </w:r>
      <w:r w:rsidR="00104DFA" w:rsidRPr="00DD69D3">
        <w:t>an end-to-end</w:t>
      </w:r>
      <w:r w:rsidR="00FF7121" w:rsidRPr="00DD69D3">
        <w:t xml:space="preserve"> voice service.</w:t>
      </w:r>
    </w:p>
    <w:p w14:paraId="5E27705D" w14:textId="0D0063BB" w:rsidR="00FC227D" w:rsidRPr="00DD69D3" w:rsidRDefault="009A07F7" w:rsidP="009A07F7">
      <w:r w:rsidRPr="00DD69D3">
        <w:t>Telstra will fulfil its IPOLR role consistent with the USO</w:t>
      </w:r>
      <w:r w:rsidR="006379E0" w:rsidRPr="00DD69D3">
        <w:t xml:space="preserve"> relating to voice services</w:t>
      </w:r>
      <w:r w:rsidRPr="00DD69D3">
        <w:t>.</w:t>
      </w:r>
      <w:r w:rsidR="00E53A0E">
        <w:t xml:space="preserve"> </w:t>
      </w:r>
      <w:r w:rsidR="006379E0" w:rsidRPr="00DD69D3">
        <w:t xml:space="preserve">That is, if Telstra needs to provide voice </w:t>
      </w:r>
      <w:r w:rsidR="00242493" w:rsidRPr="00DD69D3">
        <w:t>services</w:t>
      </w:r>
      <w:r w:rsidR="006379E0" w:rsidRPr="00DD69D3">
        <w:t xml:space="preserve"> under the USO and the infrastructure to </w:t>
      </w:r>
      <w:r w:rsidR="006516B6" w:rsidRPr="00DD69D3">
        <w:t xml:space="preserve">do </w:t>
      </w:r>
      <w:r w:rsidR="006379E0" w:rsidRPr="00DD69D3">
        <w:t>that, it will need</w:t>
      </w:r>
      <w:r w:rsidR="00045E43">
        <w:t xml:space="preserve"> to provide the infrastructure.</w:t>
      </w:r>
    </w:p>
    <w:p w14:paraId="2A0E7B20" w14:textId="5B4539C4" w:rsidR="00270336" w:rsidRPr="00DD69D3" w:rsidRDefault="00270336" w:rsidP="001F2208">
      <w:pPr>
        <w:pStyle w:val="BodyText"/>
      </w:pPr>
      <w:r w:rsidRPr="00DD69D3">
        <w:t>Telstra can decide what technology it uses to support voice services. There may be instances where developments are best serviced using wireless technology.</w:t>
      </w:r>
    </w:p>
    <w:p w14:paraId="08963E37" w14:textId="23BC530A" w:rsidR="00270336" w:rsidRPr="00092DA3" w:rsidRDefault="006379E0" w:rsidP="009A07F7">
      <w:r w:rsidRPr="00DD69D3">
        <w:t>Telstra is not obliged under its USO to provide broadband services</w:t>
      </w:r>
      <w:r w:rsidR="00270336" w:rsidRPr="00DD69D3">
        <w:t>, but is encouraged to provide broadband capability to the extent it is possible</w:t>
      </w:r>
      <w:r w:rsidRPr="00DD69D3">
        <w:t xml:space="preserve">. It is </w:t>
      </w:r>
      <w:r w:rsidR="00104DFA" w:rsidRPr="00DD69D3">
        <w:t>a</w:t>
      </w:r>
      <w:r w:rsidRPr="00DD69D3">
        <w:t xml:space="preserve"> commercial decision as to whether and where </w:t>
      </w:r>
      <w:r w:rsidR="00104DFA" w:rsidRPr="00DD69D3">
        <w:t>the company does so</w:t>
      </w:r>
      <w:r w:rsidRPr="00DD69D3">
        <w:t>.</w:t>
      </w:r>
      <w:r w:rsidR="00E53A0E">
        <w:t xml:space="preserve"> </w:t>
      </w:r>
      <w:r w:rsidRPr="00DD69D3">
        <w:t>It is open to Telstra to provide broadband services under a commercial arrangement with a developer (subject to any contractual obligations to NBN Co under the Definitive Agreements).</w:t>
      </w:r>
      <w:r w:rsidR="00E53A0E">
        <w:t xml:space="preserve"> </w:t>
      </w:r>
      <w:r w:rsidR="00270336" w:rsidRPr="00DD69D3">
        <w:t>Telstra may seek to negotiate additional payment from NBN Co and/or developers for providing broadband.</w:t>
      </w:r>
      <w:r w:rsidR="00E53A0E">
        <w:t xml:space="preserve"> </w:t>
      </w:r>
      <w:r w:rsidR="00270336" w:rsidRPr="00DD69D3">
        <w:t xml:space="preserve">It should be open to Telstra and NBN Co, as IPOLRs, to discuss ways to fast-track broadband in areas that otherwise only receive Telstra’s voice solution (e.g. by Telstra installing FTTN on NBN </w:t>
      </w:r>
      <w:proofErr w:type="spellStart"/>
      <w:r w:rsidR="00270336" w:rsidRPr="00DD69D3">
        <w:t>Co’s</w:t>
      </w:r>
      <w:proofErr w:type="spellEnd"/>
      <w:r w:rsidR="00270336" w:rsidRPr="00DD69D3">
        <w:t xml:space="preserve"> behalf).</w:t>
      </w:r>
    </w:p>
    <w:p w14:paraId="06DD7151" w14:textId="77777777" w:rsidR="006379E0" w:rsidRDefault="006379E0" w:rsidP="009A07F7">
      <w:r w:rsidRPr="00092DA3">
        <w:t xml:space="preserve">If Telstra or another provider does not provide broadband in a new development, </w:t>
      </w:r>
      <w:r w:rsidR="00104DFA" w:rsidRPr="00092DA3">
        <w:t>it</w:t>
      </w:r>
      <w:r w:rsidRPr="00092DA3">
        <w:t xml:space="preserve"> </w:t>
      </w:r>
      <w:r w:rsidR="00104DFA" w:rsidRPr="00092DA3">
        <w:t>will</w:t>
      </w:r>
      <w:r w:rsidRPr="00092DA3">
        <w:t xml:space="preserve"> be provided </w:t>
      </w:r>
      <w:r w:rsidR="00104DFA" w:rsidRPr="00092DA3">
        <w:t>in due course</w:t>
      </w:r>
      <w:r w:rsidRPr="00092DA3">
        <w:t xml:space="preserve"> as part of the general NBN rollout </w:t>
      </w:r>
      <w:r w:rsidR="00104DFA" w:rsidRPr="00092DA3">
        <w:t>in</w:t>
      </w:r>
      <w:r w:rsidRPr="00092DA3">
        <w:t xml:space="preserve"> that area. The NBN rollout is expected to be complete in 2021. </w:t>
      </w:r>
    </w:p>
    <w:p w14:paraId="7850DFC7" w14:textId="77777777" w:rsidR="00C0124A" w:rsidRPr="00092DA3" w:rsidRDefault="00C0124A" w:rsidP="00C0124A">
      <w:pPr>
        <w:pStyle w:val="Heading2"/>
      </w:pPr>
      <w:bookmarkStart w:id="79" w:name="_Toc416175178"/>
      <w:bookmarkStart w:id="80" w:name="_Toc60751286"/>
      <w:r w:rsidRPr="00092DA3">
        <w:t>Adj</w:t>
      </w:r>
      <w:r>
        <w:t xml:space="preserve">acency to NBN </w:t>
      </w:r>
      <w:proofErr w:type="spellStart"/>
      <w:r>
        <w:t>Co’s</w:t>
      </w:r>
      <w:proofErr w:type="spellEnd"/>
      <w:r>
        <w:t xml:space="preserve"> long term fixed line footprint</w:t>
      </w:r>
      <w:bookmarkEnd w:id="79"/>
      <w:bookmarkEnd w:id="80"/>
    </w:p>
    <w:p w14:paraId="51A5CDB4" w14:textId="33F81C9E" w:rsidR="00C0124A" w:rsidRDefault="00C0124A" w:rsidP="00C0124A">
      <w:pPr>
        <w:ind w:left="45"/>
      </w:pPr>
      <w:r w:rsidRPr="00C0124A">
        <w:t xml:space="preserve">There is an onus on NBN Co to consider servicing new developments that are </w:t>
      </w:r>
      <w:r>
        <w:t xml:space="preserve">outside but </w:t>
      </w:r>
      <w:r w:rsidRPr="00C0124A">
        <w:t>adjacent to its long term fixed line footprint</w:t>
      </w:r>
      <w:r>
        <w:t>.</w:t>
      </w:r>
      <w:r w:rsidR="00E53A0E">
        <w:t xml:space="preserve"> </w:t>
      </w:r>
      <w:r>
        <w:t>This recognises that the fixed line footprint may evolve over</w:t>
      </w:r>
      <w:r w:rsidR="004A7A19">
        <w:t xml:space="preserve"> </w:t>
      </w:r>
      <w:r>
        <w:t>time as land is developed in outer areas and population move</w:t>
      </w:r>
      <w:r w:rsidR="009E6B48">
        <w:t>s</w:t>
      </w:r>
      <w:r>
        <w:t>.</w:t>
      </w:r>
      <w:r w:rsidR="00E53A0E">
        <w:t xml:space="preserve"> </w:t>
      </w:r>
      <w:r>
        <w:t xml:space="preserve">For the purposes of this policy, a new development is </w:t>
      </w:r>
      <w:r w:rsidRPr="00C0124A">
        <w:t xml:space="preserve">considered to be adjacent to NBN </w:t>
      </w:r>
      <w:proofErr w:type="spellStart"/>
      <w:r w:rsidRPr="00C0124A">
        <w:t>Co’s</w:t>
      </w:r>
      <w:proofErr w:type="spellEnd"/>
      <w:r w:rsidRPr="00C0124A">
        <w:t xml:space="preserve"> fixed line footprint if the development’s nearest boundary is 1000 metres or less from the nearest </w:t>
      </w:r>
      <w:r>
        <w:t xml:space="preserve">point </w:t>
      </w:r>
      <w:r w:rsidRPr="00C0124A">
        <w:t xml:space="preserve">of NBN </w:t>
      </w:r>
      <w:proofErr w:type="spellStart"/>
      <w:r w:rsidRPr="00C0124A">
        <w:t>Co’s</w:t>
      </w:r>
      <w:proofErr w:type="spellEnd"/>
      <w:r w:rsidRPr="00C0124A">
        <w:t xml:space="preserve"> fixed line footprint boundary.</w:t>
      </w:r>
      <w:r>
        <w:t xml:space="preserve"> </w:t>
      </w:r>
    </w:p>
    <w:p w14:paraId="60D14855" w14:textId="7DE71054" w:rsidR="00C0124A" w:rsidRDefault="00C0124A" w:rsidP="00C0124A">
      <w:pPr>
        <w:ind w:left="45"/>
      </w:pPr>
      <w:r>
        <w:t>This onus applies consistent with NBN Co specific IPOLR</w:t>
      </w:r>
      <w:r w:rsidRPr="00C0124A">
        <w:t xml:space="preserve"> obligations.</w:t>
      </w:r>
      <w:r w:rsidR="00E53A0E">
        <w:t xml:space="preserve"> </w:t>
      </w:r>
      <w:r w:rsidRPr="00C0124A">
        <w:t xml:space="preserve">That is, if a new development is 100 or more lots/premises, NBN Co should consider servicing </w:t>
      </w:r>
      <w:r>
        <w:t xml:space="preserve">it </w:t>
      </w:r>
      <w:r w:rsidRPr="00C0124A">
        <w:t>as a matter of course.</w:t>
      </w:r>
      <w:r w:rsidR="00E53A0E">
        <w:t xml:space="preserve"> </w:t>
      </w:r>
      <w:r>
        <w:t>(As noted in 4.5</w:t>
      </w:r>
      <w:r w:rsidR="009E6B48">
        <w:t xml:space="preserve"> below</w:t>
      </w:r>
      <w:r>
        <w:t>, developments of 100 or more premises are assumed to be in the long term fixed line footprint until NBN Co determines otherwise.)</w:t>
      </w:r>
      <w:r w:rsidR="00E53A0E">
        <w:t xml:space="preserve"> </w:t>
      </w:r>
      <w:r>
        <w:t>I</w:t>
      </w:r>
      <w:r w:rsidRPr="00C0124A">
        <w:t xml:space="preserve">f NBN Co has established </w:t>
      </w:r>
      <w:r w:rsidR="009E6B48">
        <w:t>its fixed line network</w:t>
      </w:r>
      <w:r>
        <w:t xml:space="preserve"> in an area abutting the outer boundary of its long term fixed line footprint, it should also consider servicing </w:t>
      </w:r>
      <w:r w:rsidR="00045E43">
        <w:t>smaller adjacent developments.</w:t>
      </w:r>
    </w:p>
    <w:p w14:paraId="57D0CBD4" w14:textId="2035BB21" w:rsidR="00C0124A" w:rsidRDefault="00C0124A" w:rsidP="00C0124A">
      <w:pPr>
        <w:ind w:left="45"/>
      </w:pPr>
      <w:r>
        <w:t>In all instances</w:t>
      </w:r>
      <w:r w:rsidR="004A7A19">
        <w:t>,</w:t>
      </w:r>
      <w:r>
        <w:t xml:space="preserve"> the practicality of this adjacency principle needs to be considered from a cost-benefit perspective, particularly while the NBN is being rolled out and Telstra may have infrastructure available that can more readily be used to service these types of new developments.</w:t>
      </w:r>
      <w:r w:rsidR="00E53A0E">
        <w:t xml:space="preserve"> </w:t>
      </w:r>
      <w:r>
        <w:t xml:space="preserve">Even though a new development may satisfy the basic </w:t>
      </w:r>
      <w:r w:rsidR="009E6B48">
        <w:t>adjacency</w:t>
      </w:r>
      <w:r>
        <w:t xml:space="preserve"> principle set out above, if the new development was nevertheless in an area where Telstra had infrastructure it could use to service the development more cost-effectively, Telstra would b</w:t>
      </w:r>
      <w:r w:rsidR="00045E43">
        <w:t>e the provider of last resort.</w:t>
      </w:r>
    </w:p>
    <w:p w14:paraId="002873E3" w14:textId="1C9FC4E5" w:rsidR="00C0124A" w:rsidRPr="00092DA3" w:rsidRDefault="00C0124A" w:rsidP="00B42539">
      <w:pPr>
        <w:ind w:left="45"/>
      </w:pPr>
      <w:r>
        <w:t>Given the range of factors involved, it is impractical to have definitive upfront rules in this area.</w:t>
      </w:r>
      <w:r w:rsidR="00E53A0E">
        <w:t xml:space="preserve"> </w:t>
      </w:r>
      <w:r>
        <w:t>This principle provides a starting point.</w:t>
      </w:r>
      <w:r w:rsidR="00E53A0E">
        <w:t xml:space="preserve"> </w:t>
      </w:r>
      <w:r>
        <w:t>Ultimately any disputes that could not be resolved between the IPOLRs would need to be</w:t>
      </w:r>
      <w:r w:rsidR="00045E43">
        <w:t xml:space="preserve"> determined by the adjudicator.</w:t>
      </w:r>
    </w:p>
    <w:p w14:paraId="2AF28636" w14:textId="77777777" w:rsidR="000E514C" w:rsidRPr="00092DA3" w:rsidRDefault="000E514C" w:rsidP="000E514C">
      <w:pPr>
        <w:pStyle w:val="Heading2"/>
      </w:pPr>
      <w:bookmarkStart w:id="81" w:name="_Toc416175179"/>
      <w:bookmarkStart w:id="82" w:name="_Toc60751287"/>
      <w:r w:rsidRPr="00092DA3">
        <w:t>Adjudicat</w:t>
      </w:r>
      <w:r w:rsidR="0052261C" w:rsidRPr="00092DA3">
        <w:t>or</w:t>
      </w:r>
      <w:bookmarkEnd w:id="81"/>
      <w:bookmarkEnd w:id="82"/>
    </w:p>
    <w:p w14:paraId="351388AE" w14:textId="6BF63B24" w:rsidR="000E514C" w:rsidRPr="00092DA3" w:rsidRDefault="000E514C" w:rsidP="000E514C">
      <w:pPr>
        <w:pStyle w:val="BodyText"/>
      </w:pPr>
      <w:r w:rsidRPr="00092DA3">
        <w:t>The Communications Alliance has indicated it will establish an independent dispute resolution mechanism to adjudicate on IPOLR responsibilities in the event of disputes or complex situations (e.g. a large land release with multiple stages and developers, where the aggregate number of lots is more than 100 but individual stages may be less).</w:t>
      </w:r>
      <w:r w:rsidR="00E53A0E">
        <w:t xml:space="preserve"> </w:t>
      </w:r>
      <w:r w:rsidRPr="00092DA3">
        <w:t>The cost of this mechanism will be met by industry.</w:t>
      </w:r>
      <w:r w:rsidR="00E53A0E">
        <w:t xml:space="preserve"> </w:t>
      </w:r>
      <w:r w:rsidRPr="00092DA3">
        <w:t xml:space="preserve">In the event </w:t>
      </w:r>
      <w:r w:rsidR="009E6B48">
        <w:t>that an industry adjudicator is not established</w:t>
      </w:r>
      <w:r w:rsidRPr="00092DA3">
        <w:t>, the Government will establish a suitably qualified arbitral mechanism, funded from an industry levy.</w:t>
      </w:r>
    </w:p>
    <w:p w14:paraId="496F52E0" w14:textId="0927722A" w:rsidR="00545714" w:rsidRPr="00092DA3" w:rsidRDefault="000E514C" w:rsidP="009E6352">
      <w:pPr>
        <w:pStyle w:val="BodyText"/>
      </w:pPr>
      <w:r w:rsidRPr="00092DA3">
        <w:t>The adjudicator may also deal with other iss</w:t>
      </w:r>
      <w:r w:rsidR="004A7A19">
        <w:t xml:space="preserve">ues, for example, claims that </w:t>
      </w:r>
      <w:r w:rsidRPr="00092DA3">
        <w:t>NBN Co is inappropriately overbuilding an area without the agreement of Shareholder Ministers.</w:t>
      </w:r>
    </w:p>
    <w:p w14:paraId="4ECB4925" w14:textId="77777777" w:rsidR="00545714" w:rsidRPr="00092DA3" w:rsidRDefault="00545714" w:rsidP="009E6352">
      <w:pPr>
        <w:pStyle w:val="Heading2"/>
      </w:pPr>
      <w:bookmarkStart w:id="83" w:name="_Toc416175180"/>
      <w:bookmarkStart w:id="84" w:name="_Toc60751288"/>
      <w:r w:rsidRPr="00092DA3">
        <w:t>Clarifying IPOLR obligations</w:t>
      </w:r>
      <w:bookmarkEnd w:id="83"/>
      <w:bookmarkEnd w:id="84"/>
    </w:p>
    <w:p w14:paraId="15DDF6FA" w14:textId="1C038DBD" w:rsidR="00545714" w:rsidRPr="00092DA3" w:rsidRDefault="00866768" w:rsidP="00545714">
      <w:r w:rsidRPr="00092DA3">
        <w:t xml:space="preserve">As the starting proposition, all new developments </w:t>
      </w:r>
      <w:r w:rsidR="006379E0" w:rsidRPr="00092DA3">
        <w:t xml:space="preserve">of 100 or more lots or premises </w:t>
      </w:r>
      <w:r w:rsidRPr="00092DA3">
        <w:t xml:space="preserve">will be assumed to be in NBN </w:t>
      </w:r>
      <w:proofErr w:type="spellStart"/>
      <w:r w:rsidRPr="00092DA3">
        <w:t>Co’s</w:t>
      </w:r>
      <w:proofErr w:type="spellEnd"/>
      <w:r w:rsidRPr="00092DA3">
        <w:t xml:space="preserve"> long-term </w:t>
      </w:r>
      <w:r w:rsidR="006379E0" w:rsidRPr="00092DA3">
        <w:t>fixed l</w:t>
      </w:r>
      <w:r w:rsidR="00D92857" w:rsidRPr="00092DA3">
        <w:t>ine</w:t>
      </w:r>
      <w:r w:rsidR="006379E0" w:rsidRPr="00092DA3">
        <w:t xml:space="preserve"> </w:t>
      </w:r>
      <w:r w:rsidRPr="00092DA3">
        <w:t>footprint</w:t>
      </w:r>
      <w:r w:rsidR="006379E0" w:rsidRPr="00092DA3">
        <w:t xml:space="preserve">. The onus will be on </w:t>
      </w:r>
      <w:r w:rsidRPr="00092DA3">
        <w:t xml:space="preserve">NBN </w:t>
      </w:r>
      <w:r w:rsidR="006379E0" w:rsidRPr="00092DA3">
        <w:t xml:space="preserve">Co to </w:t>
      </w:r>
      <w:r w:rsidR="005453CD" w:rsidRPr="00092DA3">
        <w:t>demonstrate</w:t>
      </w:r>
      <w:r w:rsidR="006379E0" w:rsidRPr="00092DA3">
        <w:t xml:space="preserve"> that </w:t>
      </w:r>
      <w:r w:rsidR="00B06C75" w:rsidRPr="00092DA3">
        <w:t>a</w:t>
      </w:r>
      <w:r w:rsidR="006379E0" w:rsidRPr="00092DA3">
        <w:t xml:space="preserve"> development</w:t>
      </w:r>
      <w:r w:rsidR="00B06C75" w:rsidRPr="00092DA3">
        <w:t xml:space="preserve"> </w:t>
      </w:r>
      <w:r w:rsidR="009E6B48">
        <w:t xml:space="preserve">of this type </w:t>
      </w:r>
      <w:r w:rsidR="00B06C75" w:rsidRPr="00092DA3">
        <w:t>is</w:t>
      </w:r>
      <w:r w:rsidR="006379E0" w:rsidRPr="00092DA3">
        <w:t xml:space="preserve"> not in its footprint or would not be serviced by fixed line technology </w:t>
      </w:r>
      <w:r w:rsidR="00442A1C" w:rsidRPr="00092DA3">
        <w:t xml:space="preserve">(i.e. it will be serviced by </w:t>
      </w:r>
      <w:r w:rsidR="00242493" w:rsidRPr="00092DA3">
        <w:t>wireless</w:t>
      </w:r>
      <w:r w:rsidR="00442A1C" w:rsidRPr="00092DA3">
        <w:t xml:space="preserve"> or satellite)</w:t>
      </w:r>
      <w:r w:rsidR="00545714" w:rsidRPr="00092DA3">
        <w:t>.NBN Co will publish and keep up to date its detailed business rules</w:t>
      </w:r>
      <w:r w:rsidR="00545714" w:rsidRPr="00092DA3">
        <w:rPr>
          <w:rStyle w:val="FootnoteReference"/>
        </w:rPr>
        <w:footnoteReference w:id="15"/>
      </w:r>
      <w:r w:rsidR="00545714" w:rsidRPr="00092DA3">
        <w:t xml:space="preserve"> for determining whether a new development is within or outside the fixed line footprint and, for developments that are outside the fixed line footprint, whether to service them with fixed line access technology (thereby expanding its fixed line footprint), or with wireless or satellite access technology.</w:t>
      </w:r>
    </w:p>
    <w:p w14:paraId="7F58939B" w14:textId="79D27F2D" w:rsidR="00640F41" w:rsidRPr="00092DA3" w:rsidRDefault="00B349C0" w:rsidP="00B349C0">
      <w:r w:rsidRPr="00092DA3">
        <w:t>Where NBN Co concludes that a development is not in its fixed line footprint (i.e. is not to be serviced by fixed line infrastructure), it must notify the Department of Communications, the new developments adjudicator, the relevant developer and Telstra (as the alternative IPOLR and universal service provider) within five calendar days</w:t>
      </w:r>
      <w:r w:rsidR="00323F91" w:rsidRPr="00092DA3">
        <w:t xml:space="preserve"> of its decision</w:t>
      </w:r>
      <w:r w:rsidRPr="00092DA3">
        <w:t>.</w:t>
      </w:r>
      <w:r w:rsidR="00E53A0E">
        <w:t xml:space="preserve"> </w:t>
      </w:r>
      <w:r w:rsidR="00640F41" w:rsidRPr="00092DA3">
        <w:t xml:space="preserve">Either Telstra or the Department of Communications can raise such a classification with the new developments adjudicator within five </w:t>
      </w:r>
      <w:r w:rsidR="00323F91" w:rsidRPr="00092DA3">
        <w:t xml:space="preserve">calendar </w:t>
      </w:r>
      <w:r w:rsidR="00640F41" w:rsidRPr="00092DA3">
        <w:t>days of receiving notification, seeking an alternative classification.</w:t>
      </w:r>
      <w:r w:rsidR="00E53A0E">
        <w:t xml:space="preserve"> </w:t>
      </w:r>
      <w:r w:rsidR="00640F41" w:rsidRPr="00092DA3">
        <w:t>The adjudicator will have in place a timely mechanism for the resolution of such matters.</w:t>
      </w:r>
      <w:r w:rsidR="00E53A0E">
        <w:t xml:space="preserve"> </w:t>
      </w:r>
    </w:p>
    <w:p w14:paraId="0423A9C2" w14:textId="202DA2BD" w:rsidR="00B349C0" w:rsidRPr="00092DA3" w:rsidRDefault="00640F41" w:rsidP="00B349C0">
      <w:r w:rsidRPr="00092DA3">
        <w:t xml:space="preserve">NBN Co will </w:t>
      </w:r>
      <w:r w:rsidR="004A7A19">
        <w:t>establish and maintain an up</w:t>
      </w:r>
      <w:r w:rsidRPr="00092DA3">
        <w:t xml:space="preserve">-to-date register of developments it has determined </w:t>
      </w:r>
      <w:r w:rsidR="004C00D6">
        <w:t>are</w:t>
      </w:r>
      <w:r w:rsidRPr="00092DA3">
        <w:t xml:space="preserve"> not in its fixed line footprint (i.e. </w:t>
      </w:r>
      <w:r w:rsidR="004C00D6">
        <w:t>they are</w:t>
      </w:r>
      <w:r w:rsidR="004C00D6" w:rsidRPr="00092DA3">
        <w:t xml:space="preserve"> </w:t>
      </w:r>
      <w:r w:rsidRPr="00092DA3">
        <w:t xml:space="preserve">not to be serviced by fixed line infrastructure), with the register reflecting any changes brought about by decisions of the adjudicator. </w:t>
      </w:r>
    </w:p>
    <w:p w14:paraId="6734221C" w14:textId="201FAD67" w:rsidR="005453CD" w:rsidRPr="00092DA3" w:rsidRDefault="005453CD" w:rsidP="00866768">
      <w:r w:rsidRPr="00092DA3">
        <w:t xml:space="preserve">Telstra may raise with NBN Co </w:t>
      </w:r>
      <w:r w:rsidR="00757F97" w:rsidRPr="00092DA3">
        <w:t xml:space="preserve">or </w:t>
      </w:r>
      <w:r w:rsidR="00640F41" w:rsidRPr="00092DA3">
        <w:t xml:space="preserve">the adjudicator </w:t>
      </w:r>
      <w:r w:rsidRPr="00092DA3">
        <w:t>development</w:t>
      </w:r>
      <w:r w:rsidR="006516B6" w:rsidRPr="00092DA3">
        <w:t>s</w:t>
      </w:r>
      <w:r w:rsidRPr="00092DA3">
        <w:t xml:space="preserve"> of less than 100 lots referred to it as IPOLR where it considers they are rightfully served by NBN Co under the policy or where it considers </w:t>
      </w:r>
      <w:r w:rsidR="00640F41" w:rsidRPr="00092DA3">
        <w:t>they would be more cost effectively serviced by NBN Co, in the context of the general principles set out above and the progress of the rollout of the NBN</w:t>
      </w:r>
      <w:r w:rsidRPr="00092DA3">
        <w:t>.</w:t>
      </w:r>
      <w:r w:rsidR="00E53A0E">
        <w:t xml:space="preserve"> </w:t>
      </w:r>
      <w:r w:rsidR="00757F97" w:rsidRPr="00092DA3">
        <w:t>The adjudicator will have in place a timely mechanism for the resolution of such matters.</w:t>
      </w:r>
      <w:r w:rsidR="00E53A0E">
        <w:t xml:space="preserve"> </w:t>
      </w:r>
    </w:p>
    <w:p w14:paraId="560D7392" w14:textId="77777777" w:rsidR="00DF1337" w:rsidRPr="00092DA3" w:rsidRDefault="00757F97" w:rsidP="009A07F7">
      <w:r w:rsidRPr="00092DA3">
        <w:t>O</w:t>
      </w:r>
      <w:r w:rsidR="00442A1C" w:rsidRPr="00092DA3">
        <w:t xml:space="preserve">utside NBN </w:t>
      </w:r>
      <w:proofErr w:type="spellStart"/>
      <w:r w:rsidR="00442A1C" w:rsidRPr="00092DA3">
        <w:t>Co</w:t>
      </w:r>
      <w:r w:rsidR="00D92857" w:rsidRPr="00092DA3">
        <w:t>’s</w:t>
      </w:r>
      <w:proofErr w:type="spellEnd"/>
      <w:r w:rsidR="00442A1C" w:rsidRPr="00092DA3">
        <w:t xml:space="preserve"> fixed line footprint, </w:t>
      </w:r>
      <w:r w:rsidRPr="00092DA3">
        <w:t xml:space="preserve">the Government encourages providers </w:t>
      </w:r>
      <w:r w:rsidR="00323F91" w:rsidRPr="00092DA3">
        <w:t>to</w:t>
      </w:r>
      <w:r w:rsidRPr="00092DA3">
        <w:t xml:space="preserve"> look at opportunities for maximising the efficient delivery of services and </w:t>
      </w:r>
      <w:r w:rsidR="00442A1C" w:rsidRPr="00092DA3">
        <w:t>optimising the long term experience for consumers</w:t>
      </w:r>
      <w:r w:rsidRPr="00092DA3">
        <w:t>.</w:t>
      </w:r>
    </w:p>
    <w:p w14:paraId="5D179B5A" w14:textId="77777777" w:rsidR="009A07F7" w:rsidRPr="00092DA3" w:rsidRDefault="009A2A7A" w:rsidP="009A07F7">
      <w:pPr>
        <w:pStyle w:val="Heading2"/>
      </w:pPr>
      <w:bookmarkStart w:id="85" w:name="_Toc416175181"/>
      <w:bookmarkStart w:id="86" w:name="_Toc60751289"/>
      <w:r w:rsidRPr="00092DA3">
        <w:t>Use of alternative networks</w:t>
      </w:r>
      <w:bookmarkEnd w:id="85"/>
      <w:bookmarkEnd w:id="86"/>
    </w:p>
    <w:p w14:paraId="6DAFBA70" w14:textId="1C70DF21" w:rsidR="000E514C" w:rsidRPr="001F2208" w:rsidRDefault="009A07F7" w:rsidP="00041250">
      <w:pPr>
        <w:pStyle w:val="BodyText"/>
      </w:pPr>
      <w:r w:rsidRPr="00092DA3">
        <w:t xml:space="preserve">Both NBN Co and Telstra can seek to use alternative providers’ networks to fulfil </w:t>
      </w:r>
      <w:r w:rsidR="000E514C" w:rsidRPr="00092DA3">
        <w:t xml:space="preserve">their provider of last resort </w:t>
      </w:r>
      <w:r w:rsidRPr="00092DA3">
        <w:t>obligations, either by seeking access to th</w:t>
      </w:r>
      <w:r w:rsidR="009E6B48">
        <w:t>ose networks</w:t>
      </w:r>
      <w:r w:rsidRPr="00092DA3">
        <w:t xml:space="preserve"> on a commercial basis (or regulated basis</w:t>
      </w:r>
      <w:r w:rsidR="003C388F" w:rsidRPr="00092DA3">
        <w:t>,</w:t>
      </w:r>
      <w:r w:rsidRPr="00092DA3">
        <w:t xml:space="preserve"> if subject to regulation) or by contracting the provider to fulfil th</w:t>
      </w:r>
      <w:r w:rsidR="00045E43">
        <w:t>e obligations on their behalf.</w:t>
      </w:r>
    </w:p>
    <w:p w14:paraId="0990465D" w14:textId="6C027248" w:rsidR="009A07F7" w:rsidRPr="00092DA3" w:rsidRDefault="004A7A19" w:rsidP="00041250">
      <w:pPr>
        <w:pStyle w:val="BodyText"/>
        <w:rPr>
          <w:b/>
        </w:rPr>
      </w:pPr>
      <w:r>
        <w:t>T</w:t>
      </w:r>
      <w:r w:rsidR="009A07F7" w:rsidRPr="00092DA3">
        <w:t xml:space="preserve">he Government </w:t>
      </w:r>
      <w:r w:rsidR="00D92857" w:rsidRPr="00092DA3">
        <w:t>may</w:t>
      </w:r>
      <w:r w:rsidR="009A07F7" w:rsidRPr="00092DA3">
        <w:t xml:space="preserve"> </w:t>
      </w:r>
      <w:r>
        <w:t xml:space="preserve">also </w:t>
      </w:r>
      <w:r w:rsidR="00A477F4" w:rsidRPr="00092DA3">
        <w:t>use</w:t>
      </w:r>
      <w:r w:rsidR="009A07F7" w:rsidRPr="00092DA3">
        <w:t xml:space="preserve"> carrier licence conditions </w:t>
      </w:r>
      <w:r w:rsidR="00A477F4" w:rsidRPr="00092DA3">
        <w:t xml:space="preserve">to require </w:t>
      </w:r>
      <w:r>
        <w:t>alternative providers</w:t>
      </w:r>
      <w:r w:rsidR="00A477F4" w:rsidRPr="00092DA3">
        <w:t xml:space="preserve"> to </w:t>
      </w:r>
      <w:r w:rsidR="009A07F7" w:rsidRPr="00092DA3">
        <w:t>servic</w:t>
      </w:r>
      <w:r w:rsidR="00A477F4" w:rsidRPr="00092DA3">
        <w:t xml:space="preserve">e additional areas </w:t>
      </w:r>
      <w:r>
        <w:t xml:space="preserve">beyond those they are contracted to service </w:t>
      </w:r>
      <w:r w:rsidR="00A477F4" w:rsidRPr="00092DA3">
        <w:t>where this is more cost-effective than other approaches</w:t>
      </w:r>
      <w:r w:rsidR="004C00D6">
        <w:t>.</w:t>
      </w:r>
    </w:p>
    <w:p w14:paraId="7EE81202" w14:textId="6B7C9E4D" w:rsidR="009A07F7" w:rsidRPr="00092DA3" w:rsidRDefault="009A07F7" w:rsidP="009A07F7">
      <w:pPr>
        <w:pStyle w:val="Heading2"/>
      </w:pPr>
      <w:bookmarkStart w:id="87" w:name="_Toc416175182"/>
      <w:bookmarkStart w:id="88" w:name="_Toc416175732"/>
      <w:bookmarkStart w:id="89" w:name="_Toc416175980"/>
      <w:bookmarkStart w:id="90" w:name="_Toc416176059"/>
      <w:bookmarkStart w:id="91" w:name="_Toc416176205"/>
      <w:bookmarkStart w:id="92" w:name="_Toc416175183"/>
      <w:bookmarkStart w:id="93" w:name="_Toc60751290"/>
      <w:bookmarkEnd w:id="87"/>
      <w:bookmarkEnd w:id="88"/>
      <w:bookmarkEnd w:id="89"/>
      <w:bookmarkEnd w:id="90"/>
      <w:bookmarkEnd w:id="91"/>
      <w:r w:rsidRPr="00092DA3">
        <w:t>Co-ordination between providers</w:t>
      </w:r>
      <w:bookmarkEnd w:id="92"/>
      <w:bookmarkEnd w:id="93"/>
    </w:p>
    <w:p w14:paraId="2807C7B8" w14:textId="77777777" w:rsidR="009A07F7" w:rsidRPr="00092DA3" w:rsidRDefault="009A07F7" w:rsidP="00041250">
      <w:pPr>
        <w:pStyle w:val="BodyText"/>
        <w:rPr>
          <w:b/>
        </w:rPr>
      </w:pPr>
      <w:r w:rsidRPr="00092DA3">
        <w:t>Under telecommunications law and Telstra’s Universal Service Agreement with the Commonwealth, Telstra is responsible for providing a standard telephone service upon reasonable request across Australia.</w:t>
      </w:r>
    </w:p>
    <w:p w14:paraId="4D85B463" w14:textId="01259F56" w:rsidR="009A07F7" w:rsidRPr="00092DA3" w:rsidRDefault="009A07F7" w:rsidP="00041250">
      <w:pPr>
        <w:pStyle w:val="BodyText"/>
        <w:rPr>
          <w:b/>
        </w:rPr>
      </w:pPr>
      <w:r w:rsidRPr="00092DA3">
        <w:t>Generally Telstra can use whatever infrastructure it wishes to provide this service.</w:t>
      </w:r>
      <w:r w:rsidR="00E53A0E">
        <w:t xml:space="preserve"> </w:t>
      </w:r>
      <w:r w:rsidRPr="00092DA3">
        <w:t xml:space="preserve">In NBN </w:t>
      </w:r>
      <w:proofErr w:type="spellStart"/>
      <w:r w:rsidRPr="00092DA3">
        <w:t>Co’s</w:t>
      </w:r>
      <w:proofErr w:type="spellEnd"/>
      <w:r w:rsidRPr="00092DA3">
        <w:t xml:space="preserve"> fixed line footprint, Telstra </w:t>
      </w:r>
      <w:r w:rsidR="004A7A19">
        <w:t xml:space="preserve">will be </w:t>
      </w:r>
      <w:r w:rsidRPr="00092DA3">
        <w:t>structurally separated and expected to use the NBN.</w:t>
      </w:r>
      <w:r w:rsidR="00E53A0E">
        <w:t xml:space="preserve"> </w:t>
      </w:r>
      <w:r w:rsidRPr="00092DA3">
        <w:t>In the NBN fixed wireless and satellite footprint</w:t>
      </w:r>
      <w:r w:rsidR="004C00D6">
        <w:t>,</w:t>
      </w:r>
      <w:r w:rsidRPr="00092DA3">
        <w:t xml:space="preserve"> Telstra must continue to provide infrastructure (e.g. copper networks where available or terrestrial wireless).</w:t>
      </w:r>
    </w:p>
    <w:p w14:paraId="1D660BF0" w14:textId="3EB3820A" w:rsidR="009A07F7" w:rsidRPr="00092DA3" w:rsidRDefault="009A07F7" w:rsidP="00041250">
      <w:pPr>
        <w:pStyle w:val="BodyText"/>
        <w:rPr>
          <w:b/>
        </w:rPr>
      </w:pPr>
      <w:r w:rsidRPr="00092DA3">
        <w:t xml:space="preserve">Where new developments are outside NBN </w:t>
      </w:r>
      <w:proofErr w:type="spellStart"/>
      <w:r w:rsidRPr="00092DA3">
        <w:t>Co’s</w:t>
      </w:r>
      <w:proofErr w:type="spellEnd"/>
      <w:r w:rsidRPr="00092DA3">
        <w:t xml:space="preserve"> fixed line footprint, the possibility arises that they could be serviced by two networks – one provided by Telstra for voice services and the other by NBN Co or another network provider for broadband.</w:t>
      </w:r>
      <w:r w:rsidR="00E53A0E">
        <w:t xml:space="preserve"> </w:t>
      </w:r>
      <w:r w:rsidRPr="00092DA3">
        <w:t>Such an outcome may not be efficient.</w:t>
      </w:r>
      <w:r w:rsidR="00E53A0E">
        <w:t xml:space="preserve"> </w:t>
      </w:r>
      <w:r w:rsidRPr="00092DA3">
        <w:t>To promote economically efficient outcomes in such situations, the Government proposes to permit Telstra, NBN Co and other providers to co-ordina</w:t>
      </w:r>
      <w:r w:rsidR="00045E43">
        <w:t>te provision of infrastructure.</w:t>
      </w:r>
    </w:p>
    <w:p w14:paraId="6EE4C516" w14:textId="4EF97BCD" w:rsidR="009A07F7" w:rsidRPr="00092DA3" w:rsidRDefault="009A07F7" w:rsidP="00041250">
      <w:pPr>
        <w:pStyle w:val="BodyText"/>
        <w:rPr>
          <w:b/>
        </w:rPr>
      </w:pPr>
      <w:r w:rsidRPr="00092DA3">
        <w:t>This could take the form of a co-ordination forum where Telstra, NBN Co and other providers discuss how particular developments outside the NBN fixed line footprint should be serviced, particularly where they are close to the edge of the footprint.</w:t>
      </w:r>
      <w:r w:rsidR="00E53A0E">
        <w:t xml:space="preserve"> </w:t>
      </w:r>
      <w:r w:rsidRPr="00092DA3">
        <w:t xml:space="preserve">The forum could also resolve responsibility for sub-100 lot infill developments, where conflicts sometimes arise as to how they are </w:t>
      </w:r>
      <w:r w:rsidR="000E514C" w:rsidRPr="00092DA3">
        <w:t xml:space="preserve">best </w:t>
      </w:r>
      <w:r w:rsidRPr="00092DA3">
        <w:t>served.</w:t>
      </w:r>
    </w:p>
    <w:p w14:paraId="5969C118" w14:textId="6A15570A" w:rsidR="009A07F7" w:rsidRPr="00092DA3" w:rsidRDefault="009A07F7" w:rsidP="00041250">
      <w:pPr>
        <w:pStyle w:val="BodyText"/>
      </w:pPr>
      <w:r w:rsidRPr="00092DA3">
        <w:t>In the first instance the Government envisages involved parties seeking any necessary authorisation from the ACCC.</w:t>
      </w:r>
      <w:r w:rsidR="00E53A0E">
        <w:t xml:space="preserve"> </w:t>
      </w:r>
      <w:r w:rsidRPr="00092DA3">
        <w:t>If necessary, however, the Government is open to providing statutory cover to authorise industry co-ordination to the extent it is required and does not harm competition.</w:t>
      </w:r>
    </w:p>
    <w:p w14:paraId="4921A955" w14:textId="160B8F27" w:rsidR="000E514C" w:rsidRPr="00092DA3" w:rsidRDefault="007021B1" w:rsidP="00041250">
      <w:pPr>
        <w:pStyle w:val="BodyText"/>
      </w:pPr>
      <w:r w:rsidRPr="00092DA3">
        <w:t xml:space="preserve">At a minimum, </w:t>
      </w:r>
      <w:r w:rsidR="00973232" w:rsidRPr="00092DA3">
        <w:t>as noted above</w:t>
      </w:r>
      <w:r w:rsidR="00323F91" w:rsidRPr="00092DA3">
        <w:t>,</w:t>
      </w:r>
      <w:r w:rsidR="00973232" w:rsidRPr="00092DA3">
        <w:t xml:space="preserve"> </w:t>
      </w:r>
      <w:r w:rsidRPr="00092DA3">
        <w:t xml:space="preserve">NBN Co will need to notify Telstra </w:t>
      </w:r>
      <w:r w:rsidR="00973232" w:rsidRPr="00092DA3">
        <w:t xml:space="preserve">and others </w:t>
      </w:r>
      <w:r w:rsidRPr="00092DA3">
        <w:t xml:space="preserve">where </w:t>
      </w:r>
      <w:r w:rsidR="00973232" w:rsidRPr="00092DA3">
        <w:t xml:space="preserve">it has decided that a development is not in its long term fixed line footprint and will not be serviced with fixed line infrastructure. That is, </w:t>
      </w:r>
      <w:r w:rsidR="004C00D6">
        <w:t>notification is required when a</w:t>
      </w:r>
      <w:r w:rsidRPr="00092DA3">
        <w:t xml:space="preserve"> decision has been made to service a new development with fixed wireless or satellite technology.</w:t>
      </w:r>
    </w:p>
    <w:p w14:paraId="2B6A0622" w14:textId="6BE88F07" w:rsidR="007021B1" w:rsidRPr="00092DA3" w:rsidRDefault="000E514C" w:rsidP="00041250">
      <w:pPr>
        <w:pStyle w:val="BodyText"/>
        <w:rPr>
          <w:b/>
        </w:rPr>
      </w:pPr>
      <w:r w:rsidRPr="00092DA3">
        <w:t>As noted above, if these matters cannot be co-ordinated, there will also be recourse to an adjudicator established by the Communications Alliance.</w:t>
      </w:r>
    </w:p>
    <w:p w14:paraId="1D7A218B" w14:textId="77777777" w:rsidR="009A07F7" w:rsidRPr="00092DA3" w:rsidRDefault="009A07F7" w:rsidP="009A07F7">
      <w:pPr>
        <w:pStyle w:val="Heading2"/>
      </w:pPr>
      <w:bookmarkStart w:id="94" w:name="_Toc416175184"/>
      <w:bookmarkStart w:id="95" w:name="_Toc60751291"/>
      <w:r w:rsidRPr="00092DA3">
        <w:t>Pit and pipe specifications</w:t>
      </w:r>
      <w:bookmarkEnd w:id="94"/>
      <w:bookmarkEnd w:id="95"/>
    </w:p>
    <w:p w14:paraId="71658724" w14:textId="0A22229C" w:rsidR="009A07F7" w:rsidRPr="00092DA3" w:rsidRDefault="009A07F7" w:rsidP="009A07F7">
      <w:r w:rsidRPr="00092DA3">
        <w:t xml:space="preserve">As noted </w:t>
      </w:r>
      <w:r w:rsidR="0015012D" w:rsidRPr="00092DA3">
        <w:t xml:space="preserve">above, </w:t>
      </w:r>
      <w:r w:rsidRPr="00092DA3">
        <w:t>developers remain responsible for meeting the cost of pit and pipe infrastructure. IPOLRs and carriers are not expected to service a new development in the fixed line footprint unless pit and pipe is provided by the developer or they have agreed to other arrangements (e.g. a turnkey solution).</w:t>
      </w:r>
      <w:r w:rsidR="00E53A0E">
        <w:t xml:space="preserve"> </w:t>
      </w:r>
      <w:r w:rsidRPr="00092DA3">
        <w:t xml:space="preserve">Moreover Part 20A of the </w:t>
      </w:r>
      <w:r w:rsidRPr="00092DA3">
        <w:rPr>
          <w:i/>
        </w:rPr>
        <w:t>Telecommunications Act 1997</w:t>
      </w:r>
      <w:r w:rsidRPr="00092DA3">
        <w:t xml:space="preserve"> </w:t>
      </w:r>
      <w:r w:rsidR="0015012D" w:rsidRPr="00092DA3">
        <w:t xml:space="preserve">obliges </w:t>
      </w:r>
      <w:r w:rsidRPr="00092DA3">
        <w:t>constitutional corporations involved in new developments to ensure fibre-re</w:t>
      </w:r>
      <w:r w:rsidR="00045E43">
        <w:t>ady pit and pipe is installed.</w:t>
      </w:r>
    </w:p>
    <w:p w14:paraId="5EFE7260" w14:textId="57BBFD19" w:rsidR="009A07F7" w:rsidRPr="00092DA3" w:rsidRDefault="0015012D" w:rsidP="009A07F7">
      <w:r w:rsidRPr="00092DA3">
        <w:t>Under this policy d</w:t>
      </w:r>
      <w:r w:rsidR="009A07F7" w:rsidRPr="00092DA3">
        <w:t>evelopers continue to be free to source pit and pipe from independent contractors (i.e. non</w:t>
      </w:r>
      <w:r w:rsidR="00DF1337" w:rsidRPr="00092DA3">
        <w:t>-</w:t>
      </w:r>
      <w:r w:rsidR="009A07F7" w:rsidRPr="00092DA3">
        <w:t>carriers) with a view to keeping costs down.</w:t>
      </w:r>
      <w:r w:rsidR="00E53A0E">
        <w:t xml:space="preserve"> </w:t>
      </w:r>
      <w:r w:rsidR="009A07F7" w:rsidRPr="00092DA3">
        <w:t xml:space="preserve">Equally carriers </w:t>
      </w:r>
      <w:r w:rsidRPr="00092DA3">
        <w:t xml:space="preserve">can </w:t>
      </w:r>
      <w:r w:rsidR="009A07F7" w:rsidRPr="00092DA3">
        <w:t>choose to provide pit and pipe as part of turnkey packages or other solutions</w:t>
      </w:r>
      <w:r w:rsidRPr="00092DA3">
        <w:t>, as they always have been able to do</w:t>
      </w:r>
      <w:r w:rsidR="009A07F7" w:rsidRPr="00092DA3">
        <w:t>.</w:t>
      </w:r>
    </w:p>
    <w:p w14:paraId="6276C848" w14:textId="6CB34BF5" w:rsidR="009A07F7" w:rsidRPr="00092DA3" w:rsidRDefault="009A07F7" w:rsidP="009A07F7">
      <w:r w:rsidRPr="00092DA3">
        <w:t xml:space="preserve">Where a developer contracts a carrier to provide a turnkey solution or works closely with the carrier in providing the pit and pipe, it is generally sufficient for the developer to follow the carrier’s </w:t>
      </w:r>
      <w:r w:rsidR="0015012D" w:rsidRPr="00092DA3">
        <w:t xml:space="preserve">pit and pipe </w:t>
      </w:r>
      <w:r w:rsidRPr="00092DA3">
        <w:t>specifications.</w:t>
      </w:r>
      <w:r w:rsidR="00E53A0E">
        <w:t xml:space="preserve"> </w:t>
      </w:r>
      <w:r w:rsidRPr="00092DA3">
        <w:t>This will particularly be the case where the carrier is subject to a licence condition</w:t>
      </w:r>
      <w:r w:rsidR="0015012D" w:rsidRPr="00092DA3">
        <w:t xml:space="preserve"> in relation to servicing new </w:t>
      </w:r>
      <w:r w:rsidR="006108B5" w:rsidRPr="00092DA3">
        <w:t>developments</w:t>
      </w:r>
      <w:r w:rsidRPr="00092DA3">
        <w:t>.</w:t>
      </w:r>
      <w:r w:rsidR="00E53A0E">
        <w:t xml:space="preserve"> </w:t>
      </w:r>
      <w:r w:rsidRPr="00092DA3">
        <w:t xml:space="preserve">For example, alternative </w:t>
      </w:r>
      <w:r w:rsidR="0015012D" w:rsidRPr="00092DA3">
        <w:t xml:space="preserve">carriers </w:t>
      </w:r>
      <w:r w:rsidRPr="00092DA3">
        <w:t>generally have their own specifications and NBN Co has its own.</w:t>
      </w:r>
      <w:r w:rsidR="00E53A0E">
        <w:t xml:space="preserve"> </w:t>
      </w:r>
      <w:r w:rsidRPr="00092DA3">
        <w:t>Telstra requires developers to follow</w:t>
      </w:r>
      <w:r w:rsidR="007021B1" w:rsidRPr="00092DA3">
        <w:t xml:space="preserve"> the Communications Alliance Industry Guideline, </w:t>
      </w:r>
      <w:r w:rsidR="007021B1" w:rsidRPr="00092DA3">
        <w:rPr>
          <w:i/>
        </w:rPr>
        <w:t xml:space="preserve">Fibre Ready Pit and Pipe Specification for Real Estate Development Projects </w:t>
      </w:r>
      <w:r w:rsidR="007021B1" w:rsidRPr="00092DA3">
        <w:t>(G645:2011)</w:t>
      </w:r>
      <w:r w:rsidR="00DF1337" w:rsidRPr="00092DA3">
        <w:t>.</w:t>
      </w:r>
      <w:r w:rsidR="007021B1" w:rsidRPr="00092DA3">
        <w:rPr>
          <w:rStyle w:val="FootnoteReference"/>
        </w:rPr>
        <w:footnoteReference w:id="16"/>
      </w:r>
      <w:r w:rsidR="00E53A0E">
        <w:t xml:space="preserve"> </w:t>
      </w:r>
      <w:r w:rsidRPr="00092DA3">
        <w:t>Working closely with the carrier will also minimise issues and costs with compliance/conformance and acceptance of the pit and pipe by the carrier.</w:t>
      </w:r>
      <w:r w:rsidR="00E53A0E">
        <w:t xml:space="preserve"> </w:t>
      </w:r>
    </w:p>
    <w:p w14:paraId="01EE5238" w14:textId="326D00B8" w:rsidR="009A07F7" w:rsidRPr="00092DA3" w:rsidRDefault="009A07F7" w:rsidP="009A07F7">
      <w:r w:rsidRPr="00092DA3">
        <w:t>However, if a developer wants to source pit and pipe from an independent contractor, it is important that there are clear specifications to follow to ensure facilities of an appropriate standard are installed.</w:t>
      </w:r>
    </w:p>
    <w:p w14:paraId="2ED4DC93" w14:textId="071D3BE7" w:rsidR="009A07F7" w:rsidRPr="00092DA3" w:rsidRDefault="007021B1" w:rsidP="009A07F7">
      <w:r w:rsidRPr="00092DA3">
        <w:t xml:space="preserve">While the </w:t>
      </w:r>
      <w:r w:rsidR="009A07F7" w:rsidRPr="00092DA3">
        <w:t xml:space="preserve">Communications Alliance </w:t>
      </w:r>
      <w:r w:rsidRPr="00092DA3">
        <w:t xml:space="preserve">has </w:t>
      </w:r>
      <w:r w:rsidR="009A07F7" w:rsidRPr="00092DA3">
        <w:t xml:space="preserve">released industry guidelines on pit and pipe specifications </w:t>
      </w:r>
      <w:r w:rsidRPr="00092DA3">
        <w:t>as noted above</w:t>
      </w:r>
      <w:r w:rsidR="009A07F7" w:rsidRPr="00092DA3">
        <w:t>, these are not mandatory and do not provide an adequate benchmark for non-carriers.</w:t>
      </w:r>
      <w:r w:rsidR="00E53A0E">
        <w:t xml:space="preserve"> </w:t>
      </w:r>
    </w:p>
    <w:p w14:paraId="371ED004" w14:textId="2A0E8E2B" w:rsidR="009A07F7" w:rsidRPr="00092DA3" w:rsidRDefault="009A07F7" w:rsidP="009A07F7">
      <w:r w:rsidRPr="00092DA3">
        <w:t xml:space="preserve">To resolve this issue, NBN Co </w:t>
      </w:r>
      <w:r w:rsidR="003B41C5" w:rsidRPr="00092DA3">
        <w:t xml:space="preserve">is to work with developers and other stakeholders </w:t>
      </w:r>
      <w:r w:rsidRPr="00092DA3">
        <w:t xml:space="preserve">to simplify its </w:t>
      </w:r>
      <w:r w:rsidR="003B41C5" w:rsidRPr="00092DA3">
        <w:t xml:space="preserve">pit and pipe </w:t>
      </w:r>
      <w:r w:rsidRPr="00092DA3">
        <w:t xml:space="preserve">specification with the aim that it be promulgated as the default industry standard which non-carriers would need to follow. </w:t>
      </w:r>
      <w:r w:rsidR="00FD09E9" w:rsidRPr="00092DA3">
        <w:t xml:space="preserve">A working group is to be established for this purpose. </w:t>
      </w:r>
      <w:r w:rsidR="003B41C5" w:rsidRPr="00092DA3">
        <w:t>Preferably t</w:t>
      </w:r>
      <w:r w:rsidRPr="00092DA3">
        <w:t xml:space="preserve">he standard </w:t>
      </w:r>
      <w:r w:rsidR="003B41C5" w:rsidRPr="00092DA3">
        <w:t xml:space="preserve">will </w:t>
      </w:r>
      <w:r w:rsidRPr="00092DA3">
        <w:t>include a</w:t>
      </w:r>
      <w:r w:rsidR="007021B1" w:rsidRPr="00092DA3">
        <w:t xml:space="preserve"> requirement that express conduits be provided. </w:t>
      </w:r>
      <w:r w:rsidR="003B41C5" w:rsidRPr="00092DA3">
        <w:t xml:space="preserve">If necessary, the simplified specification will also </w:t>
      </w:r>
      <w:r w:rsidR="007021B1" w:rsidRPr="00092DA3">
        <w:t>include an</w:t>
      </w:r>
      <w:r w:rsidRPr="00092DA3">
        <w:t xml:space="preserve"> exemption permitting </w:t>
      </w:r>
      <w:r w:rsidR="003B41C5" w:rsidRPr="00092DA3">
        <w:t xml:space="preserve">other </w:t>
      </w:r>
      <w:r w:rsidRPr="00092DA3">
        <w:t>licensed carriers servicing new developments under the carrier licence condition to diverge from these specifications where they have their own established alternative</w:t>
      </w:r>
      <w:r w:rsidR="003B41C5" w:rsidRPr="00092DA3">
        <w:t xml:space="preserve"> specifications</w:t>
      </w:r>
      <w:r w:rsidRPr="00092DA3">
        <w:t xml:space="preserve"> </w:t>
      </w:r>
      <w:r w:rsidR="003B41C5" w:rsidRPr="00092DA3">
        <w:t>that</w:t>
      </w:r>
      <w:r w:rsidRPr="00092DA3">
        <w:t xml:space="preserve"> comply with </w:t>
      </w:r>
      <w:r w:rsidR="003B41C5" w:rsidRPr="00092DA3">
        <w:t xml:space="preserve">wider </w:t>
      </w:r>
      <w:r w:rsidRPr="00092DA3">
        <w:t>industry guid</w:t>
      </w:r>
      <w:r w:rsidR="003B41C5" w:rsidRPr="00092DA3">
        <w:t>ance, whether voluntary or mandatory</w:t>
      </w:r>
      <w:r w:rsidR="007E3BED" w:rsidRPr="00092DA3">
        <w:t>, published by the Communications Alliance</w:t>
      </w:r>
      <w:r w:rsidR="00045E43">
        <w:t>.</w:t>
      </w:r>
    </w:p>
    <w:p w14:paraId="341F076A" w14:textId="4313308F" w:rsidR="009A07F7" w:rsidRPr="00092DA3" w:rsidRDefault="00734ED1" w:rsidP="009A07F7">
      <w:r w:rsidRPr="00092DA3">
        <w:t>If the</w:t>
      </w:r>
      <w:r w:rsidR="009A07F7" w:rsidRPr="00092DA3">
        <w:t xml:space="preserve"> Communications Alliance put</w:t>
      </w:r>
      <w:r w:rsidR="0091028B" w:rsidRPr="00092DA3">
        <w:t>s</w:t>
      </w:r>
      <w:r w:rsidR="009A07F7" w:rsidRPr="00092DA3">
        <w:t xml:space="preserve"> in place comparable, effective</w:t>
      </w:r>
      <w:r w:rsidR="004A7A19">
        <w:t>,</w:t>
      </w:r>
      <w:r w:rsidR="009A07F7" w:rsidRPr="00092DA3">
        <w:t xml:space="preserve"> industry-based arrangements</w:t>
      </w:r>
      <w:r w:rsidR="00DF1337" w:rsidRPr="00092DA3">
        <w:t xml:space="preserve"> for pit and pipe</w:t>
      </w:r>
      <w:r w:rsidR="009A07F7" w:rsidRPr="00092DA3">
        <w:t xml:space="preserve">, the Minister </w:t>
      </w:r>
      <w:r w:rsidR="0091028B" w:rsidRPr="00092DA3">
        <w:t xml:space="preserve">will </w:t>
      </w:r>
      <w:r w:rsidR="009A07F7" w:rsidRPr="00092DA3">
        <w:t>defer to these arrangements.</w:t>
      </w:r>
    </w:p>
    <w:p w14:paraId="256C3ECF" w14:textId="523AA67B" w:rsidR="009A07F7" w:rsidRPr="00092DA3" w:rsidRDefault="009A07F7" w:rsidP="009A07F7">
      <w:r w:rsidRPr="00092DA3">
        <w:t>NBN Co will also review its guidance and processes for the acceptance of third party pit and pipe with a view to reducing costs in this area.</w:t>
      </w:r>
    </w:p>
    <w:p w14:paraId="44B241BF" w14:textId="2F118FEE" w:rsidR="009A07F7" w:rsidRPr="00092DA3" w:rsidRDefault="009A07F7" w:rsidP="009A07F7">
      <w:r w:rsidRPr="00092DA3">
        <w:t xml:space="preserve">The Government will </w:t>
      </w:r>
      <w:r w:rsidR="0091028B" w:rsidRPr="00092DA3">
        <w:t xml:space="preserve">review </w:t>
      </w:r>
      <w:r w:rsidRPr="00092DA3">
        <w:t xml:space="preserve">Part 20A and Schedule 3 of the </w:t>
      </w:r>
      <w:r w:rsidRPr="00092DA3">
        <w:rPr>
          <w:i/>
        </w:rPr>
        <w:t>Telecommunications Act 1997</w:t>
      </w:r>
      <w:r w:rsidRPr="00092DA3">
        <w:t xml:space="preserve"> </w:t>
      </w:r>
      <w:r w:rsidR="0091028B" w:rsidRPr="00092DA3">
        <w:t xml:space="preserve">with a view to amending them </w:t>
      </w:r>
      <w:r w:rsidRPr="00092DA3">
        <w:t>to:</w:t>
      </w:r>
    </w:p>
    <w:p w14:paraId="05911F39" w14:textId="77777777" w:rsidR="009A07F7" w:rsidRPr="00092DA3" w:rsidRDefault="009A07F7" w:rsidP="00041250">
      <w:pPr>
        <w:pStyle w:val="ListParagraph"/>
        <w:numPr>
          <w:ilvl w:val="0"/>
          <w:numId w:val="26"/>
        </w:numPr>
        <w:spacing w:before="0" w:after="200" w:line="276" w:lineRule="auto"/>
      </w:pPr>
      <w:r w:rsidRPr="00092DA3">
        <w:t>Require pit and pipe owners that are not carriers to maintain their pit and pipe.</w:t>
      </w:r>
    </w:p>
    <w:p w14:paraId="2B67713A" w14:textId="77777777" w:rsidR="009A07F7" w:rsidRPr="00092DA3" w:rsidRDefault="009A07F7" w:rsidP="00041250">
      <w:pPr>
        <w:pStyle w:val="ListParagraph"/>
        <w:numPr>
          <w:ilvl w:val="0"/>
          <w:numId w:val="26"/>
        </w:numPr>
        <w:spacing w:before="0" w:after="200" w:line="276" w:lineRule="auto"/>
      </w:pPr>
      <w:r w:rsidRPr="00092DA3">
        <w:t>Provide for certification of pit and pipe installed by developers.</w:t>
      </w:r>
    </w:p>
    <w:p w14:paraId="3A6F754B" w14:textId="3397B89D" w:rsidR="009A07F7" w:rsidRPr="00092DA3" w:rsidRDefault="009A07F7" w:rsidP="00041250">
      <w:pPr>
        <w:pStyle w:val="ListParagraph"/>
        <w:numPr>
          <w:ilvl w:val="0"/>
          <w:numId w:val="26"/>
        </w:numPr>
        <w:spacing w:before="0" w:after="200" w:line="276" w:lineRule="auto"/>
      </w:pPr>
      <w:r w:rsidRPr="00092DA3">
        <w:t xml:space="preserve">Ensure </w:t>
      </w:r>
      <w:r w:rsidR="00A147B0">
        <w:t xml:space="preserve">that network infrastructure transferred to a </w:t>
      </w:r>
      <w:r w:rsidRPr="00092DA3">
        <w:t xml:space="preserve">carrier </w:t>
      </w:r>
      <w:r w:rsidR="00A147B0">
        <w:t xml:space="preserve">attracts the same </w:t>
      </w:r>
      <w:r w:rsidRPr="00092DA3">
        <w:t xml:space="preserve">rights </w:t>
      </w:r>
      <w:r w:rsidR="00A147B0">
        <w:t xml:space="preserve">and immunities </w:t>
      </w:r>
      <w:r w:rsidRPr="00092DA3">
        <w:t xml:space="preserve">under Schedule 3 </w:t>
      </w:r>
      <w:r w:rsidR="00A147B0">
        <w:t xml:space="preserve">as if installed by a </w:t>
      </w:r>
      <w:r w:rsidRPr="00092DA3">
        <w:t>carrier.</w:t>
      </w:r>
    </w:p>
    <w:p w14:paraId="60F39310" w14:textId="77777777" w:rsidR="009A07F7" w:rsidRPr="00092DA3" w:rsidRDefault="009A07F7" w:rsidP="009A07F7">
      <w:pPr>
        <w:pStyle w:val="Heading2"/>
      </w:pPr>
      <w:bookmarkStart w:id="96" w:name="_Toc416175185"/>
      <w:bookmarkStart w:id="97" w:name="_Toc60751292"/>
      <w:r w:rsidRPr="00092DA3">
        <w:t>Voice service provision</w:t>
      </w:r>
      <w:bookmarkEnd w:id="96"/>
      <w:bookmarkEnd w:id="97"/>
    </w:p>
    <w:p w14:paraId="7B5DBE53" w14:textId="33C8B25A" w:rsidR="009A07F7" w:rsidRPr="00092DA3" w:rsidRDefault="009A07F7" w:rsidP="009A07F7">
      <w:r w:rsidRPr="00092DA3">
        <w:t xml:space="preserve">As noted above, Telstra has an ongoing obligation under law to provide </w:t>
      </w:r>
      <w:r w:rsidR="006C3DB1" w:rsidRPr="00092DA3">
        <w:t xml:space="preserve">reasonable </w:t>
      </w:r>
      <w:r w:rsidRPr="00092DA3">
        <w:t xml:space="preserve">access to a standard telephone service on </w:t>
      </w:r>
      <w:r w:rsidR="006C3DB1" w:rsidRPr="00092DA3">
        <w:t>an equitable basis</w:t>
      </w:r>
      <w:r w:rsidRPr="00092DA3">
        <w:t>.</w:t>
      </w:r>
      <w:r w:rsidR="00E53A0E">
        <w:t xml:space="preserve"> </w:t>
      </w:r>
      <w:r w:rsidRPr="00092DA3">
        <w:t>It receives a mix of government and industry funding to assist it in doing so.</w:t>
      </w:r>
    </w:p>
    <w:p w14:paraId="565B7D79" w14:textId="77777777" w:rsidR="009A07F7" w:rsidRPr="00092DA3" w:rsidRDefault="009A07F7" w:rsidP="009A07F7">
      <w:r w:rsidRPr="00092DA3">
        <w:t>Telstra will continue to be responsible for providing voice services under the USO. It will, however, have increased flexibility as to how it does this, and in instances where a suitable voice service is available from other providers there will be a relaxation of its obligations.</w:t>
      </w:r>
    </w:p>
    <w:p w14:paraId="0EE96699" w14:textId="77777777" w:rsidR="009A07F7" w:rsidRPr="00092DA3" w:rsidRDefault="009A07F7" w:rsidP="009A07F7">
      <w:r w:rsidRPr="00092DA3">
        <w:t>Where the fixed line NBN is ready for service, the Government expects that Telstra will use the NBN consistent with the Definitive Agreements.</w:t>
      </w:r>
    </w:p>
    <w:p w14:paraId="2B11B4AE" w14:textId="2E419B40" w:rsidR="009A07F7" w:rsidRPr="00092DA3" w:rsidRDefault="009A07F7" w:rsidP="009A07F7">
      <w:r w:rsidRPr="00092DA3">
        <w:t>Where the fixed line NBN is not yet rolled out or ready for service, it is open to Telstra to use its own or another network to deliver voice services.</w:t>
      </w:r>
      <w:r w:rsidR="00E53A0E">
        <w:t xml:space="preserve"> </w:t>
      </w:r>
      <w:r w:rsidRPr="00092DA3">
        <w:t>Where a development is serviced by an alternative network and voice services are already available, Telstra will have the option of not servicing the development, or servicing it with wireless technology.</w:t>
      </w:r>
      <w:r w:rsidR="00E53A0E">
        <w:t xml:space="preserve"> </w:t>
      </w:r>
      <w:r w:rsidRPr="00092DA3">
        <w:t>Where a developer has failed to install pit and pipe, Telstra will also have the option of providing voice services using wireless technology.</w:t>
      </w:r>
      <w:r w:rsidR="00E53A0E">
        <w:t xml:space="preserve"> </w:t>
      </w:r>
    </w:p>
    <w:p w14:paraId="614D3A6B" w14:textId="77777777" w:rsidR="0015012D" w:rsidRPr="00092DA3" w:rsidRDefault="00661470" w:rsidP="009A07F7">
      <w:pPr>
        <w:pStyle w:val="Heading2"/>
      </w:pPr>
      <w:bookmarkStart w:id="98" w:name="_Toc416175186"/>
      <w:bookmarkStart w:id="99" w:name="_Toc60751293"/>
      <w:r w:rsidRPr="00092DA3">
        <w:t xml:space="preserve">NBN </w:t>
      </w:r>
      <w:r w:rsidR="0015012D" w:rsidRPr="00092DA3">
        <w:t>support for broadcast</w:t>
      </w:r>
      <w:r w:rsidR="00FD09E9" w:rsidRPr="00092DA3">
        <w:t>ing</w:t>
      </w:r>
      <w:r w:rsidR="0015012D" w:rsidRPr="00092DA3">
        <w:t xml:space="preserve"> and other value-added </w:t>
      </w:r>
      <w:r w:rsidR="0091028B" w:rsidRPr="00092DA3">
        <w:t>services</w:t>
      </w:r>
      <w:bookmarkEnd w:id="98"/>
      <w:bookmarkEnd w:id="99"/>
    </w:p>
    <w:p w14:paraId="6AC71873" w14:textId="29BA45D9" w:rsidR="00E862BE" w:rsidRPr="00092DA3" w:rsidRDefault="00FD09E9" w:rsidP="00FD09E9">
      <w:r w:rsidRPr="00092DA3">
        <w:t>While there is strong demand in new developments for high-speed broadband and voice capability, there is also demand for other value-added service</w:t>
      </w:r>
      <w:r w:rsidR="00E862BE" w:rsidRPr="00092DA3">
        <w:t>s</w:t>
      </w:r>
      <w:r w:rsidRPr="00092DA3">
        <w:t xml:space="preserve"> </w:t>
      </w:r>
      <w:r w:rsidR="00E862BE" w:rsidRPr="00092DA3">
        <w:t>such as</w:t>
      </w:r>
      <w:r w:rsidRPr="00092DA3">
        <w:t xml:space="preserve"> the delivery of broadcasting services, </w:t>
      </w:r>
      <w:r w:rsidR="00E862BE" w:rsidRPr="00092DA3">
        <w:t xml:space="preserve">alarm, closed circuit television and other </w:t>
      </w:r>
      <w:r w:rsidRPr="00092DA3">
        <w:t xml:space="preserve">security systems, </w:t>
      </w:r>
      <w:r w:rsidR="00E862BE" w:rsidRPr="00092DA3">
        <w:t xml:space="preserve">and </w:t>
      </w:r>
      <w:r w:rsidRPr="00092DA3">
        <w:t>facilities management and control systems</w:t>
      </w:r>
      <w:r w:rsidR="00E862BE" w:rsidRPr="00092DA3">
        <w:t>.</w:t>
      </w:r>
      <w:r w:rsidR="00CD6A78" w:rsidRPr="00092DA3">
        <w:t xml:space="preserve"> These services have generally developed by </w:t>
      </w:r>
      <w:r w:rsidR="002F2E1A" w:rsidRPr="00092DA3">
        <w:t>‘</w:t>
      </w:r>
      <w:r w:rsidR="00CD6A78" w:rsidRPr="00092DA3">
        <w:t>pi</w:t>
      </w:r>
      <w:r w:rsidR="002F2E1A" w:rsidRPr="00092DA3">
        <w:t>ggy</w:t>
      </w:r>
      <w:r w:rsidR="00CD6A78" w:rsidRPr="00092DA3">
        <w:t>backing</w:t>
      </w:r>
      <w:r w:rsidR="002F2E1A" w:rsidRPr="00092DA3">
        <w:t>’</w:t>
      </w:r>
      <w:r w:rsidR="00CD6A78" w:rsidRPr="00092DA3">
        <w:t xml:space="preserve"> on the infrastructure deployed to support basic voice and then broadband services.</w:t>
      </w:r>
    </w:p>
    <w:p w14:paraId="7301DE19" w14:textId="2AB2FDC4" w:rsidR="00FD09E9" w:rsidRPr="00092DA3" w:rsidRDefault="00FD09E9" w:rsidP="00FD09E9">
      <w:r w:rsidRPr="00092DA3">
        <w:t xml:space="preserve">NBN </w:t>
      </w:r>
      <w:proofErr w:type="spellStart"/>
      <w:r w:rsidRPr="00092DA3">
        <w:t>Co’s</w:t>
      </w:r>
      <w:proofErr w:type="spellEnd"/>
      <w:r w:rsidRPr="00092DA3">
        <w:t xml:space="preserve"> fundamental obligation as IPOL</w:t>
      </w:r>
      <w:r w:rsidR="00E862BE" w:rsidRPr="00092DA3">
        <w:t>R</w:t>
      </w:r>
      <w:r w:rsidRPr="00092DA3">
        <w:t xml:space="preserve"> is to provide infrastructure capable of supporting high-speed broadband and voice services on an open access wholesale-only basis that supports more effective retail competition.</w:t>
      </w:r>
      <w:r w:rsidR="00E53A0E">
        <w:t xml:space="preserve"> </w:t>
      </w:r>
      <w:r w:rsidR="00CD6A78" w:rsidRPr="00092DA3">
        <w:t xml:space="preserve">Telstra’s obligation relates to the provision of voice services. </w:t>
      </w:r>
      <w:r w:rsidRPr="00092DA3">
        <w:t xml:space="preserve">In this context, </w:t>
      </w:r>
      <w:r w:rsidR="00CD6A78" w:rsidRPr="00092DA3">
        <w:t>NBN Co</w:t>
      </w:r>
      <w:r w:rsidRPr="00092DA3">
        <w:t xml:space="preserve"> provides high speed, but low functionality Layer 2 services, meaning higher level services need to be provide</w:t>
      </w:r>
      <w:r w:rsidR="00E862BE" w:rsidRPr="00092DA3">
        <w:t>d</w:t>
      </w:r>
      <w:r w:rsidRPr="00092DA3">
        <w:t xml:space="preserve"> by </w:t>
      </w:r>
      <w:r w:rsidR="00DF1337" w:rsidRPr="00092DA3">
        <w:t>RSPs</w:t>
      </w:r>
      <w:r w:rsidRPr="00092DA3">
        <w:t>.</w:t>
      </w:r>
      <w:r w:rsidR="00E862BE" w:rsidRPr="00092DA3">
        <w:t xml:space="preserve"> NBN Co, however, needs to be able to support </w:t>
      </w:r>
      <w:r w:rsidR="00DF1337" w:rsidRPr="00092DA3">
        <w:t>RSPs</w:t>
      </w:r>
      <w:r w:rsidR="00E862BE" w:rsidRPr="00092DA3">
        <w:t xml:space="preserve"> in supplying these services.</w:t>
      </w:r>
    </w:p>
    <w:p w14:paraId="29B25BB2" w14:textId="32ABABEB" w:rsidR="00E862BE" w:rsidRPr="00092DA3" w:rsidRDefault="00E862BE" w:rsidP="00FD09E9">
      <w:r w:rsidRPr="00092DA3">
        <w:t xml:space="preserve">By promoting competition in servicing new developments, </w:t>
      </w:r>
      <w:r w:rsidR="00FD09E9" w:rsidRPr="00092DA3">
        <w:t xml:space="preserve">NBN Co </w:t>
      </w:r>
      <w:r w:rsidRPr="00092DA3">
        <w:t>will be under pressure to ensure it offers the necessary functionality for retailers.</w:t>
      </w:r>
      <w:r w:rsidR="00E53A0E">
        <w:t xml:space="preserve"> </w:t>
      </w:r>
      <w:r w:rsidRPr="00092DA3">
        <w:t xml:space="preserve">In addition to this competitive discipline, NBN </w:t>
      </w:r>
      <w:r w:rsidR="00775116" w:rsidRPr="00092DA3">
        <w:t>C</w:t>
      </w:r>
      <w:r w:rsidRPr="00092DA3">
        <w:t>o is required under this policy to endeavour to ensure it</w:t>
      </w:r>
      <w:r w:rsidR="00775116" w:rsidRPr="00092DA3">
        <w:t>s network</w:t>
      </w:r>
      <w:r w:rsidR="00E53A0E">
        <w:t xml:space="preserve"> </w:t>
      </w:r>
      <w:r w:rsidR="002F2E1A" w:rsidRPr="00092DA3">
        <w:t>supports</w:t>
      </w:r>
      <w:r w:rsidR="00775116" w:rsidRPr="00092DA3">
        <w:t xml:space="preserve"> the </w:t>
      </w:r>
      <w:r w:rsidRPr="00092DA3">
        <w:t xml:space="preserve">solutions </w:t>
      </w:r>
      <w:r w:rsidR="00775116" w:rsidRPr="00092DA3">
        <w:t>RSPs need to provide to meet consumer demand</w:t>
      </w:r>
      <w:r w:rsidRPr="00092DA3">
        <w:t>.</w:t>
      </w:r>
    </w:p>
    <w:p w14:paraId="3A7483D2" w14:textId="36089C99" w:rsidR="00CD6A78" w:rsidRPr="00092DA3" w:rsidRDefault="00E862BE" w:rsidP="00FD09E9">
      <w:r w:rsidRPr="00092DA3">
        <w:t xml:space="preserve">It is possible that a developer could choose a competing provider to service its development, possibly because it offers a </w:t>
      </w:r>
      <w:r w:rsidR="00EA2AB8" w:rsidRPr="00092DA3">
        <w:t>broader</w:t>
      </w:r>
      <w:r w:rsidRPr="00092DA3">
        <w:t xml:space="preserve"> range of functionalities, but that provider becomes un</w:t>
      </w:r>
      <w:r w:rsidR="00775116" w:rsidRPr="00092DA3">
        <w:t>viable</w:t>
      </w:r>
      <w:r w:rsidRPr="00092DA3">
        <w:t xml:space="preserve"> at a future point </w:t>
      </w:r>
      <w:r w:rsidR="00EA2AB8" w:rsidRPr="00092DA3">
        <w:t>and</w:t>
      </w:r>
      <w:r w:rsidRPr="00092DA3">
        <w:t xml:space="preserve"> </w:t>
      </w:r>
      <w:r w:rsidR="00EA2AB8" w:rsidRPr="00092DA3">
        <w:t>dis</w:t>
      </w:r>
      <w:r w:rsidRPr="00092DA3">
        <w:t>continue</w:t>
      </w:r>
      <w:r w:rsidR="00EA2AB8" w:rsidRPr="00092DA3">
        <w:t>s</w:t>
      </w:r>
      <w:r w:rsidRPr="00092DA3">
        <w:t xml:space="preserve"> operation</w:t>
      </w:r>
      <w:r w:rsidR="004A7A19">
        <w:t>s</w:t>
      </w:r>
      <w:r w:rsidRPr="00092DA3">
        <w:t xml:space="preserve">. In the event an IPOLR had to </w:t>
      </w:r>
      <w:r w:rsidR="00EA2AB8" w:rsidRPr="00092DA3">
        <w:t>step</w:t>
      </w:r>
      <w:r w:rsidRPr="00092DA3">
        <w:t xml:space="preserve"> in, it would be a commercial matter for the IPOLR as to what functionality it </w:t>
      </w:r>
      <w:r w:rsidR="00EA2AB8" w:rsidRPr="00092DA3">
        <w:t xml:space="preserve">would continue to </w:t>
      </w:r>
      <w:r w:rsidRPr="00092DA3">
        <w:t>provide. In some instances, regulatory requirements may be relevant, as future networks serving residential customers will generally be wholesale-only</w:t>
      </w:r>
      <w:r w:rsidR="00661470" w:rsidRPr="00092DA3">
        <w:t xml:space="preserve"> and low functionality, meaning value-added services will be developed and provided by RSPs</w:t>
      </w:r>
      <w:r w:rsidRPr="00092DA3">
        <w:t>.</w:t>
      </w:r>
      <w:r w:rsidR="00E53A0E">
        <w:t xml:space="preserve"> </w:t>
      </w:r>
      <w:r w:rsidRPr="00092DA3">
        <w:t xml:space="preserve">The </w:t>
      </w:r>
      <w:r w:rsidR="00CD6A78" w:rsidRPr="00092DA3">
        <w:t>Government</w:t>
      </w:r>
      <w:r w:rsidRPr="00092DA3">
        <w:t xml:space="preserve"> will </w:t>
      </w:r>
      <w:r w:rsidR="00661470" w:rsidRPr="00092DA3">
        <w:t xml:space="preserve">nevertheless </w:t>
      </w:r>
      <w:r w:rsidR="00CD6A78" w:rsidRPr="00092DA3">
        <w:t>continue</w:t>
      </w:r>
      <w:r w:rsidRPr="00092DA3">
        <w:t xml:space="preserve"> to </w:t>
      </w:r>
      <w:r w:rsidR="00CD6A78" w:rsidRPr="00092DA3">
        <w:t>examine</w:t>
      </w:r>
      <w:r w:rsidRPr="00092DA3">
        <w:t xml:space="preserve"> </w:t>
      </w:r>
      <w:r w:rsidR="00EA2AB8" w:rsidRPr="00092DA3">
        <w:t xml:space="preserve">options for maximising </w:t>
      </w:r>
      <w:r w:rsidR="00CD6A78" w:rsidRPr="00092DA3">
        <w:t>service</w:t>
      </w:r>
      <w:r w:rsidRPr="00092DA3">
        <w:t xml:space="preserve"> </w:t>
      </w:r>
      <w:r w:rsidR="00CD6A78" w:rsidRPr="00092DA3">
        <w:t>continuity</w:t>
      </w:r>
      <w:r w:rsidRPr="00092DA3">
        <w:t xml:space="preserve"> in the even</w:t>
      </w:r>
      <w:r w:rsidR="00CD6A78" w:rsidRPr="00092DA3">
        <w:t>t o</w:t>
      </w:r>
      <w:r w:rsidRPr="00092DA3">
        <w:t xml:space="preserve">f a </w:t>
      </w:r>
      <w:r w:rsidR="00CD6A78" w:rsidRPr="00092DA3">
        <w:t>network</w:t>
      </w:r>
      <w:r w:rsidRPr="00092DA3">
        <w:t xml:space="preserve"> operat</w:t>
      </w:r>
      <w:r w:rsidR="00CD6A78" w:rsidRPr="00092DA3">
        <w:t>or</w:t>
      </w:r>
      <w:r w:rsidRPr="00092DA3">
        <w:t xml:space="preserve"> </w:t>
      </w:r>
      <w:r w:rsidR="00CD6A78" w:rsidRPr="00092DA3">
        <w:t xml:space="preserve">ceasing operations and needing to be replaced by another </w:t>
      </w:r>
      <w:r w:rsidR="00661470" w:rsidRPr="00092DA3">
        <w:t>operator</w:t>
      </w:r>
      <w:r w:rsidR="00CD6A78" w:rsidRPr="00092DA3">
        <w:t>.</w:t>
      </w:r>
    </w:p>
    <w:p w14:paraId="22F1E60F" w14:textId="29994EBD" w:rsidR="009A07F7" w:rsidRPr="00092DA3" w:rsidRDefault="009A07F7" w:rsidP="009A07F7">
      <w:pPr>
        <w:pStyle w:val="Heading2"/>
      </w:pPr>
      <w:bookmarkStart w:id="100" w:name="_Toc416175187"/>
      <w:bookmarkStart w:id="101" w:name="_Toc60751294"/>
      <w:r w:rsidRPr="00092DA3">
        <w:t>Role of state</w:t>
      </w:r>
      <w:r w:rsidR="00661470" w:rsidRPr="00092DA3">
        <w:t xml:space="preserve">, </w:t>
      </w:r>
      <w:r w:rsidRPr="00092DA3">
        <w:t xml:space="preserve">territory </w:t>
      </w:r>
      <w:r w:rsidR="00661470" w:rsidRPr="00092DA3">
        <w:t xml:space="preserve">and local </w:t>
      </w:r>
      <w:r w:rsidRPr="00092DA3">
        <w:t>governments</w:t>
      </w:r>
      <w:bookmarkEnd w:id="100"/>
      <w:bookmarkEnd w:id="101"/>
    </w:p>
    <w:p w14:paraId="35138DF7" w14:textId="512635D1" w:rsidR="009A07F7" w:rsidRPr="00092DA3" w:rsidRDefault="009A07F7" w:rsidP="009A07F7">
      <w:r w:rsidRPr="00092DA3">
        <w:t>Allowing IPOLRs to charge developers for the provision of telecommunications infrastructure runs the risk that developers may simply fail to contract carriers to provide it.</w:t>
      </w:r>
      <w:r w:rsidR="00E53A0E">
        <w:t xml:space="preserve"> </w:t>
      </w:r>
      <w:r w:rsidRPr="00092DA3">
        <w:t>All the indications are that developers are unlikely to do this because their developments will be difficult to market without telecommunications infrastructure (particularly if information about estates is published online) and there will be a negative backlash from customers and brand damage.</w:t>
      </w:r>
      <w:r w:rsidR="00E53A0E">
        <w:t xml:space="preserve"> </w:t>
      </w:r>
      <w:r w:rsidRPr="00092DA3">
        <w:t xml:space="preserve">However, if the risk </w:t>
      </w:r>
      <w:r w:rsidR="00EA2AB8" w:rsidRPr="00092DA3">
        <w:t xml:space="preserve">were to </w:t>
      </w:r>
      <w:r w:rsidRPr="00092DA3">
        <w:t xml:space="preserve">eventuate, consumers </w:t>
      </w:r>
      <w:r w:rsidR="00EA2AB8" w:rsidRPr="00092DA3">
        <w:t xml:space="preserve">would </w:t>
      </w:r>
      <w:r w:rsidRPr="00092DA3">
        <w:t xml:space="preserve">be inconvenienced and they and carriers </w:t>
      </w:r>
      <w:r w:rsidR="00EA2AB8" w:rsidRPr="00092DA3">
        <w:t xml:space="preserve">would </w:t>
      </w:r>
      <w:r w:rsidRPr="00092DA3">
        <w:t>face additional costs.</w:t>
      </w:r>
    </w:p>
    <w:p w14:paraId="4A39FF44" w14:textId="7F65109F" w:rsidR="009A07F7" w:rsidRPr="00092DA3" w:rsidRDefault="009A07F7" w:rsidP="009A07F7">
      <w:r w:rsidRPr="00092DA3">
        <w:t>The Government will continue to work with state</w:t>
      </w:r>
      <w:r w:rsidR="00775116" w:rsidRPr="00092DA3">
        <w:t>,</w:t>
      </w:r>
      <w:r w:rsidRPr="00092DA3">
        <w:t xml:space="preserve"> territory </w:t>
      </w:r>
      <w:r w:rsidR="00775116" w:rsidRPr="00092DA3">
        <w:t xml:space="preserve">and local </w:t>
      </w:r>
      <w:r w:rsidRPr="00092DA3">
        <w:t xml:space="preserve">governments directly and through the Council of Australian Governments (COAG) process to amend planning laws to require the provision of quality telecommunications </w:t>
      </w:r>
      <w:proofErr w:type="spellStart"/>
      <w:r w:rsidRPr="00092DA3">
        <w:t>infrastructure,</w:t>
      </w:r>
      <w:proofErr w:type="spellEnd"/>
      <w:r w:rsidRPr="00092DA3">
        <w:t xml:space="preserve"> to the greatest extent appropriate, as a condition of development approval and occupancy.</w:t>
      </w:r>
      <w:r w:rsidR="00E53A0E">
        <w:t xml:space="preserve"> </w:t>
      </w:r>
      <w:r w:rsidRPr="00092DA3">
        <w:t>In this regard the Government notes the Victorian Government amended the Victorian Planning Provisions in February 2013 to require provision of telecommunications in most new developments</w:t>
      </w:r>
      <w:r w:rsidR="00DF1337" w:rsidRPr="00092DA3">
        <w:t>.</w:t>
      </w:r>
      <w:r w:rsidRPr="00092DA3">
        <w:rPr>
          <w:rStyle w:val="FootnoteReference"/>
        </w:rPr>
        <w:footnoteReference w:id="17"/>
      </w:r>
      <w:r w:rsidR="00CD6A78" w:rsidRPr="00092DA3">
        <w:t xml:space="preserve"> </w:t>
      </w:r>
    </w:p>
    <w:p w14:paraId="2E02B8EF" w14:textId="02A6658D" w:rsidR="00CD6A78" w:rsidRPr="00092DA3" w:rsidRDefault="00CD6A78" w:rsidP="009A07F7">
      <w:r w:rsidRPr="00092DA3">
        <w:t>A strong theme i</w:t>
      </w:r>
      <w:r w:rsidR="00EA2AB8" w:rsidRPr="00092DA3">
        <w:t>n</w:t>
      </w:r>
      <w:r w:rsidRPr="00092DA3">
        <w:t xml:space="preserve"> comment</w:t>
      </w:r>
      <w:r w:rsidR="00EA2AB8" w:rsidRPr="00092DA3">
        <w:t>s</w:t>
      </w:r>
      <w:r w:rsidRPr="00092DA3">
        <w:t xml:space="preserve"> </w:t>
      </w:r>
      <w:r w:rsidR="00EA2AB8" w:rsidRPr="00092DA3">
        <w:t>about</w:t>
      </w:r>
      <w:r w:rsidRPr="00092DA3">
        <w:t xml:space="preserve"> the draft </w:t>
      </w:r>
      <w:r w:rsidR="00EA2AB8" w:rsidRPr="00092DA3">
        <w:t xml:space="preserve">version </w:t>
      </w:r>
      <w:r w:rsidRPr="00092DA3">
        <w:t xml:space="preserve">of this policy was </w:t>
      </w:r>
      <w:r w:rsidR="00EA2AB8" w:rsidRPr="00092DA3">
        <w:t>of the</w:t>
      </w:r>
      <w:r w:rsidRPr="00092DA3">
        <w:t xml:space="preserve"> benefits that would derive from </w:t>
      </w:r>
      <w:r w:rsidR="00EA2AB8" w:rsidRPr="00092DA3">
        <w:t xml:space="preserve">a </w:t>
      </w:r>
      <w:r w:rsidRPr="00092DA3">
        <w:t>more strategic</w:t>
      </w:r>
      <w:r w:rsidR="00EA2AB8" w:rsidRPr="00092DA3">
        <w:t>, s</w:t>
      </w:r>
      <w:r w:rsidRPr="00092DA3">
        <w:t xml:space="preserve">treamlined </w:t>
      </w:r>
      <w:r w:rsidR="00EA2AB8" w:rsidRPr="00092DA3">
        <w:t xml:space="preserve">and integrated planning process for </w:t>
      </w:r>
      <w:r w:rsidRPr="00092DA3">
        <w:t>telecommunications in new developments</w:t>
      </w:r>
      <w:r w:rsidR="00EA2AB8" w:rsidRPr="00092DA3">
        <w:t xml:space="preserve"> to bring it into line with other forms of infrastructure</w:t>
      </w:r>
      <w:r w:rsidRPr="00092DA3">
        <w:t>.</w:t>
      </w:r>
      <w:r w:rsidR="00E53A0E">
        <w:t xml:space="preserve"> </w:t>
      </w:r>
      <w:r w:rsidRPr="00092DA3">
        <w:t xml:space="preserve">The Department of Communications will continue </w:t>
      </w:r>
      <w:r w:rsidR="00EA2AB8" w:rsidRPr="00092DA3">
        <w:t>to work towards such an outcome.</w:t>
      </w:r>
    </w:p>
    <w:p w14:paraId="397D6B83" w14:textId="77777777" w:rsidR="009A07F7" w:rsidRPr="00092DA3" w:rsidRDefault="009A07F7" w:rsidP="00773D70">
      <w:pPr>
        <w:pStyle w:val="Heading1"/>
        <w:keepLines w:val="0"/>
        <w:pageBreakBefore/>
        <w:spacing w:before="0" w:after="200" w:line="276" w:lineRule="auto"/>
        <w:ind w:left="357" w:hanging="357"/>
      </w:pPr>
      <w:bookmarkStart w:id="102" w:name="_Toc416175188"/>
      <w:bookmarkStart w:id="103" w:name="_Toc60751295"/>
      <w:r w:rsidRPr="00092DA3">
        <w:t>BACKHAUL</w:t>
      </w:r>
      <w:bookmarkEnd w:id="102"/>
      <w:bookmarkEnd w:id="103"/>
    </w:p>
    <w:p w14:paraId="1B924D65" w14:textId="4C89153A" w:rsidR="00F031F8" w:rsidRPr="00092DA3" w:rsidRDefault="009A07F7" w:rsidP="009A07F7">
      <w:r w:rsidRPr="00092DA3">
        <w:t>A key issue servicing new developments is the cost of infrastructure connecting them to the wider telecommunications network</w:t>
      </w:r>
      <w:r w:rsidR="00C000BE" w:rsidRPr="00092DA3">
        <w:t>.</w:t>
      </w:r>
      <w:r w:rsidRPr="00092DA3">
        <w:t xml:space="preserve"> This part of the network – typically an optical fibre link – is called ‘backhaul’. </w:t>
      </w:r>
    </w:p>
    <w:p w14:paraId="56AFD622" w14:textId="317C7703" w:rsidR="00F031F8" w:rsidRPr="00092DA3" w:rsidRDefault="00BC38A0" w:rsidP="009A07F7">
      <w:r w:rsidRPr="00092DA3">
        <w:t>Backhaul t</w:t>
      </w:r>
      <w:r w:rsidR="00F031F8" w:rsidRPr="00092DA3">
        <w:t>ypically involves a connection from the estate to the relevant point of interconnection</w:t>
      </w:r>
      <w:r w:rsidR="004A7A19">
        <w:t xml:space="preserve"> (POI)</w:t>
      </w:r>
      <w:r w:rsidR="00F031F8" w:rsidRPr="00092DA3">
        <w:t xml:space="preserve">, at which </w:t>
      </w:r>
      <w:r w:rsidRPr="00092DA3">
        <w:t xml:space="preserve">traffic is handed over to </w:t>
      </w:r>
      <w:r w:rsidR="00F031F8" w:rsidRPr="00092DA3">
        <w:t>RSPs.</w:t>
      </w:r>
      <w:r w:rsidR="00E53A0E">
        <w:t xml:space="preserve"> </w:t>
      </w:r>
      <w:r w:rsidRPr="00092DA3">
        <w:t>NBN Co is now operating 121 POIs.</w:t>
      </w:r>
      <w:r w:rsidR="00E53A0E">
        <w:t xml:space="preserve"> </w:t>
      </w:r>
      <w:r w:rsidR="00F031F8" w:rsidRPr="00092DA3">
        <w:t>Other providers operate on a similar basis, typically providing backhaul to a data exchange where RSPs can interconnect.</w:t>
      </w:r>
    </w:p>
    <w:p w14:paraId="32B6CA44" w14:textId="4E989DD4" w:rsidR="009A07F7" w:rsidRPr="00092DA3" w:rsidRDefault="009A07F7" w:rsidP="009A07F7">
      <w:r w:rsidRPr="00092DA3">
        <w:t>If a new development is an infill project in a brownfield area, backhaul may be readily available and the cost of provision low.</w:t>
      </w:r>
      <w:r w:rsidR="00E53A0E">
        <w:t xml:space="preserve"> </w:t>
      </w:r>
      <w:r w:rsidRPr="00092DA3">
        <w:t xml:space="preserve">But if a project is in a new or previously vacant </w:t>
      </w:r>
      <w:proofErr w:type="gramStart"/>
      <w:r w:rsidRPr="00092DA3">
        <w:t>greenfield</w:t>
      </w:r>
      <w:proofErr w:type="gramEnd"/>
      <w:r w:rsidRPr="00092DA3">
        <w:t xml:space="preserve"> area (or the project is large) new or augmented backhaul may be needed.</w:t>
      </w:r>
      <w:r w:rsidR="00E53A0E">
        <w:t xml:space="preserve"> </w:t>
      </w:r>
      <w:r w:rsidRPr="00092DA3">
        <w:t xml:space="preserve">While the cost of managed backhaul (a service connecting a new estate provided by a carrier such as Telstra or Optus which already has fibre running past the location) has declined in recent years, the provision of new backhaul </w:t>
      </w:r>
      <w:proofErr w:type="spellStart"/>
      <w:r w:rsidRPr="00092DA3">
        <w:t>infrastructure</w:t>
      </w:r>
      <w:r w:rsidR="009D3BEE" w:rsidRPr="00092DA3">
        <w:t>,</w:t>
      </w:r>
      <w:proofErr w:type="spellEnd"/>
      <w:r w:rsidR="009D3BEE" w:rsidRPr="00092DA3">
        <w:t xml:space="preserve"> potentially involving significant civil works,</w:t>
      </w:r>
      <w:r w:rsidRPr="00092DA3">
        <w:t xml:space="preserve"> can still impose significant cost</w:t>
      </w:r>
      <w:r w:rsidR="00686B53" w:rsidRPr="00092DA3">
        <w:t>s</w:t>
      </w:r>
      <w:r w:rsidRPr="00092DA3">
        <w:t xml:space="preserve"> – potentially hundreds of thousands of dollars upfront – and take significant time to provide, potentially leading to delays in providing services.</w:t>
      </w:r>
    </w:p>
    <w:p w14:paraId="297A6C78" w14:textId="77777777" w:rsidR="009A07F7" w:rsidRPr="00092DA3" w:rsidRDefault="009A07F7" w:rsidP="009A07F7">
      <w:pPr>
        <w:pStyle w:val="Heading2"/>
      </w:pPr>
      <w:bookmarkStart w:id="104" w:name="_Toc416175189"/>
      <w:bookmarkStart w:id="105" w:name="_Toc60751296"/>
      <w:r w:rsidRPr="00092DA3">
        <w:t>Backhaul costs</w:t>
      </w:r>
      <w:bookmarkEnd w:id="104"/>
      <w:bookmarkEnd w:id="105"/>
    </w:p>
    <w:p w14:paraId="58A0024C" w14:textId="36970373" w:rsidR="009A07F7" w:rsidRPr="00092DA3" w:rsidRDefault="009A07F7" w:rsidP="009A07F7">
      <w:r w:rsidRPr="00092DA3">
        <w:t>If developers do not contribute to backhaul costs, there is no incentive for them to factor in the real cost of providing telecommunications to a new development – the cost is ‘externalised’ and borne by the network operator.</w:t>
      </w:r>
      <w:r w:rsidR="00E53A0E">
        <w:t xml:space="preserve"> </w:t>
      </w:r>
      <w:r w:rsidRPr="00092DA3">
        <w:t>In the case of NBN Co this means the cost is borne, in the short term at least, by taxpayers and</w:t>
      </w:r>
      <w:r w:rsidR="00BC38A0" w:rsidRPr="00092DA3">
        <w:t>,</w:t>
      </w:r>
      <w:r w:rsidRPr="00092DA3">
        <w:t xml:space="preserve"> in the longer term by </w:t>
      </w:r>
      <w:r w:rsidR="00BC38A0" w:rsidRPr="00092DA3">
        <w:t>all network users</w:t>
      </w:r>
      <w:r w:rsidRPr="00092DA3">
        <w:t>.</w:t>
      </w:r>
      <w:r w:rsidR="00E53A0E">
        <w:t xml:space="preserve"> </w:t>
      </w:r>
      <w:r w:rsidRPr="00092DA3">
        <w:t xml:space="preserve">Equally, if developers meet the entire expense of providing backhaul, it </w:t>
      </w:r>
      <w:r w:rsidR="00EA2AB8" w:rsidRPr="00092DA3">
        <w:t xml:space="preserve">will in many cases </w:t>
      </w:r>
      <w:r w:rsidRPr="00092DA3">
        <w:t>add significantly to the costs of the development (and of the housing it provides).</w:t>
      </w:r>
    </w:p>
    <w:p w14:paraId="0D84FB20" w14:textId="031819A7" w:rsidR="009A07F7" w:rsidRPr="00092DA3" w:rsidRDefault="009A07F7" w:rsidP="009A07F7">
      <w:r w:rsidRPr="00092DA3">
        <w:t>To address these competing concerns, the Government proposes two complementary measures.</w:t>
      </w:r>
      <w:r w:rsidR="00E53A0E">
        <w:t xml:space="preserve"> </w:t>
      </w:r>
      <w:r w:rsidRPr="00092DA3">
        <w:t xml:space="preserve">While these measures focus on NBN Co, they </w:t>
      </w:r>
      <w:r w:rsidR="00EA2AB8" w:rsidRPr="00092DA3">
        <w:t>sh</w:t>
      </w:r>
      <w:r w:rsidRPr="00092DA3">
        <w:t>ould influence the operation of other providers.</w:t>
      </w:r>
    </w:p>
    <w:p w14:paraId="41A2A21D" w14:textId="6FA6FCEB" w:rsidR="009A07F7" w:rsidRPr="00092DA3" w:rsidRDefault="009A07F7" w:rsidP="009A07F7">
      <w:r w:rsidRPr="00092DA3">
        <w:t>The Government sees these as interim measures pending a more definitive</w:t>
      </w:r>
      <w:r w:rsidR="003E2AC9" w:rsidRPr="00092DA3">
        <w:t xml:space="preserve"> </w:t>
      </w:r>
      <w:r w:rsidRPr="00092DA3">
        <w:t>solution to the backhaul issue.</w:t>
      </w:r>
      <w:r w:rsidR="00E53A0E">
        <w:t xml:space="preserve"> </w:t>
      </w:r>
      <w:r w:rsidRPr="00092DA3">
        <w:t xml:space="preserve">This may include an option, phased in over time, whereby developers contribute more to the cost of backhaul </w:t>
      </w:r>
      <w:r w:rsidR="003E2AC9" w:rsidRPr="00092DA3">
        <w:t xml:space="preserve">but their charges are calculated </w:t>
      </w:r>
      <w:r w:rsidRPr="00092DA3">
        <w:t xml:space="preserve">over </w:t>
      </w:r>
      <w:r w:rsidR="00EA2AB8" w:rsidRPr="00092DA3">
        <w:t xml:space="preserve">a period long enough to determine the extent to which </w:t>
      </w:r>
      <w:r w:rsidR="003E2AC9" w:rsidRPr="00092DA3">
        <w:t xml:space="preserve">shared </w:t>
      </w:r>
      <w:r w:rsidR="00EA2AB8" w:rsidRPr="00092DA3">
        <w:t>investments are amorti</w:t>
      </w:r>
      <w:r w:rsidR="000260DC" w:rsidRPr="00092DA3">
        <w:t>s</w:t>
      </w:r>
      <w:r w:rsidR="00EA2AB8" w:rsidRPr="00092DA3">
        <w:t>ed across multiple new developments.</w:t>
      </w:r>
    </w:p>
    <w:p w14:paraId="173201D0" w14:textId="77777777" w:rsidR="009A07F7" w:rsidRPr="00092DA3" w:rsidRDefault="009A07F7" w:rsidP="009A07F7">
      <w:pPr>
        <w:pStyle w:val="Heading2"/>
      </w:pPr>
      <w:bookmarkStart w:id="106" w:name="_Toc416175190"/>
      <w:bookmarkStart w:id="107" w:name="_Toc60751297"/>
      <w:r w:rsidRPr="00092DA3">
        <w:t xml:space="preserve">Provision of backhaul </w:t>
      </w:r>
      <w:r w:rsidR="00C73677" w:rsidRPr="00092DA3">
        <w:t>service</w:t>
      </w:r>
      <w:r w:rsidR="0052261C" w:rsidRPr="00092DA3">
        <w:t>s</w:t>
      </w:r>
      <w:r w:rsidR="00C73677" w:rsidRPr="00092DA3">
        <w:t xml:space="preserve"> </w:t>
      </w:r>
      <w:r w:rsidRPr="00092DA3">
        <w:t>by NBN Co</w:t>
      </w:r>
      <w:bookmarkEnd w:id="106"/>
      <w:bookmarkEnd w:id="107"/>
    </w:p>
    <w:p w14:paraId="747C42C7" w14:textId="65820F3E" w:rsidR="009A07F7" w:rsidRPr="00092DA3" w:rsidRDefault="00CB6855" w:rsidP="009A07F7">
      <w:r w:rsidRPr="00092DA3">
        <w:t>First, a</w:t>
      </w:r>
      <w:r w:rsidR="006B35B0" w:rsidRPr="00092DA3">
        <w:t>lternative providers in new developments need ready access to backhaul service</w:t>
      </w:r>
      <w:r w:rsidR="004A7A19">
        <w:t>s</w:t>
      </w:r>
      <w:r w:rsidRPr="00092DA3">
        <w:t xml:space="preserve"> to compete effectively</w:t>
      </w:r>
      <w:r w:rsidR="006B35B0" w:rsidRPr="00092DA3">
        <w:t>.</w:t>
      </w:r>
      <w:r w:rsidR="00E53A0E">
        <w:t xml:space="preserve"> </w:t>
      </w:r>
      <w:r w:rsidR="006B35B0" w:rsidRPr="00092DA3">
        <w:t>Whil</w:t>
      </w:r>
      <w:r w:rsidR="00BC38A0" w:rsidRPr="00092DA3">
        <w:t>e</w:t>
      </w:r>
      <w:r w:rsidR="006B35B0" w:rsidRPr="00092DA3">
        <w:t xml:space="preserve"> the Government expects there will be strong competitive interest in providing such service, NBN Co is to assess the market demand for the provision of backhaul service</w:t>
      </w:r>
      <w:r w:rsidR="004A7A19">
        <w:t>s</w:t>
      </w:r>
      <w:r w:rsidR="006B35B0" w:rsidRPr="00092DA3">
        <w:t xml:space="preserve"> on commercial terms to alternative network operators.</w:t>
      </w:r>
      <w:r w:rsidR="00E53A0E">
        <w:t xml:space="preserve"> </w:t>
      </w:r>
      <w:r w:rsidR="006B35B0" w:rsidRPr="00092DA3">
        <w:t xml:space="preserve">Such a service will enable NBN Co to leverage its transmission capacity from its NBN </w:t>
      </w:r>
      <w:r w:rsidR="007A0C07">
        <w:t>Fibre Access Nodes (</w:t>
      </w:r>
      <w:r w:rsidR="006B35B0" w:rsidRPr="00092DA3">
        <w:t>FANs</w:t>
      </w:r>
      <w:r w:rsidR="007A0C07">
        <w:t>)</w:t>
      </w:r>
      <w:r w:rsidR="004A7A19">
        <w:t xml:space="preserve"> to the relevant PO</w:t>
      </w:r>
      <w:r w:rsidR="006B35B0" w:rsidRPr="00092DA3">
        <w:t>I.</w:t>
      </w:r>
      <w:r w:rsidR="00E53A0E">
        <w:t xml:space="preserve"> </w:t>
      </w:r>
      <w:r w:rsidR="006B35B0" w:rsidRPr="00092DA3">
        <w:t>NBN Co will establish a process for identifying demand for such services by 1 July 2015 with a view to bringing them on stream as quickly as demand warrants and its processes allow.</w:t>
      </w:r>
      <w:r w:rsidR="00E53A0E">
        <w:t xml:space="preserve"> </w:t>
      </w:r>
      <w:r w:rsidR="006B35B0" w:rsidRPr="00092DA3">
        <w:t>The Government will closely monitor NBN Co activities in this regard.</w:t>
      </w:r>
      <w:r w:rsidR="00E53A0E">
        <w:t xml:space="preserve"> </w:t>
      </w:r>
      <w:r w:rsidR="009A07F7" w:rsidRPr="00092DA3">
        <w:t xml:space="preserve">Other carriers would continue to be able to compete in supplying backhaul </w:t>
      </w:r>
      <w:r w:rsidR="00C73677" w:rsidRPr="00092DA3">
        <w:t xml:space="preserve">services </w:t>
      </w:r>
      <w:r w:rsidR="009A07F7" w:rsidRPr="00092DA3">
        <w:t xml:space="preserve">to </w:t>
      </w:r>
      <w:r w:rsidR="00C73677" w:rsidRPr="00092DA3">
        <w:t xml:space="preserve">alternative network operators in </w:t>
      </w:r>
      <w:r w:rsidR="009A07F7" w:rsidRPr="00092DA3">
        <w:t>such new developments, as they can today.</w:t>
      </w:r>
    </w:p>
    <w:p w14:paraId="5E1AD1AA" w14:textId="77777777" w:rsidR="009A07F7" w:rsidRPr="00092DA3" w:rsidRDefault="009A07F7" w:rsidP="009A07F7">
      <w:pPr>
        <w:pStyle w:val="Heading2"/>
      </w:pPr>
      <w:bookmarkStart w:id="108" w:name="_Toc416175191"/>
      <w:bookmarkStart w:id="109" w:name="_Toc60751298"/>
      <w:r w:rsidRPr="00092DA3">
        <w:t>Capped backhaul contributions</w:t>
      </w:r>
      <w:bookmarkEnd w:id="108"/>
      <w:bookmarkEnd w:id="109"/>
    </w:p>
    <w:p w14:paraId="45EA4CE3" w14:textId="24F6793A" w:rsidR="009A07F7" w:rsidRPr="00092DA3" w:rsidRDefault="009A07F7" w:rsidP="009A07F7">
      <w:pPr>
        <w:ind w:left="45"/>
      </w:pPr>
      <w:r w:rsidRPr="00092DA3">
        <w:t xml:space="preserve">Second, </w:t>
      </w:r>
      <w:r w:rsidR="00734ED1" w:rsidRPr="00092DA3">
        <w:t>developers</w:t>
      </w:r>
      <w:r w:rsidRPr="00092DA3">
        <w:t xml:space="preserve"> </w:t>
      </w:r>
      <w:r w:rsidR="009D3BEE" w:rsidRPr="00092DA3">
        <w:t xml:space="preserve">will </w:t>
      </w:r>
      <w:r w:rsidRPr="00092DA3">
        <w:t>contribute to backhaul costs incurred by NBN Co to meet its obligations in new estates.</w:t>
      </w:r>
      <w:r w:rsidR="00E53A0E">
        <w:t xml:space="preserve"> </w:t>
      </w:r>
      <w:r w:rsidR="00AE3209" w:rsidRPr="00092DA3">
        <w:t>C</w:t>
      </w:r>
      <w:r w:rsidRPr="00092DA3">
        <w:t xml:space="preserve">ost recovery will </w:t>
      </w:r>
      <w:r w:rsidR="00686B53" w:rsidRPr="00092DA3">
        <w:t xml:space="preserve">only </w:t>
      </w:r>
      <w:r w:rsidRPr="00092DA3">
        <w:t>be partial at this stage.</w:t>
      </w:r>
    </w:p>
    <w:p w14:paraId="48946A0B" w14:textId="6456AD7C" w:rsidR="00BC38A0" w:rsidRPr="00092DA3" w:rsidRDefault="004A7A19" w:rsidP="00BC38A0">
      <w:r>
        <w:t xml:space="preserve">With NBN </w:t>
      </w:r>
      <w:proofErr w:type="spellStart"/>
      <w:r>
        <w:t>Co’s</w:t>
      </w:r>
      <w:proofErr w:type="spellEnd"/>
      <w:r>
        <w:t xml:space="preserve"> PO</w:t>
      </w:r>
      <w:r w:rsidR="00BC38A0" w:rsidRPr="00092DA3">
        <w:t xml:space="preserve">Is now established, backhaul charging costs to developers will be calculated from the development boundary to the closest fibre access point within NBN </w:t>
      </w:r>
      <w:proofErr w:type="spellStart"/>
      <w:r w:rsidR="00BC38A0" w:rsidRPr="00092DA3">
        <w:t>Co’s</w:t>
      </w:r>
      <w:proofErr w:type="spellEnd"/>
      <w:r w:rsidR="00BC38A0" w:rsidRPr="00092DA3">
        <w:t xml:space="preserve"> access network</w:t>
      </w:r>
      <w:r w:rsidR="00AE3209" w:rsidRPr="00092DA3">
        <w:t>.</w:t>
      </w:r>
      <w:r w:rsidR="00E53A0E">
        <w:t xml:space="preserve"> </w:t>
      </w:r>
      <w:r w:rsidR="00AE3209" w:rsidRPr="00092DA3">
        <w:t>In</w:t>
      </w:r>
      <w:r w:rsidR="00BC38A0" w:rsidRPr="00092DA3">
        <w:t xml:space="preserve"> some circumstances </w:t>
      </w:r>
      <w:r w:rsidR="00AE3209" w:rsidRPr="00092DA3">
        <w:t xml:space="preserve">this may </w:t>
      </w:r>
      <w:r w:rsidR="00BC38A0" w:rsidRPr="00092DA3">
        <w:t>require the establishment of a</w:t>
      </w:r>
      <w:r w:rsidR="00794E48">
        <w:t>ctive</w:t>
      </w:r>
      <w:r w:rsidR="00BC38A0" w:rsidRPr="00092DA3">
        <w:t xml:space="preserve"> netw</w:t>
      </w:r>
      <w:r>
        <w:t>ork at an exchange and to the PO</w:t>
      </w:r>
      <w:r w:rsidR="00BC38A0" w:rsidRPr="00092DA3">
        <w:t xml:space="preserve">I. </w:t>
      </w:r>
    </w:p>
    <w:p w14:paraId="00B51013" w14:textId="3D853503" w:rsidR="009A07F7" w:rsidRPr="00092DA3" w:rsidRDefault="009A07F7" w:rsidP="009A07F7">
      <w:pPr>
        <w:ind w:left="45"/>
      </w:pPr>
      <w:r w:rsidRPr="00092DA3">
        <w:t xml:space="preserve">NBN Co will not charge developers for backhaul where NBN Co has </w:t>
      </w:r>
      <w:r w:rsidR="00AE3209" w:rsidRPr="00092DA3">
        <w:t xml:space="preserve">backhaul </w:t>
      </w:r>
      <w:r w:rsidRPr="00092DA3">
        <w:t>that is readily accessible (e.g. the development requires a backhaul extension of no more than one kilometre by route distance from an existing NBN Co development or transit infrastructure).</w:t>
      </w:r>
      <w:r w:rsidR="001E7397" w:rsidRPr="00092DA3">
        <w:t xml:space="preserve"> </w:t>
      </w:r>
    </w:p>
    <w:p w14:paraId="3D3667D8" w14:textId="174CE8EC" w:rsidR="009A07F7" w:rsidRPr="00092DA3" w:rsidRDefault="00AE3209" w:rsidP="009A07F7">
      <w:pPr>
        <w:ind w:left="45"/>
      </w:pPr>
      <w:r w:rsidRPr="00092DA3">
        <w:t>W</w:t>
      </w:r>
      <w:r w:rsidR="009A07F7" w:rsidRPr="00092DA3">
        <w:t>here NBN Co does not have backhaul capacity available and would need to build a backhaul extension specifically for the new development:</w:t>
      </w:r>
    </w:p>
    <w:p w14:paraId="6B3A931F" w14:textId="7AA5EAC3" w:rsidR="009A07F7" w:rsidRPr="00092DA3" w:rsidRDefault="009A07F7" w:rsidP="007021B1">
      <w:pPr>
        <w:pStyle w:val="ListParagraph"/>
        <w:numPr>
          <w:ilvl w:val="0"/>
          <w:numId w:val="35"/>
        </w:numPr>
        <w:spacing w:before="0" w:after="200" w:line="276" w:lineRule="auto"/>
      </w:pPr>
      <w:r w:rsidRPr="00092DA3">
        <w:t xml:space="preserve">Developers will make a contribution to the incremental capital cost of providing backhaul to a new development of up to 50 per </w:t>
      </w:r>
      <w:r w:rsidR="00AE3209" w:rsidRPr="00092DA3">
        <w:t xml:space="preserve">cent </w:t>
      </w:r>
      <w:r w:rsidRPr="00092DA3">
        <w:t>of this capital costs up to $1000.</w:t>
      </w:r>
      <w:r w:rsidR="00E53A0E">
        <w:t xml:space="preserve"> </w:t>
      </w:r>
      <w:r w:rsidRPr="00092DA3">
        <w:t>This means the developer contribution toward the first $1000</w:t>
      </w:r>
      <w:r w:rsidR="002F0854" w:rsidRPr="00092DA3">
        <w:t xml:space="preserve"> per </w:t>
      </w:r>
      <w:r w:rsidRPr="00092DA3">
        <w:t>lot of capital costs is capped at $500</w:t>
      </w:r>
      <w:r w:rsidR="002F0854" w:rsidRPr="00092DA3">
        <w:t>.</w:t>
      </w:r>
      <w:r w:rsidRPr="00092DA3">
        <w:rPr>
          <w:rStyle w:val="FootnoteReference"/>
        </w:rPr>
        <w:footnoteReference w:id="18"/>
      </w:r>
    </w:p>
    <w:p w14:paraId="412B06C5" w14:textId="08E32711" w:rsidR="009A07F7" w:rsidRPr="00092DA3" w:rsidRDefault="009A07F7" w:rsidP="007021B1">
      <w:pPr>
        <w:pStyle w:val="ListParagraph"/>
        <w:numPr>
          <w:ilvl w:val="0"/>
          <w:numId w:val="35"/>
        </w:numPr>
        <w:spacing w:before="0" w:after="200" w:line="276" w:lineRule="auto"/>
      </w:pPr>
      <w:r w:rsidRPr="00092DA3">
        <w:t xml:space="preserve">Developers will </w:t>
      </w:r>
      <w:r w:rsidR="009D3BEE" w:rsidRPr="00092DA3">
        <w:t xml:space="preserve">also </w:t>
      </w:r>
      <w:r w:rsidRPr="00092DA3">
        <w:t xml:space="preserve">meet </w:t>
      </w:r>
      <w:r w:rsidR="00AE3209" w:rsidRPr="00092DA3">
        <w:t xml:space="preserve">up to 100 per cent of all incremental </w:t>
      </w:r>
      <w:r w:rsidRPr="00092DA3">
        <w:t xml:space="preserve">backhaul costs in excess of the first $1000 </w:t>
      </w:r>
      <w:r w:rsidR="009D3BEE" w:rsidRPr="00092DA3">
        <w:t xml:space="preserve">per lot </w:t>
      </w:r>
      <w:r w:rsidRPr="00092DA3">
        <w:t>in almost all circumstances. NBN Co will apply a commercial rate card.</w:t>
      </w:r>
      <w:r w:rsidR="00E53A0E">
        <w:t xml:space="preserve"> </w:t>
      </w:r>
      <w:r w:rsidRPr="00092DA3">
        <w:t>The rate card will take into account opportunities to amortise costs over other users where this is reasonably foreseeable.</w:t>
      </w:r>
      <w:r w:rsidR="00E53A0E">
        <w:t xml:space="preserve"> </w:t>
      </w:r>
      <w:r w:rsidRPr="00092DA3">
        <w:t>In exceptional circumstances NBN Co may consider alternative financial arrangements.</w:t>
      </w:r>
    </w:p>
    <w:p w14:paraId="2AAF8CCF" w14:textId="77777777" w:rsidR="009A07F7" w:rsidRPr="00092DA3" w:rsidRDefault="009A07F7" w:rsidP="009A07F7">
      <w:pPr>
        <w:ind w:left="45"/>
      </w:pPr>
      <w:r w:rsidRPr="00092DA3">
        <w:t xml:space="preserve">Under this </w:t>
      </w:r>
      <w:r w:rsidR="005C0D10" w:rsidRPr="00092DA3">
        <w:t xml:space="preserve">last </w:t>
      </w:r>
      <w:r w:rsidRPr="00092DA3">
        <w:t>principle, connection of the new development is effectively treated as an NBN network extension, much as a small community outside the fixed line footprint would be treated. These rules will apply where NBN Co</w:t>
      </w:r>
      <w:r w:rsidR="002F0854" w:rsidRPr="00092DA3">
        <w:t>,</w:t>
      </w:r>
      <w:r w:rsidRPr="00092DA3">
        <w:t xml:space="preserve"> as IPOLR</w:t>
      </w:r>
      <w:r w:rsidR="002F0854" w:rsidRPr="00092DA3">
        <w:t>,</w:t>
      </w:r>
      <w:r w:rsidRPr="00092DA3">
        <w:t xml:space="preserve"> assesses that a wireline solution is the most cost-effective option; that is, the development is inside its fixed line footprint. Outside the fixed line footprint, NBN Co may offer a fixed wireless or satellite solution, although it would be open to a developer to negotiate a fixed line network extension. </w:t>
      </w:r>
    </w:p>
    <w:p w14:paraId="2BB9A17D" w14:textId="4D659A1A" w:rsidR="009A07F7" w:rsidRPr="00092DA3" w:rsidRDefault="009A07F7" w:rsidP="009A07F7">
      <w:pPr>
        <w:ind w:left="45"/>
      </w:pPr>
      <w:r w:rsidRPr="00092DA3">
        <w:t xml:space="preserve">To ensure developers weigh the implications of locating </w:t>
      </w:r>
      <w:r w:rsidR="00FC121A" w:rsidRPr="00092DA3">
        <w:t xml:space="preserve">projects </w:t>
      </w:r>
      <w:r w:rsidRPr="00092DA3">
        <w:t xml:space="preserve">in </w:t>
      </w:r>
      <w:r w:rsidR="00FC121A" w:rsidRPr="00092DA3">
        <w:t xml:space="preserve">high-cost </w:t>
      </w:r>
      <w:r w:rsidRPr="00092DA3">
        <w:t xml:space="preserve">areas where </w:t>
      </w:r>
      <w:r w:rsidR="00FC121A" w:rsidRPr="00092DA3">
        <w:t xml:space="preserve">backhaul is not readily available </w:t>
      </w:r>
      <w:r w:rsidR="00734ED1" w:rsidRPr="00092DA3">
        <w:t xml:space="preserve">and </w:t>
      </w:r>
      <w:r w:rsidR="00A85578">
        <w:t xml:space="preserve">of </w:t>
      </w:r>
      <w:r w:rsidR="00734ED1" w:rsidRPr="00092DA3">
        <w:t>failing</w:t>
      </w:r>
      <w:r w:rsidR="00FC121A" w:rsidRPr="00092DA3">
        <w:t xml:space="preserve"> to negotiate network extensions, </w:t>
      </w:r>
      <w:r w:rsidR="001E622F">
        <w:t xml:space="preserve">NBN Co will be able to seek </w:t>
      </w:r>
      <w:r w:rsidR="00FC121A" w:rsidRPr="00092DA3">
        <w:t>contributions payable towards the costs of fixed wireless or satellite solutions.</w:t>
      </w:r>
      <w:r w:rsidR="00E53A0E">
        <w:t xml:space="preserve"> </w:t>
      </w:r>
      <w:r w:rsidR="00FC121A" w:rsidRPr="00092DA3">
        <w:t xml:space="preserve">NBN Co will be able to charge </w:t>
      </w:r>
      <w:r w:rsidRPr="00092DA3">
        <w:t xml:space="preserve">developers a contribution of $1100 </w:t>
      </w:r>
      <w:r w:rsidR="0026788F" w:rsidRPr="00092DA3">
        <w:t>per</w:t>
      </w:r>
      <w:r w:rsidRPr="00092DA3">
        <w:t xml:space="preserve"> MDU and $1300 </w:t>
      </w:r>
      <w:r w:rsidR="0026788F" w:rsidRPr="00092DA3">
        <w:t>per</w:t>
      </w:r>
      <w:r w:rsidRPr="00092DA3">
        <w:t xml:space="preserve"> SDU</w:t>
      </w:r>
      <w:r w:rsidR="005A1340">
        <w:t xml:space="preserve"> lot/premises</w:t>
      </w:r>
      <w:r w:rsidRPr="00092DA3">
        <w:t xml:space="preserve"> (comparable to the cost of a fixed line solution) if estates are to be serviced by wireless or satellite.</w:t>
      </w:r>
      <w:r w:rsidR="00E53A0E">
        <w:t xml:space="preserve"> </w:t>
      </w:r>
      <w:r w:rsidRPr="00092DA3">
        <w:t>If this amount is not paid by the developer</w:t>
      </w:r>
      <w:r w:rsidR="001E622F" w:rsidRPr="001E622F">
        <w:t xml:space="preserve"> </w:t>
      </w:r>
      <w:r w:rsidR="001E622F">
        <w:t>NBN Co could seek to recover these costs directly from the RSP ordering a first connection for new premises which</w:t>
      </w:r>
      <w:r w:rsidR="00FC121A" w:rsidRPr="00092DA3">
        <w:t xml:space="preserve"> requir</w:t>
      </w:r>
      <w:r w:rsidR="001E622F">
        <w:t>ed</w:t>
      </w:r>
      <w:r w:rsidRPr="00092DA3">
        <w:t xml:space="preserve"> fixed </w:t>
      </w:r>
      <w:r w:rsidR="00FC121A" w:rsidRPr="00092DA3">
        <w:t xml:space="preserve">wireless </w:t>
      </w:r>
      <w:r w:rsidRPr="00092DA3">
        <w:t xml:space="preserve">or satellite </w:t>
      </w:r>
      <w:r w:rsidR="00FC121A" w:rsidRPr="00092DA3">
        <w:t>solutions on or after 1 July 2015</w:t>
      </w:r>
      <w:r w:rsidRPr="00092DA3">
        <w:t>.</w:t>
      </w:r>
      <w:r w:rsidR="00E53A0E">
        <w:t xml:space="preserve"> </w:t>
      </w:r>
      <w:r w:rsidRPr="00092DA3">
        <w:t xml:space="preserve">NBN Co will need to record the entitlements of new lots in the wireless and satellite footprint – and this information </w:t>
      </w:r>
      <w:r w:rsidR="00FC121A" w:rsidRPr="00092DA3">
        <w:t xml:space="preserve">will </w:t>
      </w:r>
      <w:r w:rsidRPr="00092DA3">
        <w:t xml:space="preserve">be publicly available. </w:t>
      </w:r>
    </w:p>
    <w:p w14:paraId="0B750C69" w14:textId="1BA34AE2" w:rsidR="009A07F7" w:rsidRPr="00092DA3" w:rsidRDefault="009A07F7" w:rsidP="007021B1">
      <w:pPr>
        <w:spacing w:after="120"/>
        <w:ind w:left="45"/>
      </w:pPr>
      <w:r w:rsidRPr="00092DA3">
        <w:t xml:space="preserve">In summary, the charges NBN Co </w:t>
      </w:r>
      <w:r w:rsidR="00FC121A" w:rsidRPr="00092DA3">
        <w:t xml:space="preserve">will </w:t>
      </w:r>
      <w:r w:rsidRPr="00092DA3">
        <w:t>levy for backhaul would be:</w:t>
      </w:r>
    </w:p>
    <w:tbl>
      <w:tblPr>
        <w:tblStyle w:val="TableGrid"/>
        <w:tblW w:w="0" w:type="auto"/>
        <w:tblInd w:w="45" w:type="dxa"/>
        <w:tblLook w:val="04A0" w:firstRow="1" w:lastRow="0" w:firstColumn="1" w:lastColumn="0" w:noHBand="0" w:noVBand="1"/>
        <w:tblDescription w:val="Table outlining the charges that NBN Co will levy for backhaul."/>
      </w:tblPr>
      <w:tblGrid>
        <w:gridCol w:w="5620"/>
        <w:gridCol w:w="3351"/>
      </w:tblGrid>
      <w:tr w:rsidR="00FC121A" w:rsidRPr="00092DA3" w14:paraId="0F38270A" w14:textId="77777777" w:rsidTr="00045E43">
        <w:trPr>
          <w:tblHeader/>
        </w:trPr>
        <w:tc>
          <w:tcPr>
            <w:tcW w:w="5620" w:type="dxa"/>
          </w:tcPr>
          <w:p w14:paraId="2469BD03" w14:textId="77777777" w:rsidR="00FC121A" w:rsidRPr="00092DA3" w:rsidRDefault="00FC121A" w:rsidP="00FC121A">
            <w:pPr>
              <w:spacing w:before="120" w:after="120"/>
              <w:rPr>
                <w:b/>
              </w:rPr>
            </w:pPr>
            <w:r w:rsidRPr="00092DA3">
              <w:rPr>
                <w:b/>
              </w:rPr>
              <w:t>Scenario</w:t>
            </w:r>
          </w:p>
        </w:tc>
        <w:tc>
          <w:tcPr>
            <w:tcW w:w="3351" w:type="dxa"/>
          </w:tcPr>
          <w:p w14:paraId="0784DDA8" w14:textId="77777777" w:rsidR="00FC121A" w:rsidRPr="00092DA3" w:rsidRDefault="00FC121A" w:rsidP="00FC121A">
            <w:pPr>
              <w:spacing w:before="120" w:after="120"/>
              <w:rPr>
                <w:b/>
              </w:rPr>
            </w:pPr>
            <w:r w:rsidRPr="00092DA3">
              <w:rPr>
                <w:b/>
              </w:rPr>
              <w:t>Charge per lot/premises</w:t>
            </w:r>
          </w:p>
        </w:tc>
      </w:tr>
      <w:tr w:rsidR="00FC121A" w:rsidRPr="00092DA3" w14:paraId="64034472" w14:textId="77777777" w:rsidTr="00045E43">
        <w:tc>
          <w:tcPr>
            <w:tcW w:w="5620" w:type="dxa"/>
          </w:tcPr>
          <w:p w14:paraId="783E562A" w14:textId="198EF43D" w:rsidR="00FC121A" w:rsidRPr="00092DA3" w:rsidRDefault="00FC121A" w:rsidP="0052261C">
            <w:pPr>
              <w:spacing w:before="120" w:after="120"/>
            </w:pPr>
            <w:r w:rsidRPr="00092DA3">
              <w:t>Development is in fixed line footprint.</w:t>
            </w:r>
            <w:r w:rsidR="00E53A0E">
              <w:t xml:space="preserve"> </w:t>
            </w:r>
            <w:r w:rsidRPr="00092DA3">
              <w:t>NBN backhaul is available or readily accessible (</w:t>
            </w:r>
            <w:r w:rsidR="00AE3209" w:rsidRPr="00092DA3">
              <w:t>≤</w:t>
            </w:r>
            <w:r w:rsidRPr="00092DA3">
              <w:t xml:space="preserve">1 km by route distance) </w:t>
            </w:r>
          </w:p>
        </w:tc>
        <w:tc>
          <w:tcPr>
            <w:tcW w:w="3351" w:type="dxa"/>
          </w:tcPr>
          <w:p w14:paraId="0A7C778E" w14:textId="77777777" w:rsidR="00FC121A" w:rsidRPr="00092DA3" w:rsidRDefault="00FC121A" w:rsidP="00FC121A">
            <w:pPr>
              <w:spacing w:before="120" w:after="120"/>
            </w:pPr>
            <w:r w:rsidRPr="00092DA3">
              <w:t>$0</w:t>
            </w:r>
          </w:p>
        </w:tc>
      </w:tr>
      <w:tr w:rsidR="00FC121A" w:rsidRPr="00092DA3" w14:paraId="14E5F0EC" w14:textId="77777777" w:rsidTr="00045E43">
        <w:tc>
          <w:tcPr>
            <w:tcW w:w="5620" w:type="dxa"/>
          </w:tcPr>
          <w:p w14:paraId="6C65BCA7" w14:textId="5865821E" w:rsidR="00FC121A" w:rsidRPr="00092DA3" w:rsidRDefault="00FC121A" w:rsidP="00FC121A">
            <w:pPr>
              <w:spacing w:before="120" w:after="120"/>
            </w:pPr>
            <w:r w:rsidRPr="00092DA3">
              <w:t>Development is in fixed line footprint.</w:t>
            </w:r>
            <w:r w:rsidR="00E53A0E">
              <w:t xml:space="preserve"> </w:t>
            </w:r>
            <w:r w:rsidRPr="00092DA3">
              <w:t>NBN backhaul is not readily accessible – first $1000 per lot of incremental costs.</w:t>
            </w:r>
          </w:p>
        </w:tc>
        <w:tc>
          <w:tcPr>
            <w:tcW w:w="3351" w:type="dxa"/>
          </w:tcPr>
          <w:p w14:paraId="16033A72" w14:textId="5D872E1F" w:rsidR="00FC121A" w:rsidRPr="00092DA3" w:rsidRDefault="00FC121A">
            <w:pPr>
              <w:spacing w:before="120" w:after="120"/>
            </w:pPr>
            <w:r w:rsidRPr="00092DA3">
              <w:t>Up to 50% of incremental capital costs, capped at $500 of the first $1000</w:t>
            </w:r>
            <w:r w:rsidR="006F352C" w:rsidRPr="00092DA3">
              <w:t xml:space="preserve"> </w:t>
            </w:r>
            <w:r w:rsidR="006F352C" w:rsidRPr="00092DA3">
              <w:rPr>
                <w:rFonts w:eastAsia="Times New Roman"/>
              </w:rPr>
              <w:t>per premises (SDUs and MDUs).</w:t>
            </w:r>
          </w:p>
        </w:tc>
      </w:tr>
      <w:tr w:rsidR="00FC121A" w:rsidRPr="00092DA3" w14:paraId="353CBDAB" w14:textId="77777777" w:rsidTr="00045E43">
        <w:tc>
          <w:tcPr>
            <w:tcW w:w="5620" w:type="dxa"/>
          </w:tcPr>
          <w:p w14:paraId="5458487A" w14:textId="5B6C803C" w:rsidR="00FC121A" w:rsidRPr="00092DA3" w:rsidRDefault="00FC121A" w:rsidP="00FC121A">
            <w:pPr>
              <w:spacing w:before="120" w:after="120"/>
            </w:pPr>
            <w:r w:rsidRPr="00092DA3">
              <w:t>Development is in fixed line footprint.</w:t>
            </w:r>
            <w:r w:rsidR="00E53A0E">
              <w:t xml:space="preserve"> </w:t>
            </w:r>
            <w:r w:rsidRPr="00092DA3">
              <w:t>NBN backhaul is not accessible – costs beyond the first $1000.</w:t>
            </w:r>
          </w:p>
        </w:tc>
        <w:tc>
          <w:tcPr>
            <w:tcW w:w="3351" w:type="dxa"/>
          </w:tcPr>
          <w:p w14:paraId="59E159BE" w14:textId="26015386" w:rsidR="00FC121A" w:rsidRPr="00092DA3" w:rsidRDefault="00045665" w:rsidP="00045665">
            <w:pPr>
              <w:spacing w:before="120" w:after="120"/>
            </w:pPr>
            <w:r w:rsidRPr="00092DA3">
              <w:t xml:space="preserve">Up to </w:t>
            </w:r>
            <w:r w:rsidR="00FC121A" w:rsidRPr="00092DA3">
              <w:t>100% of incremental capital costs over $1000, as set out in rate card, in addition to up to 50% of incremental capital costs, capped at $500 of the first $1000</w:t>
            </w:r>
            <w:r w:rsidR="006F352C" w:rsidRPr="00092DA3">
              <w:t xml:space="preserve"> </w:t>
            </w:r>
            <w:r w:rsidR="006F352C" w:rsidRPr="00092DA3">
              <w:rPr>
                <w:rFonts w:eastAsia="Times New Roman"/>
              </w:rPr>
              <w:t>per premises (SDUs and MDUs).</w:t>
            </w:r>
          </w:p>
        </w:tc>
      </w:tr>
      <w:tr w:rsidR="00FC121A" w:rsidRPr="00092DA3" w14:paraId="3A6755EC" w14:textId="77777777" w:rsidTr="00045E43">
        <w:tc>
          <w:tcPr>
            <w:tcW w:w="5620" w:type="dxa"/>
          </w:tcPr>
          <w:p w14:paraId="76451552" w14:textId="1BEE039D" w:rsidR="00FC121A" w:rsidRPr="00092DA3" w:rsidDel="0098757D" w:rsidRDefault="00FC121A" w:rsidP="00FC121A">
            <w:pPr>
              <w:spacing w:before="120" w:after="120"/>
            </w:pPr>
            <w:r w:rsidRPr="00092DA3">
              <w:t>Contribution to fixed wireless or satellite (as determined by NBN Co)</w:t>
            </w:r>
          </w:p>
        </w:tc>
        <w:tc>
          <w:tcPr>
            <w:tcW w:w="3351" w:type="dxa"/>
          </w:tcPr>
          <w:p w14:paraId="534FE093" w14:textId="77777777" w:rsidR="00FC121A" w:rsidRPr="00092DA3" w:rsidRDefault="00FC121A" w:rsidP="00FC121A">
            <w:pPr>
              <w:spacing w:before="120" w:after="120"/>
            </w:pPr>
            <w:r w:rsidRPr="00092DA3">
              <w:t>$1100 (MDUs) or $1300 (SDUs)</w:t>
            </w:r>
          </w:p>
        </w:tc>
      </w:tr>
    </w:tbl>
    <w:p w14:paraId="29581581" w14:textId="77777777" w:rsidR="00FC121A" w:rsidRPr="00092DA3" w:rsidRDefault="00C721CA" w:rsidP="007021B1">
      <w:pPr>
        <w:spacing w:after="120"/>
        <w:ind w:left="45"/>
      </w:pPr>
      <w:r w:rsidRPr="00092DA3">
        <w:t xml:space="preserve">These contributions are payable for developments approved by NBN Co on and after 1 July 2015. </w:t>
      </w:r>
    </w:p>
    <w:p w14:paraId="333DB661" w14:textId="77777777" w:rsidR="00FC121A" w:rsidRPr="00092DA3" w:rsidRDefault="00C721CA" w:rsidP="009E1488">
      <w:pPr>
        <w:pStyle w:val="Heading2"/>
      </w:pPr>
      <w:bookmarkStart w:id="110" w:name="_Toc416175192"/>
      <w:bookmarkStart w:id="111" w:name="_Toc60751299"/>
      <w:r w:rsidRPr="00092DA3">
        <w:t>Measures to assist developers with backhaul charges</w:t>
      </w:r>
      <w:bookmarkEnd w:id="110"/>
      <w:bookmarkEnd w:id="111"/>
    </w:p>
    <w:p w14:paraId="618A69C6" w14:textId="1449E765" w:rsidR="001776B5" w:rsidRPr="00092DA3" w:rsidRDefault="00C721CA" w:rsidP="007021B1">
      <w:pPr>
        <w:spacing w:after="120"/>
        <w:ind w:left="45"/>
      </w:pPr>
      <w:r w:rsidRPr="00092DA3">
        <w:t xml:space="preserve">During consultation </w:t>
      </w:r>
      <w:r w:rsidR="0095775F" w:rsidRPr="00092DA3">
        <w:t xml:space="preserve">on </w:t>
      </w:r>
      <w:r w:rsidRPr="00092DA3">
        <w:t>the draft policy</w:t>
      </w:r>
      <w:r w:rsidR="0095775F" w:rsidRPr="00092DA3">
        <w:t>,</w:t>
      </w:r>
      <w:r w:rsidRPr="00092DA3">
        <w:t xml:space="preserve"> developers expressed particular concerns about charge</w:t>
      </w:r>
      <w:r w:rsidR="0076320E" w:rsidRPr="00092DA3">
        <w:t>s</w:t>
      </w:r>
      <w:r w:rsidRPr="00092DA3">
        <w:t xml:space="preserve"> for backhaul because of their potential variability and magnitude.</w:t>
      </w:r>
      <w:r w:rsidR="00E53A0E">
        <w:t xml:space="preserve"> </w:t>
      </w:r>
      <w:r w:rsidRPr="00092DA3">
        <w:t xml:space="preserve">In light of this, the Government has added to the policy </w:t>
      </w:r>
      <w:r w:rsidR="0095775F" w:rsidRPr="00092DA3">
        <w:t xml:space="preserve">a </w:t>
      </w:r>
      <w:r w:rsidRPr="00092DA3">
        <w:t>number of measures to provide developers with greater confidence in this area</w:t>
      </w:r>
      <w:r w:rsidR="001776B5" w:rsidRPr="00092DA3">
        <w:t xml:space="preserve"> and to phase in backhaul contributions.</w:t>
      </w:r>
    </w:p>
    <w:p w14:paraId="1608B629" w14:textId="77777777" w:rsidR="00C721CA" w:rsidRPr="00092DA3" w:rsidRDefault="001776B5" w:rsidP="001776B5">
      <w:pPr>
        <w:spacing w:after="120"/>
        <w:ind w:left="45"/>
      </w:pPr>
      <w:r w:rsidRPr="00092DA3">
        <w:t xml:space="preserve">Under the draft policy, developers were to be required to contribute to backhaul </w:t>
      </w:r>
      <w:r w:rsidR="00734ED1" w:rsidRPr="00092DA3">
        <w:t>from 1</w:t>
      </w:r>
      <w:r w:rsidRPr="00092DA3">
        <w:t xml:space="preserve"> March 2015. To provide the development industry with more time to adjust to this change, backhaul charges will now apply to new development applications accepted by NBN Co on and after 1 July 2015. </w:t>
      </w:r>
    </w:p>
    <w:p w14:paraId="67410594" w14:textId="7022F6A6" w:rsidR="001776B5" w:rsidRPr="00092DA3" w:rsidRDefault="001776B5" w:rsidP="001776B5">
      <w:r w:rsidRPr="00092DA3">
        <w:t>NBN Co will also put in place a transitional arrangement by which it recovers backhaul costs in three instalments over a two year period.</w:t>
      </w:r>
      <w:r w:rsidR="00E53A0E">
        <w:t xml:space="preserve"> </w:t>
      </w:r>
      <w:r w:rsidR="003E2AC9" w:rsidRPr="00092DA3">
        <w:t>The efficiency and effect</w:t>
      </w:r>
      <w:r w:rsidR="0076320E" w:rsidRPr="00092DA3">
        <w:t>ivenes</w:t>
      </w:r>
      <w:r w:rsidR="003E2AC9" w:rsidRPr="00092DA3">
        <w:t>s of t</w:t>
      </w:r>
      <w:r w:rsidR="002A5928" w:rsidRPr="00092DA3">
        <w:t xml:space="preserve">his arrangement will be subject to </w:t>
      </w:r>
      <w:r w:rsidR="003E2AC9" w:rsidRPr="00092DA3">
        <w:t xml:space="preserve">a </w:t>
      </w:r>
      <w:r w:rsidR="002A5928" w:rsidRPr="00092DA3">
        <w:t>review by NBN Co</w:t>
      </w:r>
      <w:r w:rsidR="003E2AC9" w:rsidRPr="00092DA3">
        <w:t xml:space="preserve"> in consultation with develo</w:t>
      </w:r>
      <w:r w:rsidR="004A7A19">
        <w:t xml:space="preserve">pers before the end of the </w:t>
      </w:r>
      <w:r w:rsidR="002A5928" w:rsidRPr="00092DA3">
        <w:t>2016</w:t>
      </w:r>
      <w:r w:rsidR="004A7A19">
        <w:t xml:space="preserve"> calendar year</w:t>
      </w:r>
      <w:r w:rsidR="003E2AC9" w:rsidRPr="00092DA3">
        <w:t>.</w:t>
      </w:r>
      <w:r w:rsidR="002A5928" w:rsidRPr="00092DA3">
        <w:t xml:space="preserve"> </w:t>
      </w:r>
    </w:p>
    <w:p w14:paraId="447FF1EE" w14:textId="77777777" w:rsidR="001776B5" w:rsidRPr="00092DA3" w:rsidRDefault="0070749A" w:rsidP="001776B5">
      <w:r w:rsidRPr="00092DA3">
        <w:t xml:space="preserve">In a competitive market there will be strong disciplines on NBN Co to be responsive to the needs of developers. Nevertheless, under this policy </w:t>
      </w:r>
      <w:r w:rsidR="001776B5" w:rsidRPr="00092DA3">
        <w:t xml:space="preserve">NBN Co </w:t>
      </w:r>
      <w:r w:rsidR="0095775F" w:rsidRPr="00092DA3">
        <w:t>will</w:t>
      </w:r>
      <w:r w:rsidR="001776B5" w:rsidRPr="00092DA3">
        <w:t xml:space="preserve"> also be required to:</w:t>
      </w:r>
    </w:p>
    <w:p w14:paraId="7B711844" w14:textId="77777777" w:rsidR="001776B5" w:rsidRPr="00092DA3" w:rsidRDefault="001776B5" w:rsidP="001776B5">
      <w:pPr>
        <w:pStyle w:val="ListParagraph"/>
        <w:numPr>
          <w:ilvl w:val="0"/>
          <w:numId w:val="40"/>
        </w:numPr>
        <w:spacing w:before="0" w:after="160" w:line="259" w:lineRule="auto"/>
        <w:ind w:left="426" w:hanging="426"/>
        <w:rPr>
          <w:szCs w:val="24"/>
        </w:rPr>
      </w:pPr>
      <w:r w:rsidRPr="00092DA3">
        <w:rPr>
          <w:szCs w:val="24"/>
        </w:rPr>
        <w:t>provide developers with early planning information and indicative backhaul costs, including where developers are looking to acquire land for development;</w:t>
      </w:r>
    </w:p>
    <w:p w14:paraId="3CBCDC9E" w14:textId="77777777" w:rsidR="001776B5" w:rsidRPr="00092DA3" w:rsidRDefault="001776B5" w:rsidP="001776B5">
      <w:pPr>
        <w:pStyle w:val="ListParagraph"/>
        <w:numPr>
          <w:ilvl w:val="0"/>
          <w:numId w:val="40"/>
        </w:numPr>
        <w:spacing w:before="0" w:after="160" w:line="259" w:lineRule="auto"/>
        <w:ind w:left="426" w:hanging="426"/>
        <w:rPr>
          <w:szCs w:val="24"/>
        </w:rPr>
      </w:pPr>
      <w:r w:rsidRPr="00092DA3">
        <w:rPr>
          <w:szCs w:val="24"/>
        </w:rPr>
        <w:t>provide up-to-date information on the availability of backhaul generally;</w:t>
      </w:r>
    </w:p>
    <w:p w14:paraId="3468733D" w14:textId="77777777" w:rsidR="001776B5" w:rsidRPr="00092DA3" w:rsidRDefault="001776B5" w:rsidP="001776B5">
      <w:pPr>
        <w:pStyle w:val="ListParagraph"/>
        <w:numPr>
          <w:ilvl w:val="0"/>
          <w:numId w:val="40"/>
        </w:numPr>
        <w:spacing w:before="0" w:after="160" w:line="259" w:lineRule="auto"/>
        <w:ind w:left="426" w:hanging="426"/>
        <w:rPr>
          <w:szCs w:val="24"/>
        </w:rPr>
      </w:pPr>
      <w:r w:rsidRPr="00092DA3">
        <w:rPr>
          <w:szCs w:val="24"/>
        </w:rPr>
        <w:t xml:space="preserve">develop long-term planning strategies and processes to identify </w:t>
      </w:r>
      <w:proofErr w:type="spellStart"/>
      <w:r w:rsidRPr="00092DA3">
        <w:rPr>
          <w:szCs w:val="24"/>
        </w:rPr>
        <w:t>greenfields</w:t>
      </w:r>
      <w:proofErr w:type="spellEnd"/>
      <w:r w:rsidRPr="00092DA3">
        <w:rPr>
          <w:szCs w:val="24"/>
        </w:rPr>
        <w:t xml:space="preserve"> rollout areas to allow for a more integrated planning approach to development corridors and infill growth areas;</w:t>
      </w:r>
    </w:p>
    <w:p w14:paraId="2619BCD5" w14:textId="77777777" w:rsidR="001776B5" w:rsidRPr="00092DA3" w:rsidRDefault="001776B5" w:rsidP="001776B5">
      <w:pPr>
        <w:pStyle w:val="ListParagraph"/>
        <w:numPr>
          <w:ilvl w:val="0"/>
          <w:numId w:val="40"/>
        </w:numPr>
        <w:spacing w:before="0" w:after="160" w:line="259" w:lineRule="auto"/>
        <w:ind w:left="426" w:hanging="426"/>
        <w:rPr>
          <w:szCs w:val="24"/>
        </w:rPr>
      </w:pPr>
      <w:r w:rsidRPr="00092DA3">
        <w:rPr>
          <w:szCs w:val="24"/>
        </w:rPr>
        <w:t xml:space="preserve">develop cost sharing and rebate schemes to address first mover disadvantages; and </w:t>
      </w:r>
    </w:p>
    <w:p w14:paraId="446E10C5" w14:textId="77777777" w:rsidR="001776B5" w:rsidRPr="00092DA3" w:rsidRDefault="001776B5" w:rsidP="001776B5">
      <w:pPr>
        <w:pStyle w:val="ListParagraph"/>
        <w:numPr>
          <w:ilvl w:val="0"/>
          <w:numId w:val="40"/>
        </w:numPr>
        <w:spacing w:before="0" w:after="160" w:line="259" w:lineRule="auto"/>
        <w:ind w:left="426" w:hanging="426"/>
        <w:rPr>
          <w:szCs w:val="24"/>
        </w:rPr>
      </w:pPr>
      <w:proofErr w:type="gramStart"/>
      <w:r w:rsidRPr="00092DA3">
        <w:rPr>
          <w:szCs w:val="24"/>
        </w:rPr>
        <w:t>look</w:t>
      </w:r>
      <w:proofErr w:type="gramEnd"/>
      <w:r w:rsidRPr="00092DA3">
        <w:rPr>
          <w:szCs w:val="24"/>
        </w:rPr>
        <w:t xml:space="preserve"> for opportunities to reduce backhaul costs through co-development with other utilities.</w:t>
      </w:r>
    </w:p>
    <w:p w14:paraId="4D8623CB" w14:textId="77777777" w:rsidR="001E60AD" w:rsidRPr="00092DA3" w:rsidRDefault="001E60AD" w:rsidP="0070749A">
      <w:r w:rsidRPr="00092DA3">
        <w:t xml:space="preserve">In a competitive marketplace NBN </w:t>
      </w:r>
      <w:proofErr w:type="spellStart"/>
      <w:r w:rsidRPr="00092DA3">
        <w:t>Co’s</w:t>
      </w:r>
      <w:proofErr w:type="spellEnd"/>
      <w:r w:rsidRPr="00092DA3">
        <w:t xml:space="preserve"> competitors will be under pressure to </w:t>
      </w:r>
      <w:r w:rsidR="0095775F" w:rsidRPr="00092DA3">
        <w:t xml:space="preserve">offer </w:t>
      </w:r>
      <w:r w:rsidRPr="00092DA3">
        <w:t>comparable services to win the business of developers.</w:t>
      </w:r>
    </w:p>
    <w:p w14:paraId="2E17EE80" w14:textId="5C177779" w:rsidR="0070749A" w:rsidRPr="00092DA3" w:rsidRDefault="0070749A" w:rsidP="0070749A">
      <w:r w:rsidRPr="00092DA3">
        <w:t>In addition, as noted above, there will be no charge for backhaul where it is readily available</w:t>
      </w:r>
      <w:r w:rsidR="003E2AC9" w:rsidRPr="00092DA3">
        <w:t xml:space="preserve"> as part of NBN </w:t>
      </w:r>
      <w:proofErr w:type="spellStart"/>
      <w:r w:rsidR="003E2AC9" w:rsidRPr="00092DA3">
        <w:t>Co’s</w:t>
      </w:r>
      <w:proofErr w:type="spellEnd"/>
      <w:r w:rsidR="003E2AC9" w:rsidRPr="00092DA3">
        <w:t xml:space="preserve"> transit network or previous civil works</w:t>
      </w:r>
      <w:r w:rsidRPr="00092DA3">
        <w:t>.</w:t>
      </w:r>
      <w:r w:rsidR="00E53A0E">
        <w:t xml:space="preserve"> </w:t>
      </w:r>
      <w:r w:rsidRPr="00092DA3">
        <w:t xml:space="preserve">Analysis by NBN Co of past projects suggests </w:t>
      </w:r>
      <w:r w:rsidR="003E2AC9" w:rsidRPr="00092DA3">
        <w:t>a</w:t>
      </w:r>
      <w:r w:rsidRPr="00092DA3">
        <w:t xml:space="preserve"> </w:t>
      </w:r>
      <w:r w:rsidR="003E2AC9" w:rsidRPr="00092DA3">
        <w:t>clear</w:t>
      </w:r>
      <w:r w:rsidRPr="00092DA3">
        <w:t xml:space="preserve"> majority of new </w:t>
      </w:r>
      <w:r w:rsidR="003E2AC9" w:rsidRPr="00092DA3">
        <w:t>estates</w:t>
      </w:r>
      <w:r w:rsidRPr="00092DA3">
        <w:t xml:space="preserve"> are within one kilometre of </w:t>
      </w:r>
      <w:r w:rsidR="003E2AC9" w:rsidRPr="00092DA3">
        <w:t xml:space="preserve">existing </w:t>
      </w:r>
      <w:r w:rsidRPr="00092DA3">
        <w:t>backhaul and as such would not face backhaul charges</w:t>
      </w:r>
      <w:r w:rsidR="003E2AC9" w:rsidRPr="00092DA3">
        <w:t>.</w:t>
      </w:r>
      <w:r w:rsidR="00E53A0E">
        <w:t xml:space="preserve"> </w:t>
      </w:r>
      <w:r w:rsidR="003E2AC9" w:rsidRPr="00092DA3">
        <w:t xml:space="preserve">A further </w:t>
      </w:r>
      <w:r w:rsidRPr="00092DA3">
        <w:t xml:space="preserve">significant percentage </w:t>
      </w:r>
      <w:r w:rsidR="003E2AC9" w:rsidRPr="00092DA3">
        <w:t>are</w:t>
      </w:r>
      <w:r w:rsidRPr="00092DA3">
        <w:t xml:space="preserve"> in close proximity </w:t>
      </w:r>
      <w:r w:rsidR="003E2AC9" w:rsidRPr="00092DA3">
        <w:t>to</w:t>
      </w:r>
      <w:r w:rsidRPr="00092DA3">
        <w:t xml:space="preserve"> backhaul and would not </w:t>
      </w:r>
      <w:r w:rsidR="003E2AC9" w:rsidRPr="00092DA3">
        <w:t xml:space="preserve">require additional capital costs in </w:t>
      </w:r>
      <w:r w:rsidRPr="00092DA3">
        <w:t>excess of $1000 per lot.</w:t>
      </w:r>
      <w:r w:rsidR="00E53A0E">
        <w:t xml:space="preserve"> </w:t>
      </w:r>
      <w:r w:rsidRPr="00092DA3">
        <w:t xml:space="preserve">Only a small </w:t>
      </w:r>
      <w:r w:rsidR="003E2AC9" w:rsidRPr="00092DA3">
        <w:t xml:space="preserve">single-digit </w:t>
      </w:r>
      <w:r w:rsidRPr="00092DA3">
        <w:t xml:space="preserve">percentage </w:t>
      </w:r>
      <w:r w:rsidR="003E2AC9" w:rsidRPr="00092DA3">
        <w:t xml:space="preserve">of developments </w:t>
      </w:r>
      <w:r w:rsidRPr="00092DA3">
        <w:t xml:space="preserve">would face backhaul charges in excess of $1000 per lot. </w:t>
      </w:r>
    </w:p>
    <w:p w14:paraId="6725707A" w14:textId="77777777" w:rsidR="001776B5" w:rsidRPr="00092DA3" w:rsidRDefault="0070749A" w:rsidP="001776B5">
      <w:r w:rsidRPr="00092DA3">
        <w:t>Moreover</w:t>
      </w:r>
      <w:r w:rsidR="001776B5" w:rsidRPr="00092DA3">
        <w:t xml:space="preserve">, as NBN </w:t>
      </w:r>
      <w:proofErr w:type="spellStart"/>
      <w:r w:rsidR="001776B5" w:rsidRPr="00092DA3">
        <w:t>Co’s</w:t>
      </w:r>
      <w:proofErr w:type="spellEnd"/>
      <w:r w:rsidR="001776B5" w:rsidRPr="00092DA3">
        <w:t xml:space="preserve"> footprint expands, so will its available </w:t>
      </w:r>
      <w:r w:rsidR="003E2AC9" w:rsidRPr="00092DA3">
        <w:t>transit and distribution networks</w:t>
      </w:r>
      <w:r w:rsidR="001776B5" w:rsidRPr="00092DA3">
        <w:t>, making backhaul charg</w:t>
      </w:r>
      <w:r w:rsidR="003E2AC9" w:rsidRPr="00092DA3">
        <w:t>es</w:t>
      </w:r>
      <w:r w:rsidR="001776B5" w:rsidRPr="00092DA3">
        <w:t xml:space="preserve"> less </w:t>
      </w:r>
      <w:r w:rsidR="003E2AC9" w:rsidRPr="00092DA3">
        <w:t>common and less onerous</w:t>
      </w:r>
      <w:r w:rsidR="001776B5" w:rsidRPr="00092DA3">
        <w:t>.</w:t>
      </w:r>
    </w:p>
    <w:p w14:paraId="2258D934" w14:textId="77777777" w:rsidR="0070749A" w:rsidRPr="00092DA3" w:rsidRDefault="0070749A" w:rsidP="001776B5">
      <w:r w:rsidRPr="00092DA3">
        <w:t>As noted above, NBN Co</w:t>
      </w:r>
      <w:r w:rsidR="0052261C" w:rsidRPr="00092DA3">
        <w:t xml:space="preserve"> will also be required to consider and respond to commercial demand from alternative providers for backhaul</w:t>
      </w:r>
      <w:r w:rsidRPr="00092DA3">
        <w:t>.</w:t>
      </w:r>
    </w:p>
    <w:p w14:paraId="45917469" w14:textId="3D24C76E" w:rsidR="0070749A" w:rsidRPr="00092DA3" w:rsidRDefault="0052261C" w:rsidP="001776B5">
      <w:r w:rsidRPr="00092DA3">
        <w:t>As noted in section 4.9 above, t</w:t>
      </w:r>
      <w:r w:rsidR="001776B5" w:rsidRPr="00092DA3">
        <w:t>h</w:t>
      </w:r>
      <w:r w:rsidR="003E2AC9" w:rsidRPr="00092DA3">
        <w:t>is</w:t>
      </w:r>
      <w:r w:rsidR="001776B5" w:rsidRPr="00092DA3">
        <w:t xml:space="preserve"> policy </w:t>
      </w:r>
      <w:r w:rsidRPr="00092DA3">
        <w:t xml:space="preserve">requires NBN Co to endeavour to ensure its network supports the solutions RSPs need to provide to meet consumer demand, such as </w:t>
      </w:r>
      <w:r w:rsidR="001776B5" w:rsidRPr="00092DA3">
        <w:t xml:space="preserve">the delivery of </w:t>
      </w:r>
      <w:r w:rsidR="003E2AC9" w:rsidRPr="00092DA3">
        <w:t xml:space="preserve">subscription and free to air </w:t>
      </w:r>
      <w:r w:rsidR="001776B5" w:rsidRPr="00092DA3">
        <w:t>television programming and other value-added services</w:t>
      </w:r>
      <w:r w:rsidR="00AE438D" w:rsidRPr="00092DA3">
        <w:t>.</w:t>
      </w:r>
    </w:p>
    <w:p w14:paraId="782BB5C9" w14:textId="77777777" w:rsidR="00045665" w:rsidRPr="00092DA3" w:rsidRDefault="001776B5" w:rsidP="001776B5">
      <w:r w:rsidRPr="00092DA3">
        <w:t xml:space="preserve">NBN </w:t>
      </w:r>
      <w:r w:rsidR="00852990" w:rsidRPr="00092DA3">
        <w:t>Co will</w:t>
      </w:r>
      <w:r w:rsidR="00045665" w:rsidRPr="00092DA3">
        <w:t xml:space="preserve"> also refine its processes for</w:t>
      </w:r>
      <w:r w:rsidR="00F93006" w:rsidRPr="00092DA3">
        <w:t xml:space="preserve"> </w:t>
      </w:r>
      <w:r w:rsidR="00852990" w:rsidRPr="00092DA3">
        <w:t xml:space="preserve">bringing </w:t>
      </w:r>
      <w:r w:rsidR="007862AE" w:rsidRPr="00092DA3">
        <w:t>RSPs</w:t>
      </w:r>
      <w:r w:rsidRPr="00092DA3">
        <w:t xml:space="preserve"> onto </w:t>
      </w:r>
      <w:r w:rsidR="007862AE" w:rsidRPr="00092DA3">
        <w:t>its</w:t>
      </w:r>
      <w:r w:rsidRPr="00092DA3">
        <w:t xml:space="preserve"> network </w:t>
      </w:r>
      <w:r w:rsidR="00045665" w:rsidRPr="00092DA3">
        <w:t xml:space="preserve">and </w:t>
      </w:r>
      <w:r w:rsidR="00852990" w:rsidRPr="00092DA3">
        <w:t xml:space="preserve">initially </w:t>
      </w:r>
      <w:r w:rsidRPr="00092DA3">
        <w:t>connecting new end</w:t>
      </w:r>
      <w:r w:rsidR="007862AE" w:rsidRPr="00092DA3">
        <w:t>-</w:t>
      </w:r>
      <w:r w:rsidR="003960DA" w:rsidRPr="00092DA3">
        <w:t>user</w:t>
      </w:r>
      <w:r w:rsidR="00045665" w:rsidRPr="00092DA3">
        <w:t>s in new developments so as to improve end-user experience.</w:t>
      </w:r>
    </w:p>
    <w:p w14:paraId="3FE9D176" w14:textId="77777777" w:rsidR="009A07F7" w:rsidRPr="00092DA3" w:rsidRDefault="009A07F7" w:rsidP="00773D70">
      <w:pPr>
        <w:pStyle w:val="Heading1"/>
        <w:keepLines w:val="0"/>
        <w:pageBreakBefore/>
        <w:spacing w:before="0" w:after="200" w:line="276" w:lineRule="auto"/>
        <w:ind w:left="357" w:hanging="357"/>
      </w:pPr>
      <w:bookmarkStart w:id="112" w:name="_Toc416175193"/>
      <w:bookmarkStart w:id="113" w:name="_Toc60751300"/>
      <w:r w:rsidRPr="00092DA3">
        <w:t>ALTERNATIVE PROVISION MODELS</w:t>
      </w:r>
      <w:bookmarkEnd w:id="112"/>
      <w:bookmarkEnd w:id="113"/>
    </w:p>
    <w:p w14:paraId="08157602" w14:textId="4EF79D83" w:rsidR="009A07F7" w:rsidRPr="00092DA3" w:rsidRDefault="009A07F7" w:rsidP="009A07F7">
      <w:r w:rsidRPr="00092DA3">
        <w:t xml:space="preserve">Consistent with its 2013 election policy, the Government considers developers should be free to contract with non-NBN parties to provide telecommunications </w:t>
      </w:r>
      <w:r w:rsidR="004A7A19">
        <w:t xml:space="preserve">infrastructure </w:t>
      </w:r>
      <w:r w:rsidRPr="00092DA3">
        <w:t xml:space="preserve">– and as long as the infrastructure in their estate adheres to NBN standards, </w:t>
      </w:r>
      <w:r w:rsidR="004A7A19">
        <w:t xml:space="preserve">and they </w:t>
      </w:r>
      <w:r w:rsidRPr="00092DA3">
        <w:t xml:space="preserve">have certainty that they can transfer the network and responsibility for its operation to NBN Co, and </w:t>
      </w:r>
      <w:r w:rsidR="004A7A19">
        <w:t xml:space="preserve">they can </w:t>
      </w:r>
      <w:r w:rsidRPr="00092DA3">
        <w:t>recover their costs.</w:t>
      </w:r>
    </w:p>
    <w:p w14:paraId="3A5CF1E9" w14:textId="78E7A26D" w:rsidR="009A07F7" w:rsidRPr="00092DA3" w:rsidRDefault="009A07F7" w:rsidP="009A07F7">
      <w:pPr>
        <w:pStyle w:val="Heading2"/>
      </w:pPr>
      <w:bookmarkStart w:id="114" w:name="_Toc416175194"/>
      <w:bookmarkStart w:id="115" w:name="_Toc60751301"/>
      <w:r w:rsidRPr="00092DA3">
        <w:t>Build and transfer</w:t>
      </w:r>
      <w:bookmarkEnd w:id="114"/>
      <w:bookmarkEnd w:id="115"/>
      <w:r w:rsidR="00E53A0E">
        <w:t xml:space="preserve"> </w:t>
      </w:r>
    </w:p>
    <w:p w14:paraId="1AB9408D" w14:textId="1B2F1C93" w:rsidR="009A07F7" w:rsidRPr="00092DA3" w:rsidRDefault="00D83F70" w:rsidP="009A07F7">
      <w:r w:rsidRPr="00092DA3">
        <w:t xml:space="preserve">Where developers are interested and it is commercially feasible for NBN Co, </w:t>
      </w:r>
      <w:r w:rsidR="009A07F7" w:rsidRPr="00092DA3">
        <w:t xml:space="preserve">NBN Co will </w:t>
      </w:r>
      <w:r w:rsidRPr="00092DA3">
        <w:t xml:space="preserve">be able to </w:t>
      </w:r>
      <w:r w:rsidR="009A07F7" w:rsidRPr="00092DA3">
        <w:t xml:space="preserve">trial </w:t>
      </w:r>
      <w:r w:rsidRPr="00092DA3">
        <w:t xml:space="preserve">and implement </w:t>
      </w:r>
      <w:r w:rsidR="009A07F7" w:rsidRPr="00092DA3">
        <w:t>arrangements where</w:t>
      </w:r>
      <w:r w:rsidRPr="00092DA3">
        <w:t>by</w:t>
      </w:r>
      <w:r w:rsidR="009A07F7" w:rsidRPr="00092DA3">
        <w:t xml:space="preserve"> developers, contractors or alternative network providers enter into contracts with NBN Co under which the developer, contractor or alternative network provider builds and transfers infrastructure at a pre-agreed price.</w:t>
      </w:r>
      <w:r w:rsidR="00E53A0E">
        <w:t xml:space="preserve"> </w:t>
      </w:r>
    </w:p>
    <w:p w14:paraId="4FEE30F2" w14:textId="39D92DFC" w:rsidR="009A07F7" w:rsidRPr="00092DA3" w:rsidRDefault="00D83F70" w:rsidP="009A07F7">
      <w:r w:rsidRPr="00092DA3">
        <w:t>The timing and nature of these arrangements are a matter for NBN Co</w:t>
      </w:r>
      <w:r w:rsidR="004A7A19">
        <w:t>. H</w:t>
      </w:r>
      <w:r w:rsidRPr="00092DA3">
        <w:t xml:space="preserve">owever, NBN Co will need to inform </w:t>
      </w:r>
      <w:r w:rsidR="007862AE" w:rsidRPr="00092DA3">
        <w:t xml:space="preserve">the </w:t>
      </w:r>
      <w:r w:rsidRPr="00092DA3">
        <w:t xml:space="preserve">Shareholder Ministers in advance </w:t>
      </w:r>
      <w:r w:rsidR="00734ED1" w:rsidRPr="00092DA3">
        <w:t>of such</w:t>
      </w:r>
      <w:r w:rsidRPr="00092DA3">
        <w:t xml:space="preserve"> activities</w:t>
      </w:r>
      <w:r w:rsidR="008C3BA9" w:rsidRPr="00092DA3">
        <w:t xml:space="preserve"> and report back to them promptly on the outcomes.</w:t>
      </w:r>
      <w:r w:rsidRPr="00092DA3">
        <w:t xml:space="preserve"> </w:t>
      </w:r>
    </w:p>
    <w:p w14:paraId="7FD897F1" w14:textId="22983155" w:rsidR="009A07F7" w:rsidRPr="00092DA3" w:rsidRDefault="008C3BA9" w:rsidP="009A07F7">
      <w:r w:rsidRPr="00092DA3">
        <w:t xml:space="preserve">It is envisaged such arrangements would </w:t>
      </w:r>
      <w:r w:rsidR="009A07F7" w:rsidRPr="00092DA3">
        <w:t xml:space="preserve">require networks </w:t>
      </w:r>
      <w:r w:rsidR="007862AE" w:rsidRPr="00092DA3">
        <w:t xml:space="preserve">to be </w:t>
      </w:r>
      <w:r w:rsidR="009A07F7" w:rsidRPr="00092DA3">
        <w:t xml:space="preserve">built to NBN </w:t>
      </w:r>
      <w:proofErr w:type="spellStart"/>
      <w:r w:rsidR="009A07F7" w:rsidRPr="00092DA3">
        <w:t>Co’s</w:t>
      </w:r>
      <w:proofErr w:type="spellEnd"/>
      <w:r w:rsidR="009A07F7" w:rsidRPr="00092DA3">
        <w:t xml:space="preserve"> specifications.</w:t>
      </w:r>
      <w:r w:rsidR="00E53A0E">
        <w:t xml:space="preserve"> </w:t>
      </w:r>
      <w:r w:rsidR="009A07F7" w:rsidRPr="00092DA3">
        <w:t xml:space="preserve">Insofar as networks are built in line with NBN </w:t>
      </w:r>
      <w:proofErr w:type="spellStart"/>
      <w:r w:rsidR="009A07F7" w:rsidRPr="00092DA3">
        <w:t>Co’s</w:t>
      </w:r>
      <w:proofErr w:type="spellEnd"/>
      <w:r w:rsidR="009A07F7" w:rsidRPr="00092DA3">
        <w:t xml:space="preserve"> specifications and other contractual requirements are met, NBN Co will take ownership and pay the developer, contractor or alternative network provider a pre-agreed price.</w:t>
      </w:r>
    </w:p>
    <w:p w14:paraId="3349E533" w14:textId="540D1F65" w:rsidR="009A07F7" w:rsidRPr="00092DA3" w:rsidRDefault="008C3BA9" w:rsidP="009A07F7">
      <w:r w:rsidRPr="00092DA3">
        <w:t>A</w:t>
      </w:r>
      <w:r w:rsidR="009A07F7" w:rsidRPr="00092DA3">
        <w:t xml:space="preserve">rrangements </w:t>
      </w:r>
      <w:r w:rsidRPr="00092DA3">
        <w:t xml:space="preserve">would </w:t>
      </w:r>
      <w:r w:rsidR="009A07F7" w:rsidRPr="00092DA3">
        <w:t>be pre-agreed before construction begins, so all parties have certainty regarding what must be built by when, and the payments involved.</w:t>
      </w:r>
      <w:r w:rsidR="00E53A0E">
        <w:t xml:space="preserve"> </w:t>
      </w:r>
      <w:r w:rsidR="009A07F7" w:rsidRPr="00092DA3">
        <w:t xml:space="preserve">It </w:t>
      </w:r>
      <w:r w:rsidRPr="00092DA3">
        <w:t xml:space="preserve">would </w:t>
      </w:r>
      <w:r w:rsidR="009A07F7" w:rsidRPr="00092DA3">
        <w:t>be a commercial matter for NBN Co as to whether it enters into trial agreements for developments already underway (i.e. for which it has no prior agreements).</w:t>
      </w:r>
    </w:p>
    <w:p w14:paraId="34EA97B1" w14:textId="77777777" w:rsidR="009A07F7" w:rsidRPr="00092DA3" w:rsidRDefault="009A07F7" w:rsidP="009A07F7">
      <w:pPr>
        <w:pStyle w:val="Heading2"/>
      </w:pPr>
      <w:bookmarkStart w:id="116" w:name="_Toc416175195"/>
      <w:bookmarkStart w:id="117" w:name="_Toc60751302"/>
      <w:r w:rsidRPr="00092DA3">
        <w:t>Other contractual models</w:t>
      </w:r>
      <w:bookmarkEnd w:id="116"/>
      <w:bookmarkEnd w:id="117"/>
    </w:p>
    <w:p w14:paraId="26CA23B0" w14:textId="230B49B3" w:rsidR="009A07F7" w:rsidRPr="00092DA3" w:rsidRDefault="008C3BA9" w:rsidP="009A07F7">
      <w:r w:rsidRPr="00092DA3">
        <w:t>As always, i</w:t>
      </w:r>
      <w:r w:rsidR="009A07F7" w:rsidRPr="00092DA3">
        <w:t>t will be open to NBN Co to enter into agreements with developers, contractors and alternative network providers for networks to be built and operated using a wide range of models – including co-investment and build-own-operate models.</w:t>
      </w:r>
      <w:r w:rsidR="00E53A0E">
        <w:t xml:space="preserve"> </w:t>
      </w:r>
      <w:r w:rsidRPr="00092DA3">
        <w:t>What is different now is that NBN Co is under strict instructions to maximise efficiency in serving new developments and needs to look actively at whether alternative delivery models can help it do this.</w:t>
      </w:r>
      <w:r w:rsidR="00E53A0E">
        <w:t xml:space="preserve"> </w:t>
      </w:r>
      <w:r w:rsidR="009A07F7" w:rsidRPr="00092DA3">
        <w:t>To be of value</w:t>
      </w:r>
      <w:r w:rsidR="00A85578">
        <w:t>,</w:t>
      </w:r>
      <w:r w:rsidR="009A07F7" w:rsidRPr="00092DA3">
        <w:t xml:space="preserve"> these models must promote efficient and timely completion of </w:t>
      </w:r>
      <w:proofErr w:type="spellStart"/>
      <w:r w:rsidR="009A07F7" w:rsidRPr="00092DA3">
        <w:t>infrastructure,</w:t>
      </w:r>
      <w:proofErr w:type="spellEnd"/>
      <w:r w:rsidR="009A07F7" w:rsidRPr="00092DA3">
        <w:t xml:space="preserve"> and be value accretive to NBN Co (i.e. have benefits that exceed costs).</w:t>
      </w:r>
      <w:r w:rsidR="00E53A0E">
        <w:t xml:space="preserve"> </w:t>
      </w:r>
    </w:p>
    <w:p w14:paraId="33C7EE3B" w14:textId="022F3497" w:rsidR="009A07F7" w:rsidRPr="00092DA3" w:rsidRDefault="009A07F7" w:rsidP="009A07F7">
      <w:r w:rsidRPr="00092DA3">
        <w:t xml:space="preserve">A particular concern in this regard for the Government is the significant cost NBN Co is incurring in making additional Per Subscriber Address Amount (PSAA) payments to Telstra for </w:t>
      </w:r>
      <w:proofErr w:type="gramStart"/>
      <w:r w:rsidRPr="00092DA3">
        <w:t>greenfield</w:t>
      </w:r>
      <w:proofErr w:type="gramEnd"/>
      <w:r w:rsidRPr="00092DA3">
        <w:t xml:space="preserve"> or infill developments with fewer than 100 lots or premises in fixed line areas that Telstra connects with copper while the NBN is being rolled out.</w:t>
      </w:r>
      <w:r w:rsidR="00E53A0E">
        <w:t xml:space="preserve"> </w:t>
      </w:r>
      <w:r w:rsidRPr="00092DA3">
        <w:t>The Government sees scope for NBN Co to reduce these costs by servicing more of these developments with the help of alternative providers.</w:t>
      </w:r>
      <w:r w:rsidR="00E53A0E">
        <w:t xml:space="preserve"> </w:t>
      </w:r>
      <w:r w:rsidRPr="00092DA3">
        <w:t>Models NBN Co could employ include:</w:t>
      </w:r>
    </w:p>
    <w:p w14:paraId="180B185D" w14:textId="77777777" w:rsidR="009A07F7" w:rsidRPr="00092DA3" w:rsidRDefault="009A07F7" w:rsidP="007021B1">
      <w:pPr>
        <w:pStyle w:val="ListParagraph"/>
        <w:numPr>
          <w:ilvl w:val="0"/>
          <w:numId w:val="37"/>
        </w:numPr>
        <w:spacing w:before="0" w:after="200" w:line="276" w:lineRule="auto"/>
      </w:pPr>
      <w:r w:rsidRPr="001F2208">
        <w:rPr>
          <w:b/>
        </w:rPr>
        <w:t>Build and Transfer</w:t>
      </w:r>
      <w:r w:rsidRPr="00092DA3">
        <w:t>, in which the developer or alternative provider builds the network and transfers it to NBN Co upon completion at pre-agreed terms;</w:t>
      </w:r>
    </w:p>
    <w:p w14:paraId="7CB273D6" w14:textId="77777777" w:rsidR="009A07F7" w:rsidRPr="00092DA3" w:rsidRDefault="009A07F7" w:rsidP="007021B1">
      <w:pPr>
        <w:pStyle w:val="ListParagraph"/>
        <w:numPr>
          <w:ilvl w:val="0"/>
          <w:numId w:val="37"/>
        </w:numPr>
        <w:spacing w:before="0" w:after="200" w:line="276" w:lineRule="auto"/>
      </w:pPr>
      <w:r w:rsidRPr="001F2208">
        <w:rPr>
          <w:b/>
        </w:rPr>
        <w:t>Build, Own, Transfer</w:t>
      </w:r>
      <w:r w:rsidRPr="00092DA3">
        <w:t>, in which the developer or alternative provider builds the network, operates it for a specified period and then transfers it to NBN Co at pre-agreed terms;</w:t>
      </w:r>
    </w:p>
    <w:p w14:paraId="6512C097" w14:textId="77777777" w:rsidR="009A07F7" w:rsidRPr="00092DA3" w:rsidRDefault="009A07F7" w:rsidP="007021B1">
      <w:pPr>
        <w:pStyle w:val="ListParagraph"/>
        <w:numPr>
          <w:ilvl w:val="0"/>
          <w:numId w:val="37"/>
        </w:numPr>
        <w:spacing w:before="0" w:after="200" w:line="276" w:lineRule="auto"/>
      </w:pPr>
      <w:r w:rsidRPr="001F2208">
        <w:rPr>
          <w:b/>
        </w:rPr>
        <w:t>Build, Own, Lease, Operate</w:t>
      </w:r>
      <w:r w:rsidRPr="00092DA3">
        <w:t xml:space="preserve"> in which the developer or alternative providers builds and owns the network and leases it to NBN Co</w:t>
      </w:r>
      <w:r w:rsidR="00AE438D" w:rsidRPr="00092DA3">
        <w:t xml:space="preserve"> to operate</w:t>
      </w:r>
      <w:r w:rsidRPr="00092DA3">
        <w:t xml:space="preserve">, or operates it on NBN </w:t>
      </w:r>
      <w:proofErr w:type="spellStart"/>
      <w:r w:rsidRPr="00092DA3">
        <w:t>Co’s</w:t>
      </w:r>
      <w:proofErr w:type="spellEnd"/>
      <w:r w:rsidRPr="00092DA3">
        <w:t xml:space="preserve"> behalf;</w:t>
      </w:r>
    </w:p>
    <w:p w14:paraId="1B7357C5" w14:textId="77777777" w:rsidR="009A07F7" w:rsidRPr="00092DA3" w:rsidRDefault="009A07F7" w:rsidP="007021B1">
      <w:pPr>
        <w:pStyle w:val="ListParagraph"/>
        <w:numPr>
          <w:ilvl w:val="0"/>
          <w:numId w:val="37"/>
        </w:numPr>
        <w:spacing w:before="0" w:after="200" w:line="276" w:lineRule="auto"/>
      </w:pPr>
      <w:r w:rsidRPr="001F2208">
        <w:rPr>
          <w:b/>
        </w:rPr>
        <w:t>Build, Transfer, Operate</w:t>
      </w:r>
      <w:r w:rsidRPr="00092DA3">
        <w:t>, in which the developer or alternative provider builds the network, then transfers it to NBN Co upon completion at pre-agreed terms, and then operates it via a lease</w:t>
      </w:r>
      <w:r w:rsidRPr="00092DA3">
        <w:noBreakHyphen/>
        <w:t xml:space="preserve">back arrangement or as an NBN Co franchisee; </w:t>
      </w:r>
    </w:p>
    <w:p w14:paraId="32FADE29" w14:textId="77777777" w:rsidR="009A07F7" w:rsidRPr="00092DA3" w:rsidRDefault="009A07F7" w:rsidP="007021B1">
      <w:pPr>
        <w:pStyle w:val="ListParagraph"/>
        <w:numPr>
          <w:ilvl w:val="0"/>
          <w:numId w:val="37"/>
        </w:numPr>
        <w:spacing w:before="0" w:after="200" w:line="276" w:lineRule="auto"/>
      </w:pPr>
      <w:r w:rsidRPr="001F2208">
        <w:rPr>
          <w:b/>
        </w:rPr>
        <w:t>Franchises</w:t>
      </w:r>
      <w:r w:rsidRPr="00092DA3">
        <w:t>, in which NBN Co builds the network, while an alternative provider then operates it under a lease-back or franchise arrangement;</w:t>
      </w:r>
    </w:p>
    <w:p w14:paraId="5D298A35" w14:textId="77777777" w:rsidR="009A07F7" w:rsidRPr="00092DA3" w:rsidRDefault="009A07F7" w:rsidP="007021B1">
      <w:pPr>
        <w:pStyle w:val="ListParagraph"/>
        <w:numPr>
          <w:ilvl w:val="0"/>
          <w:numId w:val="37"/>
        </w:numPr>
        <w:spacing w:before="0" w:after="200" w:line="276" w:lineRule="auto"/>
      </w:pPr>
      <w:r w:rsidRPr="001F2208">
        <w:rPr>
          <w:b/>
        </w:rPr>
        <w:t>Public Private Partnerships</w:t>
      </w:r>
      <w:r w:rsidRPr="00092DA3">
        <w:t>, in which the developer or an alternative provider and NBN Co enter into a partnership to build and/or operate a network under pre-agreed terms; and</w:t>
      </w:r>
    </w:p>
    <w:p w14:paraId="1DA7FFC1" w14:textId="77777777" w:rsidR="009A07F7" w:rsidRPr="00092DA3" w:rsidRDefault="009A07F7" w:rsidP="007021B1">
      <w:pPr>
        <w:pStyle w:val="ListParagraph"/>
        <w:numPr>
          <w:ilvl w:val="0"/>
          <w:numId w:val="37"/>
        </w:numPr>
        <w:spacing w:before="0" w:after="200" w:line="276" w:lineRule="auto"/>
      </w:pPr>
      <w:r w:rsidRPr="001F2208">
        <w:rPr>
          <w:b/>
        </w:rPr>
        <w:t>Joint Ventures</w:t>
      </w:r>
      <w:r w:rsidRPr="00092DA3">
        <w:t>, in which the developer or an alternative provider and NBN Co establish a separate legal entity to build and/or operate a network under pre-agreed terms.</w:t>
      </w:r>
    </w:p>
    <w:p w14:paraId="510B4330" w14:textId="77777777" w:rsidR="009A07F7" w:rsidRPr="00092DA3" w:rsidRDefault="009A07F7" w:rsidP="009A07F7">
      <w:r w:rsidRPr="00092DA3">
        <w:t>Some models may be more suited to certain scenarios than others and NBN Co is free to choose the best model for each scenario, subject to the overall objective of ensuring quality telecommunications services are available in a timely fashion, minimising costs, and competing on a competitively neutral basis.</w:t>
      </w:r>
    </w:p>
    <w:p w14:paraId="381D6B7E" w14:textId="77777777" w:rsidR="009A07F7" w:rsidRPr="00092DA3" w:rsidRDefault="009A07F7" w:rsidP="009A07F7">
      <w:r w:rsidRPr="00092DA3">
        <w:t>For example:</w:t>
      </w:r>
    </w:p>
    <w:p w14:paraId="5BB19F8E" w14:textId="77777777" w:rsidR="009A07F7" w:rsidRPr="00092DA3" w:rsidRDefault="009A07F7" w:rsidP="0020065B">
      <w:pPr>
        <w:pStyle w:val="ListParagraph"/>
        <w:numPr>
          <w:ilvl w:val="0"/>
          <w:numId w:val="38"/>
        </w:numPr>
        <w:spacing w:before="120" w:after="120"/>
        <w:ind w:left="357" w:hanging="357"/>
      </w:pPr>
      <w:r w:rsidRPr="00092DA3">
        <w:t xml:space="preserve">In infill areas where the NBN fixed line network has not yet been rolled out, NBN Co might use a Build and Transfer model. </w:t>
      </w:r>
    </w:p>
    <w:p w14:paraId="4843022C" w14:textId="77777777" w:rsidR="009A07F7" w:rsidRPr="00092DA3" w:rsidRDefault="009A07F7" w:rsidP="0020065B">
      <w:pPr>
        <w:pStyle w:val="ListParagraph"/>
        <w:numPr>
          <w:ilvl w:val="0"/>
          <w:numId w:val="38"/>
        </w:numPr>
        <w:spacing w:before="120" w:after="120"/>
        <w:ind w:left="357" w:hanging="357"/>
      </w:pPr>
      <w:r w:rsidRPr="00092DA3">
        <w:t xml:space="preserve">In </w:t>
      </w:r>
      <w:proofErr w:type="spellStart"/>
      <w:r w:rsidRPr="00092DA3">
        <w:t>broadacre</w:t>
      </w:r>
      <w:proofErr w:type="spellEnd"/>
      <w:r w:rsidRPr="00092DA3">
        <w:t xml:space="preserve"> areas where the NBN has not yet rolled out, NBN Co might use a Build, Own, Transfer model. </w:t>
      </w:r>
    </w:p>
    <w:p w14:paraId="4DB727ED" w14:textId="77777777" w:rsidR="009A07F7" w:rsidRPr="00092DA3" w:rsidRDefault="009A07F7" w:rsidP="0020065B">
      <w:pPr>
        <w:pStyle w:val="ListParagraph"/>
        <w:numPr>
          <w:ilvl w:val="0"/>
          <w:numId w:val="38"/>
        </w:numPr>
        <w:spacing w:before="120" w:after="120"/>
        <w:ind w:left="357" w:hanging="357"/>
      </w:pPr>
      <w:r w:rsidRPr="00092DA3">
        <w:t>In areas where alternative providers are established but NBN Co has to fulfil IPOLR obligations NBN Co may seek access to existing networks to fulfil its obligations, or come to an alternative arrangement such as sub-contracting the IPOLR role.</w:t>
      </w:r>
    </w:p>
    <w:p w14:paraId="0683960E" w14:textId="3A5D1446" w:rsidR="009A07F7" w:rsidRPr="00092DA3" w:rsidRDefault="009A07F7" w:rsidP="009A07F7">
      <w:r w:rsidRPr="00092DA3">
        <w:t>NBN Co can pursue such models, consistent with the Government’s general guidance to NBN Co to consider innovative delivery models including co-investment and public-private partnerships.</w:t>
      </w:r>
    </w:p>
    <w:p w14:paraId="01203A3B" w14:textId="77777777" w:rsidR="002A5928" w:rsidRPr="00092DA3" w:rsidRDefault="002A5928" w:rsidP="009A07F7">
      <w:r w:rsidRPr="00092DA3">
        <w:t xml:space="preserve">A forum with developers will be established </w:t>
      </w:r>
      <w:r w:rsidR="00AE438D" w:rsidRPr="00092DA3">
        <w:t xml:space="preserve">as required </w:t>
      </w:r>
      <w:r w:rsidRPr="00092DA3">
        <w:t>to discuss implementation issues, including implementation of these models</w:t>
      </w:r>
      <w:r w:rsidR="00E6226F" w:rsidRPr="00092DA3">
        <w:t>.</w:t>
      </w:r>
    </w:p>
    <w:p w14:paraId="4C66A42D" w14:textId="77777777" w:rsidR="009A07F7" w:rsidRPr="00092DA3" w:rsidRDefault="009A07F7" w:rsidP="00773D70">
      <w:pPr>
        <w:pStyle w:val="Heading1"/>
        <w:keepLines w:val="0"/>
        <w:pageBreakBefore/>
        <w:spacing w:before="0" w:after="200" w:line="276" w:lineRule="auto"/>
        <w:ind w:left="357" w:hanging="357"/>
      </w:pPr>
      <w:bookmarkStart w:id="118" w:name="_Toc416175196"/>
      <w:bookmarkStart w:id="119" w:name="_Toc60751303"/>
      <w:r w:rsidRPr="00092DA3">
        <w:t>TRANSITIONAL ARRANGEMENTS</w:t>
      </w:r>
      <w:bookmarkEnd w:id="118"/>
      <w:bookmarkEnd w:id="119"/>
    </w:p>
    <w:p w14:paraId="18B53BC7" w14:textId="2AD81D31" w:rsidR="009A07F7" w:rsidRPr="00092DA3" w:rsidRDefault="009A07F7" w:rsidP="009A07F7">
      <w:r w:rsidRPr="00092DA3">
        <w:t>The Government recognises the development industry is complex and, at any one time, there are many thousands of projects at different stages of planning and implementation, involving different completion dates.</w:t>
      </w:r>
      <w:r w:rsidR="00E53A0E">
        <w:t xml:space="preserve"> </w:t>
      </w:r>
      <w:r w:rsidRPr="00092DA3">
        <w:t>It recognises that some projects may have been planned on the basis of certain economic assumptions about telecommunications provision and there are a range of contracts in place (including between developers and NBN Co).</w:t>
      </w:r>
      <w:r w:rsidR="00E53A0E">
        <w:t xml:space="preserve"> </w:t>
      </w:r>
      <w:r w:rsidRPr="00092DA3">
        <w:t>S</w:t>
      </w:r>
      <w:r w:rsidR="00553C96">
        <w:t>ome of these contracts are long-</w:t>
      </w:r>
      <w:r w:rsidRPr="00092DA3">
        <w:t>term, covering thousands of lots or premises.</w:t>
      </w:r>
      <w:r w:rsidR="008C3BA9" w:rsidRPr="00092DA3">
        <w:t xml:space="preserve"> It also recognises that the changes set out in this policy, particularly the introduction of charging, are significant for the sector.</w:t>
      </w:r>
    </w:p>
    <w:p w14:paraId="7BC2EFAC" w14:textId="40190DF5" w:rsidR="009A07F7" w:rsidRPr="00092DA3" w:rsidRDefault="009A07F7" w:rsidP="009A07F7">
      <w:r w:rsidRPr="00092DA3">
        <w:t>The Government does not intend that the changes set out here should affect the terms of existing contracts.</w:t>
      </w:r>
      <w:r w:rsidR="00E53A0E">
        <w:t xml:space="preserve"> </w:t>
      </w:r>
      <w:r w:rsidRPr="00092DA3">
        <w:t>This ultimately is a matter for the contracting parties including NBN Co and developers.</w:t>
      </w:r>
    </w:p>
    <w:p w14:paraId="00718409" w14:textId="5BACA168" w:rsidR="008939E4" w:rsidRPr="00092DA3" w:rsidRDefault="008C3BA9" w:rsidP="008939E4">
      <w:r w:rsidRPr="00092DA3">
        <w:t xml:space="preserve">Consistent with the draft policy released in December 2014, </w:t>
      </w:r>
      <w:r w:rsidR="009A07F7" w:rsidRPr="00092DA3">
        <w:t xml:space="preserve">NBN Co </w:t>
      </w:r>
      <w:r w:rsidRPr="00092DA3">
        <w:t xml:space="preserve">will be </w:t>
      </w:r>
      <w:r w:rsidR="00D31B71" w:rsidRPr="00092DA3">
        <w:t xml:space="preserve">able to </w:t>
      </w:r>
      <w:r w:rsidRPr="00092DA3">
        <w:t xml:space="preserve">recover contributions for network deployment in new developments ($400 per MDU </w:t>
      </w:r>
      <w:r w:rsidR="00AE438D" w:rsidRPr="00092DA3">
        <w:t xml:space="preserve">premises </w:t>
      </w:r>
      <w:r w:rsidRPr="00092DA3">
        <w:t xml:space="preserve">and $600 </w:t>
      </w:r>
      <w:r w:rsidR="007862AE" w:rsidRPr="00092DA3">
        <w:t>per</w:t>
      </w:r>
      <w:r w:rsidRPr="00092DA3">
        <w:t xml:space="preserve"> SDU</w:t>
      </w:r>
      <w:r w:rsidR="00AE438D" w:rsidRPr="00092DA3">
        <w:t xml:space="preserve"> </w:t>
      </w:r>
      <w:r w:rsidR="005A1340">
        <w:t>lot/</w:t>
      </w:r>
      <w:r w:rsidR="00AE438D" w:rsidRPr="00092DA3">
        <w:t>premises</w:t>
      </w:r>
      <w:r w:rsidRPr="00092DA3">
        <w:t xml:space="preserve">) </w:t>
      </w:r>
      <w:r w:rsidR="009A07F7" w:rsidRPr="00092DA3">
        <w:t xml:space="preserve">for all </w:t>
      </w:r>
      <w:r w:rsidR="008939E4" w:rsidRPr="00092DA3">
        <w:t xml:space="preserve">development </w:t>
      </w:r>
      <w:r w:rsidR="009A07F7" w:rsidRPr="00092DA3">
        <w:t xml:space="preserve">applications </w:t>
      </w:r>
      <w:r w:rsidR="006F0FEB" w:rsidRPr="00092DA3">
        <w:t xml:space="preserve">accepted </w:t>
      </w:r>
      <w:r w:rsidR="009A07F7" w:rsidRPr="00092DA3">
        <w:t>on or after 1 March 2015.</w:t>
      </w:r>
      <w:r w:rsidR="00E53A0E">
        <w:t xml:space="preserve"> </w:t>
      </w:r>
      <w:r w:rsidR="006F0FEB" w:rsidRPr="00092DA3">
        <w:t>T</w:t>
      </w:r>
      <w:r w:rsidR="009A07F7" w:rsidRPr="00092DA3">
        <w:t>hese charges will not apply retrospectively to any applications already accepted by NBN Co</w:t>
      </w:r>
      <w:r w:rsidR="006F0FEB" w:rsidRPr="00092DA3">
        <w:t xml:space="preserve"> before 1 March 2015</w:t>
      </w:r>
      <w:r w:rsidR="00234ACA" w:rsidRPr="00092DA3">
        <w:t xml:space="preserve"> or development stages under contract within</w:t>
      </w:r>
      <w:r w:rsidR="00D31B71" w:rsidRPr="00092DA3">
        <w:t xml:space="preserve"> </w:t>
      </w:r>
      <w:r w:rsidR="00234ACA" w:rsidRPr="00092DA3">
        <w:rPr>
          <w:rFonts w:eastAsia="Times New Roman"/>
        </w:rPr>
        <w:t>an</w:t>
      </w:r>
      <w:r w:rsidR="006F352C" w:rsidRPr="00092DA3">
        <w:rPr>
          <w:rFonts w:eastAsia="Times New Roman"/>
        </w:rPr>
        <w:t xml:space="preserve"> existing</w:t>
      </w:r>
      <w:r w:rsidR="00234ACA" w:rsidRPr="00092DA3">
        <w:rPr>
          <w:rFonts w:eastAsia="Times New Roman"/>
        </w:rPr>
        <w:t xml:space="preserve"> master</w:t>
      </w:r>
      <w:r w:rsidR="006F352C" w:rsidRPr="00092DA3">
        <w:rPr>
          <w:rFonts w:eastAsia="Times New Roman"/>
        </w:rPr>
        <w:t xml:space="preserve"> developer agreement</w:t>
      </w:r>
      <w:r w:rsidR="00234ACA" w:rsidRPr="00092DA3">
        <w:rPr>
          <w:rFonts w:eastAsia="Times New Roman"/>
        </w:rPr>
        <w:t>.</w:t>
      </w:r>
      <w:r w:rsidR="00E53A0E">
        <w:t xml:space="preserve"> </w:t>
      </w:r>
      <w:r w:rsidR="008939E4" w:rsidRPr="00092DA3">
        <w:t xml:space="preserve">Moreover, because developers must give a minimum of six months’ notice of their need for infrastructure, these charges will not be payable for some months, until NBN Co starts providing the infrastructure required. </w:t>
      </w:r>
    </w:p>
    <w:p w14:paraId="1DE30C23" w14:textId="3C655E63" w:rsidR="008939E4" w:rsidRPr="00092DA3" w:rsidRDefault="008939E4" w:rsidP="008939E4">
      <w:r w:rsidRPr="00092DA3">
        <w:t>As noted above, under the draft policy, developers were to be required to contribute to backhaul from 1 March 2015.</w:t>
      </w:r>
      <w:r w:rsidR="00E53A0E">
        <w:t xml:space="preserve"> </w:t>
      </w:r>
      <w:r w:rsidRPr="00092DA3">
        <w:t xml:space="preserve">To provide the development industry with more time to adjust to this change, backhaul charges will now apply to new development applications accepted by NBN Co on or after 1 July 2015. </w:t>
      </w:r>
    </w:p>
    <w:p w14:paraId="2A555D67" w14:textId="15A69C01" w:rsidR="008939E4" w:rsidRPr="00092DA3" w:rsidRDefault="008939E4" w:rsidP="008939E4">
      <w:r w:rsidRPr="00092DA3">
        <w:t xml:space="preserve">The </w:t>
      </w:r>
      <w:r w:rsidR="007B3158" w:rsidRPr="00092DA3">
        <w:t>one-time end-user</w:t>
      </w:r>
      <w:r w:rsidRPr="00092DA3">
        <w:t xml:space="preserve"> contribution of $300 per premises </w:t>
      </w:r>
      <w:r w:rsidR="001D3D7A" w:rsidRPr="00092DA3">
        <w:t>charged to</w:t>
      </w:r>
      <w:r w:rsidRPr="00092DA3">
        <w:t xml:space="preserve"> </w:t>
      </w:r>
      <w:r w:rsidR="007862AE" w:rsidRPr="00092DA3">
        <w:t>RSPs</w:t>
      </w:r>
      <w:r w:rsidRPr="00092DA3">
        <w:t xml:space="preserve"> will come into effect </w:t>
      </w:r>
      <w:r w:rsidR="001E622F">
        <w:t xml:space="preserve">on and </w:t>
      </w:r>
      <w:r w:rsidRPr="00092DA3">
        <w:t>from 1 July 2015</w:t>
      </w:r>
      <w:r w:rsidR="001E622F">
        <w:t>, subject to relevant implementation processes</w:t>
      </w:r>
      <w:r w:rsidRPr="00092DA3">
        <w:t>.</w:t>
      </w:r>
      <w:r w:rsidR="00E53A0E">
        <w:t xml:space="preserve"> </w:t>
      </w:r>
      <w:r w:rsidRPr="00092DA3">
        <w:t xml:space="preserve">Consistent with the draft policy, the </w:t>
      </w:r>
      <w:r w:rsidR="007B3158" w:rsidRPr="00092DA3">
        <w:t>contribution will</w:t>
      </w:r>
      <w:r w:rsidR="004A7A19">
        <w:t xml:space="preserve"> only</w:t>
      </w:r>
      <w:r w:rsidR="007B3158" w:rsidRPr="00092DA3">
        <w:t xml:space="preserve"> be </w:t>
      </w:r>
      <w:r w:rsidRPr="00092DA3">
        <w:t>charge</w:t>
      </w:r>
      <w:r w:rsidR="007B3158" w:rsidRPr="00092DA3">
        <w:t>d</w:t>
      </w:r>
      <w:r w:rsidRPr="00092DA3">
        <w:t xml:space="preserve"> </w:t>
      </w:r>
      <w:r w:rsidR="004A7A19">
        <w:t xml:space="preserve">once </w:t>
      </w:r>
      <w:r w:rsidRPr="00092DA3">
        <w:t xml:space="preserve">to </w:t>
      </w:r>
      <w:r w:rsidR="004A7A19">
        <w:t>the</w:t>
      </w:r>
      <w:r w:rsidRPr="00092DA3">
        <w:t xml:space="preserve"> </w:t>
      </w:r>
      <w:r w:rsidR="004A7A19">
        <w:t>RSP which places an</w:t>
      </w:r>
      <w:r w:rsidR="007B3158" w:rsidRPr="00092DA3">
        <w:t xml:space="preserve"> order </w:t>
      </w:r>
      <w:r w:rsidR="004A7A19">
        <w:t xml:space="preserve">for </w:t>
      </w:r>
      <w:r w:rsidR="007B3158" w:rsidRPr="00092DA3">
        <w:t>an NBN service</w:t>
      </w:r>
      <w:r w:rsidR="00BB5781" w:rsidRPr="00092DA3">
        <w:t xml:space="preserve"> for a </w:t>
      </w:r>
      <w:r w:rsidRPr="00092DA3">
        <w:t xml:space="preserve">new premises in </w:t>
      </w:r>
      <w:r w:rsidR="00BB5781" w:rsidRPr="00092DA3">
        <w:t xml:space="preserve">a </w:t>
      </w:r>
      <w:r w:rsidRPr="00092DA3">
        <w:t>new development, both pre-existing and new.</w:t>
      </w:r>
      <w:r w:rsidR="00E53A0E">
        <w:t xml:space="preserve"> </w:t>
      </w:r>
      <w:r w:rsidR="001E622F">
        <w:t xml:space="preserve">This approach to </w:t>
      </w:r>
      <w:r w:rsidR="004A7A19">
        <w:t>commencement</w:t>
      </w:r>
      <w:r w:rsidRPr="00092DA3">
        <w:t xml:space="preserve"> will provide further time for both the development and </w:t>
      </w:r>
      <w:r w:rsidR="007B3158" w:rsidRPr="00092DA3">
        <w:t>tele</w:t>
      </w:r>
      <w:r w:rsidR="004A7A19">
        <w:t>communications industry</w:t>
      </w:r>
      <w:r w:rsidRPr="00092DA3">
        <w:t xml:space="preserve"> to adjust.</w:t>
      </w:r>
    </w:p>
    <w:p w14:paraId="27ED10B9" w14:textId="693CD180" w:rsidR="00AE438D" w:rsidRPr="00092DA3" w:rsidRDefault="008212E9" w:rsidP="009A07F7">
      <w:r w:rsidRPr="00092DA3">
        <w:t>NBN Co will establish a process for identifying alternative provider demand for access to its ba</w:t>
      </w:r>
      <w:r w:rsidR="00045E43">
        <w:t>ckhaul services by 1 July 2015.</w:t>
      </w:r>
    </w:p>
    <w:p w14:paraId="4CA7524D" w14:textId="77777777" w:rsidR="00884574" w:rsidRPr="00092DA3" w:rsidRDefault="003C0041" w:rsidP="009A07F7">
      <w:r w:rsidRPr="00092DA3">
        <w:t xml:space="preserve">For convenience these dates are set out chronological order in </w:t>
      </w:r>
      <w:r w:rsidR="00344B9D">
        <w:t>section 9</w:t>
      </w:r>
      <w:r w:rsidRPr="00092DA3">
        <w:t>.</w:t>
      </w:r>
    </w:p>
    <w:p w14:paraId="4A0D21EF" w14:textId="3AC86943" w:rsidR="009A07F7" w:rsidRPr="00092DA3" w:rsidRDefault="009A07F7" w:rsidP="009A07F7">
      <w:r w:rsidRPr="00092DA3">
        <w:t xml:space="preserve">While charges </w:t>
      </w:r>
      <w:r w:rsidR="00852990" w:rsidRPr="00092DA3">
        <w:t>are</w:t>
      </w:r>
      <w:r w:rsidRPr="00092DA3">
        <w:t xml:space="preserve"> payable from the</w:t>
      </w:r>
      <w:r w:rsidR="00852990" w:rsidRPr="00092DA3">
        <w:t xml:space="preserve"> above</w:t>
      </w:r>
      <w:r w:rsidRPr="00092DA3">
        <w:t xml:space="preserve"> dates, and developers </w:t>
      </w:r>
      <w:r w:rsidR="00852990" w:rsidRPr="00092DA3">
        <w:t xml:space="preserve">and other parties </w:t>
      </w:r>
      <w:r w:rsidRPr="00092DA3">
        <w:t xml:space="preserve">will be liable for them, collection may </w:t>
      </w:r>
      <w:r w:rsidR="00852990" w:rsidRPr="00092DA3">
        <w:t xml:space="preserve">initially </w:t>
      </w:r>
      <w:r w:rsidRPr="00092DA3">
        <w:t xml:space="preserve">be subject to </w:t>
      </w:r>
      <w:r w:rsidR="00852990" w:rsidRPr="00092DA3">
        <w:t xml:space="preserve">NBN Co augmenting or extending its business and operational IT </w:t>
      </w:r>
      <w:r w:rsidRPr="00092DA3">
        <w:t xml:space="preserve">systems </w:t>
      </w:r>
      <w:r w:rsidR="00852990" w:rsidRPr="00092DA3">
        <w:t>as needed to implement this policy</w:t>
      </w:r>
      <w:r w:rsidR="00CC2A42" w:rsidRPr="00092DA3">
        <w:t>.</w:t>
      </w:r>
      <w:r w:rsidR="00E53A0E">
        <w:t xml:space="preserve"> </w:t>
      </w:r>
      <w:r w:rsidR="00852990" w:rsidRPr="00092DA3">
        <w:t>Any interim arrangements may be</w:t>
      </w:r>
      <w:r w:rsidRPr="00092DA3">
        <w:t xml:space="preserve"> reflected in contracts as required.</w:t>
      </w:r>
    </w:p>
    <w:p w14:paraId="74DBBAC4" w14:textId="77777777" w:rsidR="006108B5" w:rsidRPr="00092DA3" w:rsidRDefault="006108B5" w:rsidP="009A07F7">
      <w:r w:rsidRPr="00092DA3">
        <w:t xml:space="preserve">Other mechanisms to support the policy </w:t>
      </w:r>
      <w:r w:rsidR="00852990" w:rsidRPr="00092DA3">
        <w:t>such as</w:t>
      </w:r>
      <w:r w:rsidRPr="00092DA3">
        <w:t xml:space="preserve"> the carrier licence conditions and the online </w:t>
      </w:r>
      <w:r w:rsidR="00852990" w:rsidRPr="00092DA3">
        <w:t xml:space="preserve">portal providing up-to-date mapping of </w:t>
      </w:r>
      <w:r w:rsidRPr="00092DA3">
        <w:t xml:space="preserve">new developments </w:t>
      </w:r>
      <w:r w:rsidR="00AE438D" w:rsidRPr="00092DA3">
        <w:t>are to be</w:t>
      </w:r>
      <w:r w:rsidRPr="00092DA3">
        <w:t xml:space="preserve"> in place by 1 July 2015.</w:t>
      </w:r>
      <w:r w:rsidR="009C38C2" w:rsidRPr="00092DA3">
        <w:t xml:space="preserve"> Stakeholders will be consulted</w:t>
      </w:r>
      <w:r w:rsidR="00852990" w:rsidRPr="00092DA3">
        <w:t xml:space="preserve"> in their implementation.</w:t>
      </w:r>
    </w:p>
    <w:p w14:paraId="2C98F574" w14:textId="5AA57B86" w:rsidR="007021B1" w:rsidRPr="00092DA3" w:rsidRDefault="007021B1" w:rsidP="009A07F7">
      <w:r w:rsidRPr="00092DA3">
        <w:t xml:space="preserve">The Government </w:t>
      </w:r>
      <w:r w:rsidR="00852990" w:rsidRPr="00092DA3">
        <w:t xml:space="preserve">understands </w:t>
      </w:r>
      <w:r w:rsidRPr="00092DA3">
        <w:t>the importance of communication</w:t>
      </w:r>
      <w:r w:rsidR="00AE438D" w:rsidRPr="00092DA3">
        <w:t>s</w:t>
      </w:r>
      <w:r w:rsidRPr="00092DA3">
        <w:t xml:space="preserve"> to a successful transition, and </w:t>
      </w:r>
      <w:r w:rsidR="009565FA" w:rsidRPr="00092DA3">
        <w:t xml:space="preserve">is </w:t>
      </w:r>
      <w:r w:rsidR="00852990" w:rsidRPr="00092DA3">
        <w:t>committed to ensuring clear, timely and accurate information is provided</w:t>
      </w:r>
      <w:r w:rsidRPr="00092DA3">
        <w:t>.</w:t>
      </w:r>
      <w:r w:rsidR="00E53A0E">
        <w:t xml:space="preserve"> </w:t>
      </w:r>
      <w:r w:rsidR="00732FC4" w:rsidRPr="00092DA3">
        <w:t xml:space="preserve">The Department of Communications </w:t>
      </w:r>
      <w:r w:rsidR="00AE438D" w:rsidRPr="00092DA3">
        <w:t>will</w:t>
      </w:r>
      <w:r w:rsidR="009565FA" w:rsidRPr="00092DA3">
        <w:t xml:space="preserve"> work with developer </w:t>
      </w:r>
      <w:r w:rsidR="006108B5" w:rsidRPr="00092DA3">
        <w:t>associations</w:t>
      </w:r>
      <w:r w:rsidR="00732FC4" w:rsidRPr="00092DA3">
        <w:t>, NBN Co</w:t>
      </w:r>
      <w:r w:rsidR="009565FA" w:rsidRPr="00092DA3">
        <w:t xml:space="preserve"> and other stakeholders to achieve a smooth migration to the new arrangements.</w:t>
      </w:r>
      <w:r w:rsidR="00E53A0E">
        <w:t xml:space="preserve"> </w:t>
      </w:r>
      <w:r w:rsidR="00E6226F" w:rsidRPr="00092DA3">
        <w:t>Where useful this will include stakeholder forums.</w:t>
      </w:r>
    </w:p>
    <w:p w14:paraId="030D2D8C" w14:textId="32048236" w:rsidR="00E63147" w:rsidRPr="00092DA3" w:rsidRDefault="009565FA" w:rsidP="009A07F7">
      <w:r w:rsidRPr="00092DA3">
        <w:t>As always, comments or queries</w:t>
      </w:r>
      <w:r w:rsidR="00E63147" w:rsidRPr="00092DA3">
        <w:t xml:space="preserve"> abou</w:t>
      </w:r>
      <w:r w:rsidR="006108B5" w:rsidRPr="00092DA3">
        <w:t xml:space="preserve">t </w:t>
      </w:r>
      <w:r w:rsidR="00E63147" w:rsidRPr="00092DA3">
        <w:t>the policy and its implementation</w:t>
      </w:r>
      <w:r w:rsidRPr="00092DA3">
        <w:t xml:space="preserve"> can be directed to the Department of Communications at </w:t>
      </w:r>
      <w:hyperlink r:id="rId14" w:history="1">
        <w:r w:rsidR="007862AE" w:rsidRPr="00092DA3">
          <w:rPr>
            <w:rStyle w:val="Hyperlink"/>
          </w:rPr>
          <w:t>greenfields@communications.gov.au</w:t>
        </w:r>
      </w:hyperlink>
      <w:r w:rsidR="00045E43">
        <w:t>.</w:t>
      </w:r>
    </w:p>
    <w:p w14:paraId="2B991580" w14:textId="4D262C06" w:rsidR="00E63147" w:rsidRPr="00092DA3" w:rsidRDefault="009565FA" w:rsidP="009A07F7">
      <w:r w:rsidRPr="00092DA3">
        <w:t>Ope</w:t>
      </w:r>
      <w:r w:rsidR="00E63147" w:rsidRPr="00092DA3">
        <w:t>rational</w:t>
      </w:r>
      <w:r w:rsidRPr="00092DA3">
        <w:t xml:space="preserve"> issues can be directed to the IPOLR</w:t>
      </w:r>
      <w:r w:rsidR="00E6226F" w:rsidRPr="00092DA3">
        <w:t xml:space="preserve">s </w:t>
      </w:r>
      <w:r w:rsidR="00F3260B">
        <w:t xml:space="preserve">(NBN Co </w:t>
      </w:r>
      <w:r w:rsidR="00E6226F" w:rsidRPr="00092DA3">
        <w:t>at</w:t>
      </w:r>
      <w:r w:rsidRPr="00092DA3">
        <w:t xml:space="preserve"> </w:t>
      </w:r>
      <w:hyperlink r:id="rId15" w:history="1">
        <w:r w:rsidR="007862AE" w:rsidRPr="00092DA3">
          <w:rPr>
            <w:rStyle w:val="Hyperlink"/>
          </w:rPr>
          <w:t>newdevelopments@nbnco.com.au</w:t>
        </w:r>
      </w:hyperlink>
      <w:r w:rsidRPr="00092DA3">
        <w:t xml:space="preserve"> and </w:t>
      </w:r>
      <w:r w:rsidR="00F3260B">
        <w:t xml:space="preserve">Telstra via </w:t>
      </w:r>
      <w:hyperlink r:id="rId16" w:history="1">
        <w:r w:rsidR="001D4469" w:rsidRPr="002174D1">
          <w:rPr>
            <w:rStyle w:val="Hyperlink"/>
          </w:rPr>
          <w:t>www.telstra.com.au/smart-community</w:t>
        </w:r>
      </w:hyperlink>
      <w:r w:rsidR="00F3260B">
        <w:t>)</w:t>
      </w:r>
      <w:r w:rsidR="00F3260B" w:rsidRPr="00092DA3" w:rsidDel="00F3260B">
        <w:t xml:space="preserve"> </w:t>
      </w:r>
      <w:r w:rsidR="00E63147" w:rsidRPr="00092DA3">
        <w:t>in line with their responsibilities as set out above.</w:t>
      </w:r>
    </w:p>
    <w:p w14:paraId="2ADA877A" w14:textId="77777777" w:rsidR="00E63147" w:rsidRPr="00092DA3" w:rsidRDefault="00E63147" w:rsidP="009A07F7">
      <w:r w:rsidRPr="00092DA3">
        <w:t xml:space="preserve">Alternative competing providers can be contacted directly. </w:t>
      </w:r>
      <w:r w:rsidR="00E6226F" w:rsidRPr="00092DA3">
        <w:t xml:space="preserve">Developer associations are encouraged to </w:t>
      </w:r>
      <w:r w:rsidR="00B06C75" w:rsidRPr="00092DA3">
        <w:t>establish</w:t>
      </w:r>
      <w:r w:rsidR="00E6226F" w:rsidRPr="00092DA3">
        <w:t xml:space="preserve"> lists of suitable suppliers to assist their members. It is also open to them to establish their own accreditation schemes, potentially in cooperation with the telecommunications sector. </w:t>
      </w:r>
    </w:p>
    <w:p w14:paraId="1C8C11BD" w14:textId="77777777" w:rsidR="009A07F7" w:rsidRPr="00092DA3" w:rsidRDefault="009A07F7" w:rsidP="00773D70">
      <w:pPr>
        <w:pStyle w:val="Heading1"/>
        <w:keepLines w:val="0"/>
        <w:pageBreakBefore/>
        <w:spacing w:before="0" w:after="200" w:line="276" w:lineRule="auto"/>
        <w:ind w:left="357" w:hanging="357"/>
      </w:pPr>
      <w:bookmarkStart w:id="120" w:name="_Toc416175197"/>
      <w:bookmarkStart w:id="121" w:name="_Toc60751304"/>
      <w:r w:rsidRPr="00092DA3">
        <w:t>GLOSSARY</w:t>
      </w:r>
      <w:bookmarkEnd w:id="120"/>
      <w:bookmarkEnd w:id="121"/>
    </w:p>
    <w:p w14:paraId="44913EE6" w14:textId="77777777" w:rsidR="009A07F7" w:rsidRPr="00092DA3" w:rsidRDefault="009A07F7" w:rsidP="009A07F7"/>
    <w:tbl>
      <w:tblPr>
        <w:tblStyle w:val="TableGrid"/>
        <w:tblW w:w="0" w:type="auto"/>
        <w:tblLook w:val="04A0" w:firstRow="1" w:lastRow="0" w:firstColumn="1" w:lastColumn="0" w:noHBand="0" w:noVBand="1"/>
        <w:tblDescription w:val="Glossary of terms."/>
      </w:tblPr>
      <w:tblGrid>
        <w:gridCol w:w="1021"/>
        <w:gridCol w:w="8019"/>
      </w:tblGrid>
      <w:tr w:rsidR="008212E9" w:rsidRPr="00092DA3" w14:paraId="6C9CC31E" w14:textId="77777777" w:rsidTr="00045E43">
        <w:trPr>
          <w:cantSplit/>
        </w:trPr>
        <w:tc>
          <w:tcPr>
            <w:tcW w:w="1026" w:type="dxa"/>
          </w:tcPr>
          <w:p w14:paraId="1326E316" w14:textId="77777777" w:rsidR="009A07F7" w:rsidRPr="00092DA3" w:rsidRDefault="009A07F7" w:rsidP="007021B1">
            <w:pPr>
              <w:spacing w:before="120" w:after="120"/>
              <w:rPr>
                <w:b/>
              </w:rPr>
            </w:pPr>
            <w:r w:rsidRPr="00092DA3">
              <w:rPr>
                <w:b/>
              </w:rPr>
              <w:t>ACCC</w:t>
            </w:r>
          </w:p>
        </w:tc>
        <w:tc>
          <w:tcPr>
            <w:tcW w:w="8141" w:type="dxa"/>
          </w:tcPr>
          <w:p w14:paraId="55E27B30" w14:textId="77777777" w:rsidR="009A07F7" w:rsidRPr="00092DA3" w:rsidRDefault="009A07F7" w:rsidP="007021B1">
            <w:pPr>
              <w:spacing w:before="120" w:after="120"/>
            </w:pPr>
            <w:r w:rsidRPr="00092DA3">
              <w:t>The Australian Competition and Consumer Commission – the national competition and consumer regulator</w:t>
            </w:r>
          </w:p>
        </w:tc>
      </w:tr>
      <w:tr w:rsidR="008212E9" w:rsidRPr="00092DA3" w14:paraId="48764EEA" w14:textId="77777777" w:rsidTr="00045E43">
        <w:trPr>
          <w:cantSplit/>
        </w:trPr>
        <w:tc>
          <w:tcPr>
            <w:tcW w:w="1026" w:type="dxa"/>
          </w:tcPr>
          <w:p w14:paraId="54F63834" w14:textId="77777777" w:rsidR="009A07F7" w:rsidRPr="00092DA3" w:rsidRDefault="009A07F7" w:rsidP="007021B1">
            <w:pPr>
              <w:spacing w:before="120" w:after="120"/>
              <w:rPr>
                <w:b/>
              </w:rPr>
            </w:pPr>
            <w:r w:rsidRPr="00092DA3">
              <w:rPr>
                <w:b/>
              </w:rPr>
              <w:t>ACMA</w:t>
            </w:r>
          </w:p>
        </w:tc>
        <w:tc>
          <w:tcPr>
            <w:tcW w:w="8141" w:type="dxa"/>
          </w:tcPr>
          <w:p w14:paraId="04D708B9" w14:textId="77777777" w:rsidR="009A07F7" w:rsidRPr="00092DA3" w:rsidRDefault="009A07F7" w:rsidP="007021B1">
            <w:pPr>
              <w:spacing w:before="120" w:after="120"/>
            </w:pPr>
            <w:r w:rsidRPr="00092DA3">
              <w:t>The Australian Communications and Media Authority – an industry regulator</w:t>
            </w:r>
          </w:p>
        </w:tc>
      </w:tr>
      <w:tr w:rsidR="008212E9" w:rsidRPr="00092DA3" w14:paraId="34EE7B68" w14:textId="77777777" w:rsidTr="00045E43">
        <w:trPr>
          <w:cantSplit/>
        </w:trPr>
        <w:tc>
          <w:tcPr>
            <w:tcW w:w="1026" w:type="dxa"/>
          </w:tcPr>
          <w:p w14:paraId="7DBE3933" w14:textId="77777777" w:rsidR="009A07F7" w:rsidRPr="00092DA3" w:rsidRDefault="009A07F7" w:rsidP="007021B1">
            <w:pPr>
              <w:spacing w:before="120" w:after="120"/>
              <w:rPr>
                <w:b/>
              </w:rPr>
            </w:pPr>
            <w:r w:rsidRPr="00092DA3">
              <w:rPr>
                <w:b/>
              </w:rPr>
              <w:t>CA</w:t>
            </w:r>
          </w:p>
        </w:tc>
        <w:tc>
          <w:tcPr>
            <w:tcW w:w="8141" w:type="dxa"/>
          </w:tcPr>
          <w:p w14:paraId="05A563B3" w14:textId="77777777" w:rsidR="009A07F7" w:rsidRPr="00092DA3" w:rsidRDefault="009A07F7" w:rsidP="007021B1">
            <w:pPr>
              <w:spacing w:before="120" w:after="120"/>
            </w:pPr>
            <w:r w:rsidRPr="00092DA3">
              <w:t>The Communications Alliance – a telecommunications industry body</w:t>
            </w:r>
          </w:p>
        </w:tc>
      </w:tr>
      <w:tr w:rsidR="008212E9" w:rsidRPr="00092DA3" w14:paraId="51DCB171" w14:textId="77777777" w:rsidTr="00045E43">
        <w:trPr>
          <w:cantSplit/>
        </w:trPr>
        <w:tc>
          <w:tcPr>
            <w:tcW w:w="1026" w:type="dxa"/>
          </w:tcPr>
          <w:p w14:paraId="3C011328" w14:textId="77777777" w:rsidR="009A07F7" w:rsidRPr="00092DA3" w:rsidRDefault="009A07F7" w:rsidP="007021B1">
            <w:pPr>
              <w:spacing w:before="120" w:after="120"/>
              <w:rPr>
                <w:b/>
              </w:rPr>
            </w:pPr>
            <w:r w:rsidRPr="00092DA3">
              <w:rPr>
                <w:b/>
              </w:rPr>
              <w:t>COAG</w:t>
            </w:r>
          </w:p>
        </w:tc>
        <w:tc>
          <w:tcPr>
            <w:tcW w:w="8141" w:type="dxa"/>
          </w:tcPr>
          <w:p w14:paraId="1048BF39" w14:textId="77777777" w:rsidR="009A07F7" w:rsidRPr="00092DA3" w:rsidRDefault="009A07F7" w:rsidP="007021B1">
            <w:pPr>
              <w:spacing w:before="120" w:after="120"/>
            </w:pPr>
            <w:r w:rsidRPr="00092DA3">
              <w:t>The Council of Australian Governments – a forum for the Australian, State and Territory governments to co-ordinate their policies</w:t>
            </w:r>
          </w:p>
        </w:tc>
      </w:tr>
      <w:tr w:rsidR="008212E9" w:rsidRPr="00092DA3" w14:paraId="26D61585" w14:textId="77777777" w:rsidTr="00045E43">
        <w:trPr>
          <w:cantSplit/>
        </w:trPr>
        <w:tc>
          <w:tcPr>
            <w:tcW w:w="1026" w:type="dxa"/>
          </w:tcPr>
          <w:p w14:paraId="1A901DAF" w14:textId="77777777" w:rsidR="009A07F7" w:rsidRPr="00092DA3" w:rsidRDefault="009A07F7" w:rsidP="007021B1">
            <w:pPr>
              <w:spacing w:before="120" w:after="120"/>
              <w:rPr>
                <w:b/>
              </w:rPr>
            </w:pPr>
            <w:r w:rsidRPr="00092DA3">
              <w:rPr>
                <w:b/>
              </w:rPr>
              <w:t>CSG</w:t>
            </w:r>
          </w:p>
        </w:tc>
        <w:tc>
          <w:tcPr>
            <w:tcW w:w="8141" w:type="dxa"/>
          </w:tcPr>
          <w:p w14:paraId="25CF900D" w14:textId="77777777" w:rsidR="009A07F7" w:rsidRPr="00092DA3" w:rsidRDefault="009A07F7" w:rsidP="007021B1">
            <w:pPr>
              <w:spacing w:before="120" w:after="120"/>
            </w:pPr>
            <w:r w:rsidRPr="00092DA3">
              <w:t>Customer Service Guarantee – rules about connection and repair times for telephony</w:t>
            </w:r>
          </w:p>
        </w:tc>
      </w:tr>
      <w:tr w:rsidR="007436EE" w:rsidRPr="00092DA3" w14:paraId="7356D76D" w14:textId="77777777" w:rsidTr="00045E43">
        <w:trPr>
          <w:cantSplit/>
        </w:trPr>
        <w:tc>
          <w:tcPr>
            <w:tcW w:w="1026" w:type="dxa"/>
          </w:tcPr>
          <w:p w14:paraId="7E045E23" w14:textId="77777777" w:rsidR="007436EE" w:rsidRPr="00092DA3" w:rsidRDefault="007436EE" w:rsidP="00647B3B">
            <w:pPr>
              <w:spacing w:before="120" w:after="120"/>
              <w:rPr>
                <w:b/>
              </w:rPr>
            </w:pPr>
            <w:r w:rsidRPr="00092DA3">
              <w:rPr>
                <w:b/>
              </w:rPr>
              <w:t>end-user</w:t>
            </w:r>
          </w:p>
        </w:tc>
        <w:tc>
          <w:tcPr>
            <w:tcW w:w="8141" w:type="dxa"/>
          </w:tcPr>
          <w:p w14:paraId="089C6838" w14:textId="77777777" w:rsidR="007436EE" w:rsidRPr="00092DA3" w:rsidRDefault="007436EE" w:rsidP="00E141C1">
            <w:pPr>
              <w:spacing w:before="120" w:after="120"/>
            </w:pPr>
            <w:r w:rsidRPr="00092DA3">
              <w:t>The person who contracts with an RSPs for a telecommunications service – and more generally any person who uses such a service</w:t>
            </w:r>
          </w:p>
        </w:tc>
      </w:tr>
      <w:tr w:rsidR="008212E9" w:rsidRPr="00092DA3" w14:paraId="567453BB" w14:textId="77777777" w:rsidTr="00045E43">
        <w:trPr>
          <w:cantSplit/>
        </w:trPr>
        <w:tc>
          <w:tcPr>
            <w:tcW w:w="1026" w:type="dxa"/>
          </w:tcPr>
          <w:p w14:paraId="65935B72" w14:textId="77777777" w:rsidR="009A07F7" w:rsidRPr="00092DA3" w:rsidRDefault="009A07F7" w:rsidP="007021B1">
            <w:pPr>
              <w:spacing w:before="120" w:after="120"/>
              <w:rPr>
                <w:b/>
              </w:rPr>
            </w:pPr>
            <w:r w:rsidRPr="00092DA3">
              <w:rPr>
                <w:b/>
              </w:rPr>
              <w:t>FTTN</w:t>
            </w:r>
          </w:p>
        </w:tc>
        <w:tc>
          <w:tcPr>
            <w:tcW w:w="8141" w:type="dxa"/>
          </w:tcPr>
          <w:p w14:paraId="6127FF27" w14:textId="77777777" w:rsidR="009A07F7" w:rsidRPr="00092DA3" w:rsidRDefault="009A07F7" w:rsidP="007021B1">
            <w:pPr>
              <w:spacing w:before="120" w:after="120"/>
            </w:pPr>
            <w:r w:rsidRPr="00092DA3">
              <w:t>Fibre to the node – an access technology using optical fibre and copper</w:t>
            </w:r>
          </w:p>
        </w:tc>
      </w:tr>
      <w:tr w:rsidR="008212E9" w:rsidRPr="00092DA3" w14:paraId="59712131" w14:textId="77777777" w:rsidTr="00045E43">
        <w:trPr>
          <w:cantSplit/>
        </w:trPr>
        <w:tc>
          <w:tcPr>
            <w:tcW w:w="1026" w:type="dxa"/>
          </w:tcPr>
          <w:p w14:paraId="47BD2199" w14:textId="77777777" w:rsidR="009A07F7" w:rsidRPr="00092DA3" w:rsidRDefault="009A07F7" w:rsidP="007021B1">
            <w:pPr>
              <w:spacing w:before="120" w:after="120"/>
              <w:rPr>
                <w:b/>
              </w:rPr>
            </w:pPr>
            <w:r w:rsidRPr="00092DA3">
              <w:rPr>
                <w:b/>
              </w:rPr>
              <w:t>FTTP</w:t>
            </w:r>
          </w:p>
        </w:tc>
        <w:tc>
          <w:tcPr>
            <w:tcW w:w="8141" w:type="dxa"/>
          </w:tcPr>
          <w:p w14:paraId="3DBEBD4E" w14:textId="77777777" w:rsidR="009A07F7" w:rsidRPr="00092DA3" w:rsidRDefault="009A07F7" w:rsidP="007021B1">
            <w:pPr>
              <w:spacing w:before="120" w:after="120"/>
            </w:pPr>
            <w:r w:rsidRPr="00092DA3">
              <w:t>Fibre to the premises – an access technology using optical fibre only</w:t>
            </w:r>
          </w:p>
        </w:tc>
      </w:tr>
      <w:tr w:rsidR="008212E9" w:rsidRPr="00092DA3" w14:paraId="37EA32D1" w14:textId="77777777" w:rsidTr="00045E43">
        <w:trPr>
          <w:cantSplit/>
        </w:trPr>
        <w:tc>
          <w:tcPr>
            <w:tcW w:w="1026" w:type="dxa"/>
          </w:tcPr>
          <w:p w14:paraId="6413360E" w14:textId="77777777" w:rsidR="009A07F7" w:rsidRPr="00092DA3" w:rsidRDefault="009A07F7" w:rsidP="007021B1">
            <w:pPr>
              <w:spacing w:before="120" w:after="120"/>
              <w:rPr>
                <w:b/>
              </w:rPr>
            </w:pPr>
            <w:r w:rsidRPr="00092DA3">
              <w:rPr>
                <w:b/>
              </w:rPr>
              <w:t>HFC</w:t>
            </w:r>
          </w:p>
        </w:tc>
        <w:tc>
          <w:tcPr>
            <w:tcW w:w="8141" w:type="dxa"/>
          </w:tcPr>
          <w:p w14:paraId="500DAE72" w14:textId="77777777" w:rsidR="009A07F7" w:rsidRPr="00092DA3" w:rsidRDefault="009A07F7" w:rsidP="007021B1">
            <w:pPr>
              <w:spacing w:before="120" w:after="120"/>
            </w:pPr>
            <w:r w:rsidRPr="00092DA3">
              <w:t>Hybrid fibre coaxial cable – an access technology built to carry pay TV</w:t>
            </w:r>
          </w:p>
        </w:tc>
      </w:tr>
      <w:tr w:rsidR="008212E9" w:rsidRPr="00092DA3" w14:paraId="70627291" w14:textId="77777777" w:rsidTr="00045E43">
        <w:trPr>
          <w:cantSplit/>
        </w:trPr>
        <w:tc>
          <w:tcPr>
            <w:tcW w:w="1026" w:type="dxa"/>
          </w:tcPr>
          <w:p w14:paraId="2EAC48E1" w14:textId="77777777" w:rsidR="009A07F7" w:rsidRPr="00092DA3" w:rsidRDefault="009A07F7" w:rsidP="007021B1">
            <w:pPr>
              <w:spacing w:before="120" w:after="120"/>
              <w:rPr>
                <w:b/>
              </w:rPr>
            </w:pPr>
            <w:r w:rsidRPr="00092DA3">
              <w:rPr>
                <w:b/>
              </w:rPr>
              <w:t>IPOLR</w:t>
            </w:r>
          </w:p>
        </w:tc>
        <w:tc>
          <w:tcPr>
            <w:tcW w:w="8141" w:type="dxa"/>
          </w:tcPr>
          <w:p w14:paraId="2274A81F" w14:textId="77777777" w:rsidR="009A07F7" w:rsidRPr="00092DA3" w:rsidRDefault="009A07F7" w:rsidP="007021B1">
            <w:pPr>
              <w:spacing w:before="120" w:after="120"/>
            </w:pPr>
            <w:r w:rsidRPr="00092DA3">
              <w:t>Infrastructure provider of last resort – a carrier obliged to connect new premises</w:t>
            </w:r>
          </w:p>
        </w:tc>
      </w:tr>
      <w:tr w:rsidR="008212E9" w:rsidRPr="00092DA3" w14:paraId="0C66578E" w14:textId="77777777" w:rsidTr="00045E43">
        <w:trPr>
          <w:cantSplit/>
        </w:trPr>
        <w:tc>
          <w:tcPr>
            <w:tcW w:w="1026" w:type="dxa"/>
          </w:tcPr>
          <w:p w14:paraId="0BD2258E" w14:textId="77777777" w:rsidR="009A07F7" w:rsidRPr="00092DA3" w:rsidRDefault="009A07F7" w:rsidP="007021B1">
            <w:pPr>
              <w:spacing w:before="120" w:after="120"/>
              <w:rPr>
                <w:b/>
              </w:rPr>
            </w:pPr>
            <w:r w:rsidRPr="00092DA3">
              <w:rPr>
                <w:b/>
              </w:rPr>
              <w:t>MDU</w:t>
            </w:r>
          </w:p>
        </w:tc>
        <w:tc>
          <w:tcPr>
            <w:tcW w:w="8141" w:type="dxa"/>
          </w:tcPr>
          <w:p w14:paraId="17F77C40" w14:textId="0E238773" w:rsidR="008212E9" w:rsidRPr="00092DA3" w:rsidRDefault="009A07F7" w:rsidP="00B42539">
            <w:pPr>
              <w:spacing w:before="120" w:after="120"/>
            </w:pPr>
            <w:r w:rsidRPr="00092DA3">
              <w:t>Multi-dwelling unit –</w:t>
            </w:r>
            <w:r w:rsidR="00A85578" w:rsidRPr="001F2208">
              <w:rPr>
                <w:color w:val="1F497D"/>
              </w:rPr>
              <w:t xml:space="preserve"> </w:t>
            </w:r>
            <w:r w:rsidR="002B25D9" w:rsidRPr="00344B9D">
              <w:t xml:space="preserve">a building </w:t>
            </w:r>
            <w:r w:rsidR="00794E48">
              <w:t xml:space="preserve">containing multiple premises, </w:t>
            </w:r>
            <w:r w:rsidR="00120515">
              <w:t xml:space="preserve">generally more than three, </w:t>
            </w:r>
            <w:r w:rsidR="00794E48">
              <w:t>which may be residences, businesses or serving some other function.</w:t>
            </w:r>
            <w:r w:rsidR="00A85578" w:rsidRPr="00B42539">
              <w:t xml:space="preserve"> </w:t>
            </w:r>
          </w:p>
        </w:tc>
      </w:tr>
      <w:tr w:rsidR="008212E9" w:rsidRPr="00092DA3" w14:paraId="5F83AF76" w14:textId="77777777" w:rsidTr="00045E43">
        <w:trPr>
          <w:cantSplit/>
        </w:trPr>
        <w:tc>
          <w:tcPr>
            <w:tcW w:w="1026" w:type="dxa"/>
          </w:tcPr>
          <w:p w14:paraId="4D398DD2" w14:textId="77777777" w:rsidR="009A07F7" w:rsidRPr="00092DA3" w:rsidRDefault="009A07F7" w:rsidP="007021B1">
            <w:pPr>
              <w:spacing w:before="120" w:after="120"/>
              <w:rPr>
                <w:b/>
              </w:rPr>
            </w:pPr>
            <w:r w:rsidRPr="00092DA3">
              <w:rPr>
                <w:b/>
              </w:rPr>
              <w:t>NBN</w:t>
            </w:r>
          </w:p>
        </w:tc>
        <w:tc>
          <w:tcPr>
            <w:tcW w:w="8141" w:type="dxa"/>
          </w:tcPr>
          <w:p w14:paraId="340283B6" w14:textId="77777777" w:rsidR="009A07F7" w:rsidRPr="00092DA3" w:rsidRDefault="009A07F7" w:rsidP="007021B1">
            <w:pPr>
              <w:spacing w:before="120" w:after="120"/>
            </w:pPr>
            <w:r w:rsidRPr="00092DA3">
              <w:t>The National Broadband Network – a high-speed broadband network being constructed by the Australian Government</w:t>
            </w:r>
          </w:p>
        </w:tc>
      </w:tr>
      <w:tr w:rsidR="008212E9" w:rsidRPr="00092DA3" w14:paraId="18CEE21D" w14:textId="77777777" w:rsidTr="00045E43">
        <w:trPr>
          <w:cantSplit/>
        </w:trPr>
        <w:tc>
          <w:tcPr>
            <w:tcW w:w="1026" w:type="dxa"/>
          </w:tcPr>
          <w:p w14:paraId="59EF339B" w14:textId="77777777" w:rsidR="009A07F7" w:rsidRPr="00092DA3" w:rsidRDefault="009A07F7" w:rsidP="007021B1">
            <w:pPr>
              <w:spacing w:before="120" w:after="120"/>
              <w:rPr>
                <w:b/>
              </w:rPr>
            </w:pPr>
            <w:r w:rsidRPr="00092DA3">
              <w:rPr>
                <w:b/>
              </w:rPr>
              <w:t>NBN Co</w:t>
            </w:r>
          </w:p>
        </w:tc>
        <w:tc>
          <w:tcPr>
            <w:tcW w:w="8141" w:type="dxa"/>
          </w:tcPr>
          <w:p w14:paraId="489BB72C" w14:textId="77777777" w:rsidR="009A07F7" w:rsidRPr="00092DA3" w:rsidRDefault="009A07F7" w:rsidP="007021B1">
            <w:pPr>
              <w:spacing w:before="120" w:after="120"/>
            </w:pPr>
            <w:r w:rsidRPr="00092DA3">
              <w:t>NBN Co Limited – the Government-owned company building and managing the NBN</w:t>
            </w:r>
          </w:p>
        </w:tc>
      </w:tr>
      <w:tr w:rsidR="008212E9" w:rsidRPr="00092DA3" w14:paraId="3984E6BA" w14:textId="77777777" w:rsidTr="00045E43">
        <w:trPr>
          <w:cantSplit/>
        </w:trPr>
        <w:tc>
          <w:tcPr>
            <w:tcW w:w="1026" w:type="dxa"/>
          </w:tcPr>
          <w:p w14:paraId="53C51ED1" w14:textId="77777777" w:rsidR="009A07F7" w:rsidRPr="00092DA3" w:rsidRDefault="009A07F7" w:rsidP="007021B1">
            <w:pPr>
              <w:spacing w:before="120" w:after="120"/>
              <w:rPr>
                <w:b/>
              </w:rPr>
            </w:pPr>
            <w:r w:rsidRPr="00092DA3">
              <w:rPr>
                <w:b/>
              </w:rPr>
              <w:t>SDU</w:t>
            </w:r>
          </w:p>
        </w:tc>
        <w:tc>
          <w:tcPr>
            <w:tcW w:w="8141" w:type="dxa"/>
          </w:tcPr>
          <w:p w14:paraId="4C3C1F2D" w14:textId="04100439" w:rsidR="009A07F7" w:rsidRPr="00092DA3" w:rsidRDefault="009A07F7" w:rsidP="00B42539">
            <w:pPr>
              <w:spacing w:before="120" w:after="120"/>
            </w:pPr>
            <w:r w:rsidRPr="00092DA3">
              <w:t>Single-dwelling unit –</w:t>
            </w:r>
            <w:r w:rsidRPr="00AE7C14">
              <w:t xml:space="preserve"> </w:t>
            </w:r>
            <w:r w:rsidR="00794E48">
              <w:t>a distinct, stand-alone premises, such as a detached suburban house</w:t>
            </w:r>
            <w:r w:rsidR="00275870">
              <w:t xml:space="preserve"> or premises in a duplex</w:t>
            </w:r>
            <w:r w:rsidR="00120515" w:rsidRPr="00120515">
              <w:t xml:space="preserve">, which may be </w:t>
            </w:r>
            <w:r w:rsidR="00120515">
              <w:t xml:space="preserve">a </w:t>
            </w:r>
            <w:r w:rsidR="00120515" w:rsidRPr="00120515">
              <w:t xml:space="preserve">residence, business or serving some other function. </w:t>
            </w:r>
          </w:p>
        </w:tc>
      </w:tr>
      <w:tr w:rsidR="008212E9" w:rsidRPr="00092DA3" w14:paraId="257B42C4" w14:textId="77777777" w:rsidTr="00045E43">
        <w:trPr>
          <w:cantSplit/>
        </w:trPr>
        <w:tc>
          <w:tcPr>
            <w:tcW w:w="1026" w:type="dxa"/>
          </w:tcPr>
          <w:p w14:paraId="3A943E32" w14:textId="77777777" w:rsidR="009A07F7" w:rsidRPr="00092DA3" w:rsidRDefault="009A07F7" w:rsidP="007021B1">
            <w:pPr>
              <w:spacing w:before="120" w:after="120"/>
              <w:rPr>
                <w:b/>
              </w:rPr>
            </w:pPr>
            <w:r w:rsidRPr="00092DA3">
              <w:rPr>
                <w:b/>
              </w:rPr>
              <w:t>USO</w:t>
            </w:r>
          </w:p>
        </w:tc>
        <w:tc>
          <w:tcPr>
            <w:tcW w:w="8141" w:type="dxa"/>
          </w:tcPr>
          <w:p w14:paraId="6422C8B9" w14:textId="77777777" w:rsidR="009A07F7" w:rsidRPr="00092DA3" w:rsidRDefault="009A07F7" w:rsidP="007021B1">
            <w:pPr>
              <w:spacing w:before="120" w:after="120"/>
            </w:pPr>
            <w:r w:rsidRPr="00092DA3">
              <w:t>Universal Service Obligation – obligation to offer telephone services to all premises</w:t>
            </w:r>
          </w:p>
        </w:tc>
      </w:tr>
      <w:tr w:rsidR="008212E9" w:rsidRPr="00092DA3" w14:paraId="664F07B8" w14:textId="77777777" w:rsidTr="00045E43">
        <w:trPr>
          <w:cantSplit/>
        </w:trPr>
        <w:tc>
          <w:tcPr>
            <w:tcW w:w="1026" w:type="dxa"/>
          </w:tcPr>
          <w:p w14:paraId="04BD1FB7" w14:textId="77777777" w:rsidR="009A07F7" w:rsidRPr="00092DA3" w:rsidRDefault="009A07F7" w:rsidP="007021B1">
            <w:pPr>
              <w:spacing w:before="120" w:after="120"/>
              <w:rPr>
                <w:b/>
              </w:rPr>
            </w:pPr>
            <w:r w:rsidRPr="00092DA3">
              <w:rPr>
                <w:b/>
              </w:rPr>
              <w:t>VOIP</w:t>
            </w:r>
          </w:p>
        </w:tc>
        <w:tc>
          <w:tcPr>
            <w:tcW w:w="8141" w:type="dxa"/>
          </w:tcPr>
          <w:p w14:paraId="66766008" w14:textId="77777777" w:rsidR="009A07F7" w:rsidRPr="00092DA3" w:rsidRDefault="009A07F7" w:rsidP="007021B1">
            <w:pPr>
              <w:spacing w:before="120" w:after="120"/>
            </w:pPr>
            <w:r w:rsidRPr="00092DA3">
              <w:t>Voice over Internet Protocol – a means of providing voice service over the internet</w:t>
            </w:r>
          </w:p>
        </w:tc>
      </w:tr>
    </w:tbl>
    <w:p w14:paraId="00E7FE81" w14:textId="77777777" w:rsidR="008575F9" w:rsidRPr="00092DA3" w:rsidRDefault="00275870" w:rsidP="00275870">
      <w:pPr>
        <w:spacing w:after="120"/>
        <w:rPr>
          <w:rFonts w:ascii="Cambria" w:eastAsiaTheme="majorEastAsia" w:hAnsi="Cambria" w:cstheme="majorBidi"/>
          <w:bCs/>
          <w:color w:val="0072B9"/>
          <w:sz w:val="36"/>
          <w:szCs w:val="28"/>
        </w:rPr>
      </w:pPr>
      <w:r>
        <w:t>The glossary is designed to provide general guidance for the lay reader. The definitions are not intended to be precise legal definitions.</w:t>
      </w:r>
      <w:r w:rsidR="008575F9" w:rsidRPr="00092DA3">
        <w:br w:type="page"/>
      </w:r>
    </w:p>
    <w:p w14:paraId="5F1B5A7A" w14:textId="77777777" w:rsidR="006B198A" w:rsidRPr="00092DA3" w:rsidRDefault="006B198A" w:rsidP="006B198A">
      <w:pPr>
        <w:pStyle w:val="Heading1"/>
      </w:pPr>
      <w:bookmarkStart w:id="122" w:name="_Toc416175198"/>
      <w:bookmarkStart w:id="123" w:name="_Toc60751305"/>
      <w:r w:rsidRPr="00092DA3">
        <w:t>KEY DATES</w:t>
      </w:r>
      <w:bookmarkEnd w:id="122"/>
      <w:bookmarkEnd w:id="123"/>
    </w:p>
    <w:p w14:paraId="376ADC54" w14:textId="77777777" w:rsidR="00C51C05" w:rsidRPr="00092DA3" w:rsidRDefault="00C51C05" w:rsidP="007021B1">
      <w:pPr>
        <w:pStyle w:val="BodyText"/>
      </w:pPr>
    </w:p>
    <w:tbl>
      <w:tblPr>
        <w:tblStyle w:val="TableGrid"/>
        <w:tblW w:w="0" w:type="auto"/>
        <w:tblLook w:val="04A0" w:firstRow="1" w:lastRow="0" w:firstColumn="1" w:lastColumn="0" w:noHBand="0" w:noVBand="1"/>
        <w:tblDescription w:val="Key dates."/>
      </w:tblPr>
      <w:tblGrid>
        <w:gridCol w:w="2689"/>
        <w:gridCol w:w="6327"/>
      </w:tblGrid>
      <w:tr w:rsidR="006B198A" w:rsidRPr="00092DA3" w14:paraId="7A61D7C5" w14:textId="77777777" w:rsidTr="004B0006">
        <w:trPr>
          <w:cantSplit/>
          <w:tblHeader/>
        </w:trPr>
        <w:tc>
          <w:tcPr>
            <w:tcW w:w="2689" w:type="dxa"/>
          </w:tcPr>
          <w:p w14:paraId="199357F0" w14:textId="77777777" w:rsidR="006B198A" w:rsidRPr="00092DA3" w:rsidRDefault="006B198A" w:rsidP="007021B1">
            <w:pPr>
              <w:pStyle w:val="BodyText"/>
            </w:pPr>
            <w:r w:rsidRPr="00092DA3">
              <w:t>Date</w:t>
            </w:r>
          </w:p>
        </w:tc>
        <w:tc>
          <w:tcPr>
            <w:tcW w:w="6327" w:type="dxa"/>
          </w:tcPr>
          <w:p w14:paraId="44A1485C" w14:textId="77777777" w:rsidR="006B198A" w:rsidRPr="00092DA3" w:rsidRDefault="006B198A" w:rsidP="007021B1">
            <w:pPr>
              <w:pStyle w:val="BodyText"/>
            </w:pPr>
            <w:r w:rsidRPr="00092DA3">
              <w:t>Event</w:t>
            </w:r>
          </w:p>
        </w:tc>
      </w:tr>
      <w:tr w:rsidR="006B198A" w:rsidRPr="00092DA3" w14:paraId="76061DE8" w14:textId="77777777" w:rsidTr="004B0006">
        <w:trPr>
          <w:cantSplit/>
        </w:trPr>
        <w:tc>
          <w:tcPr>
            <w:tcW w:w="2689" w:type="dxa"/>
          </w:tcPr>
          <w:p w14:paraId="169FA56B" w14:textId="77777777" w:rsidR="006B198A" w:rsidRPr="00092DA3" w:rsidRDefault="006B198A" w:rsidP="007021B1">
            <w:pPr>
              <w:pStyle w:val="BodyText"/>
            </w:pPr>
            <w:r w:rsidRPr="00092DA3">
              <w:t>1 March 2015</w:t>
            </w:r>
          </w:p>
        </w:tc>
        <w:tc>
          <w:tcPr>
            <w:tcW w:w="6327" w:type="dxa"/>
          </w:tcPr>
          <w:p w14:paraId="0599AF4D" w14:textId="77777777" w:rsidR="006B198A" w:rsidRPr="00092DA3" w:rsidRDefault="006B198A" w:rsidP="00770CCF">
            <w:pPr>
              <w:pStyle w:val="BodyText"/>
              <w:numPr>
                <w:ilvl w:val="0"/>
                <w:numId w:val="42"/>
              </w:numPr>
            </w:pPr>
            <w:r w:rsidRPr="00092DA3">
              <w:t xml:space="preserve">Per premises charges for in-development infrastructure ($600 per SDU </w:t>
            </w:r>
            <w:r w:rsidR="005A1340">
              <w:t xml:space="preserve">lot/premises </w:t>
            </w:r>
            <w:r w:rsidRPr="00092DA3">
              <w:t xml:space="preserve">and $400 per MDU) apply for applications </w:t>
            </w:r>
            <w:r w:rsidR="00F93006" w:rsidRPr="00092DA3">
              <w:t>accepted</w:t>
            </w:r>
            <w:r w:rsidRPr="00092DA3">
              <w:t xml:space="preserve"> by NBN Co on and after this date.</w:t>
            </w:r>
          </w:p>
          <w:p w14:paraId="73E6BDA3" w14:textId="4A62F35A" w:rsidR="006B198A" w:rsidRPr="00092DA3" w:rsidRDefault="004A7A19" w:rsidP="00770CCF">
            <w:pPr>
              <w:pStyle w:val="BodyText"/>
              <w:numPr>
                <w:ilvl w:val="0"/>
                <w:numId w:val="42"/>
              </w:numPr>
            </w:pPr>
            <w:r>
              <w:t>Minimum six</w:t>
            </w:r>
            <w:r w:rsidR="006B198A" w:rsidRPr="00092DA3">
              <w:t xml:space="preserve"> months notification requirement commences.</w:t>
            </w:r>
          </w:p>
        </w:tc>
      </w:tr>
      <w:tr w:rsidR="00A1505A" w:rsidRPr="00092DA3" w14:paraId="1C18E1BB" w14:textId="77777777" w:rsidTr="004B0006">
        <w:trPr>
          <w:cantSplit/>
        </w:trPr>
        <w:tc>
          <w:tcPr>
            <w:tcW w:w="2689" w:type="dxa"/>
          </w:tcPr>
          <w:p w14:paraId="63B64BAF" w14:textId="77777777" w:rsidR="00A1505A" w:rsidRPr="00092DA3" w:rsidRDefault="00A1505A" w:rsidP="007021B1">
            <w:pPr>
              <w:pStyle w:val="BodyText"/>
            </w:pPr>
            <w:r w:rsidRPr="00092DA3">
              <w:t>2Q 2015</w:t>
            </w:r>
          </w:p>
        </w:tc>
        <w:tc>
          <w:tcPr>
            <w:tcW w:w="6327" w:type="dxa"/>
          </w:tcPr>
          <w:p w14:paraId="638262E5" w14:textId="77777777" w:rsidR="00A1505A" w:rsidRPr="00092DA3" w:rsidRDefault="00A1505A" w:rsidP="00F93006">
            <w:pPr>
              <w:pStyle w:val="BodyText"/>
              <w:numPr>
                <w:ilvl w:val="0"/>
                <w:numId w:val="42"/>
              </w:numPr>
            </w:pPr>
            <w:r w:rsidRPr="00092DA3">
              <w:t>Review of pit and pipe specifications</w:t>
            </w:r>
          </w:p>
        </w:tc>
      </w:tr>
      <w:tr w:rsidR="006B198A" w:rsidRPr="00092DA3" w14:paraId="572222DD" w14:textId="77777777" w:rsidTr="004B0006">
        <w:trPr>
          <w:cantSplit/>
        </w:trPr>
        <w:tc>
          <w:tcPr>
            <w:tcW w:w="2689" w:type="dxa"/>
          </w:tcPr>
          <w:p w14:paraId="0198840D" w14:textId="77777777" w:rsidR="006B198A" w:rsidRPr="00092DA3" w:rsidRDefault="006B198A" w:rsidP="007021B1">
            <w:pPr>
              <w:pStyle w:val="BodyText"/>
            </w:pPr>
            <w:r w:rsidRPr="00092DA3">
              <w:t>1 July 2015</w:t>
            </w:r>
          </w:p>
        </w:tc>
        <w:tc>
          <w:tcPr>
            <w:tcW w:w="6327" w:type="dxa"/>
          </w:tcPr>
          <w:p w14:paraId="530E9447" w14:textId="77777777" w:rsidR="006B198A" w:rsidRPr="00092DA3" w:rsidRDefault="006B198A" w:rsidP="00770CCF">
            <w:pPr>
              <w:pStyle w:val="BodyText"/>
              <w:numPr>
                <w:ilvl w:val="0"/>
                <w:numId w:val="42"/>
              </w:numPr>
            </w:pPr>
            <w:r w:rsidRPr="00092DA3">
              <w:t xml:space="preserve">Backhaul charges apply to new development applications accepted by NBN Co on or after this date. </w:t>
            </w:r>
          </w:p>
          <w:p w14:paraId="715B526A" w14:textId="42F89600" w:rsidR="00F93006" w:rsidRPr="00092DA3" w:rsidRDefault="006B198A" w:rsidP="00770CCF">
            <w:pPr>
              <w:pStyle w:val="ListParagraph"/>
              <w:numPr>
                <w:ilvl w:val="0"/>
                <w:numId w:val="43"/>
              </w:numPr>
            </w:pPr>
            <w:r w:rsidRPr="00092DA3">
              <w:t xml:space="preserve">The one-time end-user contribution of $300 per premises </w:t>
            </w:r>
            <w:r w:rsidR="00770CCF" w:rsidRPr="00092DA3">
              <w:t>charged to</w:t>
            </w:r>
            <w:r w:rsidRPr="00092DA3">
              <w:t xml:space="preserve"> retail service providers </w:t>
            </w:r>
            <w:r w:rsidR="00F93006" w:rsidRPr="00092DA3">
              <w:t>comes into effect</w:t>
            </w:r>
            <w:r w:rsidR="001E622F">
              <w:t>, subject to relevant implementation processes</w:t>
            </w:r>
            <w:r w:rsidR="00F93006" w:rsidRPr="00092DA3">
              <w:t>.</w:t>
            </w:r>
          </w:p>
          <w:p w14:paraId="5775A404" w14:textId="77777777" w:rsidR="006B198A" w:rsidRPr="00092DA3" w:rsidRDefault="00770CCF" w:rsidP="00770CCF">
            <w:pPr>
              <w:pStyle w:val="BodyText"/>
              <w:numPr>
                <w:ilvl w:val="0"/>
                <w:numId w:val="42"/>
              </w:numPr>
            </w:pPr>
            <w:r w:rsidRPr="00092DA3">
              <w:t>NBN Co to have established a process for identifying alternative provider demand for access to its backhaul services.</w:t>
            </w:r>
          </w:p>
        </w:tc>
      </w:tr>
      <w:tr w:rsidR="006B198A" w:rsidRPr="00092DA3" w14:paraId="640E42AE" w14:textId="77777777" w:rsidTr="004B0006">
        <w:trPr>
          <w:cantSplit/>
        </w:trPr>
        <w:tc>
          <w:tcPr>
            <w:tcW w:w="2689" w:type="dxa"/>
          </w:tcPr>
          <w:p w14:paraId="53A06A53" w14:textId="77777777" w:rsidR="006B198A" w:rsidRPr="00092DA3" w:rsidRDefault="006B198A" w:rsidP="007021B1">
            <w:pPr>
              <w:pStyle w:val="BodyText"/>
            </w:pPr>
            <w:r w:rsidRPr="00092DA3">
              <w:t>1 September 2015</w:t>
            </w:r>
          </w:p>
        </w:tc>
        <w:tc>
          <w:tcPr>
            <w:tcW w:w="6327" w:type="dxa"/>
          </w:tcPr>
          <w:p w14:paraId="4C1BDD86" w14:textId="77777777" w:rsidR="006B198A" w:rsidRPr="00092DA3" w:rsidRDefault="00F93006" w:rsidP="00770CCF">
            <w:pPr>
              <w:pStyle w:val="BodyText"/>
              <w:numPr>
                <w:ilvl w:val="0"/>
                <w:numId w:val="42"/>
              </w:numPr>
            </w:pPr>
            <w:r w:rsidRPr="00092DA3">
              <w:t>First date for provision of infrastructure under the six month notification rule.</w:t>
            </w:r>
          </w:p>
        </w:tc>
      </w:tr>
      <w:tr w:rsidR="006B198A" w14:paraId="4FDDE769" w14:textId="77777777" w:rsidTr="004B0006">
        <w:trPr>
          <w:cantSplit/>
        </w:trPr>
        <w:tc>
          <w:tcPr>
            <w:tcW w:w="2689" w:type="dxa"/>
          </w:tcPr>
          <w:p w14:paraId="122107B9" w14:textId="77777777" w:rsidR="006B198A" w:rsidRPr="00092DA3" w:rsidRDefault="006B198A" w:rsidP="007021B1">
            <w:pPr>
              <w:pStyle w:val="BodyText"/>
            </w:pPr>
            <w:r w:rsidRPr="00092DA3">
              <w:t>2016</w:t>
            </w:r>
          </w:p>
        </w:tc>
        <w:tc>
          <w:tcPr>
            <w:tcW w:w="6327" w:type="dxa"/>
          </w:tcPr>
          <w:p w14:paraId="1831F703" w14:textId="77777777" w:rsidR="006B198A" w:rsidRPr="00092DA3" w:rsidRDefault="00A1505A" w:rsidP="00770CCF">
            <w:pPr>
              <w:pStyle w:val="BodyText"/>
              <w:numPr>
                <w:ilvl w:val="0"/>
                <w:numId w:val="42"/>
              </w:numPr>
            </w:pPr>
            <w:r w:rsidRPr="00092DA3">
              <w:t xml:space="preserve">Review of instalment process for payment of backhaul </w:t>
            </w:r>
          </w:p>
        </w:tc>
      </w:tr>
    </w:tbl>
    <w:p w14:paraId="0F037F43" w14:textId="77777777" w:rsidR="006B198A" w:rsidRPr="007021B1" w:rsidRDefault="006B198A" w:rsidP="007021B1">
      <w:pPr>
        <w:pStyle w:val="BodyText"/>
      </w:pPr>
    </w:p>
    <w:sectPr w:rsidR="006B198A" w:rsidRPr="007021B1" w:rsidSect="008D720E">
      <w:headerReference w:type="default" r:id="rId17"/>
      <w:footerReference w:type="even" r:id="rId18"/>
      <w:footerReference w:type="default" r:id="rId19"/>
      <w:pgSz w:w="11906" w:h="16838" w:code="9"/>
      <w:pgMar w:top="1701" w:right="1416" w:bottom="1276" w:left="1440" w:header="0" w:footer="48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6515D2" w14:textId="77777777" w:rsidR="00E53A0E" w:rsidRDefault="00E53A0E" w:rsidP="000720AB">
      <w:r>
        <w:separator/>
      </w:r>
    </w:p>
    <w:p w14:paraId="64031CC9" w14:textId="77777777" w:rsidR="00E53A0E" w:rsidRDefault="00E53A0E"/>
    <w:p w14:paraId="667442D4" w14:textId="77777777" w:rsidR="00E53A0E" w:rsidRDefault="00E53A0E"/>
  </w:endnote>
  <w:endnote w:type="continuationSeparator" w:id="0">
    <w:p w14:paraId="20655DE0" w14:textId="77777777" w:rsidR="00E53A0E" w:rsidRDefault="00E53A0E" w:rsidP="000720AB">
      <w:r>
        <w:continuationSeparator/>
      </w:r>
    </w:p>
    <w:p w14:paraId="6BCF2500" w14:textId="77777777" w:rsidR="00E53A0E" w:rsidRDefault="00E53A0E"/>
    <w:p w14:paraId="04CB6DE9" w14:textId="77777777" w:rsidR="00E53A0E" w:rsidRDefault="00E53A0E"/>
  </w:endnote>
  <w:endnote w:type="continuationNotice" w:id="1">
    <w:p w14:paraId="51D87F62" w14:textId="77777777" w:rsidR="00E53A0E" w:rsidRDefault="00E53A0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radeGothicLTStd-Light">
    <w:altName w:val="Trade Gothic LT Std Light"/>
    <w:panose1 w:val="00000000000000000000"/>
    <w:charset w:val="4D"/>
    <w:family w:val="auto"/>
    <w:notTrueType/>
    <w:pitch w:val="default"/>
    <w:sig w:usb0="00000003" w:usb1="00000000" w:usb2="00000000" w:usb3="00000000" w:csb0="00000001" w:csb1="00000000"/>
  </w:font>
  <w:font w:name="Geogrotesque-Light">
    <w:altName w:val="Geogrotesque Light"/>
    <w:panose1 w:val="00000000000000000000"/>
    <w:charset w:val="4D"/>
    <w:family w:val="auto"/>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34B1F" w14:textId="77777777" w:rsidR="00E53A0E" w:rsidRDefault="00E53A0E" w:rsidP="00F602E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0358C0C" w14:textId="77777777" w:rsidR="00E53A0E" w:rsidRDefault="00E53A0E" w:rsidP="00FC368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9B254" w14:textId="5A19D243" w:rsidR="00E53A0E" w:rsidRPr="008D720E" w:rsidRDefault="00E53A0E" w:rsidP="00F602ED">
    <w:pPr>
      <w:pStyle w:val="Footer"/>
      <w:framePr w:wrap="around" w:vAnchor="text" w:hAnchor="margin" w:y="1"/>
      <w:rPr>
        <w:rStyle w:val="PageNumber"/>
        <w:color w:val="auto"/>
      </w:rPr>
    </w:pPr>
    <w:r w:rsidRPr="008D720E">
      <w:rPr>
        <w:rStyle w:val="PageNumber"/>
        <w:color w:val="auto"/>
      </w:rPr>
      <w:fldChar w:fldCharType="begin"/>
    </w:r>
    <w:r w:rsidRPr="008D720E">
      <w:rPr>
        <w:rStyle w:val="PageNumber"/>
        <w:color w:val="auto"/>
      </w:rPr>
      <w:instrText xml:space="preserve">PAGE  </w:instrText>
    </w:r>
    <w:r w:rsidRPr="008D720E">
      <w:rPr>
        <w:rStyle w:val="PageNumber"/>
        <w:color w:val="auto"/>
      </w:rPr>
      <w:fldChar w:fldCharType="separate"/>
    </w:r>
    <w:r w:rsidR="00EE3AB0">
      <w:rPr>
        <w:rStyle w:val="PageNumber"/>
        <w:noProof/>
        <w:color w:val="auto"/>
      </w:rPr>
      <w:t>4</w:t>
    </w:r>
    <w:r w:rsidRPr="008D720E">
      <w:rPr>
        <w:rStyle w:val="PageNumber"/>
        <w:color w:val="auto"/>
      </w:rPr>
      <w:fldChar w:fldCharType="end"/>
    </w:r>
  </w:p>
  <w:p w14:paraId="300AFAA9" w14:textId="5DEC51D3" w:rsidR="00E53A0E" w:rsidRPr="008D720E" w:rsidRDefault="00E53A0E" w:rsidP="00FC3687">
    <w:pPr>
      <w:pStyle w:val="Footer"/>
      <w:tabs>
        <w:tab w:val="clear" w:pos="4513"/>
      </w:tabs>
      <w:ind w:firstLine="360"/>
      <w:rPr>
        <w:rStyle w:val="PageNumber"/>
        <w:color w:val="auto"/>
      </w:rPr>
    </w:pPr>
    <w:r w:rsidRPr="008D720E">
      <w:rPr>
        <w:noProof/>
        <w:color w:val="auto"/>
        <w:lang w:eastAsia="en-AU"/>
      </w:rPr>
      <w:t>Telecommunications infrastructure in new developments: policy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98201" w14:textId="77777777" w:rsidR="00E53A0E" w:rsidRDefault="00E53A0E">
      <w:r>
        <w:separator/>
      </w:r>
    </w:p>
  </w:footnote>
  <w:footnote w:type="continuationSeparator" w:id="0">
    <w:p w14:paraId="0A4E3230" w14:textId="77777777" w:rsidR="00E53A0E" w:rsidRDefault="00E53A0E" w:rsidP="000720AB">
      <w:r>
        <w:continuationSeparator/>
      </w:r>
    </w:p>
    <w:p w14:paraId="74E80EC3" w14:textId="77777777" w:rsidR="00E53A0E" w:rsidRDefault="00E53A0E"/>
    <w:p w14:paraId="058B38F1" w14:textId="77777777" w:rsidR="00E53A0E" w:rsidRDefault="00E53A0E"/>
  </w:footnote>
  <w:footnote w:type="continuationNotice" w:id="1">
    <w:p w14:paraId="26A1B5C4" w14:textId="77777777" w:rsidR="00E53A0E" w:rsidRDefault="00E53A0E">
      <w:pPr>
        <w:spacing w:before="0"/>
      </w:pPr>
    </w:p>
  </w:footnote>
  <w:footnote w:id="2">
    <w:p w14:paraId="56762F82" w14:textId="77777777" w:rsidR="00E53A0E" w:rsidRDefault="00E53A0E" w:rsidP="00044EB3">
      <w:pPr>
        <w:pStyle w:val="FootnoteText"/>
      </w:pPr>
      <w:r>
        <w:rPr>
          <w:rStyle w:val="FootnoteReference"/>
        </w:rPr>
        <w:footnoteRef/>
      </w:r>
      <w:r>
        <w:t xml:space="preserve"> ‘End-user’ is used for convenience and should generally be understood as the customer with whom the retail service provider has a contract. </w:t>
      </w:r>
    </w:p>
  </w:footnote>
  <w:footnote w:id="3">
    <w:p w14:paraId="70093B73" w14:textId="77777777" w:rsidR="00E53A0E" w:rsidRDefault="00E53A0E">
      <w:pPr>
        <w:pStyle w:val="FootnoteText"/>
      </w:pPr>
      <w:r>
        <w:rPr>
          <w:rStyle w:val="FootnoteReference"/>
        </w:rPr>
        <w:footnoteRef/>
      </w:r>
      <w:r>
        <w:t xml:space="preserve"> </w:t>
      </w:r>
      <w:r w:rsidRPr="00E94ECF">
        <w:rPr>
          <w:i/>
        </w:rPr>
        <w:t>Fibre in New Developments: policy update</w:t>
      </w:r>
      <w:r>
        <w:t xml:space="preserve">, released 22 June 2011. See: </w:t>
      </w:r>
      <w:r w:rsidRPr="00E94ECF">
        <w:t>www.communications.gov.au/__data/assets/pdf_file/0017/136421/Fibre_in_New_Developments_Policy_Update_Statement_22_June_2011.pdf</w:t>
      </w:r>
      <w:r>
        <w:t>.</w:t>
      </w:r>
    </w:p>
  </w:footnote>
  <w:footnote w:id="4">
    <w:p w14:paraId="2D3A9A7F" w14:textId="77777777" w:rsidR="00E53A0E" w:rsidRPr="00680993" w:rsidRDefault="00E53A0E" w:rsidP="009A07F7">
      <w:pPr>
        <w:pStyle w:val="FootnoteText"/>
      </w:pPr>
      <w:r w:rsidRPr="009D3D5C">
        <w:rPr>
          <w:rStyle w:val="FootnoteReference"/>
        </w:rPr>
        <w:footnoteRef/>
      </w:r>
      <w:r w:rsidRPr="009D3D5C">
        <w:t xml:space="preserve"> </w:t>
      </w:r>
      <w:r w:rsidRPr="00DF23E1">
        <w:t xml:space="preserve">Australian Government Competitive Neutrality Complaints Office, </w:t>
      </w:r>
      <w:r w:rsidRPr="00DF23E1">
        <w:rPr>
          <w:rFonts w:cs="TimesNewRomanPS-ItalicMT"/>
          <w:i/>
          <w:iCs/>
        </w:rPr>
        <w:t>NBN Co</w:t>
      </w:r>
      <w:r w:rsidRPr="00C143A2">
        <w:t>,</w:t>
      </w:r>
      <w:r>
        <w:t xml:space="preserve"> </w:t>
      </w:r>
      <w:r w:rsidRPr="00680993">
        <w:t xml:space="preserve">Investigation No. 14, </w:t>
      </w:r>
      <w:r>
        <w:t>2011.</w:t>
      </w:r>
    </w:p>
  </w:footnote>
  <w:footnote w:id="5">
    <w:p w14:paraId="3C45CD62" w14:textId="1535234D" w:rsidR="00E53A0E" w:rsidRPr="00EB7021" w:rsidRDefault="00E53A0E" w:rsidP="009A07F7">
      <w:pPr>
        <w:pStyle w:val="FootnoteText"/>
      </w:pPr>
      <w:r w:rsidRPr="008119D5">
        <w:rPr>
          <w:rStyle w:val="FootnoteReference"/>
        </w:rPr>
        <w:footnoteRef/>
      </w:r>
      <w:r w:rsidRPr="008119D5">
        <w:t xml:space="preserve"> </w:t>
      </w:r>
      <w:r w:rsidRPr="00793807">
        <w:t xml:space="preserve">Productivity Commission, </w:t>
      </w:r>
      <w:r w:rsidRPr="00793807">
        <w:rPr>
          <w:i/>
          <w:iCs/>
        </w:rPr>
        <w:t>Public Infrastructure</w:t>
      </w:r>
      <w:r w:rsidRPr="00793807">
        <w:t>,</w:t>
      </w:r>
      <w:r>
        <w:t xml:space="preserve"> </w:t>
      </w:r>
      <w:r w:rsidRPr="00793807">
        <w:t>Inquiry Report No. 71, 2014, p.142.</w:t>
      </w:r>
      <w:r>
        <w:t xml:space="preserve"> </w:t>
      </w:r>
      <w:proofErr w:type="spellStart"/>
      <w:r w:rsidRPr="00793807">
        <w:t>Vertigan</w:t>
      </w:r>
      <w:proofErr w:type="spellEnd"/>
      <w:r w:rsidRPr="00793807">
        <w:t xml:space="preserve"> Cost‐Benefit Analysis &amp; Review of Regulation, </w:t>
      </w:r>
      <w:r w:rsidRPr="00793807">
        <w:rPr>
          <w:i/>
        </w:rPr>
        <w:t>National Broadband Network: Market and Regulatory Report</w:t>
      </w:r>
      <w:r w:rsidRPr="00793807">
        <w:t>, 2014, p.163.</w:t>
      </w:r>
      <w:r>
        <w:t xml:space="preserve"> </w:t>
      </w:r>
      <w:r w:rsidRPr="00793807">
        <w:t xml:space="preserve">Also see </w:t>
      </w:r>
      <w:r w:rsidRPr="004210F0">
        <w:t xml:space="preserve">Productivity Commission, </w:t>
      </w:r>
      <w:r w:rsidRPr="004210F0">
        <w:rPr>
          <w:i/>
        </w:rPr>
        <w:t>First Home Ownership</w:t>
      </w:r>
      <w:r w:rsidRPr="004210F0">
        <w:t>, Inquiry Report No. 28, 2004, p.156</w:t>
      </w:r>
      <w:r>
        <w:t xml:space="preserve"> &amp;</w:t>
      </w:r>
      <w:r w:rsidRPr="004210F0">
        <w:t xml:space="preserve"> 169</w:t>
      </w:r>
      <w:r>
        <w:t>.</w:t>
      </w:r>
    </w:p>
  </w:footnote>
  <w:footnote w:id="6">
    <w:p w14:paraId="5CE4FADF" w14:textId="77777777" w:rsidR="00E53A0E" w:rsidRDefault="00E53A0E">
      <w:pPr>
        <w:pStyle w:val="FootnoteText"/>
      </w:pPr>
      <w:r>
        <w:rPr>
          <w:rStyle w:val="FootnoteReference"/>
        </w:rPr>
        <w:footnoteRef/>
      </w:r>
      <w:r>
        <w:t xml:space="preserve"> The meaning of overbuilding is discussed on page 18 below.</w:t>
      </w:r>
    </w:p>
  </w:footnote>
  <w:footnote w:id="7">
    <w:p w14:paraId="577927C9" w14:textId="1C723EB2" w:rsidR="00E53A0E" w:rsidRDefault="00E53A0E">
      <w:pPr>
        <w:pStyle w:val="FootnoteText"/>
      </w:pPr>
      <w:r>
        <w:rPr>
          <w:rStyle w:val="FootnoteReference"/>
        </w:rPr>
        <w:footnoteRef/>
      </w:r>
      <w:r>
        <w:t xml:space="preserve"> Australian Government, </w:t>
      </w:r>
      <w:r>
        <w:rPr>
          <w:i/>
        </w:rPr>
        <w:t xml:space="preserve">Telecommunications Regulatory and Structural Reform </w:t>
      </w:r>
      <w:r w:rsidRPr="006C3DB1">
        <w:t>Paper</w:t>
      </w:r>
      <w:r>
        <w:t xml:space="preserve">, released 11 December 2014. </w:t>
      </w:r>
      <w:r w:rsidRPr="001C049A">
        <w:t>See</w:t>
      </w:r>
      <w:r>
        <w:t xml:space="preserve">: </w:t>
      </w:r>
      <w:hyperlink r:id="rId1" w:history="1">
        <w:r w:rsidRPr="00C22234">
          <w:rPr>
            <w:rStyle w:val="Hyperlink"/>
          </w:rPr>
          <w:t>www.communications.gov.au/__data/assets/pdf_file/0020/243902/Telecommunications_Regulatory_and_Structural_Reform_Paper_-_11_</w:t>
        </w:r>
        <w:r w:rsidRPr="00C22234">
          <w:rPr>
            <w:rStyle w:val="Hyperlink"/>
          </w:rPr>
          <w:t>Dec</w:t>
        </w:r>
        <w:r w:rsidRPr="00C22234">
          <w:rPr>
            <w:rStyle w:val="Hyperlink"/>
          </w:rPr>
          <w:t>e</w:t>
        </w:r>
        <w:r w:rsidRPr="00C22234">
          <w:rPr>
            <w:rStyle w:val="Hyperlink"/>
          </w:rPr>
          <w:t>mber_....pdf</w:t>
        </w:r>
      </w:hyperlink>
    </w:p>
  </w:footnote>
  <w:footnote w:id="8">
    <w:p w14:paraId="5DF81DA3" w14:textId="0B8C65D0" w:rsidR="00E53A0E" w:rsidRDefault="00E53A0E">
      <w:pPr>
        <w:pStyle w:val="FootnoteText"/>
      </w:pPr>
      <w:r>
        <w:rPr>
          <w:rStyle w:val="FootnoteReference"/>
        </w:rPr>
        <w:footnoteRef/>
      </w:r>
      <w:r>
        <w:t xml:space="preserve"> It is envisaged NBN Co would charge the service provider (whether retail or intermediary) with whom it has the direct contractual relationship under its Wholesale Broadband Agreement in relation to the service concerned. This is in contrast to any intervening RSPs that may be involved downstream in the supply of the service to the end-user. This is simply to recognise there may be multiple service providers involved in servicing an end-user. </w:t>
      </w:r>
    </w:p>
  </w:footnote>
  <w:footnote w:id="9">
    <w:p w14:paraId="1295EB55" w14:textId="77777777" w:rsidR="00E53A0E" w:rsidRPr="0058401B" w:rsidRDefault="00E53A0E" w:rsidP="009A07F7">
      <w:pPr>
        <w:pStyle w:val="FootnoteText"/>
      </w:pPr>
      <w:r w:rsidRPr="0058401B">
        <w:rPr>
          <w:rStyle w:val="FootnoteReference"/>
        </w:rPr>
        <w:footnoteRef/>
      </w:r>
      <w:r w:rsidRPr="0058401B">
        <w:t xml:space="preserve"> </w:t>
      </w:r>
      <w:r w:rsidRPr="00EB7021">
        <w:t xml:space="preserve">Under the </w:t>
      </w:r>
      <w:r>
        <w:t>‘</w:t>
      </w:r>
      <w:r w:rsidRPr="00EB7021">
        <w:t>Adequately Served</w:t>
      </w:r>
      <w:r>
        <w:t>’</w:t>
      </w:r>
      <w:r w:rsidRPr="00EB7021">
        <w:t xml:space="preserve"> Policy that has been previously applied in new developments, networks needed to be fibre-to-the premises, able to support voice, comply with Parts 7 and 8 of the </w:t>
      </w:r>
      <w:r w:rsidRPr="00EB7021">
        <w:rPr>
          <w:i/>
        </w:rPr>
        <w:t>Telecommunications Act 1997</w:t>
      </w:r>
      <w:r w:rsidRPr="00EB7021">
        <w:t xml:space="preserve"> (</w:t>
      </w:r>
      <w:r>
        <w:t xml:space="preserve">which require </w:t>
      </w:r>
      <w:r w:rsidRPr="00EB7021">
        <w:t xml:space="preserve">open non-discriminatory wholesale-only supply, including of a Layer 2 </w:t>
      </w:r>
      <w:proofErr w:type="spellStart"/>
      <w:r w:rsidRPr="00EB7021">
        <w:t>bitstream</w:t>
      </w:r>
      <w:proofErr w:type="spellEnd"/>
      <w:r w:rsidRPr="00EB7021">
        <w:t xml:space="preserve"> service), be upgradeable over time, and operated on a provider of last resort basis.</w:t>
      </w:r>
      <w:r>
        <w:t xml:space="preserve"> See: </w:t>
      </w:r>
      <w:r w:rsidRPr="00F57E6C">
        <w:t>www.communications.gov.au/broadband/national_broadband_network/adequately_served</w:t>
      </w:r>
      <w:r>
        <w:t>.</w:t>
      </w:r>
    </w:p>
  </w:footnote>
  <w:footnote w:id="10">
    <w:p w14:paraId="1C71CBB0" w14:textId="4BD92F94" w:rsidR="00E53A0E" w:rsidRPr="00680993" w:rsidRDefault="00E53A0E" w:rsidP="009A07F7">
      <w:pPr>
        <w:pStyle w:val="FootnoteText"/>
      </w:pPr>
      <w:r w:rsidRPr="0058401B">
        <w:rPr>
          <w:rStyle w:val="FootnoteReference"/>
        </w:rPr>
        <w:footnoteRef/>
      </w:r>
      <w:r w:rsidRPr="0058401B">
        <w:t xml:space="preserve"> While work undertaken </w:t>
      </w:r>
      <w:r w:rsidRPr="00EB7021">
        <w:t>by</w:t>
      </w:r>
      <w:r w:rsidRPr="0058401B">
        <w:t xml:space="preserve"> Robert Kenny as part of the </w:t>
      </w:r>
      <w:proofErr w:type="spellStart"/>
      <w:r w:rsidRPr="0058401B">
        <w:t>Vertigan</w:t>
      </w:r>
      <w:proofErr w:type="spellEnd"/>
      <w:r w:rsidRPr="0058401B">
        <w:t xml:space="preserve"> Cost-Benefit Analysis identified download capability of 15 Mbps would be sufficient </w:t>
      </w:r>
      <w:r>
        <w:t xml:space="preserve">for the median user </w:t>
      </w:r>
      <w:r w:rsidRPr="0058401B">
        <w:t xml:space="preserve">in 2023, </w:t>
      </w:r>
      <w:r>
        <w:t xml:space="preserve">the same work projects that further increases </w:t>
      </w:r>
      <w:r w:rsidRPr="0058401B">
        <w:t>in capa</w:t>
      </w:r>
      <w:r>
        <w:t>city will be required at later dates</w:t>
      </w:r>
      <w:r w:rsidRPr="003A7A36">
        <w:t>.</w:t>
      </w:r>
    </w:p>
  </w:footnote>
  <w:footnote w:id="11">
    <w:p w14:paraId="549FCE11" w14:textId="77777777" w:rsidR="00E53A0E" w:rsidRDefault="00E53A0E">
      <w:pPr>
        <w:pStyle w:val="FootnoteText"/>
      </w:pPr>
      <w:r>
        <w:rPr>
          <w:rStyle w:val="FootnoteReference"/>
        </w:rPr>
        <w:footnoteRef/>
      </w:r>
      <w:r>
        <w:t xml:space="preserve"> While the term ‘infrastructure provider of last resort’ may be interpreted as designating a provider that can only be used if there is no other option, it is widely used in the telecommunications industry to identify a provider that has no option but to offer and provide service on commercially agreed terms if requested (i.e. it is always there as a last resort) even though the same provider may be very actively competing against other providers in the market place. For example, Telstra has always competed in the market but was also the provider of last resort in areas no-one else wanted to service. While using an alternative term like ‘default provider’ has been considered, IPOLR is a widely used term in the industry and sufficiently clearly understood that it has been retained.</w:t>
      </w:r>
    </w:p>
  </w:footnote>
  <w:footnote w:id="12">
    <w:p w14:paraId="11B145AF" w14:textId="0C2780C9" w:rsidR="00E53A0E" w:rsidRDefault="00E53A0E">
      <w:pPr>
        <w:pStyle w:val="FootnoteText"/>
      </w:pPr>
      <w:r>
        <w:rPr>
          <w:rStyle w:val="FootnoteReference"/>
        </w:rPr>
        <w:footnoteRef/>
      </w:r>
      <w:r>
        <w:t xml:space="preserve"> For further information on the ‘Adequately Served’ Policy, see </w:t>
      </w:r>
      <w:r w:rsidRPr="00325823">
        <w:t>www.communications.gov.au/broadband/national_broadband_network/adequately_served</w:t>
      </w:r>
      <w:r>
        <w:t xml:space="preserve">. </w:t>
      </w:r>
    </w:p>
  </w:footnote>
  <w:footnote w:id="13">
    <w:p w14:paraId="58CB0671" w14:textId="77777777" w:rsidR="00E53A0E" w:rsidRDefault="00E53A0E" w:rsidP="00636DF2">
      <w:pPr>
        <w:pStyle w:val="FootnoteText"/>
      </w:pPr>
      <w:r>
        <w:rPr>
          <w:rStyle w:val="FootnoteReference"/>
        </w:rPr>
        <w:footnoteRef/>
      </w:r>
      <w:r>
        <w:t xml:space="preserve"> Developments of 100 or more premises are those approved for 100 or more premises </w:t>
      </w:r>
      <w:r w:rsidRPr="00344B9D">
        <w:t>over a three-year period</w:t>
      </w:r>
      <w:r>
        <w:t xml:space="preserve"> at the time of development approval.</w:t>
      </w:r>
    </w:p>
  </w:footnote>
  <w:footnote w:id="14">
    <w:p w14:paraId="7FC2FBE8" w14:textId="77777777" w:rsidR="00E53A0E" w:rsidRDefault="00E53A0E">
      <w:pPr>
        <w:pStyle w:val="FootnoteText"/>
      </w:pPr>
      <w:r w:rsidRPr="00323F91">
        <w:rPr>
          <w:rStyle w:val="FootnoteReference"/>
        </w:rPr>
        <w:footnoteRef/>
      </w:r>
      <w:r w:rsidRPr="00323F91">
        <w:t xml:space="preserve"> For the avoidance of doubt, this includes sub-100 developments adjacent to where NBN Co is in operation (i.e. post ready for service) but it is not cost-effective for NBN Co to service them relative to Telstra. See footnote 1</w:t>
      </w:r>
      <w:r>
        <w:t>3</w:t>
      </w:r>
      <w:r w:rsidRPr="00323F91">
        <w:t xml:space="preserve"> above.</w:t>
      </w:r>
    </w:p>
  </w:footnote>
  <w:footnote w:id="15">
    <w:p w14:paraId="7646F1D5" w14:textId="77777777" w:rsidR="00E53A0E" w:rsidRDefault="00E53A0E" w:rsidP="00545714">
      <w:pPr>
        <w:pStyle w:val="FootnoteText"/>
      </w:pPr>
      <w:r>
        <w:rPr>
          <w:rStyle w:val="FootnoteReference"/>
        </w:rPr>
        <w:footnoteRef/>
      </w:r>
      <w:r>
        <w:t xml:space="preserve"> These rules are additional to (and more detailed than) the multi-technology rollout rules published by NBN Co on 13 November 2014 at </w:t>
      </w:r>
      <w:r w:rsidRPr="00EB5A85">
        <w:t>www.nbnco.com.au/corporate-information/media-centre/media-releases/nbn_co_outlines_principles_for_multi_technology_rollout.html#.VHK_io2KBD8</w:t>
      </w:r>
      <w:r>
        <w:t>.</w:t>
      </w:r>
    </w:p>
    <w:p w14:paraId="1AB870A4" w14:textId="77777777" w:rsidR="00E53A0E" w:rsidRDefault="00E53A0E" w:rsidP="00545714">
      <w:pPr>
        <w:pStyle w:val="FootnoteText"/>
      </w:pPr>
    </w:p>
  </w:footnote>
  <w:footnote w:id="16">
    <w:p w14:paraId="30C60B96" w14:textId="77777777" w:rsidR="00E53A0E" w:rsidRDefault="00E53A0E">
      <w:pPr>
        <w:pStyle w:val="FootnoteText"/>
      </w:pPr>
      <w:r>
        <w:rPr>
          <w:rStyle w:val="FootnoteReference"/>
        </w:rPr>
        <w:footnoteRef/>
      </w:r>
      <w:r>
        <w:t xml:space="preserve"> See: http://www.commsalliance.com.au/__data/assets/pdf_file/0014/32450/G645_2011.pdf.</w:t>
      </w:r>
    </w:p>
  </w:footnote>
  <w:footnote w:id="17">
    <w:p w14:paraId="38B74253" w14:textId="11BC0C19" w:rsidR="00E53A0E" w:rsidRPr="00906707" w:rsidRDefault="00E53A0E" w:rsidP="009A07F7">
      <w:pPr>
        <w:pStyle w:val="FootnoteText"/>
        <w:rPr>
          <w:strike/>
        </w:rPr>
      </w:pPr>
      <w:r w:rsidRPr="00EB5A85">
        <w:rPr>
          <w:rStyle w:val="FootnoteReference"/>
        </w:rPr>
        <w:footnoteRef/>
      </w:r>
      <w:r w:rsidRPr="00EB5A85">
        <w:t xml:space="preserve"> The Victorian Planning Provisions are available at http://planningschemes.dpcd.vic.gov.au/schemes/vpps.</w:t>
      </w:r>
      <w:r>
        <w:t xml:space="preserve"> </w:t>
      </w:r>
      <w:r w:rsidRPr="00EB5A85">
        <w:t>Section 66.01-1 deals with the planning and provision of telecommunications infrastructure in new developments.</w:t>
      </w:r>
    </w:p>
  </w:footnote>
  <w:footnote w:id="18">
    <w:p w14:paraId="697832E8" w14:textId="6CD982EB" w:rsidR="00E53A0E" w:rsidRPr="00680993" w:rsidRDefault="00E53A0E" w:rsidP="009A07F7">
      <w:pPr>
        <w:pStyle w:val="FootnoteText"/>
      </w:pPr>
      <w:r w:rsidRPr="009B7875">
        <w:rPr>
          <w:rStyle w:val="FootnoteReference"/>
        </w:rPr>
        <w:footnoteRef/>
      </w:r>
      <w:r w:rsidRPr="009B7875">
        <w:t xml:space="preserve"> To give another example, in addition to those set out earlier, if it was to cost NBN Co $300,000 to extend backhaul to a development and the development consisted of 2,000 lots, the developer would pay $75 per lot (($300,000/2000 lots = $150) x 50% - that is, 50% of the cost up to the first $1000).</w:t>
      </w:r>
      <w:r>
        <w:t xml:space="preserve"> </w:t>
      </w:r>
      <w:r w:rsidRPr="009B7875">
        <w:t>Conversely, if it was to cost NBN Co $300,000 to extend backhaul to a development and the development consisted of 100 lots, the developer would pay $2500 per lot.</w:t>
      </w:r>
      <w:r>
        <w:t xml:space="preserve"> </w:t>
      </w:r>
      <w:r w:rsidRPr="009B7875">
        <w:t>That is, of the $3000 average cost per lot ($300,000/100) it would pay the first $500, NBN Co would pay the next $500 (i.e. the first $1000) and the developer would pay the remaining $2000, bringing its total contribution to $2500 per lot.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DA7D9" w14:textId="77777777" w:rsidR="00E53A0E" w:rsidRDefault="00E53A0E" w:rsidP="008D720E">
    <w:pPr>
      <w:pStyle w:val="Header"/>
      <w:ind w:left="-709"/>
    </w:pPr>
    <w:r>
      <w:rPr>
        <w:noProof/>
        <w:lang w:eastAsia="en-AU"/>
      </w:rPr>
      <w:drawing>
        <wp:inline distT="0" distB="0" distL="0" distR="0" wp14:anchorId="41EDC283" wp14:editId="594BFE0B">
          <wp:extent cx="7213095" cy="324574"/>
          <wp:effectExtent l="0" t="0" r="6985" b="0"/>
          <wp:docPr id="6" name="Picture 6"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rotWithShape="1">
                  <a:blip r:embed="rId1">
                    <a:extLst>
                      <a:ext uri="{28A0092B-C50C-407E-A947-70E740481C1C}">
                        <a14:useLocalDpi xmlns:a14="http://schemas.microsoft.com/office/drawing/2010/main" val="0"/>
                      </a:ext>
                    </a:extLst>
                  </a:blip>
                  <a:srcRect l="5831" t="8119" r="32604" b="39833"/>
                  <a:stretch/>
                </pic:blipFill>
                <pic:spPr bwMode="auto">
                  <a:xfrm>
                    <a:off x="0" y="0"/>
                    <a:ext cx="7213095" cy="32457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17F185D8" w14:textId="044DE1FA" w:rsidR="00E53A0E" w:rsidRPr="00AA2566" w:rsidRDefault="00E53A0E" w:rsidP="008D720E">
    <w:pPr>
      <w:pStyle w:val="Header"/>
      <w:ind w:left="-567"/>
    </w:pPr>
    <w:r>
      <w:t>Australian Government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BD603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1CD29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D8ABB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3C8FF7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8C04A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ED7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FAF3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F87C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C4B8A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37A17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A6A45"/>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57B7B34"/>
    <w:multiLevelType w:val="hybridMultilevel"/>
    <w:tmpl w:val="E0C8D3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8607EF4"/>
    <w:multiLevelType w:val="hybridMultilevel"/>
    <w:tmpl w:val="64F0B0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27956BC"/>
    <w:multiLevelType w:val="hybridMultilevel"/>
    <w:tmpl w:val="6F50B582"/>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AB4585"/>
    <w:multiLevelType w:val="hybridMultilevel"/>
    <w:tmpl w:val="2F8A2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FD0830"/>
    <w:multiLevelType w:val="hybridMultilevel"/>
    <w:tmpl w:val="9F4C965C"/>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850330"/>
    <w:multiLevelType w:val="multilevel"/>
    <w:tmpl w:val="AED6BE6E"/>
    <w:lvl w:ilvl="0">
      <w:start w:val="1"/>
      <w:numFmt w:val="decimal"/>
      <w:pStyle w:val="Instructionaltext-Numberedlist"/>
      <w:lvlText w:val="%1."/>
      <w:lvlJc w:val="left"/>
      <w:pPr>
        <w:tabs>
          <w:tab w:val="num" w:pos="340"/>
        </w:tabs>
        <w:ind w:left="340" w:hanging="340"/>
      </w:pPr>
      <w:rPr>
        <w:rFonts w:hint="default"/>
        <w:b w:val="0"/>
        <w:i/>
        <w:sz w:val="22"/>
      </w:rPr>
    </w:lvl>
    <w:lvl w:ilvl="1">
      <w:start w:val="1"/>
      <w:numFmt w:val="lowerLetter"/>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2A96F23"/>
    <w:multiLevelType w:val="multilevel"/>
    <w:tmpl w:val="D96C7DA2"/>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3FA744C"/>
    <w:multiLevelType w:val="hybridMultilevel"/>
    <w:tmpl w:val="AA7862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585232D"/>
    <w:multiLevelType w:val="hybridMultilevel"/>
    <w:tmpl w:val="71043568"/>
    <w:lvl w:ilvl="0" w:tplc="8B24810E">
      <w:start w:val="1"/>
      <w:numFmt w:val="lowerLetter"/>
      <w:pStyle w:val="Boxlist-Alpha"/>
      <w:lvlText w:val="%1."/>
      <w:lvlJc w:val="left"/>
      <w:pPr>
        <w:ind w:left="558" w:hanging="360"/>
      </w:pPr>
      <w:rPr>
        <w:rFonts w:hint="default"/>
        <w:b/>
        <w:i w:val="0"/>
        <w:color w:val="00728F"/>
        <w:sz w:val="22"/>
      </w:rPr>
    </w:lvl>
    <w:lvl w:ilvl="1" w:tplc="0C090019" w:tentative="1">
      <w:start w:val="1"/>
      <w:numFmt w:val="lowerLetter"/>
      <w:lvlText w:val="%2."/>
      <w:lvlJc w:val="left"/>
      <w:pPr>
        <w:ind w:left="1638" w:hanging="360"/>
      </w:pPr>
    </w:lvl>
    <w:lvl w:ilvl="2" w:tplc="0C09001B" w:tentative="1">
      <w:start w:val="1"/>
      <w:numFmt w:val="lowerRoman"/>
      <w:lvlText w:val="%3."/>
      <w:lvlJc w:val="right"/>
      <w:pPr>
        <w:ind w:left="2358" w:hanging="180"/>
      </w:pPr>
    </w:lvl>
    <w:lvl w:ilvl="3" w:tplc="0C09000F" w:tentative="1">
      <w:start w:val="1"/>
      <w:numFmt w:val="decimal"/>
      <w:lvlText w:val="%4."/>
      <w:lvlJc w:val="left"/>
      <w:pPr>
        <w:ind w:left="3078" w:hanging="360"/>
      </w:pPr>
    </w:lvl>
    <w:lvl w:ilvl="4" w:tplc="0C090019" w:tentative="1">
      <w:start w:val="1"/>
      <w:numFmt w:val="lowerLetter"/>
      <w:lvlText w:val="%5."/>
      <w:lvlJc w:val="left"/>
      <w:pPr>
        <w:ind w:left="3798" w:hanging="360"/>
      </w:pPr>
    </w:lvl>
    <w:lvl w:ilvl="5" w:tplc="0C09001B" w:tentative="1">
      <w:start w:val="1"/>
      <w:numFmt w:val="lowerRoman"/>
      <w:lvlText w:val="%6."/>
      <w:lvlJc w:val="right"/>
      <w:pPr>
        <w:ind w:left="4518" w:hanging="180"/>
      </w:pPr>
    </w:lvl>
    <w:lvl w:ilvl="6" w:tplc="0C09000F" w:tentative="1">
      <w:start w:val="1"/>
      <w:numFmt w:val="decimal"/>
      <w:lvlText w:val="%7."/>
      <w:lvlJc w:val="left"/>
      <w:pPr>
        <w:ind w:left="5238" w:hanging="360"/>
      </w:pPr>
    </w:lvl>
    <w:lvl w:ilvl="7" w:tplc="0C090019" w:tentative="1">
      <w:start w:val="1"/>
      <w:numFmt w:val="lowerLetter"/>
      <w:lvlText w:val="%8."/>
      <w:lvlJc w:val="left"/>
      <w:pPr>
        <w:ind w:left="5958" w:hanging="360"/>
      </w:pPr>
    </w:lvl>
    <w:lvl w:ilvl="8" w:tplc="0C09001B" w:tentative="1">
      <w:start w:val="1"/>
      <w:numFmt w:val="lowerRoman"/>
      <w:lvlText w:val="%9."/>
      <w:lvlJc w:val="right"/>
      <w:pPr>
        <w:ind w:left="6678" w:hanging="180"/>
      </w:pPr>
    </w:lvl>
  </w:abstractNum>
  <w:abstractNum w:abstractNumId="20" w15:restartNumberingAfterBreak="0">
    <w:nsid w:val="25E446DD"/>
    <w:multiLevelType w:val="hybridMultilevel"/>
    <w:tmpl w:val="9498228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5F13612"/>
    <w:multiLevelType w:val="hybridMultilevel"/>
    <w:tmpl w:val="386CE7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75A6BF4"/>
    <w:multiLevelType w:val="multilevel"/>
    <w:tmpl w:val="BB649F3A"/>
    <w:lvl w:ilvl="0">
      <w:start w:val="1"/>
      <w:numFmt w:val="decimal"/>
      <w:pStyle w:val="Heading1"/>
      <w:lvlText w:val="%1."/>
      <w:lvlJc w:val="left"/>
      <w:pPr>
        <w:ind w:left="907" w:hanging="907"/>
      </w:pPr>
      <w:rPr>
        <w:rFonts w:hint="default"/>
      </w:rPr>
    </w:lvl>
    <w:lvl w:ilvl="1">
      <w:start w:val="1"/>
      <w:numFmt w:val="decimal"/>
      <w:pStyle w:val="Heading2"/>
      <w:lvlText w:val="%1.%2."/>
      <w:lvlJc w:val="left"/>
      <w:pPr>
        <w:ind w:left="907" w:hanging="907"/>
      </w:pPr>
      <w:rPr>
        <w:rFonts w:hint="default"/>
        <w:b w:val="0"/>
      </w:rPr>
    </w:lvl>
    <w:lvl w:ilvl="2">
      <w:start w:val="1"/>
      <w:numFmt w:val="decimal"/>
      <w:pStyle w:val="Heading3"/>
      <w:lvlText w:val="%1.%2.%3."/>
      <w:lvlJc w:val="left"/>
      <w:pPr>
        <w:ind w:left="907" w:hanging="907"/>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2BD67DA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4" w15:restartNumberingAfterBreak="0">
    <w:nsid w:val="2CB01B23"/>
    <w:multiLevelType w:val="hybridMultilevel"/>
    <w:tmpl w:val="A91623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CCC510A"/>
    <w:multiLevelType w:val="hybridMultilevel"/>
    <w:tmpl w:val="8B3AAA78"/>
    <w:lvl w:ilvl="0" w:tplc="0C09000F">
      <w:start w:val="1"/>
      <w:numFmt w:val="decimal"/>
      <w:lvlText w:val="%1."/>
      <w:lvlJc w:val="left"/>
      <w:pPr>
        <w:ind w:left="405" w:hanging="360"/>
      </w:p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26" w15:restartNumberingAfterBreak="0">
    <w:nsid w:val="331B3DE6"/>
    <w:multiLevelType w:val="hybridMultilevel"/>
    <w:tmpl w:val="B5F04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6BF7B2F"/>
    <w:multiLevelType w:val="hybridMultilevel"/>
    <w:tmpl w:val="B85C1B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E6606BB"/>
    <w:multiLevelType w:val="multilevel"/>
    <w:tmpl w:val="551EBC20"/>
    <w:lvl w:ilvl="0">
      <w:start w:val="1"/>
      <w:numFmt w:val="decimal"/>
      <w:pStyle w:val="Bodynumbered-Level1"/>
      <w:lvlText w:val="%1."/>
      <w:lvlJc w:val="left"/>
      <w:pPr>
        <w:ind w:left="680" w:hanging="340"/>
      </w:pPr>
      <w:rPr>
        <w:rFonts w:hint="default"/>
        <w:b/>
        <w:bCs/>
        <w:i w:val="0"/>
        <w:iCs w:val="0"/>
        <w:color w:val="0072B9"/>
        <w:sz w:val="22"/>
        <w:szCs w:val="22"/>
      </w:rPr>
    </w:lvl>
    <w:lvl w:ilvl="1">
      <w:start w:val="1"/>
      <w:numFmt w:val="lowerLetter"/>
      <w:pStyle w:val="Bodynumbered-Level2"/>
      <w:lvlText w:val="%2."/>
      <w:lvlJc w:val="left"/>
      <w:pPr>
        <w:ind w:left="1020" w:hanging="340"/>
      </w:pPr>
      <w:rPr>
        <w:rFonts w:hint="default"/>
        <w:b/>
        <w:bCs/>
        <w:i w:val="0"/>
        <w:iCs w:val="0"/>
        <w:color w:val="0072B9"/>
        <w:sz w:val="22"/>
        <w:szCs w:val="22"/>
      </w:rPr>
    </w:lvl>
    <w:lvl w:ilvl="2">
      <w:start w:val="1"/>
      <w:numFmt w:val="lowerRoman"/>
      <w:pStyle w:val="Bodynumbered-Level3"/>
      <w:lvlText w:val="%3"/>
      <w:lvlJc w:val="left"/>
      <w:pPr>
        <w:ind w:left="1361" w:hanging="341"/>
      </w:pPr>
      <w:rPr>
        <w:rFonts w:hint="default"/>
        <w:b/>
        <w:bCs/>
        <w:i w:val="0"/>
        <w:iCs w:val="0"/>
        <w:color w:val="0072B9"/>
        <w:sz w:val="22"/>
        <w:szCs w:val="22"/>
      </w:rPr>
    </w:lvl>
    <w:lvl w:ilvl="3">
      <w:start w:val="1"/>
      <w:numFmt w:val="none"/>
      <w:lvlText w:val=""/>
      <w:lvlJc w:val="left"/>
      <w:pPr>
        <w:ind w:left="1361" w:firstLine="0"/>
      </w:pPr>
      <w:rPr>
        <w:rFonts w:hint="default"/>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8"/>
      <w:lvlJc w:val="left"/>
      <w:pPr>
        <w:ind w:left="1361" w:firstLine="0"/>
      </w:pPr>
      <w:rPr>
        <w:rFonts w:hint="default"/>
      </w:rPr>
    </w:lvl>
    <w:lvl w:ilvl="8">
      <w:start w:val="1"/>
      <w:numFmt w:val="none"/>
      <w:lvlText w:val="%9"/>
      <w:lvlJc w:val="left"/>
      <w:pPr>
        <w:ind w:left="1361" w:firstLine="0"/>
      </w:pPr>
      <w:rPr>
        <w:rFonts w:hint="default"/>
      </w:rPr>
    </w:lvl>
  </w:abstractNum>
  <w:abstractNum w:abstractNumId="29" w15:restartNumberingAfterBreak="0">
    <w:nsid w:val="42B43A98"/>
    <w:multiLevelType w:val="hybridMultilevel"/>
    <w:tmpl w:val="2B40B43C"/>
    <w:lvl w:ilvl="0" w:tplc="0C09000F">
      <w:start w:val="1"/>
      <w:numFmt w:val="decimal"/>
      <w:lvlText w:val="%1."/>
      <w:lvlJc w:val="left"/>
      <w:pPr>
        <w:ind w:left="405" w:hanging="360"/>
      </w:pPr>
      <w:rPr>
        <w:rFonts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0" w15:restartNumberingAfterBreak="0">
    <w:nsid w:val="47442F2B"/>
    <w:multiLevelType w:val="hybridMultilevel"/>
    <w:tmpl w:val="E0F253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79C7BC4"/>
    <w:multiLevelType w:val="hybridMultilevel"/>
    <w:tmpl w:val="1E9E02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7EB3B79"/>
    <w:multiLevelType w:val="hybridMultilevel"/>
    <w:tmpl w:val="49A84616"/>
    <w:lvl w:ilvl="0" w:tplc="84B8F0C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BF77995"/>
    <w:multiLevelType w:val="multilevel"/>
    <w:tmpl w:val="A7C81342"/>
    <w:lvl w:ilvl="0">
      <w:start w:val="1"/>
      <w:numFmt w:val="bullet"/>
      <w:pStyle w:val="Bodybullet-Level1"/>
      <w:lvlText w:val=""/>
      <w:lvlJc w:val="left"/>
      <w:pPr>
        <w:ind w:left="340" w:hanging="340"/>
      </w:pPr>
      <w:rPr>
        <w:rFonts w:ascii="Symbol" w:hAnsi="Symbol" w:hint="default"/>
        <w:color w:val="00728F"/>
        <w:sz w:val="18"/>
      </w:rPr>
    </w:lvl>
    <w:lvl w:ilvl="1">
      <w:start w:val="1"/>
      <w:numFmt w:val="bullet"/>
      <w:pStyle w:val="Bodybullet-Level2"/>
      <w:lvlText w:val="­"/>
      <w:lvlJc w:val="left"/>
      <w:pPr>
        <w:ind w:left="680" w:hanging="340"/>
      </w:pPr>
      <w:rPr>
        <w:rFonts w:ascii="Courier New" w:hAnsi="Courier New" w:hint="default"/>
        <w:color w:val="00728F"/>
        <w:sz w:val="18"/>
      </w:rPr>
    </w:lvl>
    <w:lvl w:ilvl="2">
      <w:start w:val="1"/>
      <w:numFmt w:val="bullet"/>
      <w:pStyle w:val="Bodybullet-Level3"/>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34" w15:restartNumberingAfterBreak="0">
    <w:nsid w:val="57A06867"/>
    <w:multiLevelType w:val="hybridMultilevel"/>
    <w:tmpl w:val="4FD05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DF84712"/>
    <w:multiLevelType w:val="hybridMultilevel"/>
    <w:tmpl w:val="FEAC969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60E15E51"/>
    <w:multiLevelType w:val="multilevel"/>
    <w:tmpl w:val="978EC210"/>
    <w:lvl w:ilvl="0">
      <w:start w:val="1"/>
      <w:numFmt w:val="bullet"/>
      <w:pStyle w:val="Tablebullet-Level1"/>
      <w:lvlText w:val=""/>
      <w:lvlJc w:val="left"/>
      <w:pPr>
        <w:ind w:left="340" w:hanging="340"/>
      </w:pPr>
      <w:rPr>
        <w:rFonts w:ascii="Symbol" w:hAnsi="Symbol" w:hint="default"/>
        <w:color w:val="0072B9"/>
        <w:sz w:val="18"/>
        <w:szCs w:val="18"/>
      </w:rPr>
    </w:lvl>
    <w:lvl w:ilvl="1">
      <w:start w:val="1"/>
      <w:numFmt w:val="bullet"/>
      <w:pStyle w:val="Tablebullet-Level2"/>
      <w:lvlText w:val="­"/>
      <w:lvlJc w:val="left"/>
      <w:pPr>
        <w:ind w:left="680" w:hanging="340"/>
      </w:pPr>
      <w:rPr>
        <w:rFonts w:ascii="Courier New" w:hAnsi="Courier New" w:hint="default"/>
        <w:color w:val="00728F"/>
        <w:sz w:val="18"/>
      </w:rPr>
    </w:lvl>
    <w:lvl w:ilvl="2">
      <w:start w:val="1"/>
      <w:numFmt w:val="bullet"/>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37" w15:restartNumberingAfterBreak="0">
    <w:nsid w:val="614679C4"/>
    <w:multiLevelType w:val="hybridMultilevel"/>
    <w:tmpl w:val="42AEA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7A596A"/>
    <w:multiLevelType w:val="hybridMultilevel"/>
    <w:tmpl w:val="8DA2F95A"/>
    <w:lvl w:ilvl="0" w:tplc="CB3C63C2">
      <w:start w:val="1"/>
      <w:numFmt w:val="decimal"/>
      <w:pStyle w:val="Boxlist-Numbered"/>
      <w:lvlText w:val="Question %1."/>
      <w:lvlJc w:val="left"/>
      <w:pPr>
        <w:ind w:left="558" w:hanging="360"/>
      </w:pPr>
      <w:rPr>
        <w:rFonts w:hint="default"/>
        <w:b/>
        <w:i w:val="0"/>
        <w:color w:val="00728F"/>
        <w:sz w:val="20"/>
      </w:rPr>
    </w:lvl>
    <w:lvl w:ilvl="1" w:tplc="0C090019" w:tentative="1">
      <w:start w:val="1"/>
      <w:numFmt w:val="lowerLetter"/>
      <w:lvlText w:val="%2."/>
      <w:lvlJc w:val="left"/>
      <w:pPr>
        <w:ind w:left="1638" w:hanging="360"/>
      </w:pPr>
    </w:lvl>
    <w:lvl w:ilvl="2" w:tplc="0C09001B" w:tentative="1">
      <w:start w:val="1"/>
      <w:numFmt w:val="lowerRoman"/>
      <w:lvlText w:val="%3."/>
      <w:lvlJc w:val="right"/>
      <w:pPr>
        <w:ind w:left="2358" w:hanging="180"/>
      </w:pPr>
    </w:lvl>
    <w:lvl w:ilvl="3" w:tplc="0C09000F" w:tentative="1">
      <w:start w:val="1"/>
      <w:numFmt w:val="decimal"/>
      <w:lvlText w:val="%4."/>
      <w:lvlJc w:val="left"/>
      <w:pPr>
        <w:ind w:left="3078" w:hanging="360"/>
      </w:pPr>
    </w:lvl>
    <w:lvl w:ilvl="4" w:tplc="0C090019" w:tentative="1">
      <w:start w:val="1"/>
      <w:numFmt w:val="lowerLetter"/>
      <w:lvlText w:val="%5."/>
      <w:lvlJc w:val="left"/>
      <w:pPr>
        <w:ind w:left="3798" w:hanging="360"/>
      </w:pPr>
    </w:lvl>
    <w:lvl w:ilvl="5" w:tplc="0C09001B" w:tentative="1">
      <w:start w:val="1"/>
      <w:numFmt w:val="lowerRoman"/>
      <w:lvlText w:val="%6."/>
      <w:lvlJc w:val="right"/>
      <w:pPr>
        <w:ind w:left="4518" w:hanging="180"/>
      </w:pPr>
    </w:lvl>
    <w:lvl w:ilvl="6" w:tplc="0C09000F" w:tentative="1">
      <w:start w:val="1"/>
      <w:numFmt w:val="decimal"/>
      <w:lvlText w:val="%7."/>
      <w:lvlJc w:val="left"/>
      <w:pPr>
        <w:ind w:left="5238" w:hanging="360"/>
      </w:pPr>
    </w:lvl>
    <w:lvl w:ilvl="7" w:tplc="0C090019" w:tentative="1">
      <w:start w:val="1"/>
      <w:numFmt w:val="lowerLetter"/>
      <w:lvlText w:val="%8."/>
      <w:lvlJc w:val="left"/>
      <w:pPr>
        <w:ind w:left="5958" w:hanging="360"/>
      </w:pPr>
    </w:lvl>
    <w:lvl w:ilvl="8" w:tplc="0C09001B" w:tentative="1">
      <w:start w:val="1"/>
      <w:numFmt w:val="lowerRoman"/>
      <w:lvlText w:val="%9."/>
      <w:lvlJc w:val="right"/>
      <w:pPr>
        <w:ind w:left="6678" w:hanging="180"/>
      </w:pPr>
    </w:lvl>
  </w:abstractNum>
  <w:abstractNum w:abstractNumId="39" w15:restartNumberingAfterBreak="0">
    <w:nsid w:val="693F5415"/>
    <w:multiLevelType w:val="hybridMultilevel"/>
    <w:tmpl w:val="F3B05E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E1F7CC9"/>
    <w:multiLevelType w:val="hybridMultilevel"/>
    <w:tmpl w:val="1206F69E"/>
    <w:lvl w:ilvl="0" w:tplc="EE109B52">
      <w:start w:val="1"/>
      <w:numFmt w:val="decimal"/>
      <w:pStyle w:val="Tablelist-Numbered"/>
      <w:lvlText w:val="%1."/>
      <w:lvlJc w:val="left"/>
      <w:pPr>
        <w:ind w:left="394" w:hanging="360"/>
      </w:pPr>
      <w:rPr>
        <w:rFonts w:hint="default"/>
        <w:b/>
        <w:i w:val="0"/>
        <w:color w:val="00728F"/>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E615F1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44E22C0"/>
    <w:multiLevelType w:val="hybridMultilevel"/>
    <w:tmpl w:val="EBE202A8"/>
    <w:lvl w:ilvl="0" w:tplc="275EC662">
      <w:start w:val="1"/>
      <w:numFmt w:val="bullet"/>
      <w:pStyle w:val="Boxbullet"/>
      <w:lvlText w:val=""/>
      <w:lvlJc w:val="left"/>
      <w:pPr>
        <w:ind w:left="720" w:hanging="360"/>
      </w:pPr>
      <w:rPr>
        <w:rFonts w:ascii="Symbol" w:hAnsi="Symbol" w:hint="default"/>
        <w:color w:val="00728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050778"/>
    <w:multiLevelType w:val="multilevel"/>
    <w:tmpl w:val="DAB27858"/>
    <w:lvl w:ilvl="0">
      <w:start w:val="1"/>
      <w:numFmt w:val="upperLetter"/>
      <w:pStyle w:val="Endmatter-Heading1"/>
      <w:lvlText w:val="%1."/>
      <w:lvlJc w:val="left"/>
      <w:pPr>
        <w:ind w:left="907" w:hanging="907"/>
      </w:pPr>
      <w:rPr>
        <w:rFonts w:hint="default"/>
      </w:rPr>
    </w:lvl>
    <w:lvl w:ilvl="1">
      <w:start w:val="1"/>
      <w:numFmt w:val="decimal"/>
      <w:pStyle w:val="Endmatter-Heading2"/>
      <w:lvlText w:val="%1.%2."/>
      <w:lvlJc w:val="left"/>
      <w:pPr>
        <w:ind w:left="907" w:hanging="907"/>
      </w:pPr>
      <w:rPr>
        <w:rFonts w:hint="default"/>
      </w:rPr>
    </w:lvl>
    <w:lvl w:ilvl="2">
      <w:start w:val="1"/>
      <w:numFmt w:val="decimal"/>
      <w:pStyle w:val="Endmatter-Heading3"/>
      <w:lvlText w:val="%1.%2.%3."/>
      <w:lvlJc w:val="left"/>
      <w:pPr>
        <w:ind w:left="907" w:hanging="90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36"/>
  </w:num>
  <w:num w:numId="13">
    <w:abstractNumId w:val="28"/>
  </w:num>
  <w:num w:numId="14">
    <w:abstractNumId w:val="42"/>
  </w:num>
  <w:num w:numId="15">
    <w:abstractNumId w:val="19"/>
  </w:num>
  <w:num w:numId="16">
    <w:abstractNumId w:val="40"/>
  </w:num>
  <w:num w:numId="17">
    <w:abstractNumId w:val="41"/>
  </w:num>
  <w:num w:numId="18">
    <w:abstractNumId w:val="10"/>
  </w:num>
  <w:num w:numId="19">
    <w:abstractNumId w:val="23"/>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43"/>
  </w:num>
  <w:num w:numId="23">
    <w:abstractNumId w:val="38"/>
    <w:lvlOverride w:ilvl="0">
      <w:startOverride w:val="1"/>
    </w:lvlOverride>
  </w:num>
  <w:num w:numId="24">
    <w:abstractNumId w:val="14"/>
  </w:num>
  <w:num w:numId="25">
    <w:abstractNumId w:val="31"/>
  </w:num>
  <w:num w:numId="26">
    <w:abstractNumId w:val="12"/>
  </w:num>
  <w:num w:numId="27">
    <w:abstractNumId w:val="29"/>
  </w:num>
  <w:num w:numId="28">
    <w:abstractNumId w:val="34"/>
  </w:num>
  <w:num w:numId="29">
    <w:abstractNumId w:val="17"/>
  </w:num>
  <w:num w:numId="30">
    <w:abstractNumId w:val="15"/>
  </w:num>
  <w:num w:numId="31">
    <w:abstractNumId w:val="13"/>
  </w:num>
  <w:num w:numId="32">
    <w:abstractNumId w:val="21"/>
  </w:num>
  <w:num w:numId="33">
    <w:abstractNumId w:val="39"/>
  </w:num>
  <w:num w:numId="34">
    <w:abstractNumId w:val="18"/>
  </w:num>
  <w:num w:numId="35">
    <w:abstractNumId w:val="25"/>
  </w:num>
  <w:num w:numId="36">
    <w:abstractNumId w:val="24"/>
  </w:num>
  <w:num w:numId="37">
    <w:abstractNumId w:val="20"/>
  </w:num>
  <w:num w:numId="38">
    <w:abstractNumId w:val="26"/>
  </w:num>
  <w:num w:numId="39">
    <w:abstractNumId w:val="22"/>
  </w:num>
  <w:num w:numId="40">
    <w:abstractNumId w:val="35"/>
  </w:num>
  <w:num w:numId="41">
    <w:abstractNumId w:val="27"/>
  </w:num>
  <w:num w:numId="42">
    <w:abstractNumId w:val="30"/>
  </w:num>
  <w:num w:numId="43">
    <w:abstractNumId w:val="11"/>
  </w:num>
  <w:num w:numId="44">
    <w:abstractNumId w:val="22"/>
  </w:num>
  <w:num w:numId="45">
    <w:abstractNumId w:val="32"/>
  </w:num>
  <w:num w:numId="46">
    <w:abstractNumId w:val="37"/>
  </w:num>
  <w:num w:numId="47">
    <w:abstractNumId w:val="22"/>
  </w:num>
  <w:num w:numId="48">
    <w:abstractNumId w:val="22"/>
  </w:num>
  <w:num w:numId="49">
    <w:abstractNumId w:val="22"/>
  </w:num>
  <w:num w:numId="50">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proofState w:spelling="clean" w:grammar="clean"/>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20"/>
  <w:clickAndTypeStyle w:val="BodyText"/>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8E9"/>
    <w:rsid w:val="0000179F"/>
    <w:rsid w:val="00002089"/>
    <w:rsid w:val="00002AA3"/>
    <w:rsid w:val="00002B0D"/>
    <w:rsid w:val="000047CD"/>
    <w:rsid w:val="00006E19"/>
    <w:rsid w:val="00006F87"/>
    <w:rsid w:val="0000704D"/>
    <w:rsid w:val="00007B8A"/>
    <w:rsid w:val="000100BE"/>
    <w:rsid w:val="00010C91"/>
    <w:rsid w:val="000110DE"/>
    <w:rsid w:val="0001191A"/>
    <w:rsid w:val="00012094"/>
    <w:rsid w:val="00012AE9"/>
    <w:rsid w:val="000131B2"/>
    <w:rsid w:val="00013855"/>
    <w:rsid w:val="0001441E"/>
    <w:rsid w:val="000152CC"/>
    <w:rsid w:val="000159C9"/>
    <w:rsid w:val="000164FF"/>
    <w:rsid w:val="00017B31"/>
    <w:rsid w:val="00017E32"/>
    <w:rsid w:val="000223A5"/>
    <w:rsid w:val="00022B50"/>
    <w:rsid w:val="00023528"/>
    <w:rsid w:val="00023A8C"/>
    <w:rsid w:val="00024E7E"/>
    <w:rsid w:val="0002587A"/>
    <w:rsid w:val="00026060"/>
    <w:rsid w:val="000260DC"/>
    <w:rsid w:val="0003155B"/>
    <w:rsid w:val="00032710"/>
    <w:rsid w:val="00033C18"/>
    <w:rsid w:val="000353D2"/>
    <w:rsid w:val="000360AD"/>
    <w:rsid w:val="00037AD6"/>
    <w:rsid w:val="00037CA9"/>
    <w:rsid w:val="00041250"/>
    <w:rsid w:val="000412CD"/>
    <w:rsid w:val="00041604"/>
    <w:rsid w:val="00042873"/>
    <w:rsid w:val="0004408C"/>
    <w:rsid w:val="0004449A"/>
    <w:rsid w:val="00044EB3"/>
    <w:rsid w:val="000455E4"/>
    <w:rsid w:val="00045665"/>
    <w:rsid w:val="00045E43"/>
    <w:rsid w:val="00050750"/>
    <w:rsid w:val="0005092C"/>
    <w:rsid w:val="00050989"/>
    <w:rsid w:val="000521EF"/>
    <w:rsid w:val="00052217"/>
    <w:rsid w:val="00052A70"/>
    <w:rsid w:val="00052EC8"/>
    <w:rsid w:val="00053829"/>
    <w:rsid w:val="00055535"/>
    <w:rsid w:val="00056B35"/>
    <w:rsid w:val="00056B4A"/>
    <w:rsid w:val="000603E6"/>
    <w:rsid w:val="00061F8D"/>
    <w:rsid w:val="0006249D"/>
    <w:rsid w:val="00062980"/>
    <w:rsid w:val="00063027"/>
    <w:rsid w:val="000637E2"/>
    <w:rsid w:val="00065352"/>
    <w:rsid w:val="0006653C"/>
    <w:rsid w:val="00066BB9"/>
    <w:rsid w:val="00067AD2"/>
    <w:rsid w:val="00067EEA"/>
    <w:rsid w:val="00070D7F"/>
    <w:rsid w:val="000720AB"/>
    <w:rsid w:val="0007225F"/>
    <w:rsid w:val="0007357C"/>
    <w:rsid w:val="00076380"/>
    <w:rsid w:val="00081606"/>
    <w:rsid w:val="00081631"/>
    <w:rsid w:val="000822E2"/>
    <w:rsid w:val="00083328"/>
    <w:rsid w:val="000837D7"/>
    <w:rsid w:val="00083BD0"/>
    <w:rsid w:val="0008502C"/>
    <w:rsid w:val="000855F7"/>
    <w:rsid w:val="00086BE9"/>
    <w:rsid w:val="00087E23"/>
    <w:rsid w:val="000905C3"/>
    <w:rsid w:val="0009060A"/>
    <w:rsid w:val="00090EDA"/>
    <w:rsid w:val="00091098"/>
    <w:rsid w:val="00091504"/>
    <w:rsid w:val="00091AB8"/>
    <w:rsid w:val="00092DA3"/>
    <w:rsid w:val="0009379A"/>
    <w:rsid w:val="00094109"/>
    <w:rsid w:val="000960DE"/>
    <w:rsid w:val="000963A9"/>
    <w:rsid w:val="00096718"/>
    <w:rsid w:val="000974FD"/>
    <w:rsid w:val="000A13C3"/>
    <w:rsid w:val="000A2CCA"/>
    <w:rsid w:val="000A2EE5"/>
    <w:rsid w:val="000A3229"/>
    <w:rsid w:val="000A3632"/>
    <w:rsid w:val="000A36C3"/>
    <w:rsid w:val="000A4198"/>
    <w:rsid w:val="000A4478"/>
    <w:rsid w:val="000A4CC0"/>
    <w:rsid w:val="000A545A"/>
    <w:rsid w:val="000A5AEB"/>
    <w:rsid w:val="000B114C"/>
    <w:rsid w:val="000B3A36"/>
    <w:rsid w:val="000B483E"/>
    <w:rsid w:val="000B4E0E"/>
    <w:rsid w:val="000B6D53"/>
    <w:rsid w:val="000B74FC"/>
    <w:rsid w:val="000B758F"/>
    <w:rsid w:val="000C0060"/>
    <w:rsid w:val="000C2441"/>
    <w:rsid w:val="000C26D2"/>
    <w:rsid w:val="000C29F5"/>
    <w:rsid w:val="000C2D5A"/>
    <w:rsid w:val="000C3BB3"/>
    <w:rsid w:val="000C6BE4"/>
    <w:rsid w:val="000C6EA5"/>
    <w:rsid w:val="000C7424"/>
    <w:rsid w:val="000D09AB"/>
    <w:rsid w:val="000D0D3B"/>
    <w:rsid w:val="000D1670"/>
    <w:rsid w:val="000D17E3"/>
    <w:rsid w:val="000D1844"/>
    <w:rsid w:val="000D18DD"/>
    <w:rsid w:val="000D1A93"/>
    <w:rsid w:val="000D4C2E"/>
    <w:rsid w:val="000D5E3B"/>
    <w:rsid w:val="000E01C6"/>
    <w:rsid w:val="000E03CD"/>
    <w:rsid w:val="000E0961"/>
    <w:rsid w:val="000E2323"/>
    <w:rsid w:val="000E30FC"/>
    <w:rsid w:val="000E33DB"/>
    <w:rsid w:val="000E4A7A"/>
    <w:rsid w:val="000E514C"/>
    <w:rsid w:val="000E739C"/>
    <w:rsid w:val="000E744C"/>
    <w:rsid w:val="000E7483"/>
    <w:rsid w:val="000E74C3"/>
    <w:rsid w:val="000F0A6C"/>
    <w:rsid w:val="000F0B1B"/>
    <w:rsid w:val="000F1105"/>
    <w:rsid w:val="000F1795"/>
    <w:rsid w:val="000F2204"/>
    <w:rsid w:val="000F257B"/>
    <w:rsid w:val="000F2E50"/>
    <w:rsid w:val="000F31C5"/>
    <w:rsid w:val="000F429A"/>
    <w:rsid w:val="000F43F5"/>
    <w:rsid w:val="000F6A07"/>
    <w:rsid w:val="00100A92"/>
    <w:rsid w:val="00101290"/>
    <w:rsid w:val="00102808"/>
    <w:rsid w:val="0010379E"/>
    <w:rsid w:val="00104DFA"/>
    <w:rsid w:val="0010565C"/>
    <w:rsid w:val="001059EB"/>
    <w:rsid w:val="00105E37"/>
    <w:rsid w:val="00107198"/>
    <w:rsid w:val="0011031A"/>
    <w:rsid w:val="001103DB"/>
    <w:rsid w:val="00110510"/>
    <w:rsid w:val="0011167D"/>
    <w:rsid w:val="00112FD9"/>
    <w:rsid w:val="00113957"/>
    <w:rsid w:val="00114A38"/>
    <w:rsid w:val="00115188"/>
    <w:rsid w:val="00116AA0"/>
    <w:rsid w:val="00116F10"/>
    <w:rsid w:val="00116FF7"/>
    <w:rsid w:val="0011700E"/>
    <w:rsid w:val="001203E7"/>
    <w:rsid w:val="00120515"/>
    <w:rsid w:val="001213C4"/>
    <w:rsid w:val="00122D70"/>
    <w:rsid w:val="001240ED"/>
    <w:rsid w:val="00125A47"/>
    <w:rsid w:val="001274F6"/>
    <w:rsid w:val="001310B2"/>
    <w:rsid w:val="001313C5"/>
    <w:rsid w:val="00131519"/>
    <w:rsid w:val="001326A9"/>
    <w:rsid w:val="00133178"/>
    <w:rsid w:val="00133D14"/>
    <w:rsid w:val="00134513"/>
    <w:rsid w:val="001348CD"/>
    <w:rsid w:val="00134A17"/>
    <w:rsid w:val="00135456"/>
    <w:rsid w:val="00136C8B"/>
    <w:rsid w:val="001373C7"/>
    <w:rsid w:val="001379ED"/>
    <w:rsid w:val="00137ADC"/>
    <w:rsid w:val="001406B6"/>
    <w:rsid w:val="00141833"/>
    <w:rsid w:val="0014194F"/>
    <w:rsid w:val="001435DB"/>
    <w:rsid w:val="00143825"/>
    <w:rsid w:val="001439E5"/>
    <w:rsid w:val="00143A92"/>
    <w:rsid w:val="00143C9B"/>
    <w:rsid w:val="001441A7"/>
    <w:rsid w:val="00144809"/>
    <w:rsid w:val="00144838"/>
    <w:rsid w:val="0014491D"/>
    <w:rsid w:val="00144DED"/>
    <w:rsid w:val="00145710"/>
    <w:rsid w:val="00145933"/>
    <w:rsid w:val="00146EA6"/>
    <w:rsid w:val="001471F5"/>
    <w:rsid w:val="00147E77"/>
    <w:rsid w:val="0015012D"/>
    <w:rsid w:val="0015033C"/>
    <w:rsid w:val="001517A4"/>
    <w:rsid w:val="00152846"/>
    <w:rsid w:val="00152CFE"/>
    <w:rsid w:val="001544B8"/>
    <w:rsid w:val="001571EB"/>
    <w:rsid w:val="00161D9F"/>
    <w:rsid w:val="00162282"/>
    <w:rsid w:val="00162724"/>
    <w:rsid w:val="001648DF"/>
    <w:rsid w:val="00165B80"/>
    <w:rsid w:val="001660A0"/>
    <w:rsid w:val="0016624A"/>
    <w:rsid w:val="00170A7B"/>
    <w:rsid w:val="00171110"/>
    <w:rsid w:val="00172565"/>
    <w:rsid w:val="001733DE"/>
    <w:rsid w:val="0017517F"/>
    <w:rsid w:val="00175547"/>
    <w:rsid w:val="00175B5B"/>
    <w:rsid w:val="00175E61"/>
    <w:rsid w:val="00177050"/>
    <w:rsid w:val="001776B5"/>
    <w:rsid w:val="00180CE3"/>
    <w:rsid w:val="0018160B"/>
    <w:rsid w:val="00181709"/>
    <w:rsid w:val="00183651"/>
    <w:rsid w:val="00185B74"/>
    <w:rsid w:val="00185BF3"/>
    <w:rsid w:val="001869BE"/>
    <w:rsid w:val="00192FC3"/>
    <w:rsid w:val="00195094"/>
    <w:rsid w:val="00196328"/>
    <w:rsid w:val="001968BF"/>
    <w:rsid w:val="001A357E"/>
    <w:rsid w:val="001A3739"/>
    <w:rsid w:val="001A5CDF"/>
    <w:rsid w:val="001A608F"/>
    <w:rsid w:val="001A6095"/>
    <w:rsid w:val="001A6448"/>
    <w:rsid w:val="001A694A"/>
    <w:rsid w:val="001A7825"/>
    <w:rsid w:val="001B0A34"/>
    <w:rsid w:val="001B12BE"/>
    <w:rsid w:val="001B3A4C"/>
    <w:rsid w:val="001B556F"/>
    <w:rsid w:val="001B6911"/>
    <w:rsid w:val="001B71B1"/>
    <w:rsid w:val="001B7A28"/>
    <w:rsid w:val="001B7EEF"/>
    <w:rsid w:val="001C049A"/>
    <w:rsid w:val="001C08E2"/>
    <w:rsid w:val="001C3AF3"/>
    <w:rsid w:val="001C4A4F"/>
    <w:rsid w:val="001C5E81"/>
    <w:rsid w:val="001C5FDD"/>
    <w:rsid w:val="001C7AF7"/>
    <w:rsid w:val="001C7F0B"/>
    <w:rsid w:val="001D0602"/>
    <w:rsid w:val="001D0D2F"/>
    <w:rsid w:val="001D28B0"/>
    <w:rsid w:val="001D2D07"/>
    <w:rsid w:val="001D3C04"/>
    <w:rsid w:val="001D3D7A"/>
    <w:rsid w:val="001D4469"/>
    <w:rsid w:val="001D61CA"/>
    <w:rsid w:val="001D6C77"/>
    <w:rsid w:val="001D7096"/>
    <w:rsid w:val="001D7353"/>
    <w:rsid w:val="001D7699"/>
    <w:rsid w:val="001E0315"/>
    <w:rsid w:val="001E1570"/>
    <w:rsid w:val="001E2E05"/>
    <w:rsid w:val="001E3CD9"/>
    <w:rsid w:val="001E4A27"/>
    <w:rsid w:val="001E5354"/>
    <w:rsid w:val="001E5630"/>
    <w:rsid w:val="001E5833"/>
    <w:rsid w:val="001E60AD"/>
    <w:rsid w:val="001E622F"/>
    <w:rsid w:val="001E6CBA"/>
    <w:rsid w:val="001E703B"/>
    <w:rsid w:val="001E7397"/>
    <w:rsid w:val="001E747E"/>
    <w:rsid w:val="001F0A77"/>
    <w:rsid w:val="001F2208"/>
    <w:rsid w:val="001F2653"/>
    <w:rsid w:val="001F4346"/>
    <w:rsid w:val="001F54BE"/>
    <w:rsid w:val="001F5A2C"/>
    <w:rsid w:val="001F6783"/>
    <w:rsid w:val="002000AB"/>
    <w:rsid w:val="0020065B"/>
    <w:rsid w:val="002014E7"/>
    <w:rsid w:val="0020217B"/>
    <w:rsid w:val="002026CC"/>
    <w:rsid w:val="002029A5"/>
    <w:rsid w:val="002031BD"/>
    <w:rsid w:val="002038E3"/>
    <w:rsid w:val="00203D85"/>
    <w:rsid w:val="002051EC"/>
    <w:rsid w:val="00206373"/>
    <w:rsid w:val="00206693"/>
    <w:rsid w:val="0020753B"/>
    <w:rsid w:val="002109F3"/>
    <w:rsid w:val="00210E9D"/>
    <w:rsid w:val="0021168B"/>
    <w:rsid w:val="00211B11"/>
    <w:rsid w:val="0021287C"/>
    <w:rsid w:val="00212C8F"/>
    <w:rsid w:val="00212D28"/>
    <w:rsid w:val="002131DB"/>
    <w:rsid w:val="0021340C"/>
    <w:rsid w:val="002137D0"/>
    <w:rsid w:val="002140A8"/>
    <w:rsid w:val="00215247"/>
    <w:rsid w:val="0021574F"/>
    <w:rsid w:val="00215DB3"/>
    <w:rsid w:val="00217134"/>
    <w:rsid w:val="00220750"/>
    <w:rsid w:val="002212B4"/>
    <w:rsid w:val="00221456"/>
    <w:rsid w:val="002220D5"/>
    <w:rsid w:val="00224EA3"/>
    <w:rsid w:val="0022510C"/>
    <w:rsid w:val="00225F54"/>
    <w:rsid w:val="00227647"/>
    <w:rsid w:val="00230003"/>
    <w:rsid w:val="002300C6"/>
    <w:rsid w:val="00230177"/>
    <w:rsid w:val="002304DE"/>
    <w:rsid w:val="00230F08"/>
    <w:rsid w:val="002324C0"/>
    <w:rsid w:val="0023275B"/>
    <w:rsid w:val="00232931"/>
    <w:rsid w:val="00233A44"/>
    <w:rsid w:val="00233F72"/>
    <w:rsid w:val="00234ACA"/>
    <w:rsid w:val="00235BBB"/>
    <w:rsid w:val="00235F66"/>
    <w:rsid w:val="00236409"/>
    <w:rsid w:val="0024133E"/>
    <w:rsid w:val="00242493"/>
    <w:rsid w:val="002424AB"/>
    <w:rsid w:val="002434E8"/>
    <w:rsid w:val="002440EF"/>
    <w:rsid w:val="00244B19"/>
    <w:rsid w:val="00251D8A"/>
    <w:rsid w:val="002542CE"/>
    <w:rsid w:val="0025457D"/>
    <w:rsid w:val="002547E2"/>
    <w:rsid w:val="0025550A"/>
    <w:rsid w:val="002555CB"/>
    <w:rsid w:val="0025632B"/>
    <w:rsid w:val="00256E94"/>
    <w:rsid w:val="00257840"/>
    <w:rsid w:val="00261078"/>
    <w:rsid w:val="0026594B"/>
    <w:rsid w:val="00266485"/>
    <w:rsid w:val="0026788F"/>
    <w:rsid w:val="00270336"/>
    <w:rsid w:val="002703B5"/>
    <w:rsid w:val="0027095A"/>
    <w:rsid w:val="002711E3"/>
    <w:rsid w:val="002714B8"/>
    <w:rsid w:val="00271B2E"/>
    <w:rsid w:val="00272918"/>
    <w:rsid w:val="00273A97"/>
    <w:rsid w:val="002740DD"/>
    <w:rsid w:val="002752C7"/>
    <w:rsid w:val="00275331"/>
    <w:rsid w:val="00275870"/>
    <w:rsid w:val="002760DC"/>
    <w:rsid w:val="0027624B"/>
    <w:rsid w:val="002766AA"/>
    <w:rsid w:val="00276C7B"/>
    <w:rsid w:val="00280842"/>
    <w:rsid w:val="00280911"/>
    <w:rsid w:val="002810BE"/>
    <w:rsid w:val="00281192"/>
    <w:rsid w:val="00282BBA"/>
    <w:rsid w:val="00283FBD"/>
    <w:rsid w:val="0028442C"/>
    <w:rsid w:val="00284B24"/>
    <w:rsid w:val="00285022"/>
    <w:rsid w:val="0028527D"/>
    <w:rsid w:val="00287514"/>
    <w:rsid w:val="00287A6D"/>
    <w:rsid w:val="00290D1D"/>
    <w:rsid w:val="00290D6A"/>
    <w:rsid w:val="0029112D"/>
    <w:rsid w:val="00291E45"/>
    <w:rsid w:val="00292145"/>
    <w:rsid w:val="00294230"/>
    <w:rsid w:val="00297EC1"/>
    <w:rsid w:val="002A1EDF"/>
    <w:rsid w:val="002A2387"/>
    <w:rsid w:val="002A36F8"/>
    <w:rsid w:val="002A4425"/>
    <w:rsid w:val="002A49B4"/>
    <w:rsid w:val="002A52B3"/>
    <w:rsid w:val="002A573F"/>
    <w:rsid w:val="002A5928"/>
    <w:rsid w:val="002A6962"/>
    <w:rsid w:val="002A69C4"/>
    <w:rsid w:val="002A6FA7"/>
    <w:rsid w:val="002A6FF1"/>
    <w:rsid w:val="002A7854"/>
    <w:rsid w:val="002A7D93"/>
    <w:rsid w:val="002B02B0"/>
    <w:rsid w:val="002B0E7C"/>
    <w:rsid w:val="002B1297"/>
    <w:rsid w:val="002B1D37"/>
    <w:rsid w:val="002B25D9"/>
    <w:rsid w:val="002B2622"/>
    <w:rsid w:val="002B2E0E"/>
    <w:rsid w:val="002B3724"/>
    <w:rsid w:val="002B3949"/>
    <w:rsid w:val="002B4D18"/>
    <w:rsid w:val="002B50F0"/>
    <w:rsid w:val="002B59B1"/>
    <w:rsid w:val="002B654A"/>
    <w:rsid w:val="002B740B"/>
    <w:rsid w:val="002B7DDF"/>
    <w:rsid w:val="002C0114"/>
    <w:rsid w:val="002C08D2"/>
    <w:rsid w:val="002C12C7"/>
    <w:rsid w:val="002C171C"/>
    <w:rsid w:val="002C1CCD"/>
    <w:rsid w:val="002C246F"/>
    <w:rsid w:val="002C42F7"/>
    <w:rsid w:val="002C43DD"/>
    <w:rsid w:val="002C4DEC"/>
    <w:rsid w:val="002C6011"/>
    <w:rsid w:val="002C65F8"/>
    <w:rsid w:val="002C72F2"/>
    <w:rsid w:val="002D1E08"/>
    <w:rsid w:val="002D23B0"/>
    <w:rsid w:val="002D2E1C"/>
    <w:rsid w:val="002D3172"/>
    <w:rsid w:val="002D348C"/>
    <w:rsid w:val="002D4786"/>
    <w:rsid w:val="002D4ED5"/>
    <w:rsid w:val="002D6113"/>
    <w:rsid w:val="002D7545"/>
    <w:rsid w:val="002D7AD5"/>
    <w:rsid w:val="002E04F2"/>
    <w:rsid w:val="002E088C"/>
    <w:rsid w:val="002E0E62"/>
    <w:rsid w:val="002E14F8"/>
    <w:rsid w:val="002E187E"/>
    <w:rsid w:val="002E2136"/>
    <w:rsid w:val="002E259C"/>
    <w:rsid w:val="002E2AD1"/>
    <w:rsid w:val="002E3121"/>
    <w:rsid w:val="002E3839"/>
    <w:rsid w:val="002E3D09"/>
    <w:rsid w:val="002E4953"/>
    <w:rsid w:val="002E57C3"/>
    <w:rsid w:val="002E624D"/>
    <w:rsid w:val="002E66D9"/>
    <w:rsid w:val="002E6728"/>
    <w:rsid w:val="002E7C4C"/>
    <w:rsid w:val="002F0854"/>
    <w:rsid w:val="002F2809"/>
    <w:rsid w:val="002F2E1A"/>
    <w:rsid w:val="002F30D1"/>
    <w:rsid w:val="002F38B4"/>
    <w:rsid w:val="002F3D38"/>
    <w:rsid w:val="002F659A"/>
    <w:rsid w:val="002F730A"/>
    <w:rsid w:val="00301762"/>
    <w:rsid w:val="00301BA1"/>
    <w:rsid w:val="00302513"/>
    <w:rsid w:val="0030267C"/>
    <w:rsid w:val="003030C8"/>
    <w:rsid w:val="00303F9F"/>
    <w:rsid w:val="00305583"/>
    <w:rsid w:val="00305E9C"/>
    <w:rsid w:val="003077B3"/>
    <w:rsid w:val="003078B6"/>
    <w:rsid w:val="00311A3E"/>
    <w:rsid w:val="00312E25"/>
    <w:rsid w:val="003140DD"/>
    <w:rsid w:val="00314397"/>
    <w:rsid w:val="00315083"/>
    <w:rsid w:val="003150A7"/>
    <w:rsid w:val="00315A71"/>
    <w:rsid w:val="00316793"/>
    <w:rsid w:val="00316DF7"/>
    <w:rsid w:val="003179E4"/>
    <w:rsid w:val="003204C9"/>
    <w:rsid w:val="00321FF4"/>
    <w:rsid w:val="003221D3"/>
    <w:rsid w:val="00323603"/>
    <w:rsid w:val="00323F91"/>
    <w:rsid w:val="00324FC0"/>
    <w:rsid w:val="00325823"/>
    <w:rsid w:val="00326677"/>
    <w:rsid w:val="00326AF6"/>
    <w:rsid w:val="00331A2D"/>
    <w:rsid w:val="003328DC"/>
    <w:rsid w:val="00333235"/>
    <w:rsid w:val="0033352B"/>
    <w:rsid w:val="0033734E"/>
    <w:rsid w:val="00337937"/>
    <w:rsid w:val="003412AE"/>
    <w:rsid w:val="003415DB"/>
    <w:rsid w:val="00341856"/>
    <w:rsid w:val="00341E28"/>
    <w:rsid w:val="003429E8"/>
    <w:rsid w:val="00342E05"/>
    <w:rsid w:val="00344579"/>
    <w:rsid w:val="00344B9D"/>
    <w:rsid w:val="00347F53"/>
    <w:rsid w:val="003501C3"/>
    <w:rsid w:val="0035049E"/>
    <w:rsid w:val="00350F8A"/>
    <w:rsid w:val="00351922"/>
    <w:rsid w:val="00352C74"/>
    <w:rsid w:val="00354545"/>
    <w:rsid w:val="00355167"/>
    <w:rsid w:val="00355DBD"/>
    <w:rsid w:val="00355E1A"/>
    <w:rsid w:val="00356276"/>
    <w:rsid w:val="00356C39"/>
    <w:rsid w:val="003576AB"/>
    <w:rsid w:val="003600D8"/>
    <w:rsid w:val="00360600"/>
    <w:rsid w:val="00361DEB"/>
    <w:rsid w:val="0036256D"/>
    <w:rsid w:val="003632DD"/>
    <w:rsid w:val="00364E82"/>
    <w:rsid w:val="00365577"/>
    <w:rsid w:val="00365856"/>
    <w:rsid w:val="00365D23"/>
    <w:rsid w:val="0036795A"/>
    <w:rsid w:val="00371118"/>
    <w:rsid w:val="0037122D"/>
    <w:rsid w:val="00371507"/>
    <w:rsid w:val="003719C6"/>
    <w:rsid w:val="0037206C"/>
    <w:rsid w:val="003729BB"/>
    <w:rsid w:val="003732D6"/>
    <w:rsid w:val="00374865"/>
    <w:rsid w:val="0037493F"/>
    <w:rsid w:val="00374BEE"/>
    <w:rsid w:val="00374E3A"/>
    <w:rsid w:val="003754DA"/>
    <w:rsid w:val="00375904"/>
    <w:rsid w:val="00376D47"/>
    <w:rsid w:val="00382CF3"/>
    <w:rsid w:val="003836B2"/>
    <w:rsid w:val="00383FE5"/>
    <w:rsid w:val="00384030"/>
    <w:rsid w:val="003854EB"/>
    <w:rsid w:val="0038703C"/>
    <w:rsid w:val="0039172C"/>
    <w:rsid w:val="00395256"/>
    <w:rsid w:val="003960DA"/>
    <w:rsid w:val="003965E6"/>
    <w:rsid w:val="00396851"/>
    <w:rsid w:val="00396C13"/>
    <w:rsid w:val="003A030B"/>
    <w:rsid w:val="003A0E5D"/>
    <w:rsid w:val="003A2480"/>
    <w:rsid w:val="003A2847"/>
    <w:rsid w:val="003A460E"/>
    <w:rsid w:val="003A5812"/>
    <w:rsid w:val="003A6C68"/>
    <w:rsid w:val="003A73F2"/>
    <w:rsid w:val="003A7F45"/>
    <w:rsid w:val="003B07CC"/>
    <w:rsid w:val="003B09B4"/>
    <w:rsid w:val="003B1D0C"/>
    <w:rsid w:val="003B41C5"/>
    <w:rsid w:val="003B47A8"/>
    <w:rsid w:val="003B6B72"/>
    <w:rsid w:val="003B709A"/>
    <w:rsid w:val="003B7477"/>
    <w:rsid w:val="003B7D1C"/>
    <w:rsid w:val="003C0041"/>
    <w:rsid w:val="003C1CEC"/>
    <w:rsid w:val="003C1F63"/>
    <w:rsid w:val="003C2CCD"/>
    <w:rsid w:val="003C2EDC"/>
    <w:rsid w:val="003C388F"/>
    <w:rsid w:val="003C3B40"/>
    <w:rsid w:val="003C4572"/>
    <w:rsid w:val="003C59D2"/>
    <w:rsid w:val="003C607A"/>
    <w:rsid w:val="003C6FB6"/>
    <w:rsid w:val="003C77BB"/>
    <w:rsid w:val="003C7BC2"/>
    <w:rsid w:val="003D07F8"/>
    <w:rsid w:val="003D16EE"/>
    <w:rsid w:val="003D1FD8"/>
    <w:rsid w:val="003D3350"/>
    <w:rsid w:val="003D37ED"/>
    <w:rsid w:val="003D3E0C"/>
    <w:rsid w:val="003D5C20"/>
    <w:rsid w:val="003D6F45"/>
    <w:rsid w:val="003D7130"/>
    <w:rsid w:val="003D73A0"/>
    <w:rsid w:val="003D7469"/>
    <w:rsid w:val="003E147D"/>
    <w:rsid w:val="003E2075"/>
    <w:rsid w:val="003E2AC9"/>
    <w:rsid w:val="003E7204"/>
    <w:rsid w:val="003F008F"/>
    <w:rsid w:val="003F0B60"/>
    <w:rsid w:val="003F15B2"/>
    <w:rsid w:val="003F20C7"/>
    <w:rsid w:val="003F4225"/>
    <w:rsid w:val="003F5F39"/>
    <w:rsid w:val="003F5FB6"/>
    <w:rsid w:val="003F7019"/>
    <w:rsid w:val="003F7A06"/>
    <w:rsid w:val="004011CF"/>
    <w:rsid w:val="0040182E"/>
    <w:rsid w:val="004023FF"/>
    <w:rsid w:val="0040407A"/>
    <w:rsid w:val="00404250"/>
    <w:rsid w:val="004047C7"/>
    <w:rsid w:val="00404CC5"/>
    <w:rsid w:val="004064E9"/>
    <w:rsid w:val="00406B55"/>
    <w:rsid w:val="004115C4"/>
    <w:rsid w:val="004132D9"/>
    <w:rsid w:val="004144FC"/>
    <w:rsid w:val="004158C0"/>
    <w:rsid w:val="00416259"/>
    <w:rsid w:val="00416890"/>
    <w:rsid w:val="00416983"/>
    <w:rsid w:val="004176CC"/>
    <w:rsid w:val="00420201"/>
    <w:rsid w:val="00420512"/>
    <w:rsid w:val="00420A68"/>
    <w:rsid w:val="00420CF9"/>
    <w:rsid w:val="00420E17"/>
    <w:rsid w:val="0042168D"/>
    <w:rsid w:val="00421FA4"/>
    <w:rsid w:val="0042318F"/>
    <w:rsid w:val="004233EF"/>
    <w:rsid w:val="00425D66"/>
    <w:rsid w:val="004265F1"/>
    <w:rsid w:val="00426945"/>
    <w:rsid w:val="00427C25"/>
    <w:rsid w:val="0043145B"/>
    <w:rsid w:val="004330E1"/>
    <w:rsid w:val="0043357A"/>
    <w:rsid w:val="0043428A"/>
    <w:rsid w:val="00434FC8"/>
    <w:rsid w:val="00436978"/>
    <w:rsid w:val="00436ABB"/>
    <w:rsid w:val="00442674"/>
    <w:rsid w:val="00442A1C"/>
    <w:rsid w:val="004430E0"/>
    <w:rsid w:val="00445E68"/>
    <w:rsid w:val="00446217"/>
    <w:rsid w:val="00450A62"/>
    <w:rsid w:val="00451A16"/>
    <w:rsid w:val="004530F3"/>
    <w:rsid w:val="00454840"/>
    <w:rsid w:val="00454F49"/>
    <w:rsid w:val="0045569C"/>
    <w:rsid w:val="00456454"/>
    <w:rsid w:val="00457679"/>
    <w:rsid w:val="00460C68"/>
    <w:rsid w:val="00460CCC"/>
    <w:rsid w:val="00460CF0"/>
    <w:rsid w:val="00462967"/>
    <w:rsid w:val="004630A5"/>
    <w:rsid w:val="00463403"/>
    <w:rsid w:val="0046384E"/>
    <w:rsid w:val="00463E24"/>
    <w:rsid w:val="00463FA4"/>
    <w:rsid w:val="00465197"/>
    <w:rsid w:val="0046573E"/>
    <w:rsid w:val="004668E5"/>
    <w:rsid w:val="00470BEF"/>
    <w:rsid w:val="00473033"/>
    <w:rsid w:val="00474C80"/>
    <w:rsid w:val="00474CFF"/>
    <w:rsid w:val="00475283"/>
    <w:rsid w:val="004752FD"/>
    <w:rsid w:val="004755A0"/>
    <w:rsid w:val="0047586F"/>
    <w:rsid w:val="00475B5A"/>
    <w:rsid w:val="00480FFE"/>
    <w:rsid w:val="00481CA5"/>
    <w:rsid w:val="00482FB9"/>
    <w:rsid w:val="0048336F"/>
    <w:rsid w:val="00483640"/>
    <w:rsid w:val="00485D2F"/>
    <w:rsid w:val="00487B3C"/>
    <w:rsid w:val="00490073"/>
    <w:rsid w:val="004902C0"/>
    <w:rsid w:val="00490D83"/>
    <w:rsid w:val="004916C9"/>
    <w:rsid w:val="00491E4D"/>
    <w:rsid w:val="004920EC"/>
    <w:rsid w:val="00494196"/>
    <w:rsid w:val="00494C33"/>
    <w:rsid w:val="00494C6A"/>
    <w:rsid w:val="00495556"/>
    <w:rsid w:val="00495850"/>
    <w:rsid w:val="00496CC6"/>
    <w:rsid w:val="00497190"/>
    <w:rsid w:val="004975B2"/>
    <w:rsid w:val="004A0E30"/>
    <w:rsid w:val="004A12CB"/>
    <w:rsid w:val="004A1D73"/>
    <w:rsid w:val="004A2A58"/>
    <w:rsid w:val="004A2B0F"/>
    <w:rsid w:val="004A60DE"/>
    <w:rsid w:val="004A6B4F"/>
    <w:rsid w:val="004A70D2"/>
    <w:rsid w:val="004A7A19"/>
    <w:rsid w:val="004A7B90"/>
    <w:rsid w:val="004A7DC6"/>
    <w:rsid w:val="004B0006"/>
    <w:rsid w:val="004B082C"/>
    <w:rsid w:val="004B123F"/>
    <w:rsid w:val="004B1BEC"/>
    <w:rsid w:val="004B3462"/>
    <w:rsid w:val="004B38F4"/>
    <w:rsid w:val="004B47F1"/>
    <w:rsid w:val="004B5B79"/>
    <w:rsid w:val="004B6004"/>
    <w:rsid w:val="004C00D6"/>
    <w:rsid w:val="004C1B25"/>
    <w:rsid w:val="004C42E0"/>
    <w:rsid w:val="004C54DD"/>
    <w:rsid w:val="004C5758"/>
    <w:rsid w:val="004C5E66"/>
    <w:rsid w:val="004C5F74"/>
    <w:rsid w:val="004C6FCE"/>
    <w:rsid w:val="004C7F98"/>
    <w:rsid w:val="004D0723"/>
    <w:rsid w:val="004D09FD"/>
    <w:rsid w:val="004D0C52"/>
    <w:rsid w:val="004D140F"/>
    <w:rsid w:val="004D1B22"/>
    <w:rsid w:val="004D1FBC"/>
    <w:rsid w:val="004D2FF8"/>
    <w:rsid w:val="004D410D"/>
    <w:rsid w:val="004D4F3B"/>
    <w:rsid w:val="004D68BA"/>
    <w:rsid w:val="004D7040"/>
    <w:rsid w:val="004E1EC1"/>
    <w:rsid w:val="004E1F67"/>
    <w:rsid w:val="004E3D04"/>
    <w:rsid w:val="004E452B"/>
    <w:rsid w:val="004E5017"/>
    <w:rsid w:val="004E5491"/>
    <w:rsid w:val="004E5A10"/>
    <w:rsid w:val="004E74AD"/>
    <w:rsid w:val="004F013C"/>
    <w:rsid w:val="004F0624"/>
    <w:rsid w:val="004F0874"/>
    <w:rsid w:val="004F144C"/>
    <w:rsid w:val="004F265C"/>
    <w:rsid w:val="004F3115"/>
    <w:rsid w:val="004F4A50"/>
    <w:rsid w:val="004F56AE"/>
    <w:rsid w:val="004F57C5"/>
    <w:rsid w:val="004F61E6"/>
    <w:rsid w:val="004F73BF"/>
    <w:rsid w:val="004F7DB5"/>
    <w:rsid w:val="004F7EFB"/>
    <w:rsid w:val="0050081C"/>
    <w:rsid w:val="0050310A"/>
    <w:rsid w:val="00503A43"/>
    <w:rsid w:val="005049DE"/>
    <w:rsid w:val="005049FA"/>
    <w:rsid w:val="00504FFB"/>
    <w:rsid w:val="00505054"/>
    <w:rsid w:val="005051EA"/>
    <w:rsid w:val="00506162"/>
    <w:rsid w:val="00506799"/>
    <w:rsid w:val="00506886"/>
    <w:rsid w:val="00506E8B"/>
    <w:rsid w:val="00511985"/>
    <w:rsid w:val="00512412"/>
    <w:rsid w:val="00513EC0"/>
    <w:rsid w:val="00514D03"/>
    <w:rsid w:val="00514E28"/>
    <w:rsid w:val="00515C61"/>
    <w:rsid w:val="00515FA1"/>
    <w:rsid w:val="00516109"/>
    <w:rsid w:val="0052165F"/>
    <w:rsid w:val="0052261C"/>
    <w:rsid w:val="00523194"/>
    <w:rsid w:val="00525002"/>
    <w:rsid w:val="005262E9"/>
    <w:rsid w:val="0052764B"/>
    <w:rsid w:val="005276F2"/>
    <w:rsid w:val="0053034A"/>
    <w:rsid w:val="00530F16"/>
    <w:rsid w:val="00531FD0"/>
    <w:rsid w:val="005334C6"/>
    <w:rsid w:val="00533634"/>
    <w:rsid w:val="0053392B"/>
    <w:rsid w:val="00533A33"/>
    <w:rsid w:val="005340CD"/>
    <w:rsid w:val="005357E0"/>
    <w:rsid w:val="0053678D"/>
    <w:rsid w:val="00536851"/>
    <w:rsid w:val="00536B27"/>
    <w:rsid w:val="00536CD6"/>
    <w:rsid w:val="005446B1"/>
    <w:rsid w:val="00544835"/>
    <w:rsid w:val="005453CD"/>
    <w:rsid w:val="00545714"/>
    <w:rsid w:val="00545856"/>
    <w:rsid w:val="00546FEE"/>
    <w:rsid w:val="00547219"/>
    <w:rsid w:val="00547891"/>
    <w:rsid w:val="005514CC"/>
    <w:rsid w:val="005519C8"/>
    <w:rsid w:val="00552075"/>
    <w:rsid w:val="00552865"/>
    <w:rsid w:val="005529F8"/>
    <w:rsid w:val="00552DCA"/>
    <w:rsid w:val="00552FDF"/>
    <w:rsid w:val="00553111"/>
    <w:rsid w:val="00553430"/>
    <w:rsid w:val="00553C96"/>
    <w:rsid w:val="00554D27"/>
    <w:rsid w:val="00555642"/>
    <w:rsid w:val="00555CC5"/>
    <w:rsid w:val="005568E1"/>
    <w:rsid w:val="005569EA"/>
    <w:rsid w:val="0055786E"/>
    <w:rsid w:val="00557E28"/>
    <w:rsid w:val="005605CA"/>
    <w:rsid w:val="00561469"/>
    <w:rsid w:val="0056147E"/>
    <w:rsid w:val="0056164F"/>
    <w:rsid w:val="0056234B"/>
    <w:rsid w:val="00562688"/>
    <w:rsid w:val="00565706"/>
    <w:rsid w:val="005657D6"/>
    <w:rsid w:val="005666EC"/>
    <w:rsid w:val="00566BE3"/>
    <w:rsid w:val="005670DA"/>
    <w:rsid w:val="005722D7"/>
    <w:rsid w:val="00572734"/>
    <w:rsid w:val="00572E05"/>
    <w:rsid w:val="00572F19"/>
    <w:rsid w:val="00573740"/>
    <w:rsid w:val="00573A23"/>
    <w:rsid w:val="00573E44"/>
    <w:rsid w:val="00576421"/>
    <w:rsid w:val="00576784"/>
    <w:rsid w:val="00581394"/>
    <w:rsid w:val="00581ED1"/>
    <w:rsid w:val="00582046"/>
    <w:rsid w:val="00583203"/>
    <w:rsid w:val="00583EFE"/>
    <w:rsid w:val="00584E4D"/>
    <w:rsid w:val="00585261"/>
    <w:rsid w:val="0058580F"/>
    <w:rsid w:val="00585983"/>
    <w:rsid w:val="00585B2C"/>
    <w:rsid w:val="00586A1D"/>
    <w:rsid w:val="00586B8F"/>
    <w:rsid w:val="00587CB3"/>
    <w:rsid w:val="005910BC"/>
    <w:rsid w:val="00592A8C"/>
    <w:rsid w:val="005931D5"/>
    <w:rsid w:val="00593A5A"/>
    <w:rsid w:val="00593D17"/>
    <w:rsid w:val="00593FCB"/>
    <w:rsid w:val="005940E4"/>
    <w:rsid w:val="00595214"/>
    <w:rsid w:val="0059604A"/>
    <w:rsid w:val="005A0DD7"/>
    <w:rsid w:val="005A1340"/>
    <w:rsid w:val="005A1504"/>
    <w:rsid w:val="005A1F51"/>
    <w:rsid w:val="005A2111"/>
    <w:rsid w:val="005A2133"/>
    <w:rsid w:val="005A2471"/>
    <w:rsid w:val="005A2FCC"/>
    <w:rsid w:val="005A50CC"/>
    <w:rsid w:val="005A51D1"/>
    <w:rsid w:val="005A5C22"/>
    <w:rsid w:val="005A61C2"/>
    <w:rsid w:val="005A74DD"/>
    <w:rsid w:val="005A7FB1"/>
    <w:rsid w:val="005B0317"/>
    <w:rsid w:val="005B0642"/>
    <w:rsid w:val="005B066E"/>
    <w:rsid w:val="005B0B07"/>
    <w:rsid w:val="005B0D63"/>
    <w:rsid w:val="005B13D8"/>
    <w:rsid w:val="005B1A71"/>
    <w:rsid w:val="005B2A7D"/>
    <w:rsid w:val="005B3C93"/>
    <w:rsid w:val="005B3F6C"/>
    <w:rsid w:val="005B590A"/>
    <w:rsid w:val="005B5AD7"/>
    <w:rsid w:val="005B63A4"/>
    <w:rsid w:val="005C010B"/>
    <w:rsid w:val="005C0AA2"/>
    <w:rsid w:val="005C0D10"/>
    <w:rsid w:val="005C1353"/>
    <w:rsid w:val="005C15AD"/>
    <w:rsid w:val="005C2939"/>
    <w:rsid w:val="005C2DF9"/>
    <w:rsid w:val="005C3B80"/>
    <w:rsid w:val="005C3F1D"/>
    <w:rsid w:val="005C469B"/>
    <w:rsid w:val="005C4C80"/>
    <w:rsid w:val="005C4E76"/>
    <w:rsid w:val="005C521F"/>
    <w:rsid w:val="005C5D6F"/>
    <w:rsid w:val="005D0620"/>
    <w:rsid w:val="005D2CEF"/>
    <w:rsid w:val="005D37A4"/>
    <w:rsid w:val="005D3ED8"/>
    <w:rsid w:val="005D458A"/>
    <w:rsid w:val="005D5928"/>
    <w:rsid w:val="005D6905"/>
    <w:rsid w:val="005D72E6"/>
    <w:rsid w:val="005D78B3"/>
    <w:rsid w:val="005E08D9"/>
    <w:rsid w:val="005E1D3F"/>
    <w:rsid w:val="005E2A2B"/>
    <w:rsid w:val="005E3D36"/>
    <w:rsid w:val="005E3D8B"/>
    <w:rsid w:val="005E46F8"/>
    <w:rsid w:val="005E5A85"/>
    <w:rsid w:val="005E675E"/>
    <w:rsid w:val="005E7961"/>
    <w:rsid w:val="005F0C9F"/>
    <w:rsid w:val="005F14E2"/>
    <w:rsid w:val="005F2095"/>
    <w:rsid w:val="005F4397"/>
    <w:rsid w:val="005F4EA9"/>
    <w:rsid w:val="005F5D5F"/>
    <w:rsid w:val="005F5EC5"/>
    <w:rsid w:val="005F6006"/>
    <w:rsid w:val="005F6676"/>
    <w:rsid w:val="005F703E"/>
    <w:rsid w:val="005F7142"/>
    <w:rsid w:val="0060009F"/>
    <w:rsid w:val="006000EA"/>
    <w:rsid w:val="00600295"/>
    <w:rsid w:val="00600310"/>
    <w:rsid w:val="006003BF"/>
    <w:rsid w:val="00600543"/>
    <w:rsid w:val="0060071D"/>
    <w:rsid w:val="0060094F"/>
    <w:rsid w:val="006031B6"/>
    <w:rsid w:val="0060459D"/>
    <w:rsid w:val="0060536F"/>
    <w:rsid w:val="00606672"/>
    <w:rsid w:val="006075E3"/>
    <w:rsid w:val="00607EAB"/>
    <w:rsid w:val="00610021"/>
    <w:rsid w:val="006108B5"/>
    <w:rsid w:val="00610EA1"/>
    <w:rsid w:val="00611465"/>
    <w:rsid w:val="00612BAF"/>
    <w:rsid w:val="006133FB"/>
    <w:rsid w:val="006138EA"/>
    <w:rsid w:val="0061574C"/>
    <w:rsid w:val="006164B2"/>
    <w:rsid w:val="006164F4"/>
    <w:rsid w:val="00617129"/>
    <w:rsid w:val="0061796E"/>
    <w:rsid w:val="006179FC"/>
    <w:rsid w:val="00617F84"/>
    <w:rsid w:val="006208DC"/>
    <w:rsid w:val="00620960"/>
    <w:rsid w:val="00621282"/>
    <w:rsid w:val="006225B5"/>
    <w:rsid w:val="006241BB"/>
    <w:rsid w:val="0062447E"/>
    <w:rsid w:val="00625C12"/>
    <w:rsid w:val="00625C5B"/>
    <w:rsid w:val="0062610D"/>
    <w:rsid w:val="0062669F"/>
    <w:rsid w:val="00627D35"/>
    <w:rsid w:val="00631047"/>
    <w:rsid w:val="00631D69"/>
    <w:rsid w:val="00632867"/>
    <w:rsid w:val="00632F8D"/>
    <w:rsid w:val="0063458C"/>
    <w:rsid w:val="00636DF2"/>
    <w:rsid w:val="0063701C"/>
    <w:rsid w:val="006370AA"/>
    <w:rsid w:val="00637263"/>
    <w:rsid w:val="006379E0"/>
    <w:rsid w:val="00640F41"/>
    <w:rsid w:val="006428F3"/>
    <w:rsid w:val="00643C9F"/>
    <w:rsid w:val="006440B6"/>
    <w:rsid w:val="006452D6"/>
    <w:rsid w:val="006455A8"/>
    <w:rsid w:val="00645929"/>
    <w:rsid w:val="0064709C"/>
    <w:rsid w:val="0064787A"/>
    <w:rsid w:val="00647B3B"/>
    <w:rsid w:val="006516B6"/>
    <w:rsid w:val="006516E6"/>
    <w:rsid w:val="006529A5"/>
    <w:rsid w:val="006529BA"/>
    <w:rsid w:val="00652CFE"/>
    <w:rsid w:val="006534BB"/>
    <w:rsid w:val="0065435A"/>
    <w:rsid w:val="00654CF1"/>
    <w:rsid w:val="00654FD9"/>
    <w:rsid w:val="006554D5"/>
    <w:rsid w:val="00655F17"/>
    <w:rsid w:val="006563CE"/>
    <w:rsid w:val="0065730B"/>
    <w:rsid w:val="00657CE7"/>
    <w:rsid w:val="00657CF5"/>
    <w:rsid w:val="00660079"/>
    <w:rsid w:val="00660206"/>
    <w:rsid w:val="00660256"/>
    <w:rsid w:val="00660CAE"/>
    <w:rsid w:val="006613EC"/>
    <w:rsid w:val="00661402"/>
    <w:rsid w:val="00661470"/>
    <w:rsid w:val="006622AD"/>
    <w:rsid w:val="0066274F"/>
    <w:rsid w:val="00663947"/>
    <w:rsid w:val="00663FC3"/>
    <w:rsid w:val="00663FDE"/>
    <w:rsid w:val="00664C5D"/>
    <w:rsid w:val="00665016"/>
    <w:rsid w:val="00666562"/>
    <w:rsid w:val="00667070"/>
    <w:rsid w:val="006675E3"/>
    <w:rsid w:val="0066765E"/>
    <w:rsid w:val="00667BCC"/>
    <w:rsid w:val="00670428"/>
    <w:rsid w:val="00670AA8"/>
    <w:rsid w:val="00671B82"/>
    <w:rsid w:val="0067276D"/>
    <w:rsid w:val="00672D96"/>
    <w:rsid w:val="00673ECD"/>
    <w:rsid w:val="00674539"/>
    <w:rsid w:val="006760A8"/>
    <w:rsid w:val="00676B0C"/>
    <w:rsid w:val="00677870"/>
    <w:rsid w:val="00677B84"/>
    <w:rsid w:val="0068058D"/>
    <w:rsid w:val="00680980"/>
    <w:rsid w:val="00682EB9"/>
    <w:rsid w:val="0068335F"/>
    <w:rsid w:val="00684306"/>
    <w:rsid w:val="006849EC"/>
    <w:rsid w:val="00685409"/>
    <w:rsid w:val="0068566E"/>
    <w:rsid w:val="006867ED"/>
    <w:rsid w:val="00686B53"/>
    <w:rsid w:val="00686D28"/>
    <w:rsid w:val="0068731A"/>
    <w:rsid w:val="006917CB"/>
    <w:rsid w:val="006927A1"/>
    <w:rsid w:val="006927F9"/>
    <w:rsid w:val="00692A54"/>
    <w:rsid w:val="00694A08"/>
    <w:rsid w:val="00696297"/>
    <w:rsid w:val="006A0A12"/>
    <w:rsid w:val="006A0C6D"/>
    <w:rsid w:val="006A1A29"/>
    <w:rsid w:val="006A239B"/>
    <w:rsid w:val="006A3186"/>
    <w:rsid w:val="006A48BC"/>
    <w:rsid w:val="006A58A5"/>
    <w:rsid w:val="006A723B"/>
    <w:rsid w:val="006B0B3D"/>
    <w:rsid w:val="006B1919"/>
    <w:rsid w:val="006B198A"/>
    <w:rsid w:val="006B1C58"/>
    <w:rsid w:val="006B30A7"/>
    <w:rsid w:val="006B35B0"/>
    <w:rsid w:val="006B3973"/>
    <w:rsid w:val="006B4835"/>
    <w:rsid w:val="006B71B1"/>
    <w:rsid w:val="006C0739"/>
    <w:rsid w:val="006C121E"/>
    <w:rsid w:val="006C1E20"/>
    <w:rsid w:val="006C2458"/>
    <w:rsid w:val="006C276D"/>
    <w:rsid w:val="006C3DB1"/>
    <w:rsid w:val="006C3F75"/>
    <w:rsid w:val="006C444C"/>
    <w:rsid w:val="006C4DCC"/>
    <w:rsid w:val="006C4F73"/>
    <w:rsid w:val="006C51A3"/>
    <w:rsid w:val="006C5977"/>
    <w:rsid w:val="006D03DF"/>
    <w:rsid w:val="006D0EE3"/>
    <w:rsid w:val="006D257D"/>
    <w:rsid w:val="006D3754"/>
    <w:rsid w:val="006D3E2B"/>
    <w:rsid w:val="006D4BB8"/>
    <w:rsid w:val="006D538F"/>
    <w:rsid w:val="006D5B66"/>
    <w:rsid w:val="006D63FF"/>
    <w:rsid w:val="006D68D7"/>
    <w:rsid w:val="006D7EE4"/>
    <w:rsid w:val="006E0361"/>
    <w:rsid w:val="006E0A37"/>
    <w:rsid w:val="006E0F03"/>
    <w:rsid w:val="006E3CC5"/>
    <w:rsid w:val="006E4438"/>
    <w:rsid w:val="006E4CAF"/>
    <w:rsid w:val="006E6243"/>
    <w:rsid w:val="006E675C"/>
    <w:rsid w:val="006E6D4F"/>
    <w:rsid w:val="006F0FEB"/>
    <w:rsid w:val="006F14F5"/>
    <w:rsid w:val="006F1744"/>
    <w:rsid w:val="006F27A7"/>
    <w:rsid w:val="006F34AD"/>
    <w:rsid w:val="006F352C"/>
    <w:rsid w:val="006F3F9C"/>
    <w:rsid w:val="006F45AD"/>
    <w:rsid w:val="006F56CF"/>
    <w:rsid w:val="006F5DC4"/>
    <w:rsid w:val="006F609A"/>
    <w:rsid w:val="006F60C4"/>
    <w:rsid w:val="006F6B18"/>
    <w:rsid w:val="006F732F"/>
    <w:rsid w:val="006F75ED"/>
    <w:rsid w:val="006F7EE6"/>
    <w:rsid w:val="007021B1"/>
    <w:rsid w:val="00702F4E"/>
    <w:rsid w:val="00704692"/>
    <w:rsid w:val="00705279"/>
    <w:rsid w:val="00706B31"/>
    <w:rsid w:val="0070749A"/>
    <w:rsid w:val="00711228"/>
    <w:rsid w:val="00711B92"/>
    <w:rsid w:val="00711FBB"/>
    <w:rsid w:val="0071237E"/>
    <w:rsid w:val="0071244A"/>
    <w:rsid w:val="00712494"/>
    <w:rsid w:val="00713058"/>
    <w:rsid w:val="00713069"/>
    <w:rsid w:val="00714467"/>
    <w:rsid w:val="00715CCC"/>
    <w:rsid w:val="0071626C"/>
    <w:rsid w:val="0071737A"/>
    <w:rsid w:val="00720996"/>
    <w:rsid w:val="00721523"/>
    <w:rsid w:val="007228E5"/>
    <w:rsid w:val="00722D56"/>
    <w:rsid w:val="00724411"/>
    <w:rsid w:val="00724766"/>
    <w:rsid w:val="007248D0"/>
    <w:rsid w:val="0072514A"/>
    <w:rsid w:val="00727A68"/>
    <w:rsid w:val="007307AE"/>
    <w:rsid w:val="00731BC9"/>
    <w:rsid w:val="00732039"/>
    <w:rsid w:val="007321A6"/>
    <w:rsid w:val="00732349"/>
    <w:rsid w:val="00732FC4"/>
    <w:rsid w:val="00733B33"/>
    <w:rsid w:val="00734179"/>
    <w:rsid w:val="00734ED1"/>
    <w:rsid w:val="007356C3"/>
    <w:rsid w:val="00735A2E"/>
    <w:rsid w:val="0073618D"/>
    <w:rsid w:val="007375B8"/>
    <w:rsid w:val="007404F4"/>
    <w:rsid w:val="00741998"/>
    <w:rsid w:val="0074299B"/>
    <w:rsid w:val="00742AC1"/>
    <w:rsid w:val="007433F5"/>
    <w:rsid w:val="00743406"/>
    <w:rsid w:val="007436EE"/>
    <w:rsid w:val="00744554"/>
    <w:rsid w:val="007448AD"/>
    <w:rsid w:val="007453BE"/>
    <w:rsid w:val="00747D41"/>
    <w:rsid w:val="00750C0D"/>
    <w:rsid w:val="00750E87"/>
    <w:rsid w:val="00751D32"/>
    <w:rsid w:val="007529AF"/>
    <w:rsid w:val="00753ED8"/>
    <w:rsid w:val="00754116"/>
    <w:rsid w:val="007541B3"/>
    <w:rsid w:val="00754685"/>
    <w:rsid w:val="00754D97"/>
    <w:rsid w:val="00756558"/>
    <w:rsid w:val="00757088"/>
    <w:rsid w:val="00757667"/>
    <w:rsid w:val="00757985"/>
    <w:rsid w:val="00757E19"/>
    <w:rsid w:val="00757F97"/>
    <w:rsid w:val="00760546"/>
    <w:rsid w:val="00761490"/>
    <w:rsid w:val="007618B1"/>
    <w:rsid w:val="00761C27"/>
    <w:rsid w:val="0076320E"/>
    <w:rsid w:val="007635CF"/>
    <w:rsid w:val="00763CB1"/>
    <w:rsid w:val="007657A9"/>
    <w:rsid w:val="00765D4C"/>
    <w:rsid w:val="00766A3B"/>
    <w:rsid w:val="0076719D"/>
    <w:rsid w:val="0076744B"/>
    <w:rsid w:val="0076774A"/>
    <w:rsid w:val="00770CCF"/>
    <w:rsid w:val="00771A66"/>
    <w:rsid w:val="00773D70"/>
    <w:rsid w:val="00773EE6"/>
    <w:rsid w:val="00774128"/>
    <w:rsid w:val="00775116"/>
    <w:rsid w:val="00775AFD"/>
    <w:rsid w:val="007763AF"/>
    <w:rsid w:val="007766CE"/>
    <w:rsid w:val="00776D36"/>
    <w:rsid w:val="00777427"/>
    <w:rsid w:val="007776A5"/>
    <w:rsid w:val="0078043C"/>
    <w:rsid w:val="00783B04"/>
    <w:rsid w:val="0078447F"/>
    <w:rsid w:val="00785009"/>
    <w:rsid w:val="00785226"/>
    <w:rsid w:val="0078563F"/>
    <w:rsid w:val="007862AE"/>
    <w:rsid w:val="00786C6C"/>
    <w:rsid w:val="00787CC9"/>
    <w:rsid w:val="00790268"/>
    <w:rsid w:val="007904CB"/>
    <w:rsid w:val="0079152F"/>
    <w:rsid w:val="00791984"/>
    <w:rsid w:val="007925FF"/>
    <w:rsid w:val="00793493"/>
    <w:rsid w:val="00793C6B"/>
    <w:rsid w:val="00793D02"/>
    <w:rsid w:val="00793DC9"/>
    <w:rsid w:val="007940B0"/>
    <w:rsid w:val="00794CC5"/>
    <w:rsid w:val="00794E48"/>
    <w:rsid w:val="00795C56"/>
    <w:rsid w:val="00795C66"/>
    <w:rsid w:val="00797523"/>
    <w:rsid w:val="007A0C07"/>
    <w:rsid w:val="007A43D8"/>
    <w:rsid w:val="007A4990"/>
    <w:rsid w:val="007A5091"/>
    <w:rsid w:val="007A5C0F"/>
    <w:rsid w:val="007A5D7A"/>
    <w:rsid w:val="007A626A"/>
    <w:rsid w:val="007B1C79"/>
    <w:rsid w:val="007B2BBA"/>
    <w:rsid w:val="007B3158"/>
    <w:rsid w:val="007B3232"/>
    <w:rsid w:val="007B36D9"/>
    <w:rsid w:val="007B3C81"/>
    <w:rsid w:val="007B451A"/>
    <w:rsid w:val="007B72F4"/>
    <w:rsid w:val="007B7408"/>
    <w:rsid w:val="007C00A3"/>
    <w:rsid w:val="007C0BFD"/>
    <w:rsid w:val="007C1013"/>
    <w:rsid w:val="007C1A87"/>
    <w:rsid w:val="007C1C9D"/>
    <w:rsid w:val="007C2953"/>
    <w:rsid w:val="007C3012"/>
    <w:rsid w:val="007C3324"/>
    <w:rsid w:val="007C3D68"/>
    <w:rsid w:val="007C5C5D"/>
    <w:rsid w:val="007C66E2"/>
    <w:rsid w:val="007C7482"/>
    <w:rsid w:val="007C7BB2"/>
    <w:rsid w:val="007D0D31"/>
    <w:rsid w:val="007D30AE"/>
    <w:rsid w:val="007D45D3"/>
    <w:rsid w:val="007D4647"/>
    <w:rsid w:val="007D4898"/>
    <w:rsid w:val="007D4D9F"/>
    <w:rsid w:val="007D4F68"/>
    <w:rsid w:val="007D6751"/>
    <w:rsid w:val="007D6EC3"/>
    <w:rsid w:val="007D7AB4"/>
    <w:rsid w:val="007E01B6"/>
    <w:rsid w:val="007E04AA"/>
    <w:rsid w:val="007E12AF"/>
    <w:rsid w:val="007E1F48"/>
    <w:rsid w:val="007E24E9"/>
    <w:rsid w:val="007E399D"/>
    <w:rsid w:val="007E3BED"/>
    <w:rsid w:val="007E3BF4"/>
    <w:rsid w:val="007E3F57"/>
    <w:rsid w:val="007E5162"/>
    <w:rsid w:val="007E5270"/>
    <w:rsid w:val="007E559E"/>
    <w:rsid w:val="007E631B"/>
    <w:rsid w:val="007E6F10"/>
    <w:rsid w:val="007E77FD"/>
    <w:rsid w:val="007F1685"/>
    <w:rsid w:val="007F172C"/>
    <w:rsid w:val="007F2842"/>
    <w:rsid w:val="007F2BEF"/>
    <w:rsid w:val="007F3335"/>
    <w:rsid w:val="007F501C"/>
    <w:rsid w:val="007F52B8"/>
    <w:rsid w:val="007F695F"/>
    <w:rsid w:val="007F734C"/>
    <w:rsid w:val="008006A2"/>
    <w:rsid w:val="008009C1"/>
    <w:rsid w:val="00801599"/>
    <w:rsid w:val="00801938"/>
    <w:rsid w:val="00801B9F"/>
    <w:rsid w:val="00801BF4"/>
    <w:rsid w:val="008034E2"/>
    <w:rsid w:val="0080561B"/>
    <w:rsid w:val="00806A0D"/>
    <w:rsid w:val="00807802"/>
    <w:rsid w:val="00807B07"/>
    <w:rsid w:val="00811D35"/>
    <w:rsid w:val="00811F2B"/>
    <w:rsid w:val="00812379"/>
    <w:rsid w:val="008123BE"/>
    <w:rsid w:val="00816A6A"/>
    <w:rsid w:val="008207B7"/>
    <w:rsid w:val="008212E9"/>
    <w:rsid w:val="00822D48"/>
    <w:rsid w:val="00825905"/>
    <w:rsid w:val="008275F8"/>
    <w:rsid w:val="008277E0"/>
    <w:rsid w:val="008314F3"/>
    <w:rsid w:val="008317E8"/>
    <w:rsid w:val="00831DD3"/>
    <w:rsid w:val="00832B32"/>
    <w:rsid w:val="00832E6C"/>
    <w:rsid w:val="00833D13"/>
    <w:rsid w:val="00834673"/>
    <w:rsid w:val="008346A1"/>
    <w:rsid w:val="00834AC7"/>
    <w:rsid w:val="008361FF"/>
    <w:rsid w:val="00836D12"/>
    <w:rsid w:val="00837BDD"/>
    <w:rsid w:val="00840E11"/>
    <w:rsid w:val="008412F4"/>
    <w:rsid w:val="00841BA3"/>
    <w:rsid w:val="00841F45"/>
    <w:rsid w:val="0084209E"/>
    <w:rsid w:val="008424BE"/>
    <w:rsid w:val="008426B8"/>
    <w:rsid w:val="0084295C"/>
    <w:rsid w:val="00842F47"/>
    <w:rsid w:val="00843B74"/>
    <w:rsid w:val="008444AE"/>
    <w:rsid w:val="00844B44"/>
    <w:rsid w:val="00845806"/>
    <w:rsid w:val="00845FC1"/>
    <w:rsid w:val="00846DDD"/>
    <w:rsid w:val="008477D9"/>
    <w:rsid w:val="00850AE0"/>
    <w:rsid w:val="0085129E"/>
    <w:rsid w:val="00851EF1"/>
    <w:rsid w:val="00852990"/>
    <w:rsid w:val="008531B8"/>
    <w:rsid w:val="00854B75"/>
    <w:rsid w:val="00856660"/>
    <w:rsid w:val="008575F9"/>
    <w:rsid w:val="00860D5B"/>
    <w:rsid w:val="00862D7B"/>
    <w:rsid w:val="0086427F"/>
    <w:rsid w:val="00866768"/>
    <w:rsid w:val="00866A71"/>
    <w:rsid w:val="00866C13"/>
    <w:rsid w:val="00873A91"/>
    <w:rsid w:val="008741A3"/>
    <w:rsid w:val="00876805"/>
    <w:rsid w:val="00877121"/>
    <w:rsid w:val="008771E7"/>
    <w:rsid w:val="0088042C"/>
    <w:rsid w:val="008822B8"/>
    <w:rsid w:val="008825AB"/>
    <w:rsid w:val="008828C2"/>
    <w:rsid w:val="00883CD1"/>
    <w:rsid w:val="0088434E"/>
    <w:rsid w:val="00884574"/>
    <w:rsid w:val="008845F2"/>
    <w:rsid w:val="00884B44"/>
    <w:rsid w:val="008856F3"/>
    <w:rsid w:val="00885B91"/>
    <w:rsid w:val="008868DD"/>
    <w:rsid w:val="008906B0"/>
    <w:rsid w:val="008906E0"/>
    <w:rsid w:val="00890918"/>
    <w:rsid w:val="0089164C"/>
    <w:rsid w:val="00891B01"/>
    <w:rsid w:val="00891E6D"/>
    <w:rsid w:val="00892230"/>
    <w:rsid w:val="008935CF"/>
    <w:rsid w:val="008939E4"/>
    <w:rsid w:val="00894026"/>
    <w:rsid w:val="00894099"/>
    <w:rsid w:val="00894463"/>
    <w:rsid w:val="00894CA6"/>
    <w:rsid w:val="008954CD"/>
    <w:rsid w:val="008979D0"/>
    <w:rsid w:val="008A045F"/>
    <w:rsid w:val="008A135A"/>
    <w:rsid w:val="008A1A86"/>
    <w:rsid w:val="008A2C1D"/>
    <w:rsid w:val="008A4299"/>
    <w:rsid w:val="008A4916"/>
    <w:rsid w:val="008A4C87"/>
    <w:rsid w:val="008A4CCA"/>
    <w:rsid w:val="008A5663"/>
    <w:rsid w:val="008A5A1F"/>
    <w:rsid w:val="008A5F9E"/>
    <w:rsid w:val="008A6569"/>
    <w:rsid w:val="008A688B"/>
    <w:rsid w:val="008A7886"/>
    <w:rsid w:val="008B0F3B"/>
    <w:rsid w:val="008B5061"/>
    <w:rsid w:val="008B5201"/>
    <w:rsid w:val="008B5292"/>
    <w:rsid w:val="008B5AC6"/>
    <w:rsid w:val="008B5AE4"/>
    <w:rsid w:val="008B64C6"/>
    <w:rsid w:val="008B663D"/>
    <w:rsid w:val="008B6BD6"/>
    <w:rsid w:val="008C0EDA"/>
    <w:rsid w:val="008C1E44"/>
    <w:rsid w:val="008C2565"/>
    <w:rsid w:val="008C2FF8"/>
    <w:rsid w:val="008C328F"/>
    <w:rsid w:val="008C3BA9"/>
    <w:rsid w:val="008C4962"/>
    <w:rsid w:val="008C6265"/>
    <w:rsid w:val="008C6446"/>
    <w:rsid w:val="008C71A2"/>
    <w:rsid w:val="008C7365"/>
    <w:rsid w:val="008D04C8"/>
    <w:rsid w:val="008D0A94"/>
    <w:rsid w:val="008D3C32"/>
    <w:rsid w:val="008D4AEB"/>
    <w:rsid w:val="008D5429"/>
    <w:rsid w:val="008D5CD2"/>
    <w:rsid w:val="008D6C13"/>
    <w:rsid w:val="008D720E"/>
    <w:rsid w:val="008D734D"/>
    <w:rsid w:val="008E0426"/>
    <w:rsid w:val="008E093E"/>
    <w:rsid w:val="008E33BB"/>
    <w:rsid w:val="008E3784"/>
    <w:rsid w:val="008E4011"/>
    <w:rsid w:val="008E54A3"/>
    <w:rsid w:val="008E5B3A"/>
    <w:rsid w:val="008E6714"/>
    <w:rsid w:val="008E698A"/>
    <w:rsid w:val="008E7135"/>
    <w:rsid w:val="008F0466"/>
    <w:rsid w:val="008F1751"/>
    <w:rsid w:val="008F202E"/>
    <w:rsid w:val="008F23A9"/>
    <w:rsid w:val="008F2563"/>
    <w:rsid w:val="008F3090"/>
    <w:rsid w:val="008F3116"/>
    <w:rsid w:val="008F3A84"/>
    <w:rsid w:val="008F56C8"/>
    <w:rsid w:val="008F79D5"/>
    <w:rsid w:val="009011CC"/>
    <w:rsid w:val="0090275E"/>
    <w:rsid w:val="009027A7"/>
    <w:rsid w:val="0090298D"/>
    <w:rsid w:val="0090314F"/>
    <w:rsid w:val="00903209"/>
    <w:rsid w:val="00903332"/>
    <w:rsid w:val="00903F2C"/>
    <w:rsid w:val="009056F4"/>
    <w:rsid w:val="00905857"/>
    <w:rsid w:val="00905C1A"/>
    <w:rsid w:val="009079E8"/>
    <w:rsid w:val="00907B8F"/>
    <w:rsid w:val="0091028B"/>
    <w:rsid w:val="0091032C"/>
    <w:rsid w:val="00910CF3"/>
    <w:rsid w:val="00911334"/>
    <w:rsid w:val="00911D68"/>
    <w:rsid w:val="00912F44"/>
    <w:rsid w:val="00913A28"/>
    <w:rsid w:val="0091401C"/>
    <w:rsid w:val="00914607"/>
    <w:rsid w:val="00914DE7"/>
    <w:rsid w:val="009153B8"/>
    <w:rsid w:val="00915DCA"/>
    <w:rsid w:val="009161F8"/>
    <w:rsid w:val="009166DF"/>
    <w:rsid w:val="009178D5"/>
    <w:rsid w:val="00917F43"/>
    <w:rsid w:val="009213C8"/>
    <w:rsid w:val="00921E6E"/>
    <w:rsid w:val="00922601"/>
    <w:rsid w:val="009230B9"/>
    <w:rsid w:val="00923247"/>
    <w:rsid w:val="0092415B"/>
    <w:rsid w:val="009241F7"/>
    <w:rsid w:val="00924705"/>
    <w:rsid w:val="009257A9"/>
    <w:rsid w:val="00925898"/>
    <w:rsid w:val="00931636"/>
    <w:rsid w:val="00934E3E"/>
    <w:rsid w:val="00935738"/>
    <w:rsid w:val="009367DA"/>
    <w:rsid w:val="00936E73"/>
    <w:rsid w:val="0094033C"/>
    <w:rsid w:val="009405EE"/>
    <w:rsid w:val="0094283F"/>
    <w:rsid w:val="009436A5"/>
    <w:rsid w:val="009439F5"/>
    <w:rsid w:val="00944950"/>
    <w:rsid w:val="00946AB7"/>
    <w:rsid w:val="00950909"/>
    <w:rsid w:val="00950CF0"/>
    <w:rsid w:val="00950EB2"/>
    <w:rsid w:val="00952DDB"/>
    <w:rsid w:val="00953DF6"/>
    <w:rsid w:val="0095424F"/>
    <w:rsid w:val="009558F5"/>
    <w:rsid w:val="009563F3"/>
    <w:rsid w:val="009565FA"/>
    <w:rsid w:val="00956926"/>
    <w:rsid w:val="009576F6"/>
    <w:rsid w:val="0095775F"/>
    <w:rsid w:val="009608FB"/>
    <w:rsid w:val="009613C1"/>
    <w:rsid w:val="0096345F"/>
    <w:rsid w:val="00963640"/>
    <w:rsid w:val="00965193"/>
    <w:rsid w:val="00965F4F"/>
    <w:rsid w:val="00966944"/>
    <w:rsid w:val="00966C35"/>
    <w:rsid w:val="00966D86"/>
    <w:rsid w:val="00967A10"/>
    <w:rsid w:val="009704C4"/>
    <w:rsid w:val="0097080C"/>
    <w:rsid w:val="00973232"/>
    <w:rsid w:val="00974C74"/>
    <w:rsid w:val="009757C4"/>
    <w:rsid w:val="00975EA7"/>
    <w:rsid w:val="00975EDB"/>
    <w:rsid w:val="00975F79"/>
    <w:rsid w:val="00975FF9"/>
    <w:rsid w:val="009769CD"/>
    <w:rsid w:val="009770DF"/>
    <w:rsid w:val="00977631"/>
    <w:rsid w:val="00977A11"/>
    <w:rsid w:val="00977A1B"/>
    <w:rsid w:val="00977C55"/>
    <w:rsid w:val="00977DD5"/>
    <w:rsid w:val="009807B6"/>
    <w:rsid w:val="00980D67"/>
    <w:rsid w:val="00982AB6"/>
    <w:rsid w:val="00982AFF"/>
    <w:rsid w:val="00984E15"/>
    <w:rsid w:val="00984FD0"/>
    <w:rsid w:val="009860E9"/>
    <w:rsid w:val="00990C67"/>
    <w:rsid w:val="00991019"/>
    <w:rsid w:val="00992BF5"/>
    <w:rsid w:val="00992DD1"/>
    <w:rsid w:val="00993247"/>
    <w:rsid w:val="00994C08"/>
    <w:rsid w:val="00994D92"/>
    <w:rsid w:val="00995309"/>
    <w:rsid w:val="0099539A"/>
    <w:rsid w:val="00995756"/>
    <w:rsid w:val="009957AE"/>
    <w:rsid w:val="00995C8F"/>
    <w:rsid w:val="00997443"/>
    <w:rsid w:val="009A0772"/>
    <w:rsid w:val="009A07A6"/>
    <w:rsid w:val="009A07F7"/>
    <w:rsid w:val="009A1A03"/>
    <w:rsid w:val="009A2A7A"/>
    <w:rsid w:val="009A2ADC"/>
    <w:rsid w:val="009A502E"/>
    <w:rsid w:val="009A7EFC"/>
    <w:rsid w:val="009B075E"/>
    <w:rsid w:val="009B0C0D"/>
    <w:rsid w:val="009B32C8"/>
    <w:rsid w:val="009B3DEC"/>
    <w:rsid w:val="009B4A31"/>
    <w:rsid w:val="009B5CD0"/>
    <w:rsid w:val="009B7875"/>
    <w:rsid w:val="009C00A7"/>
    <w:rsid w:val="009C01C3"/>
    <w:rsid w:val="009C12BD"/>
    <w:rsid w:val="009C1549"/>
    <w:rsid w:val="009C1F11"/>
    <w:rsid w:val="009C2270"/>
    <w:rsid w:val="009C2553"/>
    <w:rsid w:val="009C327E"/>
    <w:rsid w:val="009C3294"/>
    <w:rsid w:val="009C38C2"/>
    <w:rsid w:val="009C455B"/>
    <w:rsid w:val="009C48ED"/>
    <w:rsid w:val="009C637F"/>
    <w:rsid w:val="009C63BB"/>
    <w:rsid w:val="009C6C5C"/>
    <w:rsid w:val="009C73A1"/>
    <w:rsid w:val="009C7D05"/>
    <w:rsid w:val="009D1122"/>
    <w:rsid w:val="009D1195"/>
    <w:rsid w:val="009D1CF5"/>
    <w:rsid w:val="009D2B76"/>
    <w:rsid w:val="009D2EA3"/>
    <w:rsid w:val="009D3BEE"/>
    <w:rsid w:val="009D3FDC"/>
    <w:rsid w:val="009D4257"/>
    <w:rsid w:val="009D43D2"/>
    <w:rsid w:val="009D611E"/>
    <w:rsid w:val="009D74F1"/>
    <w:rsid w:val="009D75C7"/>
    <w:rsid w:val="009D7D1B"/>
    <w:rsid w:val="009D7EA8"/>
    <w:rsid w:val="009E1488"/>
    <w:rsid w:val="009E262F"/>
    <w:rsid w:val="009E362F"/>
    <w:rsid w:val="009E37E6"/>
    <w:rsid w:val="009E4FE6"/>
    <w:rsid w:val="009E62F1"/>
    <w:rsid w:val="009E6352"/>
    <w:rsid w:val="009E6B48"/>
    <w:rsid w:val="009E6F37"/>
    <w:rsid w:val="009E7988"/>
    <w:rsid w:val="009F002D"/>
    <w:rsid w:val="009F12DB"/>
    <w:rsid w:val="009F1735"/>
    <w:rsid w:val="009F1D8A"/>
    <w:rsid w:val="009F2E6D"/>
    <w:rsid w:val="009F33BC"/>
    <w:rsid w:val="009F37A7"/>
    <w:rsid w:val="009F4E28"/>
    <w:rsid w:val="009F6305"/>
    <w:rsid w:val="009F684E"/>
    <w:rsid w:val="00A00909"/>
    <w:rsid w:val="00A0161F"/>
    <w:rsid w:val="00A02144"/>
    <w:rsid w:val="00A0215F"/>
    <w:rsid w:val="00A0420F"/>
    <w:rsid w:val="00A04EC4"/>
    <w:rsid w:val="00A0507C"/>
    <w:rsid w:val="00A052AF"/>
    <w:rsid w:val="00A05B0F"/>
    <w:rsid w:val="00A05B1F"/>
    <w:rsid w:val="00A063E8"/>
    <w:rsid w:val="00A06B99"/>
    <w:rsid w:val="00A070DD"/>
    <w:rsid w:val="00A0772D"/>
    <w:rsid w:val="00A100B3"/>
    <w:rsid w:val="00A11B38"/>
    <w:rsid w:val="00A11CC1"/>
    <w:rsid w:val="00A12BF2"/>
    <w:rsid w:val="00A12DD3"/>
    <w:rsid w:val="00A141AC"/>
    <w:rsid w:val="00A147B0"/>
    <w:rsid w:val="00A1505A"/>
    <w:rsid w:val="00A1777E"/>
    <w:rsid w:val="00A20DA2"/>
    <w:rsid w:val="00A21D07"/>
    <w:rsid w:val="00A21F0B"/>
    <w:rsid w:val="00A22CEB"/>
    <w:rsid w:val="00A2383F"/>
    <w:rsid w:val="00A23D00"/>
    <w:rsid w:val="00A243CD"/>
    <w:rsid w:val="00A24DDD"/>
    <w:rsid w:val="00A273E9"/>
    <w:rsid w:val="00A30782"/>
    <w:rsid w:val="00A30B5B"/>
    <w:rsid w:val="00A31136"/>
    <w:rsid w:val="00A311B3"/>
    <w:rsid w:val="00A3177B"/>
    <w:rsid w:val="00A31BB7"/>
    <w:rsid w:val="00A3268C"/>
    <w:rsid w:val="00A33F09"/>
    <w:rsid w:val="00A34761"/>
    <w:rsid w:val="00A35A67"/>
    <w:rsid w:val="00A36189"/>
    <w:rsid w:val="00A376B6"/>
    <w:rsid w:val="00A37E0D"/>
    <w:rsid w:val="00A37E12"/>
    <w:rsid w:val="00A403C0"/>
    <w:rsid w:val="00A40D4A"/>
    <w:rsid w:val="00A410AC"/>
    <w:rsid w:val="00A460D9"/>
    <w:rsid w:val="00A46955"/>
    <w:rsid w:val="00A46963"/>
    <w:rsid w:val="00A471F0"/>
    <w:rsid w:val="00A477F4"/>
    <w:rsid w:val="00A47819"/>
    <w:rsid w:val="00A47F37"/>
    <w:rsid w:val="00A50B23"/>
    <w:rsid w:val="00A50CCA"/>
    <w:rsid w:val="00A513CC"/>
    <w:rsid w:val="00A51CC8"/>
    <w:rsid w:val="00A52637"/>
    <w:rsid w:val="00A537C7"/>
    <w:rsid w:val="00A545AC"/>
    <w:rsid w:val="00A54DFA"/>
    <w:rsid w:val="00A550DE"/>
    <w:rsid w:val="00A55B5F"/>
    <w:rsid w:val="00A55CA8"/>
    <w:rsid w:val="00A57CAB"/>
    <w:rsid w:val="00A57DAD"/>
    <w:rsid w:val="00A57FCF"/>
    <w:rsid w:val="00A57FFE"/>
    <w:rsid w:val="00A600C4"/>
    <w:rsid w:val="00A60119"/>
    <w:rsid w:val="00A61238"/>
    <w:rsid w:val="00A622DC"/>
    <w:rsid w:val="00A6258B"/>
    <w:rsid w:val="00A64A33"/>
    <w:rsid w:val="00A66655"/>
    <w:rsid w:val="00A66B73"/>
    <w:rsid w:val="00A67FF8"/>
    <w:rsid w:val="00A71364"/>
    <w:rsid w:val="00A73D1E"/>
    <w:rsid w:val="00A74BA2"/>
    <w:rsid w:val="00A75653"/>
    <w:rsid w:val="00A75916"/>
    <w:rsid w:val="00A75925"/>
    <w:rsid w:val="00A76828"/>
    <w:rsid w:val="00A802CF"/>
    <w:rsid w:val="00A80D9B"/>
    <w:rsid w:val="00A810F1"/>
    <w:rsid w:val="00A8293B"/>
    <w:rsid w:val="00A840BC"/>
    <w:rsid w:val="00A84525"/>
    <w:rsid w:val="00A84613"/>
    <w:rsid w:val="00A85578"/>
    <w:rsid w:val="00A87036"/>
    <w:rsid w:val="00A87186"/>
    <w:rsid w:val="00A900A6"/>
    <w:rsid w:val="00A91E61"/>
    <w:rsid w:val="00A930C3"/>
    <w:rsid w:val="00A94138"/>
    <w:rsid w:val="00A9617D"/>
    <w:rsid w:val="00A97383"/>
    <w:rsid w:val="00A978AB"/>
    <w:rsid w:val="00A97F09"/>
    <w:rsid w:val="00AA2566"/>
    <w:rsid w:val="00AA2E90"/>
    <w:rsid w:val="00AA3702"/>
    <w:rsid w:val="00AA6C11"/>
    <w:rsid w:val="00AA75A5"/>
    <w:rsid w:val="00AB0EF0"/>
    <w:rsid w:val="00AB3772"/>
    <w:rsid w:val="00AB4359"/>
    <w:rsid w:val="00AC1CBC"/>
    <w:rsid w:val="00AC213E"/>
    <w:rsid w:val="00AC28BA"/>
    <w:rsid w:val="00AC37E5"/>
    <w:rsid w:val="00AC4272"/>
    <w:rsid w:val="00AC48F0"/>
    <w:rsid w:val="00AC5D19"/>
    <w:rsid w:val="00AC6385"/>
    <w:rsid w:val="00AD1AA8"/>
    <w:rsid w:val="00AD2B55"/>
    <w:rsid w:val="00AD35A1"/>
    <w:rsid w:val="00AD4C2F"/>
    <w:rsid w:val="00AE0BFA"/>
    <w:rsid w:val="00AE0DF6"/>
    <w:rsid w:val="00AE1E6F"/>
    <w:rsid w:val="00AE21C7"/>
    <w:rsid w:val="00AE2262"/>
    <w:rsid w:val="00AE239B"/>
    <w:rsid w:val="00AE3209"/>
    <w:rsid w:val="00AE438D"/>
    <w:rsid w:val="00AE55AD"/>
    <w:rsid w:val="00AE6469"/>
    <w:rsid w:val="00AE7C14"/>
    <w:rsid w:val="00AE7CFE"/>
    <w:rsid w:val="00AF23F3"/>
    <w:rsid w:val="00AF298A"/>
    <w:rsid w:val="00AF2A1B"/>
    <w:rsid w:val="00AF3BB6"/>
    <w:rsid w:val="00AF413C"/>
    <w:rsid w:val="00AF4445"/>
    <w:rsid w:val="00AF47A7"/>
    <w:rsid w:val="00AF512C"/>
    <w:rsid w:val="00AF5855"/>
    <w:rsid w:val="00AF65F4"/>
    <w:rsid w:val="00AF6696"/>
    <w:rsid w:val="00AF7766"/>
    <w:rsid w:val="00AF7917"/>
    <w:rsid w:val="00AF7BA9"/>
    <w:rsid w:val="00B003CB"/>
    <w:rsid w:val="00B014C9"/>
    <w:rsid w:val="00B0183B"/>
    <w:rsid w:val="00B02EE2"/>
    <w:rsid w:val="00B035DE"/>
    <w:rsid w:val="00B0388E"/>
    <w:rsid w:val="00B03C82"/>
    <w:rsid w:val="00B04199"/>
    <w:rsid w:val="00B0436D"/>
    <w:rsid w:val="00B04CDF"/>
    <w:rsid w:val="00B06A1C"/>
    <w:rsid w:val="00B06C59"/>
    <w:rsid w:val="00B06C75"/>
    <w:rsid w:val="00B07ED2"/>
    <w:rsid w:val="00B1086D"/>
    <w:rsid w:val="00B11651"/>
    <w:rsid w:val="00B127A3"/>
    <w:rsid w:val="00B1447A"/>
    <w:rsid w:val="00B14C18"/>
    <w:rsid w:val="00B14E98"/>
    <w:rsid w:val="00B172E1"/>
    <w:rsid w:val="00B17926"/>
    <w:rsid w:val="00B17D5F"/>
    <w:rsid w:val="00B21510"/>
    <w:rsid w:val="00B21B72"/>
    <w:rsid w:val="00B22D51"/>
    <w:rsid w:val="00B22EF6"/>
    <w:rsid w:val="00B233A1"/>
    <w:rsid w:val="00B237C5"/>
    <w:rsid w:val="00B23E66"/>
    <w:rsid w:val="00B2553E"/>
    <w:rsid w:val="00B26B26"/>
    <w:rsid w:val="00B26D42"/>
    <w:rsid w:val="00B27A52"/>
    <w:rsid w:val="00B27DAD"/>
    <w:rsid w:val="00B27E56"/>
    <w:rsid w:val="00B30731"/>
    <w:rsid w:val="00B31BF2"/>
    <w:rsid w:val="00B321DC"/>
    <w:rsid w:val="00B33002"/>
    <w:rsid w:val="00B3458A"/>
    <w:rsid w:val="00B346FE"/>
    <w:rsid w:val="00B348DC"/>
    <w:rsid w:val="00B349C0"/>
    <w:rsid w:val="00B36E57"/>
    <w:rsid w:val="00B37B25"/>
    <w:rsid w:val="00B41C5B"/>
    <w:rsid w:val="00B42539"/>
    <w:rsid w:val="00B4285D"/>
    <w:rsid w:val="00B45650"/>
    <w:rsid w:val="00B46E1B"/>
    <w:rsid w:val="00B47A97"/>
    <w:rsid w:val="00B50A1B"/>
    <w:rsid w:val="00B53749"/>
    <w:rsid w:val="00B54B7A"/>
    <w:rsid w:val="00B56238"/>
    <w:rsid w:val="00B56793"/>
    <w:rsid w:val="00B57DFA"/>
    <w:rsid w:val="00B60BBF"/>
    <w:rsid w:val="00B61251"/>
    <w:rsid w:val="00B62525"/>
    <w:rsid w:val="00B63ABF"/>
    <w:rsid w:val="00B63F1B"/>
    <w:rsid w:val="00B642C7"/>
    <w:rsid w:val="00B66C6F"/>
    <w:rsid w:val="00B66CB5"/>
    <w:rsid w:val="00B66D26"/>
    <w:rsid w:val="00B670E7"/>
    <w:rsid w:val="00B67C68"/>
    <w:rsid w:val="00B71052"/>
    <w:rsid w:val="00B733FC"/>
    <w:rsid w:val="00B7371F"/>
    <w:rsid w:val="00B76001"/>
    <w:rsid w:val="00B7650E"/>
    <w:rsid w:val="00B7679D"/>
    <w:rsid w:val="00B77906"/>
    <w:rsid w:val="00B8027D"/>
    <w:rsid w:val="00B826BA"/>
    <w:rsid w:val="00B83166"/>
    <w:rsid w:val="00B8322F"/>
    <w:rsid w:val="00B833C6"/>
    <w:rsid w:val="00B8530F"/>
    <w:rsid w:val="00B8562D"/>
    <w:rsid w:val="00B8576E"/>
    <w:rsid w:val="00B87772"/>
    <w:rsid w:val="00B87870"/>
    <w:rsid w:val="00B87D78"/>
    <w:rsid w:val="00B87F77"/>
    <w:rsid w:val="00B87FDD"/>
    <w:rsid w:val="00B90E57"/>
    <w:rsid w:val="00B91616"/>
    <w:rsid w:val="00B91642"/>
    <w:rsid w:val="00B916AD"/>
    <w:rsid w:val="00B92730"/>
    <w:rsid w:val="00B92EF9"/>
    <w:rsid w:val="00B943F6"/>
    <w:rsid w:val="00B9451A"/>
    <w:rsid w:val="00B96191"/>
    <w:rsid w:val="00B964F7"/>
    <w:rsid w:val="00B9699A"/>
    <w:rsid w:val="00B96D9F"/>
    <w:rsid w:val="00B97440"/>
    <w:rsid w:val="00BA02D7"/>
    <w:rsid w:val="00BA04AE"/>
    <w:rsid w:val="00BA1274"/>
    <w:rsid w:val="00BA16FA"/>
    <w:rsid w:val="00BA1ECB"/>
    <w:rsid w:val="00BA3989"/>
    <w:rsid w:val="00BA3D5A"/>
    <w:rsid w:val="00BA5622"/>
    <w:rsid w:val="00BA7E60"/>
    <w:rsid w:val="00BB042C"/>
    <w:rsid w:val="00BB0F40"/>
    <w:rsid w:val="00BB10FC"/>
    <w:rsid w:val="00BB356D"/>
    <w:rsid w:val="00BB3C44"/>
    <w:rsid w:val="00BB4612"/>
    <w:rsid w:val="00BB525C"/>
    <w:rsid w:val="00BB5781"/>
    <w:rsid w:val="00BB5EA5"/>
    <w:rsid w:val="00BB671B"/>
    <w:rsid w:val="00BC02A7"/>
    <w:rsid w:val="00BC0AB0"/>
    <w:rsid w:val="00BC1100"/>
    <w:rsid w:val="00BC1308"/>
    <w:rsid w:val="00BC1611"/>
    <w:rsid w:val="00BC25BD"/>
    <w:rsid w:val="00BC2E86"/>
    <w:rsid w:val="00BC2F08"/>
    <w:rsid w:val="00BC38A0"/>
    <w:rsid w:val="00BC3B73"/>
    <w:rsid w:val="00BC43CF"/>
    <w:rsid w:val="00BC4A16"/>
    <w:rsid w:val="00BC57BB"/>
    <w:rsid w:val="00BC5C29"/>
    <w:rsid w:val="00BC5CE0"/>
    <w:rsid w:val="00BC723C"/>
    <w:rsid w:val="00BC728F"/>
    <w:rsid w:val="00BC77CA"/>
    <w:rsid w:val="00BD00E9"/>
    <w:rsid w:val="00BD1623"/>
    <w:rsid w:val="00BD39A9"/>
    <w:rsid w:val="00BD6EDC"/>
    <w:rsid w:val="00BD6F0E"/>
    <w:rsid w:val="00BD7755"/>
    <w:rsid w:val="00BE08E5"/>
    <w:rsid w:val="00BE0C1E"/>
    <w:rsid w:val="00BE0E0B"/>
    <w:rsid w:val="00BE1592"/>
    <w:rsid w:val="00BE2159"/>
    <w:rsid w:val="00BE38D9"/>
    <w:rsid w:val="00BE434E"/>
    <w:rsid w:val="00BE44ED"/>
    <w:rsid w:val="00BE4D43"/>
    <w:rsid w:val="00BE5303"/>
    <w:rsid w:val="00BE6FBF"/>
    <w:rsid w:val="00BE7041"/>
    <w:rsid w:val="00BE71FF"/>
    <w:rsid w:val="00BE75C7"/>
    <w:rsid w:val="00BE7C89"/>
    <w:rsid w:val="00BE7CDF"/>
    <w:rsid w:val="00BE7F01"/>
    <w:rsid w:val="00BF014B"/>
    <w:rsid w:val="00BF07A6"/>
    <w:rsid w:val="00BF0D1A"/>
    <w:rsid w:val="00BF24C4"/>
    <w:rsid w:val="00BF2879"/>
    <w:rsid w:val="00BF2E25"/>
    <w:rsid w:val="00BF3664"/>
    <w:rsid w:val="00BF457B"/>
    <w:rsid w:val="00BF4689"/>
    <w:rsid w:val="00BF4C59"/>
    <w:rsid w:val="00BF600B"/>
    <w:rsid w:val="00BF6341"/>
    <w:rsid w:val="00C000BE"/>
    <w:rsid w:val="00C007F3"/>
    <w:rsid w:val="00C00A58"/>
    <w:rsid w:val="00C0124A"/>
    <w:rsid w:val="00C016CA"/>
    <w:rsid w:val="00C0294E"/>
    <w:rsid w:val="00C04984"/>
    <w:rsid w:val="00C04D9D"/>
    <w:rsid w:val="00C0537D"/>
    <w:rsid w:val="00C06045"/>
    <w:rsid w:val="00C062DA"/>
    <w:rsid w:val="00C06ACC"/>
    <w:rsid w:val="00C06B36"/>
    <w:rsid w:val="00C07132"/>
    <w:rsid w:val="00C1117E"/>
    <w:rsid w:val="00C11853"/>
    <w:rsid w:val="00C12350"/>
    <w:rsid w:val="00C12734"/>
    <w:rsid w:val="00C12B41"/>
    <w:rsid w:val="00C1340F"/>
    <w:rsid w:val="00C1511F"/>
    <w:rsid w:val="00C1552A"/>
    <w:rsid w:val="00C17109"/>
    <w:rsid w:val="00C17D55"/>
    <w:rsid w:val="00C20B4C"/>
    <w:rsid w:val="00C20C88"/>
    <w:rsid w:val="00C20D02"/>
    <w:rsid w:val="00C22718"/>
    <w:rsid w:val="00C236D1"/>
    <w:rsid w:val="00C23C5B"/>
    <w:rsid w:val="00C25571"/>
    <w:rsid w:val="00C25C85"/>
    <w:rsid w:val="00C262EE"/>
    <w:rsid w:val="00C2636A"/>
    <w:rsid w:val="00C26451"/>
    <w:rsid w:val="00C265ED"/>
    <w:rsid w:val="00C26C27"/>
    <w:rsid w:val="00C3069B"/>
    <w:rsid w:val="00C307DF"/>
    <w:rsid w:val="00C3116F"/>
    <w:rsid w:val="00C31A60"/>
    <w:rsid w:val="00C31D00"/>
    <w:rsid w:val="00C32C27"/>
    <w:rsid w:val="00C357DC"/>
    <w:rsid w:val="00C36DEC"/>
    <w:rsid w:val="00C37065"/>
    <w:rsid w:val="00C3727B"/>
    <w:rsid w:val="00C40AC5"/>
    <w:rsid w:val="00C42416"/>
    <w:rsid w:val="00C42B67"/>
    <w:rsid w:val="00C43012"/>
    <w:rsid w:val="00C44791"/>
    <w:rsid w:val="00C45572"/>
    <w:rsid w:val="00C5070C"/>
    <w:rsid w:val="00C5073E"/>
    <w:rsid w:val="00C50882"/>
    <w:rsid w:val="00C50A9C"/>
    <w:rsid w:val="00C50B03"/>
    <w:rsid w:val="00C50CB7"/>
    <w:rsid w:val="00C50E1D"/>
    <w:rsid w:val="00C51459"/>
    <w:rsid w:val="00C51A51"/>
    <w:rsid w:val="00C51C05"/>
    <w:rsid w:val="00C528C1"/>
    <w:rsid w:val="00C52B85"/>
    <w:rsid w:val="00C52E54"/>
    <w:rsid w:val="00C5319B"/>
    <w:rsid w:val="00C53473"/>
    <w:rsid w:val="00C542AA"/>
    <w:rsid w:val="00C546F0"/>
    <w:rsid w:val="00C554BF"/>
    <w:rsid w:val="00C5621C"/>
    <w:rsid w:val="00C56770"/>
    <w:rsid w:val="00C57430"/>
    <w:rsid w:val="00C60361"/>
    <w:rsid w:val="00C61801"/>
    <w:rsid w:val="00C62412"/>
    <w:rsid w:val="00C638BE"/>
    <w:rsid w:val="00C63A5F"/>
    <w:rsid w:val="00C63EB5"/>
    <w:rsid w:val="00C64B4E"/>
    <w:rsid w:val="00C66251"/>
    <w:rsid w:val="00C67A0D"/>
    <w:rsid w:val="00C70008"/>
    <w:rsid w:val="00C70721"/>
    <w:rsid w:val="00C70745"/>
    <w:rsid w:val="00C70B3B"/>
    <w:rsid w:val="00C7191F"/>
    <w:rsid w:val="00C71A2A"/>
    <w:rsid w:val="00C721CA"/>
    <w:rsid w:val="00C73677"/>
    <w:rsid w:val="00C7495C"/>
    <w:rsid w:val="00C75676"/>
    <w:rsid w:val="00C75A2F"/>
    <w:rsid w:val="00C77844"/>
    <w:rsid w:val="00C8052F"/>
    <w:rsid w:val="00C80837"/>
    <w:rsid w:val="00C80861"/>
    <w:rsid w:val="00C80A7C"/>
    <w:rsid w:val="00C80ABD"/>
    <w:rsid w:val="00C811F8"/>
    <w:rsid w:val="00C8377E"/>
    <w:rsid w:val="00C83A3E"/>
    <w:rsid w:val="00C840DA"/>
    <w:rsid w:val="00C8553B"/>
    <w:rsid w:val="00C8565E"/>
    <w:rsid w:val="00C8643E"/>
    <w:rsid w:val="00C86692"/>
    <w:rsid w:val="00C86F29"/>
    <w:rsid w:val="00C90396"/>
    <w:rsid w:val="00C911A4"/>
    <w:rsid w:val="00C92D2C"/>
    <w:rsid w:val="00C9343A"/>
    <w:rsid w:val="00C93FCD"/>
    <w:rsid w:val="00C94160"/>
    <w:rsid w:val="00C97342"/>
    <w:rsid w:val="00CA015A"/>
    <w:rsid w:val="00CA0385"/>
    <w:rsid w:val="00CA32DC"/>
    <w:rsid w:val="00CA40B3"/>
    <w:rsid w:val="00CA4E44"/>
    <w:rsid w:val="00CA5B86"/>
    <w:rsid w:val="00CA5CA7"/>
    <w:rsid w:val="00CA62B7"/>
    <w:rsid w:val="00CB0F22"/>
    <w:rsid w:val="00CB18E1"/>
    <w:rsid w:val="00CB6855"/>
    <w:rsid w:val="00CB6C4F"/>
    <w:rsid w:val="00CB7232"/>
    <w:rsid w:val="00CC1499"/>
    <w:rsid w:val="00CC2A42"/>
    <w:rsid w:val="00CC3077"/>
    <w:rsid w:val="00CC4AC2"/>
    <w:rsid w:val="00CC5C2C"/>
    <w:rsid w:val="00CC6205"/>
    <w:rsid w:val="00CC72E5"/>
    <w:rsid w:val="00CC7A5F"/>
    <w:rsid w:val="00CD0ED9"/>
    <w:rsid w:val="00CD1911"/>
    <w:rsid w:val="00CD2D5C"/>
    <w:rsid w:val="00CD36E3"/>
    <w:rsid w:val="00CD4B5F"/>
    <w:rsid w:val="00CD6A78"/>
    <w:rsid w:val="00CD7C11"/>
    <w:rsid w:val="00CE04BC"/>
    <w:rsid w:val="00CE0C49"/>
    <w:rsid w:val="00CE1342"/>
    <w:rsid w:val="00CE1663"/>
    <w:rsid w:val="00CE1669"/>
    <w:rsid w:val="00CE26C7"/>
    <w:rsid w:val="00CE5AEB"/>
    <w:rsid w:val="00CE6329"/>
    <w:rsid w:val="00CE70B3"/>
    <w:rsid w:val="00CE73A6"/>
    <w:rsid w:val="00CE7A94"/>
    <w:rsid w:val="00CE7B21"/>
    <w:rsid w:val="00CF1308"/>
    <w:rsid w:val="00CF1F43"/>
    <w:rsid w:val="00CF25A6"/>
    <w:rsid w:val="00CF3E80"/>
    <w:rsid w:val="00CF3FF7"/>
    <w:rsid w:val="00CF4450"/>
    <w:rsid w:val="00CF5383"/>
    <w:rsid w:val="00CF56DF"/>
    <w:rsid w:val="00CF5E87"/>
    <w:rsid w:val="00CF63BF"/>
    <w:rsid w:val="00D002B1"/>
    <w:rsid w:val="00D010CC"/>
    <w:rsid w:val="00D045DD"/>
    <w:rsid w:val="00D05450"/>
    <w:rsid w:val="00D06575"/>
    <w:rsid w:val="00D0737E"/>
    <w:rsid w:val="00D11F0D"/>
    <w:rsid w:val="00D12483"/>
    <w:rsid w:val="00D13BC9"/>
    <w:rsid w:val="00D1434F"/>
    <w:rsid w:val="00D146A0"/>
    <w:rsid w:val="00D153EC"/>
    <w:rsid w:val="00D172B9"/>
    <w:rsid w:val="00D1772C"/>
    <w:rsid w:val="00D1773B"/>
    <w:rsid w:val="00D209B2"/>
    <w:rsid w:val="00D20F81"/>
    <w:rsid w:val="00D21444"/>
    <w:rsid w:val="00D23F1F"/>
    <w:rsid w:val="00D24D34"/>
    <w:rsid w:val="00D25D04"/>
    <w:rsid w:val="00D260E9"/>
    <w:rsid w:val="00D26BBC"/>
    <w:rsid w:val="00D277E6"/>
    <w:rsid w:val="00D27DEC"/>
    <w:rsid w:val="00D30256"/>
    <w:rsid w:val="00D30C9A"/>
    <w:rsid w:val="00D3154B"/>
    <w:rsid w:val="00D31B71"/>
    <w:rsid w:val="00D31F05"/>
    <w:rsid w:val="00D322A5"/>
    <w:rsid w:val="00D34A8D"/>
    <w:rsid w:val="00D34D4F"/>
    <w:rsid w:val="00D35AE5"/>
    <w:rsid w:val="00D35E3B"/>
    <w:rsid w:val="00D3664A"/>
    <w:rsid w:val="00D378FE"/>
    <w:rsid w:val="00D40C6F"/>
    <w:rsid w:val="00D41093"/>
    <w:rsid w:val="00D41CC2"/>
    <w:rsid w:val="00D41D85"/>
    <w:rsid w:val="00D421B8"/>
    <w:rsid w:val="00D4444E"/>
    <w:rsid w:val="00D445A1"/>
    <w:rsid w:val="00D44E92"/>
    <w:rsid w:val="00D45032"/>
    <w:rsid w:val="00D453D9"/>
    <w:rsid w:val="00D46CA2"/>
    <w:rsid w:val="00D501D0"/>
    <w:rsid w:val="00D51A03"/>
    <w:rsid w:val="00D52AC5"/>
    <w:rsid w:val="00D52C5A"/>
    <w:rsid w:val="00D540C1"/>
    <w:rsid w:val="00D54A00"/>
    <w:rsid w:val="00D556C4"/>
    <w:rsid w:val="00D574FF"/>
    <w:rsid w:val="00D5754D"/>
    <w:rsid w:val="00D575E9"/>
    <w:rsid w:val="00D6274B"/>
    <w:rsid w:val="00D62790"/>
    <w:rsid w:val="00D65EA9"/>
    <w:rsid w:val="00D66C63"/>
    <w:rsid w:val="00D7040D"/>
    <w:rsid w:val="00D721D9"/>
    <w:rsid w:val="00D7225A"/>
    <w:rsid w:val="00D722C0"/>
    <w:rsid w:val="00D7575D"/>
    <w:rsid w:val="00D75FFA"/>
    <w:rsid w:val="00D767FD"/>
    <w:rsid w:val="00D7727B"/>
    <w:rsid w:val="00D81349"/>
    <w:rsid w:val="00D82C82"/>
    <w:rsid w:val="00D839FF"/>
    <w:rsid w:val="00D83AE4"/>
    <w:rsid w:val="00D83F70"/>
    <w:rsid w:val="00D843A3"/>
    <w:rsid w:val="00D8538E"/>
    <w:rsid w:val="00D8596D"/>
    <w:rsid w:val="00D85998"/>
    <w:rsid w:val="00D8749B"/>
    <w:rsid w:val="00D8777D"/>
    <w:rsid w:val="00D901B3"/>
    <w:rsid w:val="00D90A66"/>
    <w:rsid w:val="00D92857"/>
    <w:rsid w:val="00D93BC6"/>
    <w:rsid w:val="00D93C80"/>
    <w:rsid w:val="00D945FC"/>
    <w:rsid w:val="00D95823"/>
    <w:rsid w:val="00D95EC9"/>
    <w:rsid w:val="00D96C25"/>
    <w:rsid w:val="00DA01D7"/>
    <w:rsid w:val="00DA0223"/>
    <w:rsid w:val="00DA0D66"/>
    <w:rsid w:val="00DA0FD2"/>
    <w:rsid w:val="00DA28BC"/>
    <w:rsid w:val="00DA2F89"/>
    <w:rsid w:val="00DA3EBD"/>
    <w:rsid w:val="00DA4DAA"/>
    <w:rsid w:val="00DA5C34"/>
    <w:rsid w:val="00DA5EAA"/>
    <w:rsid w:val="00DA710C"/>
    <w:rsid w:val="00DA749B"/>
    <w:rsid w:val="00DA7907"/>
    <w:rsid w:val="00DB067A"/>
    <w:rsid w:val="00DB31E9"/>
    <w:rsid w:val="00DB5F83"/>
    <w:rsid w:val="00DB6C43"/>
    <w:rsid w:val="00DB74E0"/>
    <w:rsid w:val="00DC0D41"/>
    <w:rsid w:val="00DC154E"/>
    <w:rsid w:val="00DC2A1E"/>
    <w:rsid w:val="00DC2BD3"/>
    <w:rsid w:val="00DC31F4"/>
    <w:rsid w:val="00DC3533"/>
    <w:rsid w:val="00DC46D7"/>
    <w:rsid w:val="00DC48A7"/>
    <w:rsid w:val="00DC4AE2"/>
    <w:rsid w:val="00DC51D8"/>
    <w:rsid w:val="00DC542E"/>
    <w:rsid w:val="00DC5764"/>
    <w:rsid w:val="00DC5B8C"/>
    <w:rsid w:val="00DC6189"/>
    <w:rsid w:val="00DC6759"/>
    <w:rsid w:val="00DC68EF"/>
    <w:rsid w:val="00DC6F6F"/>
    <w:rsid w:val="00DC71C1"/>
    <w:rsid w:val="00DC7515"/>
    <w:rsid w:val="00DD00F5"/>
    <w:rsid w:val="00DD08AF"/>
    <w:rsid w:val="00DD1F6D"/>
    <w:rsid w:val="00DD21B7"/>
    <w:rsid w:val="00DD247A"/>
    <w:rsid w:val="00DD2775"/>
    <w:rsid w:val="00DD44F2"/>
    <w:rsid w:val="00DD4CC4"/>
    <w:rsid w:val="00DD4FC1"/>
    <w:rsid w:val="00DD5955"/>
    <w:rsid w:val="00DD5E31"/>
    <w:rsid w:val="00DD69D3"/>
    <w:rsid w:val="00DE011D"/>
    <w:rsid w:val="00DE0ADF"/>
    <w:rsid w:val="00DE0BE7"/>
    <w:rsid w:val="00DE186F"/>
    <w:rsid w:val="00DE2259"/>
    <w:rsid w:val="00DE315B"/>
    <w:rsid w:val="00DE3FC8"/>
    <w:rsid w:val="00DE42F9"/>
    <w:rsid w:val="00DE44E7"/>
    <w:rsid w:val="00DE5484"/>
    <w:rsid w:val="00DE7361"/>
    <w:rsid w:val="00DE7830"/>
    <w:rsid w:val="00DE7A51"/>
    <w:rsid w:val="00DF0206"/>
    <w:rsid w:val="00DF0885"/>
    <w:rsid w:val="00DF0BAB"/>
    <w:rsid w:val="00DF1337"/>
    <w:rsid w:val="00DF19AE"/>
    <w:rsid w:val="00DF3F78"/>
    <w:rsid w:val="00DF3F9C"/>
    <w:rsid w:val="00DF59DC"/>
    <w:rsid w:val="00DF6ADE"/>
    <w:rsid w:val="00DF7C5F"/>
    <w:rsid w:val="00E00781"/>
    <w:rsid w:val="00E00D32"/>
    <w:rsid w:val="00E00D68"/>
    <w:rsid w:val="00E012DA"/>
    <w:rsid w:val="00E013DC"/>
    <w:rsid w:val="00E0226E"/>
    <w:rsid w:val="00E03BF3"/>
    <w:rsid w:val="00E0467C"/>
    <w:rsid w:val="00E04D49"/>
    <w:rsid w:val="00E04F74"/>
    <w:rsid w:val="00E0506D"/>
    <w:rsid w:val="00E050A5"/>
    <w:rsid w:val="00E066B6"/>
    <w:rsid w:val="00E072EF"/>
    <w:rsid w:val="00E10228"/>
    <w:rsid w:val="00E10802"/>
    <w:rsid w:val="00E108A9"/>
    <w:rsid w:val="00E11BF3"/>
    <w:rsid w:val="00E11EFF"/>
    <w:rsid w:val="00E12B9C"/>
    <w:rsid w:val="00E141C1"/>
    <w:rsid w:val="00E143B1"/>
    <w:rsid w:val="00E17447"/>
    <w:rsid w:val="00E17D78"/>
    <w:rsid w:val="00E20944"/>
    <w:rsid w:val="00E223E7"/>
    <w:rsid w:val="00E224FA"/>
    <w:rsid w:val="00E23146"/>
    <w:rsid w:val="00E238A2"/>
    <w:rsid w:val="00E24CE0"/>
    <w:rsid w:val="00E25936"/>
    <w:rsid w:val="00E25BF0"/>
    <w:rsid w:val="00E25D98"/>
    <w:rsid w:val="00E3120B"/>
    <w:rsid w:val="00E31A13"/>
    <w:rsid w:val="00E32055"/>
    <w:rsid w:val="00E35D69"/>
    <w:rsid w:val="00E36351"/>
    <w:rsid w:val="00E3650E"/>
    <w:rsid w:val="00E37146"/>
    <w:rsid w:val="00E41B81"/>
    <w:rsid w:val="00E44173"/>
    <w:rsid w:val="00E46465"/>
    <w:rsid w:val="00E470A7"/>
    <w:rsid w:val="00E47D60"/>
    <w:rsid w:val="00E5068E"/>
    <w:rsid w:val="00E50D0E"/>
    <w:rsid w:val="00E50D47"/>
    <w:rsid w:val="00E51048"/>
    <w:rsid w:val="00E53A0E"/>
    <w:rsid w:val="00E53E40"/>
    <w:rsid w:val="00E54339"/>
    <w:rsid w:val="00E55A94"/>
    <w:rsid w:val="00E561DB"/>
    <w:rsid w:val="00E56378"/>
    <w:rsid w:val="00E56C5F"/>
    <w:rsid w:val="00E578AA"/>
    <w:rsid w:val="00E57E96"/>
    <w:rsid w:val="00E6226F"/>
    <w:rsid w:val="00E62AF4"/>
    <w:rsid w:val="00E63059"/>
    <w:rsid w:val="00E63147"/>
    <w:rsid w:val="00E64905"/>
    <w:rsid w:val="00E65B3A"/>
    <w:rsid w:val="00E65EB9"/>
    <w:rsid w:val="00E70B6F"/>
    <w:rsid w:val="00E71105"/>
    <w:rsid w:val="00E7115E"/>
    <w:rsid w:val="00E71E42"/>
    <w:rsid w:val="00E731A1"/>
    <w:rsid w:val="00E73434"/>
    <w:rsid w:val="00E738DB"/>
    <w:rsid w:val="00E75754"/>
    <w:rsid w:val="00E75E93"/>
    <w:rsid w:val="00E8199A"/>
    <w:rsid w:val="00E824D3"/>
    <w:rsid w:val="00E824FD"/>
    <w:rsid w:val="00E82C70"/>
    <w:rsid w:val="00E84712"/>
    <w:rsid w:val="00E85F8A"/>
    <w:rsid w:val="00E862BE"/>
    <w:rsid w:val="00E87E89"/>
    <w:rsid w:val="00E91975"/>
    <w:rsid w:val="00E92961"/>
    <w:rsid w:val="00E93E4B"/>
    <w:rsid w:val="00E94009"/>
    <w:rsid w:val="00E94078"/>
    <w:rsid w:val="00E94ECF"/>
    <w:rsid w:val="00E95708"/>
    <w:rsid w:val="00E95F03"/>
    <w:rsid w:val="00E97B42"/>
    <w:rsid w:val="00EA018F"/>
    <w:rsid w:val="00EA0F32"/>
    <w:rsid w:val="00EA1D25"/>
    <w:rsid w:val="00EA2196"/>
    <w:rsid w:val="00EA27A8"/>
    <w:rsid w:val="00EA2AB8"/>
    <w:rsid w:val="00EA351F"/>
    <w:rsid w:val="00EA3C2C"/>
    <w:rsid w:val="00EA454E"/>
    <w:rsid w:val="00EA5006"/>
    <w:rsid w:val="00EA7944"/>
    <w:rsid w:val="00EB0CFB"/>
    <w:rsid w:val="00EB0D19"/>
    <w:rsid w:val="00EB2311"/>
    <w:rsid w:val="00EB4BC3"/>
    <w:rsid w:val="00EB4D52"/>
    <w:rsid w:val="00EB4F11"/>
    <w:rsid w:val="00EB5BC9"/>
    <w:rsid w:val="00EB759B"/>
    <w:rsid w:val="00EC017F"/>
    <w:rsid w:val="00EC0635"/>
    <w:rsid w:val="00EC1153"/>
    <w:rsid w:val="00EC1819"/>
    <w:rsid w:val="00EC22D7"/>
    <w:rsid w:val="00EC4412"/>
    <w:rsid w:val="00EC4803"/>
    <w:rsid w:val="00EC5045"/>
    <w:rsid w:val="00EC5EF5"/>
    <w:rsid w:val="00EC64AB"/>
    <w:rsid w:val="00EC7772"/>
    <w:rsid w:val="00EC7862"/>
    <w:rsid w:val="00EC7888"/>
    <w:rsid w:val="00ED20EB"/>
    <w:rsid w:val="00ED2190"/>
    <w:rsid w:val="00ED2D34"/>
    <w:rsid w:val="00ED2E7A"/>
    <w:rsid w:val="00ED33DD"/>
    <w:rsid w:val="00ED3989"/>
    <w:rsid w:val="00ED3A37"/>
    <w:rsid w:val="00ED3B7E"/>
    <w:rsid w:val="00ED4655"/>
    <w:rsid w:val="00ED5049"/>
    <w:rsid w:val="00ED5AC9"/>
    <w:rsid w:val="00ED62DD"/>
    <w:rsid w:val="00ED6FC0"/>
    <w:rsid w:val="00ED79A4"/>
    <w:rsid w:val="00EE2E08"/>
    <w:rsid w:val="00EE3210"/>
    <w:rsid w:val="00EE3AB0"/>
    <w:rsid w:val="00EE448F"/>
    <w:rsid w:val="00EE4B2E"/>
    <w:rsid w:val="00EE5148"/>
    <w:rsid w:val="00EE68BC"/>
    <w:rsid w:val="00EE6DD6"/>
    <w:rsid w:val="00EE7D37"/>
    <w:rsid w:val="00EF0048"/>
    <w:rsid w:val="00EF0AC9"/>
    <w:rsid w:val="00EF1240"/>
    <w:rsid w:val="00EF1F4F"/>
    <w:rsid w:val="00EF24A8"/>
    <w:rsid w:val="00EF34A9"/>
    <w:rsid w:val="00EF3AFA"/>
    <w:rsid w:val="00EF4469"/>
    <w:rsid w:val="00F00D2E"/>
    <w:rsid w:val="00F01429"/>
    <w:rsid w:val="00F01862"/>
    <w:rsid w:val="00F02480"/>
    <w:rsid w:val="00F02DF9"/>
    <w:rsid w:val="00F031F8"/>
    <w:rsid w:val="00F03487"/>
    <w:rsid w:val="00F043DD"/>
    <w:rsid w:val="00F05D2D"/>
    <w:rsid w:val="00F077CF"/>
    <w:rsid w:val="00F12534"/>
    <w:rsid w:val="00F13019"/>
    <w:rsid w:val="00F144EF"/>
    <w:rsid w:val="00F14681"/>
    <w:rsid w:val="00F1476D"/>
    <w:rsid w:val="00F1483E"/>
    <w:rsid w:val="00F1492D"/>
    <w:rsid w:val="00F14995"/>
    <w:rsid w:val="00F17154"/>
    <w:rsid w:val="00F20120"/>
    <w:rsid w:val="00F2063D"/>
    <w:rsid w:val="00F223C7"/>
    <w:rsid w:val="00F2278D"/>
    <w:rsid w:val="00F22B06"/>
    <w:rsid w:val="00F23101"/>
    <w:rsid w:val="00F23AA1"/>
    <w:rsid w:val="00F23CC4"/>
    <w:rsid w:val="00F23D6F"/>
    <w:rsid w:val="00F23F33"/>
    <w:rsid w:val="00F25BF3"/>
    <w:rsid w:val="00F2655F"/>
    <w:rsid w:val="00F2696E"/>
    <w:rsid w:val="00F27C2A"/>
    <w:rsid w:val="00F313F7"/>
    <w:rsid w:val="00F317AF"/>
    <w:rsid w:val="00F31FE4"/>
    <w:rsid w:val="00F3202C"/>
    <w:rsid w:val="00F3260B"/>
    <w:rsid w:val="00F32A48"/>
    <w:rsid w:val="00F333DB"/>
    <w:rsid w:val="00F3348A"/>
    <w:rsid w:val="00F34F36"/>
    <w:rsid w:val="00F364AE"/>
    <w:rsid w:val="00F375BF"/>
    <w:rsid w:val="00F37DF0"/>
    <w:rsid w:val="00F40053"/>
    <w:rsid w:val="00F40086"/>
    <w:rsid w:val="00F417D6"/>
    <w:rsid w:val="00F41987"/>
    <w:rsid w:val="00F420D9"/>
    <w:rsid w:val="00F429CA"/>
    <w:rsid w:val="00F4375D"/>
    <w:rsid w:val="00F45210"/>
    <w:rsid w:val="00F4566C"/>
    <w:rsid w:val="00F45F3C"/>
    <w:rsid w:val="00F4686A"/>
    <w:rsid w:val="00F46BBC"/>
    <w:rsid w:val="00F47645"/>
    <w:rsid w:val="00F47924"/>
    <w:rsid w:val="00F5010E"/>
    <w:rsid w:val="00F51FF0"/>
    <w:rsid w:val="00F5215A"/>
    <w:rsid w:val="00F52EBD"/>
    <w:rsid w:val="00F5308A"/>
    <w:rsid w:val="00F53697"/>
    <w:rsid w:val="00F53BD2"/>
    <w:rsid w:val="00F53C52"/>
    <w:rsid w:val="00F53DA2"/>
    <w:rsid w:val="00F56C5F"/>
    <w:rsid w:val="00F56D9D"/>
    <w:rsid w:val="00F578C4"/>
    <w:rsid w:val="00F57BAC"/>
    <w:rsid w:val="00F57DF1"/>
    <w:rsid w:val="00F602ED"/>
    <w:rsid w:val="00F60B00"/>
    <w:rsid w:val="00F6154E"/>
    <w:rsid w:val="00F61806"/>
    <w:rsid w:val="00F62CD0"/>
    <w:rsid w:val="00F6332E"/>
    <w:rsid w:val="00F6392A"/>
    <w:rsid w:val="00F650C2"/>
    <w:rsid w:val="00F651E8"/>
    <w:rsid w:val="00F65293"/>
    <w:rsid w:val="00F66023"/>
    <w:rsid w:val="00F66FB4"/>
    <w:rsid w:val="00F673F7"/>
    <w:rsid w:val="00F67898"/>
    <w:rsid w:val="00F701C8"/>
    <w:rsid w:val="00F7099E"/>
    <w:rsid w:val="00F712B6"/>
    <w:rsid w:val="00F71483"/>
    <w:rsid w:val="00F71636"/>
    <w:rsid w:val="00F722D2"/>
    <w:rsid w:val="00F74078"/>
    <w:rsid w:val="00F7447E"/>
    <w:rsid w:val="00F7520A"/>
    <w:rsid w:val="00F753F5"/>
    <w:rsid w:val="00F7664F"/>
    <w:rsid w:val="00F76A1D"/>
    <w:rsid w:val="00F818F8"/>
    <w:rsid w:val="00F81E6B"/>
    <w:rsid w:val="00F8358E"/>
    <w:rsid w:val="00F8444B"/>
    <w:rsid w:val="00F84DB8"/>
    <w:rsid w:val="00F8539B"/>
    <w:rsid w:val="00F85DA5"/>
    <w:rsid w:val="00F87C11"/>
    <w:rsid w:val="00F900DD"/>
    <w:rsid w:val="00F912FE"/>
    <w:rsid w:val="00F914C3"/>
    <w:rsid w:val="00F93006"/>
    <w:rsid w:val="00F93940"/>
    <w:rsid w:val="00F9565B"/>
    <w:rsid w:val="00F97096"/>
    <w:rsid w:val="00FA025B"/>
    <w:rsid w:val="00FA0B94"/>
    <w:rsid w:val="00FA0EB3"/>
    <w:rsid w:val="00FA0F77"/>
    <w:rsid w:val="00FA1D44"/>
    <w:rsid w:val="00FA21C6"/>
    <w:rsid w:val="00FA229F"/>
    <w:rsid w:val="00FA3688"/>
    <w:rsid w:val="00FA6024"/>
    <w:rsid w:val="00FA69E6"/>
    <w:rsid w:val="00FA7864"/>
    <w:rsid w:val="00FB03C2"/>
    <w:rsid w:val="00FB07B0"/>
    <w:rsid w:val="00FB1BFB"/>
    <w:rsid w:val="00FB1E06"/>
    <w:rsid w:val="00FB2719"/>
    <w:rsid w:val="00FB2E0A"/>
    <w:rsid w:val="00FB38EB"/>
    <w:rsid w:val="00FB4B68"/>
    <w:rsid w:val="00FB4D3A"/>
    <w:rsid w:val="00FB53C2"/>
    <w:rsid w:val="00FB571B"/>
    <w:rsid w:val="00FB727A"/>
    <w:rsid w:val="00FB78C9"/>
    <w:rsid w:val="00FC07F2"/>
    <w:rsid w:val="00FC121A"/>
    <w:rsid w:val="00FC14C0"/>
    <w:rsid w:val="00FC1857"/>
    <w:rsid w:val="00FC18B3"/>
    <w:rsid w:val="00FC227D"/>
    <w:rsid w:val="00FC2302"/>
    <w:rsid w:val="00FC2867"/>
    <w:rsid w:val="00FC2FA1"/>
    <w:rsid w:val="00FC3687"/>
    <w:rsid w:val="00FC51B0"/>
    <w:rsid w:val="00FC524D"/>
    <w:rsid w:val="00FC550C"/>
    <w:rsid w:val="00FC5B7D"/>
    <w:rsid w:val="00FC5D2F"/>
    <w:rsid w:val="00FD00B2"/>
    <w:rsid w:val="00FD084C"/>
    <w:rsid w:val="00FD09E9"/>
    <w:rsid w:val="00FD2110"/>
    <w:rsid w:val="00FD2973"/>
    <w:rsid w:val="00FE08E9"/>
    <w:rsid w:val="00FE1260"/>
    <w:rsid w:val="00FE191B"/>
    <w:rsid w:val="00FE1C2F"/>
    <w:rsid w:val="00FE1DEE"/>
    <w:rsid w:val="00FE34B6"/>
    <w:rsid w:val="00FE3FE9"/>
    <w:rsid w:val="00FE4DDC"/>
    <w:rsid w:val="00FE517C"/>
    <w:rsid w:val="00FE6CC7"/>
    <w:rsid w:val="00FF038C"/>
    <w:rsid w:val="00FF051F"/>
    <w:rsid w:val="00FF198C"/>
    <w:rsid w:val="00FF233C"/>
    <w:rsid w:val="00FF3C90"/>
    <w:rsid w:val="00FF417F"/>
    <w:rsid w:val="00FF4E1F"/>
    <w:rsid w:val="00FF70E1"/>
    <w:rsid w:val="00FF7121"/>
    <w:rsid w:val="00FF7CA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oNotEmbedSmartTags/>
  <w:decimalSymbol w:val="."/>
  <w:listSeparator w:val=","/>
  <w14:docId w14:val="5D079154"/>
  <w15:docId w15:val="{5A67F387-89BF-4A21-BE38-C7785D644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before="240" w:after="120"/>
        <w:ind w:left="1021" w:hanging="102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044EB3"/>
    <w:pPr>
      <w:spacing w:after="0"/>
      <w:ind w:left="0" w:firstLine="0"/>
    </w:pPr>
    <w:rPr>
      <w:rFonts w:ascii="Calibri" w:hAnsi="Calibri"/>
    </w:rPr>
  </w:style>
  <w:style w:type="paragraph" w:styleId="Heading1">
    <w:name w:val="heading 1"/>
    <w:basedOn w:val="Normal"/>
    <w:next w:val="BodyText"/>
    <w:link w:val="Heading1Char"/>
    <w:uiPriority w:val="9"/>
    <w:qFormat/>
    <w:rsid w:val="00FC3687"/>
    <w:pPr>
      <w:keepNext/>
      <w:keepLines/>
      <w:numPr>
        <w:numId w:val="21"/>
      </w:numPr>
      <w:spacing w:after="120" w:line="400" w:lineRule="atLeast"/>
      <w:outlineLvl w:val="0"/>
    </w:pPr>
    <w:rPr>
      <w:rFonts w:ascii="Cambria" w:eastAsiaTheme="majorEastAsia" w:hAnsi="Cambria" w:cstheme="majorBidi"/>
      <w:bCs/>
      <w:color w:val="0072B9"/>
      <w:sz w:val="36"/>
      <w:szCs w:val="28"/>
    </w:rPr>
  </w:style>
  <w:style w:type="paragraph" w:styleId="Heading2">
    <w:name w:val="heading 2"/>
    <w:basedOn w:val="Normal"/>
    <w:next w:val="BodyText"/>
    <w:link w:val="Heading2Char"/>
    <w:uiPriority w:val="9"/>
    <w:qFormat/>
    <w:rsid w:val="00041250"/>
    <w:pPr>
      <w:keepNext/>
      <w:keepLines/>
      <w:numPr>
        <w:ilvl w:val="1"/>
        <w:numId w:val="21"/>
      </w:numPr>
      <w:spacing w:after="200" w:line="280" w:lineRule="atLeast"/>
      <w:outlineLvl w:val="1"/>
    </w:pPr>
    <w:rPr>
      <w:rFonts w:ascii="Cambria" w:eastAsiaTheme="majorEastAsia" w:hAnsi="Cambria" w:cstheme="majorBidi"/>
      <w:color w:val="0072B9"/>
      <w:sz w:val="26"/>
      <w:szCs w:val="26"/>
    </w:rPr>
  </w:style>
  <w:style w:type="paragraph" w:styleId="Heading3">
    <w:name w:val="heading 3"/>
    <w:basedOn w:val="Normal"/>
    <w:next w:val="BodyText"/>
    <w:link w:val="Heading3Char"/>
    <w:uiPriority w:val="9"/>
    <w:qFormat/>
    <w:rsid w:val="007E1F48"/>
    <w:pPr>
      <w:keepNext/>
      <w:keepLines/>
      <w:numPr>
        <w:ilvl w:val="2"/>
        <w:numId w:val="21"/>
      </w:numPr>
      <w:spacing w:before="200" w:after="120"/>
      <w:outlineLvl w:val="2"/>
    </w:pPr>
    <w:rPr>
      <w:rFonts w:ascii="Cambria" w:eastAsiaTheme="majorEastAsia" w:hAnsi="Cambria" w:cstheme="majorBidi"/>
      <w:b/>
      <w:bCs/>
      <w:color w:val="0072B9"/>
    </w:rPr>
  </w:style>
  <w:style w:type="paragraph" w:styleId="Heading4">
    <w:name w:val="heading 4"/>
    <w:basedOn w:val="Normal"/>
    <w:next w:val="BodyText"/>
    <w:link w:val="Heading4Char"/>
    <w:uiPriority w:val="9"/>
    <w:qFormat/>
    <w:rsid w:val="004E1F67"/>
    <w:pPr>
      <w:keepNext/>
      <w:keepLines/>
      <w:numPr>
        <w:ilvl w:val="3"/>
        <w:numId w:val="21"/>
      </w:numPr>
      <w:spacing w:before="200" w:after="120"/>
      <w:outlineLvl w:val="3"/>
    </w:pPr>
    <w:rPr>
      <w:rFonts w:ascii="Cambria" w:eastAsiaTheme="majorEastAsia" w:hAnsi="Cambria" w:cstheme="majorBidi"/>
      <w:b/>
      <w:bCs/>
      <w:iCs/>
    </w:rPr>
  </w:style>
  <w:style w:type="paragraph" w:styleId="Heading5">
    <w:name w:val="heading 5"/>
    <w:basedOn w:val="Normal"/>
    <w:next w:val="BodyText"/>
    <w:uiPriority w:val="9"/>
    <w:qFormat/>
    <w:rsid w:val="004E1F67"/>
    <w:pPr>
      <w:keepNext/>
      <w:keepLines/>
      <w:numPr>
        <w:ilvl w:val="4"/>
        <w:numId w:val="21"/>
      </w:numPr>
      <w:spacing w:before="200" w:after="120"/>
      <w:outlineLvl w:val="4"/>
    </w:pPr>
    <w:rPr>
      <w:rFonts w:ascii="Cambria" w:eastAsiaTheme="majorEastAsia" w:hAnsi="Cambria" w:cstheme="majorBidi"/>
    </w:rPr>
  </w:style>
  <w:style w:type="paragraph" w:styleId="Heading6">
    <w:name w:val="heading 6"/>
    <w:basedOn w:val="Normal"/>
    <w:next w:val="Normal"/>
    <w:uiPriority w:val="9"/>
    <w:semiHidden/>
    <w:unhideWhenUsed/>
    <w:qFormat/>
    <w:rsid w:val="00A0420F"/>
    <w:pPr>
      <w:keepNext/>
      <w:keepLines/>
      <w:numPr>
        <w:ilvl w:val="5"/>
        <w:numId w:val="19"/>
      </w:numPr>
      <w:spacing w:before="200"/>
      <w:outlineLvl w:val="5"/>
    </w:pPr>
    <w:rPr>
      <w:rFonts w:asciiTheme="majorHAnsi" w:eastAsiaTheme="majorEastAsia" w:hAnsiTheme="majorHAnsi" w:cstheme="majorBidi"/>
      <w:i/>
      <w:iCs/>
      <w:color w:val="003847" w:themeColor="accent1" w:themeShade="7F"/>
    </w:rPr>
  </w:style>
  <w:style w:type="paragraph" w:styleId="Heading7">
    <w:name w:val="heading 7"/>
    <w:basedOn w:val="Normal"/>
    <w:next w:val="Normal"/>
    <w:uiPriority w:val="9"/>
    <w:semiHidden/>
    <w:unhideWhenUsed/>
    <w:qFormat/>
    <w:rsid w:val="00A0420F"/>
    <w:pPr>
      <w:keepNext/>
      <w:keepLines/>
      <w:numPr>
        <w:ilvl w:val="6"/>
        <w:numId w:val="19"/>
      </w:numPr>
      <w:spacing w:before="200"/>
      <w:outlineLvl w:val="6"/>
    </w:pPr>
    <w:rPr>
      <w:rFonts w:asciiTheme="majorHAnsi" w:eastAsiaTheme="majorEastAsia" w:hAnsiTheme="majorHAnsi" w:cstheme="majorBidi"/>
      <w:i/>
      <w:iCs/>
      <w:color w:val="00BBEB" w:themeColor="text1" w:themeTint="BF"/>
    </w:rPr>
  </w:style>
  <w:style w:type="paragraph" w:styleId="Heading8">
    <w:name w:val="heading 8"/>
    <w:basedOn w:val="Normal"/>
    <w:next w:val="Normal"/>
    <w:uiPriority w:val="9"/>
    <w:semiHidden/>
    <w:unhideWhenUsed/>
    <w:qFormat/>
    <w:rsid w:val="00A0420F"/>
    <w:pPr>
      <w:keepNext/>
      <w:keepLines/>
      <w:numPr>
        <w:ilvl w:val="7"/>
        <w:numId w:val="19"/>
      </w:numPr>
      <w:spacing w:before="200"/>
      <w:outlineLvl w:val="7"/>
    </w:pPr>
    <w:rPr>
      <w:rFonts w:asciiTheme="majorHAnsi" w:eastAsiaTheme="majorEastAsia" w:hAnsiTheme="majorHAnsi" w:cstheme="majorBidi"/>
      <w:color w:val="00BBEB" w:themeColor="text1" w:themeTint="BF"/>
      <w:sz w:val="20"/>
      <w:szCs w:val="20"/>
    </w:rPr>
  </w:style>
  <w:style w:type="paragraph" w:styleId="Heading9">
    <w:name w:val="heading 9"/>
    <w:basedOn w:val="Normal"/>
    <w:next w:val="Normal"/>
    <w:uiPriority w:val="9"/>
    <w:semiHidden/>
    <w:unhideWhenUsed/>
    <w:qFormat/>
    <w:rsid w:val="00A0420F"/>
    <w:pPr>
      <w:keepNext/>
      <w:keepLines/>
      <w:numPr>
        <w:ilvl w:val="8"/>
        <w:numId w:val="19"/>
      </w:numPr>
      <w:spacing w:before="200"/>
      <w:outlineLvl w:val="8"/>
    </w:pPr>
    <w:rPr>
      <w:rFonts w:asciiTheme="majorHAnsi" w:eastAsiaTheme="majorEastAsia" w:hAnsiTheme="majorHAnsi" w:cstheme="majorBidi"/>
      <w:i/>
      <w:iCs/>
      <w:color w:val="00BBE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A5622"/>
    <w:pPr>
      <w:spacing w:after="240"/>
    </w:pPr>
  </w:style>
  <w:style w:type="paragraph" w:customStyle="1" w:styleId="Titleheading">
    <w:name w:val="Title heading"/>
    <w:basedOn w:val="Normal"/>
    <w:next w:val="Heading1"/>
    <w:uiPriority w:val="15"/>
    <w:qFormat/>
    <w:rsid w:val="00044EB3"/>
    <w:pPr>
      <w:spacing w:before="720" w:after="1440" w:line="440" w:lineRule="atLeast"/>
      <w:ind w:left="1440"/>
      <w:contextualSpacing/>
      <w:outlineLvl w:val="0"/>
    </w:pPr>
    <w:rPr>
      <w:rFonts w:asciiTheme="minorHAnsi" w:hAnsiTheme="minorHAnsi"/>
      <w:color w:val="00556B" w:themeColor="text1" w:themeShade="BF"/>
      <w:sz w:val="60"/>
      <w:szCs w:val="60"/>
    </w:rPr>
  </w:style>
  <w:style w:type="paragraph" w:customStyle="1" w:styleId="Tablecellheading">
    <w:name w:val="Table cell heading"/>
    <w:basedOn w:val="Tabletext"/>
    <w:uiPriority w:val="12"/>
    <w:qFormat/>
    <w:rsid w:val="009B32C8"/>
    <w:pPr>
      <w:keepNext/>
    </w:pPr>
    <w:rPr>
      <w:bCs/>
      <w:color w:val="FFFFFF"/>
    </w:rPr>
  </w:style>
  <w:style w:type="paragraph" w:customStyle="1" w:styleId="Tabletext">
    <w:name w:val="Table text"/>
    <w:basedOn w:val="BodyText"/>
    <w:uiPriority w:val="12"/>
    <w:qFormat/>
    <w:rsid w:val="00763CB1"/>
    <w:pPr>
      <w:spacing w:before="120" w:after="120"/>
    </w:pPr>
    <w:rPr>
      <w:rFonts w:eastAsia="Calibri" w:cs="Times New Roman"/>
      <w:sz w:val="21"/>
      <w:lang w:eastAsia="en-AU"/>
    </w:rPr>
  </w:style>
  <w:style w:type="paragraph" w:styleId="Caption">
    <w:name w:val="caption"/>
    <w:basedOn w:val="Normal"/>
    <w:next w:val="Normal"/>
    <w:uiPriority w:val="35"/>
    <w:semiHidden/>
    <w:qFormat/>
    <w:rsid w:val="0052764B"/>
    <w:pPr>
      <w:tabs>
        <w:tab w:val="left" w:pos="1021"/>
      </w:tabs>
      <w:spacing w:after="120"/>
      <w:ind w:left="1021" w:hanging="1021"/>
    </w:pPr>
    <w:rPr>
      <w:b/>
      <w:bCs/>
      <w:color w:val="00728F"/>
      <w:sz w:val="18"/>
      <w:szCs w:val="18"/>
    </w:rPr>
  </w:style>
  <w:style w:type="paragraph" w:customStyle="1" w:styleId="Tablecaption">
    <w:name w:val="Table caption"/>
    <w:basedOn w:val="Caption"/>
    <w:next w:val="Tabledescription"/>
    <w:uiPriority w:val="11"/>
    <w:qFormat/>
    <w:rsid w:val="00F602ED"/>
    <w:pPr>
      <w:keepNext/>
    </w:pPr>
    <w:rPr>
      <w:color w:val="0072B9"/>
    </w:rPr>
  </w:style>
  <w:style w:type="character" w:styleId="Strong">
    <w:name w:val="Strong"/>
    <w:basedOn w:val="DefaultParagraphFont"/>
    <w:uiPriority w:val="2"/>
    <w:qFormat/>
    <w:rsid w:val="00BF014B"/>
    <w:rPr>
      <w:b/>
      <w:bCs/>
    </w:rPr>
  </w:style>
  <w:style w:type="paragraph" w:styleId="BalloonText">
    <w:name w:val="Balloon Text"/>
    <w:basedOn w:val="Normal"/>
    <w:uiPriority w:val="99"/>
    <w:semiHidden/>
    <w:rsid w:val="00A66655"/>
    <w:rPr>
      <w:rFonts w:ascii="Tahoma" w:hAnsi="Tahoma" w:cs="Tahoma"/>
      <w:sz w:val="16"/>
      <w:szCs w:val="16"/>
    </w:rPr>
  </w:style>
  <w:style w:type="character" w:styleId="Hyperlink">
    <w:name w:val="Hyperlink"/>
    <w:basedOn w:val="DefaultParagraphFont"/>
    <w:uiPriority w:val="99"/>
    <w:unhideWhenUsed/>
    <w:rsid w:val="00B11651"/>
    <w:rPr>
      <w:color w:val="006DFF"/>
      <w:u w:val="single"/>
    </w:rPr>
  </w:style>
  <w:style w:type="paragraph" w:customStyle="1" w:styleId="Tablebullet-Level1">
    <w:name w:val="Table bullet - Level 1"/>
    <w:basedOn w:val="Tabletext"/>
    <w:uiPriority w:val="13"/>
    <w:qFormat/>
    <w:rsid w:val="00F05D2D"/>
    <w:pPr>
      <w:numPr>
        <w:numId w:val="12"/>
      </w:numPr>
    </w:pPr>
  </w:style>
  <w:style w:type="paragraph" w:customStyle="1" w:styleId="Tabledescription">
    <w:name w:val="Table description"/>
    <w:basedOn w:val="Tablecaption"/>
    <w:uiPriority w:val="11"/>
    <w:qFormat/>
    <w:rsid w:val="0052764B"/>
    <w:pPr>
      <w:tabs>
        <w:tab w:val="clear" w:pos="1021"/>
      </w:tabs>
      <w:spacing w:before="120" w:after="240"/>
      <w:ind w:firstLine="0"/>
    </w:pPr>
    <w:rPr>
      <w:b w:val="0"/>
      <w:color w:val="auto"/>
    </w:rPr>
  </w:style>
  <w:style w:type="paragraph" w:customStyle="1" w:styleId="Endmatter-Heading1">
    <w:name w:val="End matter - Heading 1"/>
    <w:basedOn w:val="Heading1"/>
    <w:next w:val="BodyText"/>
    <w:uiPriority w:val="19"/>
    <w:qFormat/>
    <w:rsid w:val="00FC3687"/>
    <w:pPr>
      <w:pageBreakBefore/>
      <w:numPr>
        <w:numId w:val="22"/>
      </w:numPr>
    </w:pPr>
  </w:style>
  <w:style w:type="paragraph" w:styleId="TOCHeading">
    <w:name w:val="TOC Heading"/>
    <w:basedOn w:val="Heading1"/>
    <w:next w:val="BodyText"/>
    <w:uiPriority w:val="38"/>
    <w:qFormat/>
    <w:rsid w:val="00FC3687"/>
    <w:pPr>
      <w:numPr>
        <w:numId w:val="0"/>
      </w:numPr>
      <w:spacing w:after="360"/>
      <w:outlineLvl w:val="9"/>
    </w:pPr>
    <w:rPr>
      <w:rFonts w:asciiTheme="minorHAnsi" w:hAnsiTheme="minorHAnsi"/>
    </w:rPr>
  </w:style>
  <w:style w:type="paragraph" w:styleId="TOC1">
    <w:name w:val="toc 1"/>
    <w:basedOn w:val="Normal"/>
    <w:next w:val="Normal"/>
    <w:link w:val="TOC1Char"/>
    <w:autoRedefine/>
    <w:uiPriority w:val="39"/>
    <w:rsid w:val="00EE3AB0"/>
    <w:pPr>
      <w:tabs>
        <w:tab w:val="left" w:pos="0"/>
        <w:tab w:val="left" w:pos="567"/>
        <w:tab w:val="right" w:leader="dot" w:pos="8647"/>
      </w:tabs>
      <w:spacing w:before="120" w:after="100"/>
      <w:ind w:left="567" w:right="662" w:hanging="567"/>
      <w:jc w:val="both"/>
    </w:pPr>
    <w:rPr>
      <w:noProof/>
      <w:color w:val="0072B9"/>
      <w:sz w:val="24"/>
    </w:rPr>
  </w:style>
  <w:style w:type="paragraph" w:styleId="TOC2">
    <w:name w:val="toc 2"/>
    <w:basedOn w:val="Normal"/>
    <w:next w:val="Normal"/>
    <w:autoRedefine/>
    <w:uiPriority w:val="39"/>
    <w:rsid w:val="00EE3AB0"/>
    <w:pPr>
      <w:tabs>
        <w:tab w:val="left" w:pos="1134"/>
        <w:tab w:val="right" w:leader="dot" w:pos="8647"/>
      </w:tabs>
      <w:spacing w:before="0" w:after="100"/>
      <w:ind w:left="1134" w:right="397" w:hanging="567"/>
    </w:pPr>
  </w:style>
  <w:style w:type="paragraph" w:styleId="TOC3">
    <w:name w:val="toc 3"/>
    <w:basedOn w:val="Normal"/>
    <w:next w:val="Normal"/>
    <w:autoRedefine/>
    <w:uiPriority w:val="39"/>
    <w:rsid w:val="00EE3AB0"/>
    <w:pPr>
      <w:tabs>
        <w:tab w:val="left" w:pos="1320"/>
        <w:tab w:val="right" w:leader="dot" w:pos="8647"/>
      </w:tabs>
      <w:spacing w:before="0" w:after="100"/>
      <w:ind w:left="1701" w:right="-397" w:hanging="567"/>
    </w:pPr>
  </w:style>
  <w:style w:type="paragraph" w:customStyle="1" w:styleId="Titlesub-heading">
    <w:name w:val="Title sub-heading"/>
    <w:basedOn w:val="Titleheading"/>
    <w:next w:val="Heading2"/>
    <w:uiPriority w:val="15"/>
    <w:qFormat/>
    <w:rsid w:val="00044EB3"/>
    <w:pPr>
      <w:outlineLvl w:val="1"/>
    </w:pPr>
  </w:style>
  <w:style w:type="paragraph" w:customStyle="1" w:styleId="Endmatter-Heading2">
    <w:name w:val="End matter - Heading 2"/>
    <w:basedOn w:val="Heading2"/>
    <w:next w:val="BodyText"/>
    <w:uiPriority w:val="19"/>
    <w:qFormat/>
    <w:rsid w:val="00FC3687"/>
    <w:pPr>
      <w:numPr>
        <w:numId w:val="22"/>
      </w:numPr>
    </w:pPr>
  </w:style>
  <w:style w:type="paragraph" w:styleId="Header">
    <w:name w:val="header"/>
    <w:basedOn w:val="Normal"/>
    <w:link w:val="HeaderChar"/>
    <w:rsid w:val="00FC3687"/>
    <w:pPr>
      <w:tabs>
        <w:tab w:val="center" w:pos="4513"/>
        <w:tab w:val="right" w:pos="9026"/>
      </w:tabs>
      <w:spacing w:before="0"/>
    </w:pPr>
    <w:rPr>
      <w:color w:val="0072C3"/>
      <w:sz w:val="20"/>
    </w:rPr>
  </w:style>
  <w:style w:type="paragraph" w:styleId="Footer">
    <w:name w:val="footer"/>
    <w:basedOn w:val="Normal"/>
    <w:link w:val="FooterChar"/>
    <w:rsid w:val="00FC3687"/>
    <w:pPr>
      <w:tabs>
        <w:tab w:val="center" w:pos="4513"/>
        <w:tab w:val="right" w:pos="9026"/>
      </w:tabs>
    </w:pPr>
    <w:rPr>
      <w:color w:val="FFFFFF" w:themeColor="background1"/>
      <w:sz w:val="20"/>
    </w:rPr>
  </w:style>
  <w:style w:type="paragraph" w:customStyle="1" w:styleId="Bodybullet-Level1">
    <w:name w:val="Body bullet - Level 1"/>
    <w:basedOn w:val="BodyText"/>
    <w:uiPriority w:val="1"/>
    <w:qFormat/>
    <w:rsid w:val="00793DC9"/>
    <w:pPr>
      <w:numPr>
        <w:numId w:val="11"/>
      </w:numPr>
      <w:spacing w:before="120" w:after="180"/>
    </w:pPr>
  </w:style>
  <w:style w:type="paragraph" w:customStyle="1" w:styleId="Bodybullet-Level2">
    <w:name w:val="Body bullet - Level 2"/>
    <w:basedOn w:val="Bodybullet-Level1"/>
    <w:uiPriority w:val="1"/>
    <w:qFormat/>
    <w:rsid w:val="008825AB"/>
    <w:pPr>
      <w:numPr>
        <w:ilvl w:val="1"/>
      </w:numPr>
    </w:pPr>
  </w:style>
  <w:style w:type="paragraph" w:customStyle="1" w:styleId="Bodybullet-Level3">
    <w:name w:val="Body bullet - Level 3"/>
    <w:basedOn w:val="Bodybullet-Level1"/>
    <w:uiPriority w:val="1"/>
    <w:qFormat/>
    <w:rsid w:val="00617129"/>
    <w:pPr>
      <w:numPr>
        <w:ilvl w:val="2"/>
      </w:numPr>
    </w:pPr>
  </w:style>
  <w:style w:type="paragraph" w:customStyle="1" w:styleId="Tablebullet-Level2">
    <w:name w:val="Table bullet - Level 2"/>
    <w:basedOn w:val="Tablebullet-Level1"/>
    <w:uiPriority w:val="13"/>
    <w:qFormat/>
    <w:rsid w:val="00AC37E5"/>
    <w:pPr>
      <w:numPr>
        <w:ilvl w:val="1"/>
      </w:numPr>
    </w:pPr>
  </w:style>
  <w:style w:type="paragraph" w:customStyle="1" w:styleId="Figurecaption">
    <w:name w:val="Figure caption"/>
    <w:basedOn w:val="Caption"/>
    <w:next w:val="Figuredescription"/>
    <w:link w:val="FigurecaptionCharChar"/>
    <w:uiPriority w:val="10"/>
    <w:qFormat/>
    <w:rsid w:val="00FC3687"/>
    <w:pPr>
      <w:keepNext/>
    </w:pPr>
    <w:rPr>
      <w:color w:val="0072B9"/>
    </w:rPr>
  </w:style>
  <w:style w:type="character" w:styleId="PageNumber">
    <w:name w:val="page number"/>
    <w:basedOn w:val="DefaultParagraphFont"/>
    <w:uiPriority w:val="49"/>
    <w:rsid w:val="00FC3687"/>
    <w:rPr>
      <w:color w:val="FFFFFF" w:themeColor="background1"/>
      <w:sz w:val="22"/>
    </w:rPr>
  </w:style>
  <w:style w:type="paragraph" w:customStyle="1" w:styleId="Figuredescription">
    <w:name w:val="Figure description"/>
    <w:basedOn w:val="Figurecaption"/>
    <w:uiPriority w:val="10"/>
    <w:qFormat/>
    <w:rsid w:val="00593A5A"/>
    <w:pPr>
      <w:tabs>
        <w:tab w:val="clear" w:pos="1021"/>
      </w:tabs>
      <w:spacing w:before="120" w:after="240"/>
      <w:ind w:firstLine="0"/>
    </w:pPr>
    <w:rPr>
      <w:b w:val="0"/>
      <w:color w:val="auto"/>
    </w:rPr>
  </w:style>
  <w:style w:type="paragraph" w:customStyle="1" w:styleId="Bodynumbered-Level1">
    <w:name w:val="Body numbered - Level 1"/>
    <w:basedOn w:val="BodyText"/>
    <w:uiPriority w:val="1"/>
    <w:qFormat/>
    <w:rsid w:val="00FC3687"/>
    <w:pPr>
      <w:numPr>
        <w:numId w:val="13"/>
      </w:numPr>
      <w:spacing w:before="120" w:after="180"/>
    </w:pPr>
  </w:style>
  <w:style w:type="paragraph" w:customStyle="1" w:styleId="Bodynumbered-Level2">
    <w:name w:val="Body numbered - Level 2"/>
    <w:basedOn w:val="Bodynumbered-Level1"/>
    <w:uiPriority w:val="1"/>
    <w:qFormat/>
    <w:rsid w:val="00A6258B"/>
    <w:pPr>
      <w:numPr>
        <w:ilvl w:val="1"/>
      </w:numPr>
    </w:pPr>
  </w:style>
  <w:style w:type="paragraph" w:customStyle="1" w:styleId="Bodynumbered-Level3">
    <w:name w:val="Body numbered - Level 3"/>
    <w:basedOn w:val="Bodynumbered-Level1"/>
    <w:uiPriority w:val="1"/>
    <w:qFormat/>
    <w:rsid w:val="00A6258B"/>
    <w:pPr>
      <w:numPr>
        <w:ilvl w:val="2"/>
      </w:numPr>
    </w:pPr>
  </w:style>
  <w:style w:type="paragraph" w:customStyle="1" w:styleId="Preliminaries-Heading1">
    <w:name w:val="Preliminaries - Heading 1"/>
    <w:basedOn w:val="Heading1"/>
    <w:next w:val="BodyText"/>
    <w:uiPriority w:val="18"/>
    <w:qFormat/>
    <w:rsid w:val="007E77FD"/>
    <w:pPr>
      <w:numPr>
        <w:numId w:val="0"/>
      </w:numPr>
    </w:pPr>
  </w:style>
  <w:style w:type="paragraph" w:customStyle="1" w:styleId="Preliminaries-Heading2">
    <w:name w:val="Preliminaries - Heading 2"/>
    <w:basedOn w:val="Heading2"/>
    <w:next w:val="BodyText"/>
    <w:uiPriority w:val="18"/>
    <w:qFormat/>
    <w:rsid w:val="007E77FD"/>
    <w:pPr>
      <w:numPr>
        <w:ilvl w:val="0"/>
        <w:numId w:val="0"/>
      </w:numPr>
    </w:pPr>
  </w:style>
  <w:style w:type="paragraph" w:customStyle="1" w:styleId="Preliminaries-Heading3">
    <w:name w:val="Preliminaries - Heading 3"/>
    <w:basedOn w:val="Heading3"/>
    <w:next w:val="BodyText"/>
    <w:uiPriority w:val="18"/>
    <w:qFormat/>
    <w:rsid w:val="007E77FD"/>
    <w:pPr>
      <w:numPr>
        <w:ilvl w:val="0"/>
        <w:numId w:val="0"/>
      </w:numPr>
    </w:pPr>
  </w:style>
  <w:style w:type="paragraph" w:styleId="FootnoteText">
    <w:name w:val="footnote text"/>
    <w:basedOn w:val="Normal"/>
    <w:link w:val="FootnoteTextChar"/>
    <w:uiPriority w:val="99"/>
    <w:rsid w:val="00E53A0E"/>
    <w:pPr>
      <w:spacing w:before="0" w:after="60"/>
    </w:pPr>
    <w:rPr>
      <w:sz w:val="20"/>
      <w:szCs w:val="20"/>
    </w:rPr>
  </w:style>
  <w:style w:type="character" w:styleId="FootnoteReference">
    <w:name w:val="footnote reference"/>
    <w:basedOn w:val="DefaultParagraphFont"/>
    <w:uiPriority w:val="99"/>
    <w:rsid w:val="008D0A94"/>
    <w:rPr>
      <w:vertAlign w:val="superscript"/>
    </w:rPr>
  </w:style>
  <w:style w:type="paragraph" w:customStyle="1" w:styleId="Bodytext-Indent">
    <w:name w:val="Body text - Indent"/>
    <w:basedOn w:val="BodyText"/>
    <w:next w:val="BodyText"/>
    <w:qFormat/>
    <w:rsid w:val="00DF7C5F"/>
    <w:pPr>
      <w:ind w:left="340"/>
    </w:pPr>
  </w:style>
  <w:style w:type="paragraph" w:customStyle="1" w:styleId="Boxtext">
    <w:name w:val="Box text"/>
    <w:basedOn w:val="BodyText"/>
    <w:uiPriority w:val="14"/>
    <w:qFormat/>
    <w:rsid w:val="00C26C27"/>
    <w:pPr>
      <w:pBdr>
        <w:top w:val="single" w:sz="4" w:space="8" w:color="0072B9"/>
        <w:left w:val="single" w:sz="4" w:space="8" w:color="0072B9"/>
        <w:bottom w:val="single" w:sz="4" w:space="8" w:color="0072B9"/>
        <w:right w:val="single" w:sz="4" w:space="0" w:color="0072B9"/>
      </w:pBdr>
      <w:shd w:val="clear" w:color="auto" w:fill="E7F5FF"/>
      <w:ind w:left="198"/>
    </w:pPr>
  </w:style>
  <w:style w:type="paragraph" w:customStyle="1" w:styleId="Boxheading">
    <w:name w:val="Box heading"/>
    <w:basedOn w:val="Boxtext"/>
    <w:next w:val="Boxtext"/>
    <w:uiPriority w:val="14"/>
    <w:qFormat/>
    <w:rsid w:val="00FC3687"/>
    <w:pPr>
      <w:spacing w:after="120"/>
    </w:pPr>
    <w:rPr>
      <w:rFonts w:asciiTheme="majorHAnsi" w:hAnsiTheme="majorHAnsi"/>
      <w:color w:val="0072B9"/>
      <w:sz w:val="28"/>
    </w:rPr>
  </w:style>
  <w:style w:type="paragraph" w:customStyle="1" w:styleId="Boxbullet">
    <w:name w:val="Box bullet"/>
    <w:basedOn w:val="Boxtext"/>
    <w:uiPriority w:val="15"/>
    <w:qFormat/>
    <w:rsid w:val="00F01429"/>
    <w:pPr>
      <w:numPr>
        <w:numId w:val="14"/>
      </w:numPr>
      <w:spacing w:before="0" w:after="180"/>
      <w:ind w:left="652" w:hanging="454"/>
    </w:pPr>
  </w:style>
  <w:style w:type="paragraph" w:customStyle="1" w:styleId="Boxsub-heading">
    <w:name w:val="Box sub-heading"/>
    <w:basedOn w:val="Boxtext"/>
    <w:next w:val="Boxtext"/>
    <w:uiPriority w:val="14"/>
    <w:qFormat/>
    <w:rsid w:val="00FC3687"/>
    <w:rPr>
      <w:b/>
      <w:color w:val="0072B9"/>
    </w:rPr>
  </w:style>
  <w:style w:type="paragraph" w:customStyle="1" w:styleId="SourceNotes">
    <w:name w:val="Source/Notes"/>
    <w:basedOn w:val="BodyText"/>
    <w:next w:val="BodyText"/>
    <w:uiPriority w:val="10"/>
    <w:qFormat/>
    <w:rsid w:val="007D6EC3"/>
    <w:pPr>
      <w:spacing w:before="0"/>
    </w:pPr>
    <w:rPr>
      <w:sz w:val="20"/>
    </w:rPr>
  </w:style>
  <w:style w:type="paragraph" w:customStyle="1" w:styleId="Boxcaption">
    <w:name w:val="Box caption"/>
    <w:basedOn w:val="Caption"/>
    <w:uiPriority w:val="14"/>
    <w:qFormat/>
    <w:rsid w:val="00CE04BC"/>
  </w:style>
  <w:style w:type="paragraph" w:customStyle="1" w:styleId="Endmatter-Heading3">
    <w:name w:val="End matter - Heading 3"/>
    <w:basedOn w:val="Heading3"/>
    <w:next w:val="BodyText"/>
    <w:uiPriority w:val="19"/>
    <w:qFormat/>
    <w:rsid w:val="00FC3687"/>
    <w:pPr>
      <w:numPr>
        <w:numId w:val="22"/>
      </w:numPr>
    </w:pPr>
  </w:style>
  <w:style w:type="paragraph" w:customStyle="1" w:styleId="Titledate">
    <w:name w:val="Title date"/>
    <w:basedOn w:val="Normal"/>
    <w:uiPriority w:val="16"/>
    <w:qFormat/>
    <w:rsid w:val="00044EB3"/>
    <w:pPr>
      <w:spacing w:before="80" w:after="120" w:line="460" w:lineRule="atLeast"/>
      <w:ind w:left="1440"/>
      <w:contextualSpacing/>
    </w:pPr>
    <w:rPr>
      <w:rFonts w:eastAsiaTheme="majorEastAsia" w:cstheme="majorBidi"/>
      <w:b/>
      <w:color w:val="00556B" w:themeColor="text1" w:themeShade="BF"/>
      <w:kern w:val="28"/>
      <w:sz w:val="28"/>
      <w:szCs w:val="52"/>
    </w:rPr>
  </w:style>
  <w:style w:type="paragraph" w:customStyle="1" w:styleId="Boxlist-Numbered">
    <w:name w:val="Box list - Numbered"/>
    <w:basedOn w:val="Boxtext"/>
    <w:uiPriority w:val="15"/>
    <w:qFormat/>
    <w:rsid w:val="00B1447A"/>
    <w:pPr>
      <w:numPr>
        <w:numId w:val="23"/>
      </w:numPr>
      <w:spacing w:before="120" w:after="180"/>
    </w:pPr>
  </w:style>
  <w:style w:type="paragraph" w:customStyle="1" w:styleId="Boxlist-Alpha">
    <w:name w:val="Box list - Alpha"/>
    <w:basedOn w:val="Boxtext"/>
    <w:uiPriority w:val="15"/>
    <w:qFormat/>
    <w:rsid w:val="004B47F1"/>
    <w:pPr>
      <w:numPr>
        <w:numId w:val="15"/>
      </w:numPr>
      <w:spacing w:before="120" w:after="0"/>
    </w:pPr>
  </w:style>
  <w:style w:type="paragraph" w:customStyle="1" w:styleId="FigureImagewithrule">
    <w:name w:val="Figure/Image with rule"/>
    <w:basedOn w:val="BodyText"/>
    <w:next w:val="SourceNotes"/>
    <w:uiPriority w:val="10"/>
    <w:qFormat/>
    <w:rsid w:val="007F1685"/>
    <w:pPr>
      <w:pBdr>
        <w:bottom w:val="single" w:sz="4" w:space="8" w:color="00728F"/>
      </w:pBdr>
      <w:spacing w:after="0"/>
    </w:pPr>
  </w:style>
  <w:style w:type="paragraph" w:customStyle="1" w:styleId="Tablelist-Numbered">
    <w:name w:val="Table list - Numbered"/>
    <w:basedOn w:val="Tabletext"/>
    <w:uiPriority w:val="13"/>
    <w:qFormat/>
    <w:rsid w:val="00EF4469"/>
    <w:pPr>
      <w:numPr>
        <w:numId w:val="16"/>
      </w:numPr>
    </w:pPr>
  </w:style>
  <w:style w:type="paragraph" w:customStyle="1" w:styleId="Tablecellsub-heading">
    <w:name w:val="Table cell sub-heading"/>
    <w:basedOn w:val="Tablecellheading"/>
    <w:uiPriority w:val="12"/>
    <w:qFormat/>
    <w:rsid w:val="00133178"/>
    <w:rPr>
      <w:color w:val="auto"/>
    </w:rPr>
  </w:style>
  <w:style w:type="character" w:styleId="Emphasis">
    <w:name w:val="Emphasis"/>
    <w:basedOn w:val="DefaultParagraphFont"/>
    <w:uiPriority w:val="20"/>
    <w:qFormat/>
    <w:rsid w:val="00D52C5A"/>
    <w:rPr>
      <w:i/>
      <w:iCs/>
    </w:rPr>
  </w:style>
  <w:style w:type="character" w:styleId="CommentReference">
    <w:name w:val="annotation reference"/>
    <w:basedOn w:val="DefaultParagraphFont"/>
    <w:uiPriority w:val="99"/>
    <w:semiHidden/>
    <w:rsid w:val="008F23A9"/>
    <w:rPr>
      <w:sz w:val="16"/>
      <w:szCs w:val="16"/>
    </w:rPr>
  </w:style>
  <w:style w:type="paragraph" w:styleId="CommentText">
    <w:name w:val="annotation text"/>
    <w:basedOn w:val="Normal"/>
    <w:link w:val="CommentTextChar"/>
    <w:uiPriority w:val="99"/>
    <w:semiHidden/>
    <w:rsid w:val="00266485"/>
    <w:rPr>
      <w:sz w:val="20"/>
      <w:szCs w:val="20"/>
    </w:rPr>
  </w:style>
  <w:style w:type="paragraph" w:styleId="CommentSubject">
    <w:name w:val="annotation subject"/>
    <w:basedOn w:val="CommentText"/>
    <w:next w:val="CommentText"/>
    <w:uiPriority w:val="99"/>
    <w:semiHidden/>
    <w:rsid w:val="008F23A9"/>
    <w:rPr>
      <w:b/>
      <w:bCs/>
    </w:rPr>
  </w:style>
  <w:style w:type="numbering" w:styleId="111111">
    <w:name w:val="Outline List 2"/>
    <w:basedOn w:val="NoList"/>
    <w:uiPriority w:val="99"/>
    <w:semiHidden/>
    <w:unhideWhenUsed/>
    <w:rsid w:val="00A0420F"/>
    <w:pPr>
      <w:numPr>
        <w:numId w:val="17"/>
      </w:numPr>
    </w:pPr>
  </w:style>
  <w:style w:type="numbering" w:styleId="1ai">
    <w:name w:val="Outline List 1"/>
    <w:basedOn w:val="NoList"/>
    <w:uiPriority w:val="99"/>
    <w:semiHidden/>
    <w:unhideWhenUsed/>
    <w:rsid w:val="00A0420F"/>
    <w:pPr>
      <w:numPr>
        <w:numId w:val="18"/>
      </w:numPr>
    </w:pPr>
  </w:style>
  <w:style w:type="numbering" w:styleId="ArticleSection">
    <w:name w:val="Outline List 3"/>
    <w:basedOn w:val="NoList"/>
    <w:uiPriority w:val="99"/>
    <w:semiHidden/>
    <w:unhideWhenUsed/>
    <w:rsid w:val="00A0420F"/>
    <w:pPr>
      <w:numPr>
        <w:numId w:val="19"/>
      </w:numPr>
    </w:pPr>
  </w:style>
  <w:style w:type="paragraph" w:styleId="Bibliography">
    <w:name w:val="Bibliography"/>
    <w:basedOn w:val="Normal"/>
    <w:next w:val="Normal"/>
    <w:uiPriority w:val="37"/>
    <w:semiHidden/>
    <w:unhideWhenUsed/>
    <w:rsid w:val="00A0420F"/>
  </w:style>
  <w:style w:type="paragraph" w:styleId="BlockText">
    <w:name w:val="Block Text"/>
    <w:basedOn w:val="Normal"/>
    <w:uiPriority w:val="99"/>
    <w:semiHidden/>
    <w:rsid w:val="00A0420F"/>
    <w:pPr>
      <w:pBdr>
        <w:top w:val="single" w:sz="2" w:space="10" w:color="00728F" w:themeColor="accent1" w:shadow="1" w:frame="1"/>
        <w:left w:val="single" w:sz="2" w:space="10" w:color="00728F" w:themeColor="accent1" w:shadow="1" w:frame="1"/>
        <w:bottom w:val="single" w:sz="2" w:space="10" w:color="00728F" w:themeColor="accent1" w:shadow="1" w:frame="1"/>
        <w:right w:val="single" w:sz="2" w:space="10" w:color="00728F" w:themeColor="accent1" w:shadow="1" w:frame="1"/>
      </w:pBdr>
      <w:ind w:left="1152" w:right="1152"/>
    </w:pPr>
    <w:rPr>
      <w:rFonts w:asciiTheme="minorHAnsi" w:eastAsiaTheme="minorEastAsia" w:hAnsiTheme="minorHAnsi"/>
      <w:i/>
      <w:iCs/>
      <w:color w:val="00728F" w:themeColor="accent1"/>
    </w:rPr>
  </w:style>
  <w:style w:type="paragraph" w:styleId="BodyText2">
    <w:name w:val="Body Text 2"/>
    <w:basedOn w:val="Normal"/>
    <w:uiPriority w:val="99"/>
    <w:semiHidden/>
    <w:rsid w:val="00A0420F"/>
    <w:pPr>
      <w:spacing w:after="120" w:line="480" w:lineRule="auto"/>
    </w:pPr>
  </w:style>
  <w:style w:type="paragraph" w:styleId="BodyText3">
    <w:name w:val="Body Text 3"/>
    <w:basedOn w:val="Normal"/>
    <w:uiPriority w:val="99"/>
    <w:semiHidden/>
    <w:rsid w:val="00A0420F"/>
    <w:pPr>
      <w:spacing w:after="120"/>
    </w:pPr>
    <w:rPr>
      <w:sz w:val="16"/>
      <w:szCs w:val="16"/>
    </w:rPr>
  </w:style>
  <w:style w:type="paragraph" w:styleId="BodyTextFirstIndent">
    <w:name w:val="Body Text First Indent"/>
    <w:basedOn w:val="BodyText"/>
    <w:uiPriority w:val="99"/>
    <w:semiHidden/>
    <w:rsid w:val="00A0420F"/>
    <w:pPr>
      <w:spacing w:before="0" w:after="0"/>
      <w:ind w:firstLine="360"/>
    </w:pPr>
  </w:style>
  <w:style w:type="paragraph" w:styleId="BodyTextIndent">
    <w:name w:val="Body Text Indent"/>
    <w:basedOn w:val="Normal"/>
    <w:uiPriority w:val="99"/>
    <w:semiHidden/>
    <w:rsid w:val="00A0420F"/>
    <w:pPr>
      <w:spacing w:after="120"/>
      <w:ind w:left="283"/>
    </w:pPr>
  </w:style>
  <w:style w:type="paragraph" w:styleId="BodyTextFirstIndent2">
    <w:name w:val="Body Text First Indent 2"/>
    <w:basedOn w:val="BodyTextIndent"/>
    <w:uiPriority w:val="99"/>
    <w:semiHidden/>
    <w:rsid w:val="00A0420F"/>
    <w:pPr>
      <w:spacing w:after="0"/>
      <w:ind w:left="360" w:firstLine="360"/>
    </w:pPr>
  </w:style>
  <w:style w:type="paragraph" w:styleId="BodyTextIndent2">
    <w:name w:val="Body Text Indent 2"/>
    <w:basedOn w:val="Normal"/>
    <w:uiPriority w:val="99"/>
    <w:semiHidden/>
    <w:rsid w:val="00A0420F"/>
    <w:pPr>
      <w:spacing w:after="120" w:line="480" w:lineRule="auto"/>
      <w:ind w:left="283"/>
    </w:pPr>
  </w:style>
  <w:style w:type="paragraph" w:styleId="BodyTextIndent3">
    <w:name w:val="Body Text Indent 3"/>
    <w:basedOn w:val="Normal"/>
    <w:uiPriority w:val="99"/>
    <w:semiHidden/>
    <w:rsid w:val="00A0420F"/>
    <w:pPr>
      <w:spacing w:after="120"/>
      <w:ind w:left="283"/>
    </w:pPr>
    <w:rPr>
      <w:sz w:val="16"/>
      <w:szCs w:val="16"/>
    </w:rPr>
  </w:style>
  <w:style w:type="character" w:styleId="BookTitle">
    <w:name w:val="Book Title"/>
    <w:basedOn w:val="DefaultParagraphFont"/>
    <w:uiPriority w:val="33"/>
    <w:semiHidden/>
    <w:qFormat/>
    <w:rsid w:val="00A0420F"/>
    <w:rPr>
      <w:b/>
      <w:bCs/>
      <w:smallCaps/>
      <w:spacing w:val="5"/>
    </w:rPr>
  </w:style>
  <w:style w:type="paragraph" w:styleId="Closing">
    <w:name w:val="Closing"/>
    <w:basedOn w:val="Normal"/>
    <w:link w:val="ClosingChar"/>
    <w:uiPriority w:val="99"/>
    <w:semiHidden/>
    <w:rsid w:val="00A0420F"/>
    <w:pPr>
      <w:ind w:left="4252"/>
    </w:pPr>
  </w:style>
  <w:style w:type="character" w:customStyle="1" w:styleId="ClosingChar">
    <w:name w:val="Closing Char"/>
    <w:basedOn w:val="DefaultParagraphFont"/>
    <w:link w:val="Closing"/>
    <w:uiPriority w:val="99"/>
    <w:semiHidden/>
    <w:rsid w:val="00A0420F"/>
    <w:rPr>
      <w:rFonts w:ascii="Calibri" w:hAnsi="Calibri"/>
    </w:rPr>
  </w:style>
  <w:style w:type="paragraph" w:styleId="Date">
    <w:name w:val="Date"/>
    <w:basedOn w:val="Normal"/>
    <w:next w:val="Normal"/>
    <w:link w:val="DateChar"/>
    <w:uiPriority w:val="99"/>
    <w:semiHidden/>
    <w:rsid w:val="00A0420F"/>
  </w:style>
  <w:style w:type="character" w:customStyle="1" w:styleId="DateChar">
    <w:name w:val="Date Char"/>
    <w:basedOn w:val="DefaultParagraphFont"/>
    <w:link w:val="Date"/>
    <w:uiPriority w:val="99"/>
    <w:semiHidden/>
    <w:rsid w:val="00A0420F"/>
    <w:rPr>
      <w:rFonts w:ascii="Calibri" w:hAnsi="Calibri"/>
    </w:rPr>
  </w:style>
  <w:style w:type="paragraph" w:styleId="DocumentMap">
    <w:name w:val="Document Map"/>
    <w:basedOn w:val="Normal"/>
    <w:link w:val="DocumentMapChar"/>
    <w:uiPriority w:val="99"/>
    <w:semiHidden/>
    <w:rsid w:val="00A0420F"/>
    <w:rPr>
      <w:rFonts w:ascii="Tahoma" w:hAnsi="Tahoma" w:cs="Tahoma"/>
      <w:sz w:val="16"/>
      <w:szCs w:val="16"/>
    </w:rPr>
  </w:style>
  <w:style w:type="character" w:customStyle="1" w:styleId="DocumentMapChar">
    <w:name w:val="Document Map Char"/>
    <w:basedOn w:val="DefaultParagraphFont"/>
    <w:link w:val="DocumentMap"/>
    <w:uiPriority w:val="99"/>
    <w:semiHidden/>
    <w:rsid w:val="00A0420F"/>
    <w:rPr>
      <w:rFonts w:ascii="Tahoma" w:hAnsi="Tahoma" w:cs="Tahoma"/>
      <w:sz w:val="16"/>
      <w:szCs w:val="16"/>
    </w:rPr>
  </w:style>
  <w:style w:type="paragraph" w:styleId="E-mailSignature">
    <w:name w:val="E-mail Signature"/>
    <w:basedOn w:val="Normal"/>
    <w:link w:val="E-mailSignatureChar"/>
    <w:uiPriority w:val="99"/>
    <w:semiHidden/>
    <w:rsid w:val="00A0420F"/>
  </w:style>
  <w:style w:type="character" w:customStyle="1" w:styleId="E-mailSignatureChar">
    <w:name w:val="E-mail Signature Char"/>
    <w:basedOn w:val="DefaultParagraphFont"/>
    <w:link w:val="E-mailSignature"/>
    <w:uiPriority w:val="99"/>
    <w:semiHidden/>
    <w:rsid w:val="00A0420F"/>
    <w:rPr>
      <w:rFonts w:ascii="Calibri" w:hAnsi="Calibri"/>
    </w:rPr>
  </w:style>
  <w:style w:type="character" w:styleId="EndnoteReference">
    <w:name w:val="endnote reference"/>
    <w:basedOn w:val="DefaultParagraphFont"/>
    <w:uiPriority w:val="99"/>
    <w:semiHidden/>
    <w:unhideWhenUsed/>
    <w:rsid w:val="00A0420F"/>
    <w:rPr>
      <w:vertAlign w:val="superscript"/>
    </w:rPr>
  </w:style>
  <w:style w:type="paragraph" w:styleId="EndnoteText">
    <w:name w:val="endnote text"/>
    <w:basedOn w:val="Normal"/>
    <w:link w:val="EndnoteTextChar"/>
    <w:uiPriority w:val="99"/>
    <w:semiHidden/>
    <w:unhideWhenUsed/>
    <w:rsid w:val="00A0420F"/>
    <w:rPr>
      <w:sz w:val="20"/>
      <w:szCs w:val="20"/>
    </w:rPr>
  </w:style>
  <w:style w:type="character" w:customStyle="1" w:styleId="EndnoteTextChar">
    <w:name w:val="Endnote Text Char"/>
    <w:basedOn w:val="DefaultParagraphFont"/>
    <w:link w:val="EndnoteText"/>
    <w:uiPriority w:val="99"/>
    <w:semiHidden/>
    <w:rsid w:val="00A0420F"/>
    <w:rPr>
      <w:rFonts w:ascii="Calibri" w:hAnsi="Calibri"/>
      <w:sz w:val="20"/>
      <w:szCs w:val="20"/>
    </w:rPr>
  </w:style>
  <w:style w:type="paragraph" w:styleId="EnvelopeAddress">
    <w:name w:val="envelope address"/>
    <w:basedOn w:val="Normal"/>
    <w:uiPriority w:val="99"/>
    <w:semiHidden/>
    <w:rsid w:val="00A0420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0420F"/>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A0420F"/>
    <w:rPr>
      <w:color w:val="800080" w:themeColor="followedHyperlink"/>
      <w:u w:val="single"/>
    </w:rPr>
  </w:style>
  <w:style w:type="character" w:styleId="HTMLAcronym">
    <w:name w:val="HTML Acronym"/>
    <w:basedOn w:val="DefaultParagraphFont"/>
    <w:uiPriority w:val="99"/>
    <w:semiHidden/>
    <w:rsid w:val="00A0420F"/>
  </w:style>
  <w:style w:type="paragraph" w:styleId="HTMLAddress">
    <w:name w:val="HTML Address"/>
    <w:basedOn w:val="Normal"/>
    <w:link w:val="HTMLAddressChar"/>
    <w:uiPriority w:val="99"/>
    <w:semiHidden/>
    <w:rsid w:val="00A0420F"/>
    <w:rPr>
      <w:i/>
      <w:iCs/>
    </w:rPr>
  </w:style>
  <w:style w:type="character" w:customStyle="1" w:styleId="HTMLAddressChar">
    <w:name w:val="HTML Address Char"/>
    <w:basedOn w:val="DefaultParagraphFont"/>
    <w:link w:val="HTMLAddress"/>
    <w:uiPriority w:val="99"/>
    <w:semiHidden/>
    <w:rsid w:val="00A0420F"/>
    <w:rPr>
      <w:rFonts w:ascii="Calibri" w:hAnsi="Calibri"/>
      <w:i/>
      <w:iCs/>
    </w:rPr>
  </w:style>
  <w:style w:type="character" w:styleId="HTMLCite">
    <w:name w:val="HTML Cite"/>
    <w:basedOn w:val="DefaultParagraphFont"/>
    <w:uiPriority w:val="99"/>
    <w:semiHidden/>
    <w:rsid w:val="00A0420F"/>
    <w:rPr>
      <w:i/>
      <w:iCs/>
    </w:rPr>
  </w:style>
  <w:style w:type="character" w:styleId="HTMLCode">
    <w:name w:val="HTML Code"/>
    <w:basedOn w:val="DefaultParagraphFont"/>
    <w:uiPriority w:val="99"/>
    <w:semiHidden/>
    <w:rsid w:val="00A0420F"/>
    <w:rPr>
      <w:rFonts w:ascii="Consolas" w:hAnsi="Consolas" w:cs="Consolas"/>
      <w:sz w:val="20"/>
      <w:szCs w:val="20"/>
    </w:rPr>
  </w:style>
  <w:style w:type="character" w:styleId="HTMLDefinition">
    <w:name w:val="HTML Definition"/>
    <w:basedOn w:val="DefaultParagraphFont"/>
    <w:uiPriority w:val="99"/>
    <w:semiHidden/>
    <w:rsid w:val="00A0420F"/>
    <w:rPr>
      <w:i/>
      <w:iCs/>
    </w:rPr>
  </w:style>
  <w:style w:type="character" w:styleId="HTMLKeyboard">
    <w:name w:val="HTML Keyboard"/>
    <w:basedOn w:val="DefaultParagraphFont"/>
    <w:uiPriority w:val="99"/>
    <w:semiHidden/>
    <w:rsid w:val="00A0420F"/>
    <w:rPr>
      <w:rFonts w:ascii="Consolas" w:hAnsi="Consolas" w:cs="Consolas"/>
      <w:sz w:val="20"/>
      <w:szCs w:val="20"/>
    </w:rPr>
  </w:style>
  <w:style w:type="paragraph" w:styleId="HTMLPreformatted">
    <w:name w:val="HTML Preformatted"/>
    <w:basedOn w:val="Normal"/>
    <w:link w:val="HTMLPreformattedChar"/>
    <w:uiPriority w:val="99"/>
    <w:semiHidden/>
    <w:rsid w:val="00A0420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0420F"/>
    <w:rPr>
      <w:rFonts w:ascii="Consolas" w:hAnsi="Consolas" w:cs="Consolas"/>
      <w:sz w:val="20"/>
      <w:szCs w:val="20"/>
    </w:rPr>
  </w:style>
  <w:style w:type="character" w:styleId="HTMLSample">
    <w:name w:val="HTML Sample"/>
    <w:basedOn w:val="DefaultParagraphFont"/>
    <w:uiPriority w:val="99"/>
    <w:semiHidden/>
    <w:rsid w:val="00A0420F"/>
    <w:rPr>
      <w:rFonts w:ascii="Consolas" w:hAnsi="Consolas" w:cs="Consolas"/>
      <w:sz w:val="24"/>
      <w:szCs w:val="24"/>
    </w:rPr>
  </w:style>
  <w:style w:type="character" w:styleId="HTMLTypewriter">
    <w:name w:val="HTML Typewriter"/>
    <w:basedOn w:val="DefaultParagraphFont"/>
    <w:uiPriority w:val="99"/>
    <w:semiHidden/>
    <w:rsid w:val="00A0420F"/>
    <w:rPr>
      <w:rFonts w:ascii="Consolas" w:hAnsi="Consolas" w:cs="Consolas"/>
      <w:sz w:val="20"/>
      <w:szCs w:val="20"/>
    </w:rPr>
  </w:style>
  <w:style w:type="character" w:styleId="HTMLVariable">
    <w:name w:val="HTML Variable"/>
    <w:basedOn w:val="DefaultParagraphFont"/>
    <w:uiPriority w:val="99"/>
    <w:semiHidden/>
    <w:rsid w:val="00A0420F"/>
    <w:rPr>
      <w:i/>
      <w:iCs/>
    </w:rPr>
  </w:style>
  <w:style w:type="paragraph" w:styleId="Index1">
    <w:name w:val="index 1"/>
    <w:basedOn w:val="Normal"/>
    <w:next w:val="Normal"/>
    <w:autoRedefine/>
    <w:uiPriority w:val="99"/>
    <w:semiHidden/>
    <w:rsid w:val="00A0420F"/>
    <w:pPr>
      <w:ind w:left="220" w:hanging="220"/>
    </w:pPr>
  </w:style>
  <w:style w:type="paragraph" w:styleId="Index2">
    <w:name w:val="index 2"/>
    <w:basedOn w:val="Normal"/>
    <w:next w:val="Normal"/>
    <w:autoRedefine/>
    <w:uiPriority w:val="99"/>
    <w:semiHidden/>
    <w:rsid w:val="00A0420F"/>
    <w:pPr>
      <w:ind w:left="440" w:hanging="220"/>
    </w:pPr>
  </w:style>
  <w:style w:type="paragraph" w:styleId="Index3">
    <w:name w:val="index 3"/>
    <w:basedOn w:val="Normal"/>
    <w:next w:val="Normal"/>
    <w:autoRedefine/>
    <w:uiPriority w:val="99"/>
    <w:semiHidden/>
    <w:rsid w:val="00A0420F"/>
    <w:pPr>
      <w:ind w:left="660" w:hanging="220"/>
    </w:pPr>
  </w:style>
  <w:style w:type="paragraph" w:styleId="Index4">
    <w:name w:val="index 4"/>
    <w:basedOn w:val="Normal"/>
    <w:next w:val="Normal"/>
    <w:autoRedefine/>
    <w:uiPriority w:val="99"/>
    <w:semiHidden/>
    <w:rsid w:val="00A0420F"/>
    <w:pPr>
      <w:ind w:left="880" w:hanging="220"/>
    </w:pPr>
  </w:style>
  <w:style w:type="paragraph" w:styleId="Index5">
    <w:name w:val="index 5"/>
    <w:basedOn w:val="Normal"/>
    <w:next w:val="Normal"/>
    <w:autoRedefine/>
    <w:uiPriority w:val="99"/>
    <w:semiHidden/>
    <w:rsid w:val="00A0420F"/>
    <w:pPr>
      <w:ind w:left="1100" w:hanging="220"/>
    </w:pPr>
  </w:style>
  <w:style w:type="paragraph" w:styleId="Index6">
    <w:name w:val="index 6"/>
    <w:basedOn w:val="Normal"/>
    <w:next w:val="Normal"/>
    <w:autoRedefine/>
    <w:uiPriority w:val="99"/>
    <w:semiHidden/>
    <w:rsid w:val="00A0420F"/>
    <w:pPr>
      <w:ind w:left="1320" w:hanging="220"/>
    </w:pPr>
  </w:style>
  <w:style w:type="paragraph" w:styleId="Index7">
    <w:name w:val="index 7"/>
    <w:basedOn w:val="Normal"/>
    <w:next w:val="Normal"/>
    <w:autoRedefine/>
    <w:uiPriority w:val="99"/>
    <w:semiHidden/>
    <w:rsid w:val="00A0420F"/>
    <w:pPr>
      <w:ind w:left="1540" w:hanging="220"/>
    </w:pPr>
  </w:style>
  <w:style w:type="paragraph" w:styleId="Index8">
    <w:name w:val="index 8"/>
    <w:basedOn w:val="Normal"/>
    <w:next w:val="Normal"/>
    <w:autoRedefine/>
    <w:uiPriority w:val="99"/>
    <w:semiHidden/>
    <w:rsid w:val="00A0420F"/>
    <w:pPr>
      <w:ind w:left="1760" w:hanging="220"/>
    </w:pPr>
  </w:style>
  <w:style w:type="paragraph" w:styleId="Index9">
    <w:name w:val="index 9"/>
    <w:basedOn w:val="Normal"/>
    <w:next w:val="Normal"/>
    <w:autoRedefine/>
    <w:uiPriority w:val="99"/>
    <w:semiHidden/>
    <w:rsid w:val="00A0420F"/>
    <w:pPr>
      <w:ind w:left="1980" w:hanging="220"/>
    </w:pPr>
  </w:style>
  <w:style w:type="paragraph" w:styleId="IndexHeading">
    <w:name w:val="index heading"/>
    <w:basedOn w:val="Normal"/>
    <w:next w:val="Index1"/>
    <w:uiPriority w:val="99"/>
    <w:semiHidden/>
    <w:rsid w:val="00A0420F"/>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A0420F"/>
    <w:rPr>
      <w:b/>
      <w:bCs/>
      <w:i/>
      <w:iCs/>
      <w:color w:val="00728F" w:themeColor="accent1"/>
    </w:rPr>
  </w:style>
  <w:style w:type="paragraph" w:styleId="IntenseQuote">
    <w:name w:val="Intense Quote"/>
    <w:basedOn w:val="Normal"/>
    <w:next w:val="Normal"/>
    <w:link w:val="IntenseQuoteChar"/>
    <w:uiPriority w:val="30"/>
    <w:semiHidden/>
    <w:qFormat/>
    <w:rsid w:val="00A0420F"/>
    <w:pPr>
      <w:pBdr>
        <w:bottom w:val="single" w:sz="4" w:space="4" w:color="00728F" w:themeColor="accent1"/>
      </w:pBdr>
      <w:spacing w:before="200" w:after="280"/>
      <w:ind w:left="936" w:right="936"/>
    </w:pPr>
    <w:rPr>
      <w:b/>
      <w:bCs/>
      <w:i/>
      <w:iCs/>
      <w:color w:val="00728F" w:themeColor="accent1"/>
    </w:rPr>
  </w:style>
  <w:style w:type="character" w:customStyle="1" w:styleId="IntenseQuoteChar">
    <w:name w:val="Intense Quote Char"/>
    <w:basedOn w:val="DefaultParagraphFont"/>
    <w:link w:val="IntenseQuote"/>
    <w:uiPriority w:val="30"/>
    <w:semiHidden/>
    <w:rsid w:val="00A0420F"/>
    <w:rPr>
      <w:rFonts w:ascii="Calibri" w:hAnsi="Calibri"/>
      <w:b/>
      <w:bCs/>
      <w:i/>
      <w:iCs/>
      <w:color w:val="00728F" w:themeColor="accent1"/>
    </w:rPr>
  </w:style>
  <w:style w:type="character" w:styleId="IntenseReference">
    <w:name w:val="Intense Reference"/>
    <w:basedOn w:val="DefaultParagraphFont"/>
    <w:uiPriority w:val="32"/>
    <w:semiHidden/>
    <w:qFormat/>
    <w:rsid w:val="00A0420F"/>
    <w:rPr>
      <w:b/>
      <w:bCs/>
      <w:smallCaps/>
      <w:color w:val="B7DDE8" w:themeColor="accent2"/>
      <w:spacing w:val="5"/>
      <w:u w:val="single"/>
    </w:rPr>
  </w:style>
  <w:style w:type="character" w:styleId="LineNumber">
    <w:name w:val="line number"/>
    <w:basedOn w:val="DefaultParagraphFont"/>
    <w:uiPriority w:val="99"/>
    <w:semiHidden/>
    <w:rsid w:val="00A0420F"/>
  </w:style>
  <w:style w:type="paragraph" w:styleId="List">
    <w:name w:val="List"/>
    <w:basedOn w:val="Normal"/>
    <w:uiPriority w:val="99"/>
    <w:semiHidden/>
    <w:rsid w:val="00A0420F"/>
    <w:pPr>
      <w:ind w:left="283" w:hanging="283"/>
      <w:contextualSpacing/>
    </w:pPr>
  </w:style>
  <w:style w:type="paragraph" w:styleId="List2">
    <w:name w:val="List 2"/>
    <w:basedOn w:val="Normal"/>
    <w:uiPriority w:val="99"/>
    <w:semiHidden/>
    <w:rsid w:val="00A0420F"/>
    <w:pPr>
      <w:ind w:left="566" w:hanging="283"/>
      <w:contextualSpacing/>
    </w:pPr>
  </w:style>
  <w:style w:type="paragraph" w:styleId="List3">
    <w:name w:val="List 3"/>
    <w:basedOn w:val="Normal"/>
    <w:uiPriority w:val="99"/>
    <w:semiHidden/>
    <w:rsid w:val="00A0420F"/>
    <w:pPr>
      <w:ind w:left="849" w:hanging="283"/>
      <w:contextualSpacing/>
    </w:pPr>
  </w:style>
  <w:style w:type="paragraph" w:styleId="List4">
    <w:name w:val="List 4"/>
    <w:basedOn w:val="Normal"/>
    <w:uiPriority w:val="99"/>
    <w:semiHidden/>
    <w:rsid w:val="00A0420F"/>
    <w:pPr>
      <w:ind w:left="1132" w:hanging="283"/>
      <w:contextualSpacing/>
    </w:pPr>
  </w:style>
  <w:style w:type="paragraph" w:styleId="List5">
    <w:name w:val="List 5"/>
    <w:basedOn w:val="Normal"/>
    <w:uiPriority w:val="99"/>
    <w:semiHidden/>
    <w:rsid w:val="00A0420F"/>
    <w:pPr>
      <w:ind w:left="1415" w:hanging="283"/>
      <w:contextualSpacing/>
    </w:pPr>
  </w:style>
  <w:style w:type="paragraph" w:styleId="ListBullet">
    <w:name w:val="List Bullet"/>
    <w:basedOn w:val="Normal"/>
    <w:uiPriority w:val="99"/>
    <w:semiHidden/>
    <w:rsid w:val="00A0420F"/>
    <w:pPr>
      <w:numPr>
        <w:numId w:val="1"/>
      </w:numPr>
      <w:contextualSpacing/>
    </w:pPr>
  </w:style>
  <w:style w:type="paragraph" w:styleId="ListBullet2">
    <w:name w:val="List Bullet 2"/>
    <w:basedOn w:val="Normal"/>
    <w:uiPriority w:val="99"/>
    <w:semiHidden/>
    <w:rsid w:val="00A0420F"/>
    <w:pPr>
      <w:numPr>
        <w:numId w:val="2"/>
      </w:numPr>
      <w:contextualSpacing/>
    </w:pPr>
  </w:style>
  <w:style w:type="paragraph" w:styleId="ListBullet3">
    <w:name w:val="List Bullet 3"/>
    <w:basedOn w:val="Normal"/>
    <w:uiPriority w:val="99"/>
    <w:semiHidden/>
    <w:rsid w:val="00A0420F"/>
    <w:pPr>
      <w:numPr>
        <w:numId w:val="3"/>
      </w:numPr>
      <w:contextualSpacing/>
    </w:pPr>
  </w:style>
  <w:style w:type="paragraph" w:styleId="ListBullet4">
    <w:name w:val="List Bullet 4"/>
    <w:basedOn w:val="Normal"/>
    <w:uiPriority w:val="99"/>
    <w:semiHidden/>
    <w:rsid w:val="00A0420F"/>
    <w:pPr>
      <w:numPr>
        <w:numId w:val="4"/>
      </w:numPr>
      <w:contextualSpacing/>
    </w:pPr>
  </w:style>
  <w:style w:type="paragraph" w:styleId="ListBullet5">
    <w:name w:val="List Bullet 5"/>
    <w:basedOn w:val="Normal"/>
    <w:uiPriority w:val="99"/>
    <w:semiHidden/>
    <w:rsid w:val="00A0420F"/>
    <w:pPr>
      <w:numPr>
        <w:numId w:val="5"/>
      </w:numPr>
      <w:contextualSpacing/>
    </w:pPr>
  </w:style>
  <w:style w:type="paragraph" w:styleId="ListContinue">
    <w:name w:val="List Continue"/>
    <w:basedOn w:val="Normal"/>
    <w:uiPriority w:val="99"/>
    <w:semiHidden/>
    <w:rsid w:val="00A0420F"/>
    <w:pPr>
      <w:spacing w:after="120"/>
      <w:ind w:left="283"/>
      <w:contextualSpacing/>
    </w:pPr>
  </w:style>
  <w:style w:type="paragraph" w:styleId="ListContinue2">
    <w:name w:val="List Continue 2"/>
    <w:basedOn w:val="Normal"/>
    <w:uiPriority w:val="99"/>
    <w:semiHidden/>
    <w:rsid w:val="00A0420F"/>
    <w:pPr>
      <w:spacing w:after="120"/>
      <w:ind w:left="566"/>
      <w:contextualSpacing/>
    </w:pPr>
  </w:style>
  <w:style w:type="paragraph" w:styleId="ListContinue3">
    <w:name w:val="List Continue 3"/>
    <w:basedOn w:val="Normal"/>
    <w:uiPriority w:val="99"/>
    <w:semiHidden/>
    <w:rsid w:val="00A0420F"/>
    <w:pPr>
      <w:spacing w:after="120"/>
      <w:ind w:left="849"/>
      <w:contextualSpacing/>
    </w:pPr>
  </w:style>
  <w:style w:type="paragraph" w:styleId="ListContinue4">
    <w:name w:val="List Continue 4"/>
    <w:basedOn w:val="Normal"/>
    <w:uiPriority w:val="99"/>
    <w:semiHidden/>
    <w:rsid w:val="00A0420F"/>
    <w:pPr>
      <w:spacing w:after="120"/>
      <w:ind w:left="1132"/>
      <w:contextualSpacing/>
    </w:pPr>
  </w:style>
  <w:style w:type="paragraph" w:styleId="ListContinue5">
    <w:name w:val="List Continue 5"/>
    <w:basedOn w:val="Normal"/>
    <w:uiPriority w:val="99"/>
    <w:semiHidden/>
    <w:rsid w:val="00A0420F"/>
    <w:pPr>
      <w:spacing w:after="120"/>
      <w:ind w:left="1415"/>
      <w:contextualSpacing/>
    </w:pPr>
  </w:style>
  <w:style w:type="paragraph" w:styleId="ListNumber">
    <w:name w:val="List Number"/>
    <w:basedOn w:val="Normal"/>
    <w:uiPriority w:val="99"/>
    <w:semiHidden/>
    <w:rsid w:val="00A0420F"/>
    <w:pPr>
      <w:numPr>
        <w:numId w:val="6"/>
      </w:numPr>
      <w:contextualSpacing/>
    </w:pPr>
  </w:style>
  <w:style w:type="paragraph" w:styleId="ListNumber2">
    <w:name w:val="List Number 2"/>
    <w:basedOn w:val="Normal"/>
    <w:uiPriority w:val="99"/>
    <w:semiHidden/>
    <w:rsid w:val="00A0420F"/>
    <w:pPr>
      <w:numPr>
        <w:numId w:val="7"/>
      </w:numPr>
      <w:contextualSpacing/>
    </w:pPr>
  </w:style>
  <w:style w:type="paragraph" w:styleId="ListNumber3">
    <w:name w:val="List Number 3"/>
    <w:basedOn w:val="Normal"/>
    <w:uiPriority w:val="99"/>
    <w:semiHidden/>
    <w:rsid w:val="00A0420F"/>
    <w:pPr>
      <w:numPr>
        <w:numId w:val="8"/>
      </w:numPr>
      <w:contextualSpacing/>
    </w:pPr>
  </w:style>
  <w:style w:type="paragraph" w:styleId="ListNumber4">
    <w:name w:val="List Number 4"/>
    <w:basedOn w:val="Normal"/>
    <w:uiPriority w:val="99"/>
    <w:semiHidden/>
    <w:rsid w:val="00A0420F"/>
    <w:pPr>
      <w:numPr>
        <w:numId w:val="9"/>
      </w:numPr>
      <w:contextualSpacing/>
    </w:pPr>
  </w:style>
  <w:style w:type="paragraph" w:styleId="ListNumber5">
    <w:name w:val="List Number 5"/>
    <w:basedOn w:val="Normal"/>
    <w:uiPriority w:val="99"/>
    <w:semiHidden/>
    <w:rsid w:val="00A0420F"/>
    <w:pPr>
      <w:numPr>
        <w:numId w:val="10"/>
      </w:numPr>
      <w:contextualSpacing/>
    </w:pPr>
  </w:style>
  <w:style w:type="paragraph" w:styleId="ListParagraph">
    <w:name w:val="List Paragraph"/>
    <w:basedOn w:val="Normal"/>
    <w:link w:val="ListParagraphChar"/>
    <w:uiPriority w:val="34"/>
    <w:qFormat/>
    <w:rsid w:val="00A0420F"/>
    <w:pPr>
      <w:ind w:left="720"/>
      <w:contextualSpacing/>
    </w:pPr>
  </w:style>
  <w:style w:type="paragraph" w:styleId="MacroText">
    <w:name w:val="macro"/>
    <w:link w:val="MacroTextChar"/>
    <w:uiPriority w:val="99"/>
    <w:semiHidden/>
    <w:rsid w:val="00A042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A0420F"/>
    <w:rPr>
      <w:rFonts w:ascii="Consolas" w:hAnsi="Consolas" w:cs="Consolas"/>
      <w:sz w:val="20"/>
      <w:szCs w:val="20"/>
    </w:rPr>
  </w:style>
  <w:style w:type="paragraph" w:styleId="MessageHeader">
    <w:name w:val="Message Header"/>
    <w:basedOn w:val="Normal"/>
    <w:link w:val="MessageHeaderChar"/>
    <w:uiPriority w:val="99"/>
    <w:semiHidden/>
    <w:rsid w:val="00A0420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0420F"/>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A0420F"/>
    <w:pPr>
      <w:spacing w:after="0"/>
    </w:pPr>
    <w:rPr>
      <w:rFonts w:ascii="Calibri" w:hAnsi="Calibri"/>
    </w:rPr>
  </w:style>
  <w:style w:type="paragraph" w:styleId="NormalWeb">
    <w:name w:val="Normal (Web)"/>
    <w:basedOn w:val="Normal"/>
    <w:uiPriority w:val="99"/>
    <w:semiHidden/>
    <w:rsid w:val="00A0420F"/>
    <w:rPr>
      <w:rFonts w:ascii="Times New Roman" w:hAnsi="Times New Roman" w:cs="Times New Roman"/>
      <w:sz w:val="24"/>
      <w:szCs w:val="24"/>
    </w:rPr>
  </w:style>
  <w:style w:type="paragraph" w:styleId="NormalIndent">
    <w:name w:val="Normal Indent"/>
    <w:basedOn w:val="Normal"/>
    <w:uiPriority w:val="99"/>
    <w:semiHidden/>
    <w:rsid w:val="00A0420F"/>
    <w:pPr>
      <w:ind w:left="720"/>
    </w:pPr>
  </w:style>
  <w:style w:type="paragraph" w:styleId="NoteHeading">
    <w:name w:val="Note Heading"/>
    <w:basedOn w:val="Normal"/>
    <w:next w:val="Normal"/>
    <w:link w:val="NoteHeadingChar"/>
    <w:uiPriority w:val="99"/>
    <w:semiHidden/>
    <w:rsid w:val="00A0420F"/>
  </w:style>
  <w:style w:type="character" w:customStyle="1" w:styleId="NoteHeadingChar">
    <w:name w:val="Note Heading Char"/>
    <w:basedOn w:val="DefaultParagraphFont"/>
    <w:link w:val="NoteHeading"/>
    <w:uiPriority w:val="99"/>
    <w:semiHidden/>
    <w:rsid w:val="00A0420F"/>
    <w:rPr>
      <w:rFonts w:ascii="Calibri" w:hAnsi="Calibri"/>
    </w:rPr>
  </w:style>
  <w:style w:type="character" w:styleId="PlaceholderText">
    <w:name w:val="Placeholder Text"/>
    <w:basedOn w:val="DefaultParagraphFont"/>
    <w:uiPriority w:val="99"/>
    <w:semiHidden/>
    <w:rsid w:val="00A0420F"/>
    <w:rPr>
      <w:color w:val="808080"/>
    </w:rPr>
  </w:style>
  <w:style w:type="paragraph" w:styleId="PlainText">
    <w:name w:val="Plain Text"/>
    <w:basedOn w:val="Normal"/>
    <w:link w:val="PlainTextChar"/>
    <w:uiPriority w:val="99"/>
    <w:semiHidden/>
    <w:rsid w:val="00A0420F"/>
    <w:rPr>
      <w:rFonts w:ascii="Consolas" w:hAnsi="Consolas" w:cs="Consolas"/>
      <w:sz w:val="21"/>
      <w:szCs w:val="21"/>
    </w:rPr>
  </w:style>
  <w:style w:type="character" w:customStyle="1" w:styleId="PlainTextChar">
    <w:name w:val="Plain Text Char"/>
    <w:basedOn w:val="DefaultParagraphFont"/>
    <w:link w:val="PlainText"/>
    <w:uiPriority w:val="99"/>
    <w:semiHidden/>
    <w:rsid w:val="00A0420F"/>
    <w:rPr>
      <w:rFonts w:ascii="Consolas" w:hAnsi="Consolas" w:cs="Consolas"/>
      <w:sz w:val="21"/>
      <w:szCs w:val="21"/>
    </w:rPr>
  </w:style>
  <w:style w:type="paragraph" w:styleId="Quote">
    <w:name w:val="Quote"/>
    <w:basedOn w:val="Normal"/>
    <w:next w:val="Normal"/>
    <w:link w:val="QuoteChar"/>
    <w:uiPriority w:val="29"/>
    <w:semiHidden/>
    <w:qFormat/>
    <w:rsid w:val="00A0420F"/>
    <w:rPr>
      <w:i/>
      <w:iCs/>
      <w:color w:val="00728F" w:themeColor="text1"/>
    </w:rPr>
  </w:style>
  <w:style w:type="character" w:customStyle="1" w:styleId="QuoteChar">
    <w:name w:val="Quote Char"/>
    <w:basedOn w:val="DefaultParagraphFont"/>
    <w:link w:val="Quote"/>
    <w:uiPriority w:val="29"/>
    <w:semiHidden/>
    <w:rsid w:val="00A0420F"/>
    <w:rPr>
      <w:rFonts w:ascii="Calibri" w:hAnsi="Calibri"/>
      <w:i/>
      <w:iCs/>
      <w:color w:val="00728F" w:themeColor="text1"/>
    </w:rPr>
  </w:style>
  <w:style w:type="paragraph" w:styleId="Salutation">
    <w:name w:val="Salutation"/>
    <w:basedOn w:val="Normal"/>
    <w:next w:val="Normal"/>
    <w:link w:val="SalutationChar"/>
    <w:uiPriority w:val="99"/>
    <w:semiHidden/>
    <w:rsid w:val="00A0420F"/>
  </w:style>
  <w:style w:type="character" w:customStyle="1" w:styleId="SalutationChar">
    <w:name w:val="Salutation Char"/>
    <w:basedOn w:val="DefaultParagraphFont"/>
    <w:link w:val="Salutation"/>
    <w:uiPriority w:val="99"/>
    <w:semiHidden/>
    <w:rsid w:val="00A0420F"/>
    <w:rPr>
      <w:rFonts w:ascii="Calibri" w:hAnsi="Calibri"/>
    </w:rPr>
  </w:style>
  <w:style w:type="paragraph" w:styleId="Signature">
    <w:name w:val="Signature"/>
    <w:basedOn w:val="Normal"/>
    <w:link w:val="SignatureChar"/>
    <w:uiPriority w:val="99"/>
    <w:semiHidden/>
    <w:rsid w:val="00A0420F"/>
    <w:pPr>
      <w:ind w:left="4252"/>
    </w:pPr>
  </w:style>
  <w:style w:type="character" w:customStyle="1" w:styleId="SignatureChar">
    <w:name w:val="Signature Char"/>
    <w:basedOn w:val="DefaultParagraphFont"/>
    <w:link w:val="Signature"/>
    <w:uiPriority w:val="99"/>
    <w:semiHidden/>
    <w:rsid w:val="00A0420F"/>
    <w:rPr>
      <w:rFonts w:ascii="Calibri" w:hAnsi="Calibri"/>
    </w:rPr>
  </w:style>
  <w:style w:type="paragraph" w:styleId="Subtitle">
    <w:name w:val="Subtitle"/>
    <w:basedOn w:val="Normal"/>
    <w:next w:val="Normal"/>
    <w:link w:val="SubtitleChar"/>
    <w:uiPriority w:val="15"/>
    <w:semiHidden/>
    <w:qFormat/>
    <w:rsid w:val="00A0420F"/>
    <w:pPr>
      <w:numPr>
        <w:ilvl w:val="1"/>
      </w:numPr>
      <w:ind w:left="1021" w:hanging="1021"/>
    </w:pPr>
    <w:rPr>
      <w:rFonts w:asciiTheme="majorHAnsi" w:eastAsiaTheme="majorEastAsia" w:hAnsiTheme="majorHAnsi" w:cstheme="majorBidi"/>
      <w:i/>
      <w:iCs/>
      <w:color w:val="00728F" w:themeColor="accent1"/>
      <w:spacing w:val="15"/>
      <w:sz w:val="24"/>
      <w:szCs w:val="24"/>
    </w:rPr>
  </w:style>
  <w:style w:type="character" w:customStyle="1" w:styleId="SubtitleChar">
    <w:name w:val="Subtitle Char"/>
    <w:basedOn w:val="DefaultParagraphFont"/>
    <w:link w:val="Subtitle"/>
    <w:uiPriority w:val="15"/>
    <w:semiHidden/>
    <w:rsid w:val="00A0420F"/>
    <w:rPr>
      <w:rFonts w:asciiTheme="majorHAnsi" w:eastAsiaTheme="majorEastAsia" w:hAnsiTheme="majorHAnsi" w:cstheme="majorBidi"/>
      <w:i/>
      <w:iCs/>
      <w:color w:val="00728F" w:themeColor="accent1"/>
      <w:spacing w:val="15"/>
      <w:sz w:val="24"/>
      <w:szCs w:val="24"/>
    </w:rPr>
  </w:style>
  <w:style w:type="character" w:styleId="SubtleEmphasis">
    <w:name w:val="Subtle Emphasis"/>
    <w:basedOn w:val="DefaultParagraphFont"/>
    <w:uiPriority w:val="19"/>
    <w:semiHidden/>
    <w:qFormat/>
    <w:rsid w:val="00A0420F"/>
    <w:rPr>
      <w:i/>
      <w:iCs/>
      <w:color w:val="48D9FF" w:themeColor="text1" w:themeTint="7F"/>
    </w:rPr>
  </w:style>
  <w:style w:type="character" w:styleId="SubtleReference">
    <w:name w:val="Subtle Reference"/>
    <w:basedOn w:val="DefaultParagraphFont"/>
    <w:uiPriority w:val="31"/>
    <w:semiHidden/>
    <w:qFormat/>
    <w:rsid w:val="00A0420F"/>
    <w:rPr>
      <w:smallCaps/>
      <w:color w:val="B7DDE8" w:themeColor="accent2"/>
      <w:u w:val="single"/>
    </w:rPr>
  </w:style>
  <w:style w:type="table" w:styleId="Table3Deffects1">
    <w:name w:val="Table 3D effects 1"/>
    <w:basedOn w:val="TableNormal"/>
    <w:uiPriority w:val="99"/>
    <w:semiHidden/>
    <w:unhideWhenUsed/>
    <w:rsid w:val="00A0420F"/>
    <w:pPr>
      <w:spacing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0420F"/>
    <w:pPr>
      <w:spacing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0420F"/>
    <w:pPr>
      <w:spacing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0420F"/>
    <w:pPr>
      <w:spacing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0420F"/>
    <w:pPr>
      <w:spacing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0420F"/>
    <w:pPr>
      <w:spacing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0420F"/>
    <w:pPr>
      <w:spacing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uiPriority w:val="99"/>
    <w:semiHidden/>
    <w:unhideWhenUsed/>
    <w:rsid w:val="00A0420F"/>
    <w:pPr>
      <w:spacing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0420F"/>
    <w:pPr>
      <w:spacing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0420F"/>
    <w:pPr>
      <w:spacing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0420F"/>
    <w:pPr>
      <w:spacing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0420F"/>
    <w:pPr>
      <w:spacing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0420F"/>
    <w:pPr>
      <w:spacing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0420F"/>
    <w:pPr>
      <w:spacing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A0420F"/>
    <w:pPr>
      <w:spacing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0420F"/>
    <w:pPr>
      <w:spacing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0420F"/>
    <w:pPr>
      <w:spacing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0420F"/>
    <w:pPr>
      <w:spacing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0420F"/>
    <w:pPr>
      <w:spacing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0420F"/>
    <w:pPr>
      <w:spacing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0420F"/>
    <w:pPr>
      <w:spacing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0420F"/>
    <w:pPr>
      <w:spacing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A0420F"/>
    <w:pPr>
      <w:ind w:left="220" w:hanging="220"/>
    </w:pPr>
  </w:style>
  <w:style w:type="paragraph" w:styleId="TableofFigures">
    <w:name w:val="table of figures"/>
    <w:basedOn w:val="Normal"/>
    <w:next w:val="Normal"/>
    <w:uiPriority w:val="99"/>
    <w:semiHidden/>
    <w:rsid w:val="00A0420F"/>
  </w:style>
  <w:style w:type="table" w:styleId="TableProfessional">
    <w:name w:val="Table Professional"/>
    <w:basedOn w:val="TableNormal"/>
    <w:uiPriority w:val="99"/>
    <w:semiHidden/>
    <w:unhideWhenUsed/>
    <w:rsid w:val="00A0420F"/>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0420F"/>
    <w:pPr>
      <w:spacing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0420F"/>
    <w:pPr>
      <w:spacing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0420F"/>
    <w:pPr>
      <w:spacing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0420F"/>
    <w:pPr>
      <w:spacing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0420F"/>
    <w:pPr>
      <w:spacing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0420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0420F"/>
    <w:pPr>
      <w:spacing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0420F"/>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0420F"/>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A0420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A0420F"/>
    <w:pPr>
      <w:spacing w:after="100"/>
      <w:ind w:left="660"/>
    </w:pPr>
  </w:style>
  <w:style w:type="paragraph" w:styleId="TOC5">
    <w:name w:val="toc 5"/>
    <w:basedOn w:val="Normal"/>
    <w:next w:val="Normal"/>
    <w:autoRedefine/>
    <w:uiPriority w:val="39"/>
    <w:semiHidden/>
    <w:unhideWhenUsed/>
    <w:rsid w:val="00A0420F"/>
    <w:pPr>
      <w:spacing w:after="100"/>
      <w:ind w:left="880"/>
    </w:pPr>
  </w:style>
  <w:style w:type="paragraph" w:styleId="TOC6">
    <w:name w:val="toc 6"/>
    <w:basedOn w:val="Normal"/>
    <w:next w:val="Normal"/>
    <w:autoRedefine/>
    <w:uiPriority w:val="39"/>
    <w:semiHidden/>
    <w:unhideWhenUsed/>
    <w:rsid w:val="00A0420F"/>
    <w:pPr>
      <w:spacing w:after="100"/>
      <w:ind w:left="1100"/>
    </w:pPr>
  </w:style>
  <w:style w:type="paragraph" w:styleId="TOC7">
    <w:name w:val="toc 7"/>
    <w:basedOn w:val="Normal"/>
    <w:next w:val="Normal"/>
    <w:autoRedefine/>
    <w:uiPriority w:val="39"/>
    <w:semiHidden/>
    <w:unhideWhenUsed/>
    <w:rsid w:val="00A0420F"/>
    <w:pPr>
      <w:spacing w:after="100"/>
      <w:ind w:left="1320"/>
    </w:pPr>
  </w:style>
  <w:style w:type="paragraph" w:styleId="TOC8">
    <w:name w:val="toc 8"/>
    <w:basedOn w:val="Normal"/>
    <w:next w:val="Normal"/>
    <w:autoRedefine/>
    <w:uiPriority w:val="39"/>
    <w:semiHidden/>
    <w:unhideWhenUsed/>
    <w:rsid w:val="00A0420F"/>
    <w:pPr>
      <w:spacing w:after="100"/>
      <w:ind w:left="1540"/>
    </w:pPr>
  </w:style>
  <w:style w:type="paragraph" w:styleId="TOC9">
    <w:name w:val="toc 9"/>
    <w:basedOn w:val="Normal"/>
    <w:next w:val="Normal"/>
    <w:autoRedefine/>
    <w:uiPriority w:val="39"/>
    <w:semiHidden/>
    <w:unhideWhenUsed/>
    <w:rsid w:val="00A0420F"/>
    <w:pPr>
      <w:spacing w:after="100"/>
      <w:ind w:left="1760"/>
    </w:pPr>
  </w:style>
  <w:style w:type="paragraph" w:customStyle="1" w:styleId="Definitiontext">
    <w:name w:val="Definition text"/>
    <w:basedOn w:val="BodyText"/>
    <w:uiPriority w:val="20"/>
    <w:qFormat/>
    <w:rsid w:val="00C80837"/>
    <w:pPr>
      <w:spacing w:before="120"/>
    </w:pPr>
  </w:style>
  <w:style w:type="paragraph" w:customStyle="1" w:styleId="Definitionterm">
    <w:name w:val="Definition term"/>
    <w:basedOn w:val="Definitiontext"/>
    <w:next w:val="Definitiontext"/>
    <w:uiPriority w:val="20"/>
    <w:qFormat/>
    <w:rsid w:val="00A34761"/>
    <w:pPr>
      <w:spacing w:before="240" w:after="120"/>
    </w:pPr>
    <w:rPr>
      <w:b/>
    </w:rPr>
  </w:style>
  <w:style w:type="table" w:customStyle="1" w:styleId="ColorfulGrid1">
    <w:name w:val="Colorful Grid1"/>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B5EFFF" w:themeFill="text1" w:themeFillTint="33"/>
    </w:tcPr>
    <w:tblStylePr w:type="firstRow">
      <w:rPr>
        <w:b/>
        <w:bCs/>
      </w:rPr>
      <w:tblPr/>
      <w:tcPr>
        <w:shd w:val="clear" w:color="auto" w:fill="6CE1FF" w:themeFill="text1" w:themeFillTint="66"/>
      </w:tcPr>
    </w:tblStylePr>
    <w:tblStylePr w:type="lastRow">
      <w:rPr>
        <w:b/>
        <w:bCs/>
        <w:color w:val="00728F" w:themeColor="text1"/>
      </w:rPr>
      <w:tblPr/>
      <w:tcPr>
        <w:shd w:val="clear" w:color="auto" w:fill="6CE1FF" w:themeFill="text1" w:themeFillTint="66"/>
      </w:tcPr>
    </w:tblStylePr>
    <w:tblStylePr w:type="firstCol">
      <w:rPr>
        <w:color w:val="FFFFFF" w:themeColor="background1"/>
      </w:rPr>
      <w:tblPr/>
      <w:tcPr>
        <w:shd w:val="clear" w:color="auto" w:fill="00556B" w:themeFill="text1" w:themeFillShade="BF"/>
      </w:tcPr>
    </w:tblStylePr>
    <w:tblStylePr w:type="lastCol">
      <w:rPr>
        <w:color w:val="FFFFFF" w:themeColor="background1"/>
      </w:rPr>
      <w:tblPr/>
      <w:tcPr>
        <w:shd w:val="clear" w:color="auto" w:fill="00556B" w:themeFill="text1" w:themeFillShade="BF"/>
      </w:tcPr>
    </w:tblStylePr>
    <w:tblStylePr w:type="band1Vert">
      <w:tblPr/>
      <w:tcPr>
        <w:shd w:val="clear" w:color="auto" w:fill="48D9FF" w:themeFill="text1" w:themeFillTint="7F"/>
      </w:tcPr>
    </w:tblStylePr>
    <w:tblStylePr w:type="band1Horz">
      <w:tblPr/>
      <w:tcPr>
        <w:shd w:val="clear" w:color="auto" w:fill="48D9FF" w:themeFill="text1" w:themeFillTint="7F"/>
      </w:tcPr>
    </w:tblStylePr>
  </w:style>
  <w:style w:type="table" w:styleId="ColorfulGrid-Accent1">
    <w:name w:val="Colorful Grid Accent 1"/>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B5EFFF" w:themeFill="accent1" w:themeFillTint="33"/>
    </w:tcPr>
    <w:tblStylePr w:type="firstRow">
      <w:rPr>
        <w:b/>
        <w:bCs/>
      </w:rPr>
      <w:tblPr/>
      <w:tcPr>
        <w:shd w:val="clear" w:color="auto" w:fill="6CE1FF" w:themeFill="accent1" w:themeFillTint="66"/>
      </w:tcPr>
    </w:tblStylePr>
    <w:tblStylePr w:type="lastRow">
      <w:rPr>
        <w:b/>
        <w:bCs/>
        <w:color w:val="00728F" w:themeColor="text1"/>
      </w:rPr>
      <w:tblPr/>
      <w:tcPr>
        <w:shd w:val="clear" w:color="auto" w:fill="6CE1FF" w:themeFill="accent1" w:themeFillTint="66"/>
      </w:tcPr>
    </w:tblStylePr>
    <w:tblStylePr w:type="firstCol">
      <w:rPr>
        <w:color w:val="FFFFFF" w:themeColor="background1"/>
      </w:rPr>
      <w:tblPr/>
      <w:tcPr>
        <w:shd w:val="clear" w:color="auto" w:fill="00556B" w:themeFill="accent1" w:themeFillShade="BF"/>
      </w:tcPr>
    </w:tblStylePr>
    <w:tblStylePr w:type="lastCol">
      <w:rPr>
        <w:color w:val="FFFFFF" w:themeColor="background1"/>
      </w:rPr>
      <w:tblPr/>
      <w:tcPr>
        <w:shd w:val="clear" w:color="auto" w:fill="00556B" w:themeFill="accent1" w:themeFillShade="BF"/>
      </w:tcPr>
    </w:tblStylePr>
    <w:tblStylePr w:type="band1Vert">
      <w:tblPr/>
      <w:tcPr>
        <w:shd w:val="clear" w:color="auto" w:fill="48D9FF" w:themeFill="accent1" w:themeFillTint="7F"/>
      </w:tcPr>
    </w:tblStylePr>
    <w:tblStylePr w:type="band1Horz">
      <w:tblPr/>
      <w:tcPr>
        <w:shd w:val="clear" w:color="auto" w:fill="48D9FF" w:themeFill="accent1" w:themeFillTint="7F"/>
      </w:tcPr>
    </w:tblStylePr>
  </w:style>
  <w:style w:type="table" w:styleId="ColorfulGrid-Accent2">
    <w:name w:val="Colorful Grid Accent 2"/>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F0F8FA" w:themeFill="accent2" w:themeFillTint="33"/>
    </w:tcPr>
    <w:tblStylePr w:type="firstRow">
      <w:rPr>
        <w:b/>
        <w:bCs/>
      </w:rPr>
      <w:tblPr/>
      <w:tcPr>
        <w:shd w:val="clear" w:color="auto" w:fill="E2F1F5" w:themeFill="accent2" w:themeFillTint="66"/>
      </w:tcPr>
    </w:tblStylePr>
    <w:tblStylePr w:type="lastRow">
      <w:rPr>
        <w:b/>
        <w:bCs/>
        <w:color w:val="00728F" w:themeColor="text1"/>
      </w:rPr>
      <w:tblPr/>
      <w:tcPr>
        <w:shd w:val="clear" w:color="auto" w:fill="E2F1F5" w:themeFill="accent2" w:themeFillTint="66"/>
      </w:tcPr>
    </w:tblStylePr>
    <w:tblStylePr w:type="firstCol">
      <w:rPr>
        <w:color w:val="FFFFFF" w:themeColor="background1"/>
      </w:rPr>
      <w:tblPr/>
      <w:tcPr>
        <w:shd w:val="clear" w:color="auto" w:fill="67B7CE" w:themeFill="accent2" w:themeFillShade="BF"/>
      </w:tcPr>
    </w:tblStylePr>
    <w:tblStylePr w:type="lastCol">
      <w:rPr>
        <w:color w:val="FFFFFF" w:themeColor="background1"/>
      </w:rPr>
      <w:tblPr/>
      <w:tcPr>
        <w:shd w:val="clear" w:color="auto" w:fill="67B7CE" w:themeFill="accent2" w:themeFillShade="BF"/>
      </w:tcPr>
    </w:tblStylePr>
    <w:tblStylePr w:type="band1Vert">
      <w:tblPr/>
      <w:tcPr>
        <w:shd w:val="clear" w:color="auto" w:fill="DBEEF3" w:themeFill="accent2" w:themeFillTint="7F"/>
      </w:tcPr>
    </w:tblStylePr>
    <w:tblStylePr w:type="band1Horz">
      <w:tblPr/>
      <w:tcPr>
        <w:shd w:val="clear" w:color="auto" w:fill="DBEEF3" w:themeFill="accent2" w:themeFillTint="7F"/>
      </w:tcPr>
    </w:tblStylePr>
  </w:style>
  <w:style w:type="table" w:styleId="ColorfulGrid-Accent3">
    <w:name w:val="Colorful Grid Accent 3"/>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F7FBFC" w:themeFill="accent3" w:themeFillTint="33"/>
    </w:tcPr>
    <w:tblStylePr w:type="firstRow">
      <w:rPr>
        <w:b/>
        <w:bCs/>
      </w:rPr>
      <w:tblPr/>
      <w:tcPr>
        <w:shd w:val="clear" w:color="auto" w:fill="F0F8FA" w:themeFill="accent3" w:themeFillTint="66"/>
      </w:tcPr>
    </w:tblStylePr>
    <w:tblStylePr w:type="lastRow">
      <w:rPr>
        <w:b/>
        <w:bCs/>
        <w:color w:val="00728F" w:themeColor="text1"/>
      </w:rPr>
      <w:tblPr/>
      <w:tcPr>
        <w:shd w:val="clear" w:color="auto" w:fill="F0F8FA" w:themeFill="accent3" w:themeFillTint="66"/>
      </w:tcPr>
    </w:tblStylePr>
    <w:tblStylePr w:type="firstCol">
      <w:rPr>
        <w:color w:val="FFFFFF" w:themeColor="background1"/>
      </w:rPr>
      <w:tblPr/>
      <w:tcPr>
        <w:shd w:val="clear" w:color="auto" w:fill="84C4D6" w:themeFill="accent3" w:themeFillShade="BF"/>
      </w:tcPr>
    </w:tblStylePr>
    <w:tblStylePr w:type="lastCol">
      <w:rPr>
        <w:color w:val="FFFFFF" w:themeColor="background1"/>
      </w:rPr>
      <w:tblPr/>
      <w:tcPr>
        <w:shd w:val="clear" w:color="auto" w:fill="84C4D6" w:themeFill="accent3" w:themeFillShade="BF"/>
      </w:tcPr>
    </w:tblStylePr>
    <w:tblStylePr w:type="band1Vert">
      <w:tblPr/>
      <w:tcPr>
        <w:shd w:val="clear" w:color="auto" w:fill="EDF6F9" w:themeFill="accent3" w:themeFillTint="7F"/>
      </w:tcPr>
    </w:tblStylePr>
    <w:tblStylePr w:type="band1Horz">
      <w:tblPr/>
      <w:tcPr>
        <w:shd w:val="clear" w:color="auto" w:fill="EDF6F9" w:themeFill="accent3" w:themeFillTint="7F"/>
      </w:tcPr>
    </w:tblStylePr>
  </w:style>
  <w:style w:type="table" w:styleId="ColorfulGrid-Accent4">
    <w:name w:val="Colorful Grid Accent 4"/>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E9F4F8" w:themeFill="accent4" w:themeFillTint="33"/>
    </w:tcPr>
    <w:tblStylePr w:type="firstRow">
      <w:rPr>
        <w:b/>
        <w:bCs/>
      </w:rPr>
      <w:tblPr/>
      <w:tcPr>
        <w:shd w:val="clear" w:color="auto" w:fill="D3EAF1" w:themeFill="accent4" w:themeFillTint="66"/>
      </w:tcPr>
    </w:tblStylePr>
    <w:tblStylePr w:type="lastRow">
      <w:rPr>
        <w:b/>
        <w:bCs/>
        <w:color w:val="00728F" w:themeColor="text1"/>
      </w:rPr>
      <w:tblPr/>
      <w:tcPr>
        <w:shd w:val="clear" w:color="auto" w:fill="D3EAF1" w:themeFill="accent4" w:themeFillTint="66"/>
      </w:tcPr>
    </w:tblStylePr>
    <w:tblStylePr w:type="firstCol">
      <w:rPr>
        <w:color w:val="FFFFFF" w:themeColor="background1"/>
      </w:rPr>
      <w:tblPr/>
      <w:tcPr>
        <w:shd w:val="clear" w:color="auto" w:fill="4CACC5" w:themeFill="accent4" w:themeFillShade="BF"/>
      </w:tcPr>
    </w:tblStylePr>
    <w:tblStylePr w:type="lastCol">
      <w:rPr>
        <w:color w:val="FFFFFF" w:themeColor="background1"/>
      </w:rPr>
      <w:tblPr/>
      <w:tcPr>
        <w:shd w:val="clear" w:color="auto" w:fill="4CACC5" w:themeFill="accent4" w:themeFillShade="BF"/>
      </w:tcPr>
    </w:tblStylePr>
    <w:tblStylePr w:type="band1Vert">
      <w:tblPr/>
      <w:tcPr>
        <w:shd w:val="clear" w:color="auto" w:fill="C8E5ED" w:themeFill="accent4" w:themeFillTint="7F"/>
      </w:tcPr>
    </w:tblStylePr>
    <w:tblStylePr w:type="band1Horz">
      <w:tblPr/>
      <w:tcPr>
        <w:shd w:val="clear" w:color="auto" w:fill="C8E5ED" w:themeFill="accent4" w:themeFillTint="7F"/>
      </w:tcPr>
    </w:tblStylePr>
  </w:style>
  <w:style w:type="table" w:styleId="ColorfulGrid-Accent5">
    <w:name w:val="Colorful Grid Accent 5"/>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D0E9F0" w:themeFill="accent5" w:themeFillTint="33"/>
    </w:tcPr>
    <w:tblStylePr w:type="firstRow">
      <w:rPr>
        <w:b/>
        <w:bCs/>
      </w:rPr>
      <w:tblPr/>
      <w:tcPr>
        <w:shd w:val="clear" w:color="auto" w:fill="A1D4E1" w:themeFill="accent5" w:themeFillTint="66"/>
      </w:tcPr>
    </w:tblStylePr>
    <w:tblStylePr w:type="lastRow">
      <w:rPr>
        <w:b/>
        <w:bCs/>
        <w:color w:val="00728F" w:themeColor="text1"/>
      </w:rPr>
      <w:tblPr/>
      <w:tcPr>
        <w:shd w:val="clear" w:color="auto" w:fill="A1D4E1" w:themeFill="accent5" w:themeFillTint="66"/>
      </w:tcPr>
    </w:tblStylePr>
    <w:tblStylePr w:type="firstCol">
      <w:rPr>
        <w:color w:val="FFFFFF" w:themeColor="background1"/>
      </w:rPr>
      <w:tblPr/>
      <w:tcPr>
        <w:shd w:val="clear" w:color="auto" w:fill="246373" w:themeFill="accent5" w:themeFillShade="BF"/>
      </w:tcPr>
    </w:tblStylePr>
    <w:tblStylePr w:type="lastCol">
      <w:rPr>
        <w:color w:val="FFFFFF" w:themeColor="background1"/>
      </w:rPr>
      <w:tblPr/>
      <w:tcPr>
        <w:shd w:val="clear" w:color="auto" w:fill="246373" w:themeFill="accent5" w:themeFillShade="BF"/>
      </w:tcPr>
    </w:tblStylePr>
    <w:tblStylePr w:type="band1Vert">
      <w:tblPr/>
      <w:tcPr>
        <w:shd w:val="clear" w:color="auto" w:fill="8BC9DA" w:themeFill="accent5" w:themeFillTint="7F"/>
      </w:tcPr>
    </w:tblStylePr>
    <w:tblStylePr w:type="band1Horz">
      <w:tblPr/>
      <w:tcPr>
        <w:shd w:val="clear" w:color="auto" w:fill="8BC9DA" w:themeFill="accent5" w:themeFillTint="7F"/>
      </w:tcPr>
    </w:tblStylePr>
  </w:style>
  <w:style w:type="table" w:styleId="ColorfulGrid-Accent6">
    <w:name w:val="Colorful Grid Accent 6"/>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DFF0F5" w:themeFill="accent6" w:themeFillTint="33"/>
    </w:tcPr>
    <w:tblStylePr w:type="firstRow">
      <w:rPr>
        <w:b/>
        <w:bCs/>
      </w:rPr>
      <w:tblPr/>
      <w:tcPr>
        <w:shd w:val="clear" w:color="auto" w:fill="C0E2EB" w:themeFill="accent6" w:themeFillTint="66"/>
      </w:tcPr>
    </w:tblStylePr>
    <w:tblStylePr w:type="lastRow">
      <w:rPr>
        <w:b/>
        <w:bCs/>
        <w:color w:val="00728F" w:themeColor="text1"/>
      </w:rPr>
      <w:tblPr/>
      <w:tcPr>
        <w:shd w:val="clear" w:color="auto" w:fill="C0E2EB" w:themeFill="accent6" w:themeFillTint="66"/>
      </w:tcPr>
    </w:tblStylePr>
    <w:tblStylePr w:type="firstCol">
      <w:rPr>
        <w:color w:val="FFFFFF" w:themeColor="background1"/>
      </w:rPr>
      <w:tblPr/>
      <w:tcPr>
        <w:shd w:val="clear" w:color="auto" w:fill="3795AD" w:themeFill="accent6" w:themeFillShade="BF"/>
      </w:tcPr>
    </w:tblStylePr>
    <w:tblStylePr w:type="lastCol">
      <w:rPr>
        <w:color w:val="FFFFFF" w:themeColor="background1"/>
      </w:rPr>
      <w:tblPr/>
      <w:tcPr>
        <w:shd w:val="clear" w:color="auto" w:fill="3795AD" w:themeFill="accent6" w:themeFillShade="BF"/>
      </w:tcPr>
    </w:tblStylePr>
    <w:tblStylePr w:type="band1Vert">
      <w:tblPr/>
      <w:tcPr>
        <w:shd w:val="clear" w:color="auto" w:fill="B1DBE6" w:themeFill="accent6" w:themeFillTint="7F"/>
      </w:tcPr>
    </w:tblStylePr>
    <w:tblStylePr w:type="band1Horz">
      <w:tblPr/>
      <w:tcPr>
        <w:shd w:val="clear" w:color="auto" w:fill="B1DBE6" w:themeFill="accent6" w:themeFillTint="7F"/>
      </w:tcPr>
    </w:tblStylePr>
  </w:style>
  <w:style w:type="table" w:customStyle="1" w:styleId="ColorfulList1">
    <w:name w:val="Colorful List1"/>
    <w:basedOn w:val="TableNormal"/>
    <w:uiPriority w:val="99"/>
    <w:semiHidden/>
    <w:rsid w:val="00361DEB"/>
    <w:pPr>
      <w:spacing w:after="0"/>
    </w:pPr>
    <w:rPr>
      <w:color w:val="00728F" w:themeColor="text1"/>
    </w:rPr>
    <w:tblPr>
      <w:tblStyleRowBandSize w:val="1"/>
      <w:tblStyleColBandSize w:val="1"/>
    </w:tblPr>
    <w:tcPr>
      <w:shd w:val="clear" w:color="auto" w:fill="DBF7FF" w:themeFill="text1" w:themeFillTint="19"/>
    </w:tcPr>
    <w:tblStylePr w:type="firstRow">
      <w:rPr>
        <w:b/>
        <w:bCs/>
        <w:color w:val="FFFFFF" w:themeColor="background1"/>
      </w:rPr>
      <w:tblPr/>
      <w:tcPr>
        <w:tcBorders>
          <w:bottom w:val="single" w:sz="12" w:space="0" w:color="FFFFFF" w:themeColor="background1"/>
        </w:tcBorders>
        <w:shd w:val="clear" w:color="auto" w:fill="78BFD4" w:themeFill="accent2" w:themeFillShade="CC"/>
      </w:tcPr>
    </w:tblStylePr>
    <w:tblStylePr w:type="lastRow">
      <w:rPr>
        <w:b/>
        <w:bCs/>
        <w:color w:val="78BFD4" w:themeColor="accent2"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ECFF" w:themeFill="text1" w:themeFillTint="3F"/>
      </w:tcPr>
    </w:tblStylePr>
    <w:tblStylePr w:type="band1Horz">
      <w:tblPr/>
      <w:tcPr>
        <w:shd w:val="clear" w:color="auto" w:fill="B5EFFF" w:themeFill="text1" w:themeFillTint="33"/>
      </w:tcPr>
    </w:tblStylePr>
  </w:style>
  <w:style w:type="table" w:styleId="ColorfulList-Accent1">
    <w:name w:val="Colorful List Accent 1"/>
    <w:basedOn w:val="TableNormal"/>
    <w:uiPriority w:val="99"/>
    <w:semiHidden/>
    <w:rsid w:val="00361DEB"/>
    <w:pPr>
      <w:spacing w:after="0"/>
    </w:pPr>
    <w:rPr>
      <w:color w:val="00728F" w:themeColor="text1"/>
    </w:rPr>
    <w:tblPr>
      <w:tblStyleRowBandSize w:val="1"/>
      <w:tblStyleColBandSize w:val="1"/>
    </w:tblPr>
    <w:tcPr>
      <w:shd w:val="clear" w:color="auto" w:fill="DBF7FF" w:themeFill="accent1" w:themeFillTint="19"/>
    </w:tcPr>
    <w:tblStylePr w:type="firstRow">
      <w:rPr>
        <w:b/>
        <w:bCs/>
        <w:color w:val="FFFFFF" w:themeColor="background1"/>
      </w:rPr>
      <w:tblPr/>
      <w:tcPr>
        <w:tcBorders>
          <w:bottom w:val="single" w:sz="12" w:space="0" w:color="FFFFFF" w:themeColor="background1"/>
        </w:tcBorders>
        <w:shd w:val="clear" w:color="auto" w:fill="78BFD4" w:themeFill="accent2" w:themeFillShade="CC"/>
      </w:tcPr>
    </w:tblStylePr>
    <w:tblStylePr w:type="lastRow">
      <w:rPr>
        <w:b/>
        <w:bCs/>
        <w:color w:val="78BFD4" w:themeColor="accent2"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ECFF" w:themeFill="accent1" w:themeFillTint="3F"/>
      </w:tcPr>
    </w:tblStylePr>
    <w:tblStylePr w:type="band1Horz">
      <w:tblPr/>
      <w:tcPr>
        <w:shd w:val="clear" w:color="auto" w:fill="B5EFFF" w:themeFill="accent1" w:themeFillTint="33"/>
      </w:tcPr>
    </w:tblStylePr>
  </w:style>
  <w:style w:type="table" w:styleId="ColorfulList-Accent2">
    <w:name w:val="Colorful List Accent 2"/>
    <w:basedOn w:val="TableNormal"/>
    <w:uiPriority w:val="99"/>
    <w:semiHidden/>
    <w:rsid w:val="00361DEB"/>
    <w:pPr>
      <w:spacing w:after="0"/>
    </w:pPr>
    <w:rPr>
      <w:color w:val="00728F" w:themeColor="text1"/>
    </w:rPr>
    <w:tblPr>
      <w:tblStyleRowBandSize w:val="1"/>
      <w:tblStyleColBandSize w:val="1"/>
    </w:tblPr>
    <w:tcPr>
      <w:shd w:val="clear" w:color="auto" w:fill="F7FBFC" w:themeFill="accent2" w:themeFillTint="19"/>
    </w:tcPr>
    <w:tblStylePr w:type="firstRow">
      <w:rPr>
        <w:b/>
        <w:bCs/>
        <w:color w:val="FFFFFF" w:themeColor="background1"/>
      </w:rPr>
      <w:tblPr/>
      <w:tcPr>
        <w:tcBorders>
          <w:bottom w:val="single" w:sz="12" w:space="0" w:color="FFFFFF" w:themeColor="background1"/>
        </w:tcBorders>
        <w:shd w:val="clear" w:color="auto" w:fill="78BFD4" w:themeFill="accent2" w:themeFillShade="CC"/>
      </w:tcPr>
    </w:tblStylePr>
    <w:tblStylePr w:type="lastRow">
      <w:rPr>
        <w:b/>
        <w:bCs/>
        <w:color w:val="78BFD4" w:themeColor="accent2"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6F9" w:themeFill="accent2" w:themeFillTint="3F"/>
      </w:tcPr>
    </w:tblStylePr>
    <w:tblStylePr w:type="band1Horz">
      <w:tblPr/>
      <w:tcPr>
        <w:shd w:val="clear" w:color="auto" w:fill="F0F8FA" w:themeFill="accent2" w:themeFillTint="33"/>
      </w:tcPr>
    </w:tblStylePr>
  </w:style>
  <w:style w:type="table" w:styleId="ColorfulList-Accent3">
    <w:name w:val="Colorful List Accent 3"/>
    <w:basedOn w:val="TableNormal"/>
    <w:uiPriority w:val="99"/>
    <w:semiHidden/>
    <w:rsid w:val="00361DEB"/>
    <w:pPr>
      <w:spacing w:after="0"/>
    </w:pPr>
    <w:rPr>
      <w:color w:val="00728F" w:themeColor="text1"/>
    </w:rPr>
    <w:tblPr>
      <w:tblStyleRowBandSize w:val="1"/>
      <w:tblStyleColBandSize w:val="1"/>
    </w:tblPr>
    <w:tcPr>
      <w:shd w:val="clear" w:color="auto" w:fill="FBFDFD" w:themeFill="accent3" w:themeFillTint="19"/>
    </w:tcPr>
    <w:tblStylePr w:type="firstRow">
      <w:rPr>
        <w:b/>
        <w:bCs/>
        <w:color w:val="FFFFFF" w:themeColor="background1"/>
      </w:rPr>
      <w:tblPr/>
      <w:tcPr>
        <w:tcBorders>
          <w:bottom w:val="single" w:sz="12" w:space="0" w:color="FFFFFF" w:themeColor="background1"/>
        </w:tcBorders>
        <w:shd w:val="clear" w:color="auto" w:fill="5AB3CA" w:themeFill="accent4" w:themeFillShade="CC"/>
      </w:tcPr>
    </w:tblStylePr>
    <w:tblStylePr w:type="lastRow">
      <w:rPr>
        <w:b/>
        <w:bCs/>
        <w:color w:val="5AB3CA" w:themeColor="accent4"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AFC" w:themeFill="accent3" w:themeFillTint="3F"/>
      </w:tcPr>
    </w:tblStylePr>
    <w:tblStylePr w:type="band1Horz">
      <w:tblPr/>
      <w:tcPr>
        <w:shd w:val="clear" w:color="auto" w:fill="F7FBFC" w:themeFill="accent3" w:themeFillTint="33"/>
      </w:tcPr>
    </w:tblStylePr>
  </w:style>
  <w:style w:type="table" w:styleId="ColorfulList-Accent4">
    <w:name w:val="Colorful List Accent 4"/>
    <w:basedOn w:val="TableNormal"/>
    <w:uiPriority w:val="99"/>
    <w:semiHidden/>
    <w:rsid w:val="00361DEB"/>
    <w:pPr>
      <w:spacing w:after="0"/>
    </w:pPr>
    <w:rPr>
      <w:color w:val="00728F" w:themeColor="text1"/>
    </w:rPr>
    <w:tblPr>
      <w:tblStyleRowBandSize w:val="1"/>
      <w:tblStyleColBandSize w:val="1"/>
    </w:tblPr>
    <w:tcPr>
      <w:shd w:val="clear" w:color="auto" w:fill="F4FAFB" w:themeFill="accent4" w:themeFillTint="19"/>
    </w:tcPr>
    <w:tblStylePr w:type="firstRow">
      <w:rPr>
        <w:b/>
        <w:bCs/>
        <w:color w:val="FFFFFF" w:themeColor="background1"/>
      </w:rPr>
      <w:tblPr/>
      <w:tcPr>
        <w:tcBorders>
          <w:bottom w:val="single" w:sz="12" w:space="0" w:color="FFFFFF" w:themeColor="background1"/>
        </w:tcBorders>
        <w:shd w:val="clear" w:color="auto" w:fill="95CCDB" w:themeFill="accent3" w:themeFillShade="CC"/>
      </w:tcPr>
    </w:tblStylePr>
    <w:tblStylePr w:type="lastRow">
      <w:rPr>
        <w:b/>
        <w:bCs/>
        <w:color w:val="95CCDB" w:themeColor="accent3"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2F6" w:themeFill="accent4" w:themeFillTint="3F"/>
      </w:tcPr>
    </w:tblStylePr>
    <w:tblStylePr w:type="band1Horz">
      <w:tblPr/>
      <w:tcPr>
        <w:shd w:val="clear" w:color="auto" w:fill="E9F4F8" w:themeFill="accent4" w:themeFillTint="33"/>
      </w:tcPr>
    </w:tblStylePr>
  </w:style>
  <w:style w:type="table" w:styleId="ColorfulList-Accent5">
    <w:name w:val="Colorful List Accent 5"/>
    <w:basedOn w:val="TableNormal"/>
    <w:uiPriority w:val="99"/>
    <w:semiHidden/>
    <w:rsid w:val="00361DEB"/>
    <w:pPr>
      <w:spacing w:after="0"/>
    </w:pPr>
    <w:rPr>
      <w:color w:val="00728F" w:themeColor="text1"/>
    </w:rPr>
    <w:tblPr>
      <w:tblStyleRowBandSize w:val="1"/>
      <w:tblStyleColBandSize w:val="1"/>
    </w:tblPr>
    <w:tcPr>
      <w:shd w:val="clear" w:color="auto" w:fill="E8F4F7" w:themeFill="accent5" w:themeFillTint="19"/>
    </w:tcPr>
    <w:tblStylePr w:type="firstRow">
      <w:rPr>
        <w:b/>
        <w:bCs/>
        <w:color w:val="FFFFFF" w:themeColor="background1"/>
      </w:rPr>
      <w:tblPr/>
      <w:tcPr>
        <w:tcBorders>
          <w:bottom w:val="single" w:sz="12" w:space="0" w:color="FFFFFF" w:themeColor="background1"/>
        </w:tcBorders>
        <w:shd w:val="clear" w:color="auto" w:fill="3A9FB9" w:themeFill="accent6" w:themeFillShade="CC"/>
      </w:tcPr>
    </w:tblStylePr>
    <w:tblStylePr w:type="lastRow">
      <w:rPr>
        <w:b/>
        <w:bCs/>
        <w:color w:val="3A9FB9" w:themeColor="accent6"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4EC" w:themeFill="accent5" w:themeFillTint="3F"/>
      </w:tcPr>
    </w:tblStylePr>
    <w:tblStylePr w:type="band1Horz">
      <w:tblPr/>
      <w:tcPr>
        <w:shd w:val="clear" w:color="auto" w:fill="D0E9F0" w:themeFill="accent5" w:themeFillTint="33"/>
      </w:tcPr>
    </w:tblStylePr>
  </w:style>
  <w:style w:type="table" w:styleId="ColorfulList-Accent6">
    <w:name w:val="Colorful List Accent 6"/>
    <w:basedOn w:val="TableNormal"/>
    <w:uiPriority w:val="99"/>
    <w:semiHidden/>
    <w:rsid w:val="00361DEB"/>
    <w:pPr>
      <w:spacing w:after="0"/>
    </w:pPr>
    <w:rPr>
      <w:color w:val="00728F" w:themeColor="text1"/>
    </w:rPr>
    <w:tblPr>
      <w:tblStyleRowBandSize w:val="1"/>
      <w:tblStyleColBandSize w:val="1"/>
    </w:tblPr>
    <w:tcPr>
      <w:shd w:val="clear" w:color="auto" w:fill="EFF8FA" w:themeFill="accent6" w:themeFillTint="19"/>
    </w:tcPr>
    <w:tblStylePr w:type="firstRow">
      <w:rPr>
        <w:b/>
        <w:bCs/>
        <w:color w:val="FFFFFF" w:themeColor="background1"/>
      </w:rPr>
      <w:tblPr/>
      <w:tcPr>
        <w:tcBorders>
          <w:bottom w:val="single" w:sz="12" w:space="0" w:color="FFFFFF" w:themeColor="background1"/>
        </w:tcBorders>
        <w:shd w:val="clear" w:color="auto" w:fill="276A7B" w:themeFill="accent5" w:themeFillShade="CC"/>
      </w:tcPr>
    </w:tblStylePr>
    <w:tblStylePr w:type="lastRow">
      <w:rPr>
        <w:b/>
        <w:bCs/>
        <w:color w:val="276A7B" w:themeColor="accent5"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DF2" w:themeFill="accent6" w:themeFillTint="3F"/>
      </w:tcPr>
    </w:tblStylePr>
    <w:tblStylePr w:type="band1Horz">
      <w:tblPr/>
      <w:tcPr>
        <w:shd w:val="clear" w:color="auto" w:fill="DFF0F5" w:themeFill="accent6" w:themeFillTint="33"/>
      </w:tcPr>
    </w:tblStylePr>
  </w:style>
  <w:style w:type="table" w:customStyle="1" w:styleId="ColorfulShading1">
    <w:name w:val="Colorful Shading1"/>
    <w:basedOn w:val="TableNormal"/>
    <w:uiPriority w:val="99"/>
    <w:semiHidden/>
    <w:rsid w:val="00361DEB"/>
    <w:pPr>
      <w:spacing w:after="0"/>
    </w:pPr>
    <w:rPr>
      <w:color w:val="00728F" w:themeColor="text1"/>
    </w:rPr>
    <w:tblPr>
      <w:tblStyleRowBandSize w:val="1"/>
      <w:tblStyleColBandSize w:val="1"/>
      <w:tblBorders>
        <w:top w:val="single" w:sz="24" w:space="0" w:color="B7DDE8" w:themeColor="accent2"/>
        <w:left w:val="single" w:sz="4" w:space="0" w:color="00728F" w:themeColor="text1"/>
        <w:bottom w:val="single" w:sz="4" w:space="0" w:color="00728F" w:themeColor="text1"/>
        <w:right w:val="single" w:sz="4" w:space="0" w:color="00728F" w:themeColor="text1"/>
        <w:insideH w:val="single" w:sz="4" w:space="0" w:color="FFFFFF" w:themeColor="background1"/>
        <w:insideV w:val="single" w:sz="4" w:space="0" w:color="FFFFFF" w:themeColor="background1"/>
      </w:tblBorders>
    </w:tblPr>
    <w:tcPr>
      <w:shd w:val="clear" w:color="auto" w:fill="DBF7FF" w:themeFill="text1" w:themeFillTint="19"/>
    </w:tcPr>
    <w:tblStylePr w:type="firstRow">
      <w:rPr>
        <w:b/>
        <w:bCs/>
      </w:rPr>
      <w:tblPr/>
      <w:tcPr>
        <w:tcBorders>
          <w:top w:val="nil"/>
          <w:left w:val="nil"/>
          <w:bottom w:val="single" w:sz="24" w:space="0" w:color="B7DD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55" w:themeFill="text1" w:themeFillShade="99"/>
      </w:tcPr>
    </w:tblStylePr>
    <w:tblStylePr w:type="firstCol">
      <w:rPr>
        <w:color w:val="FFFFFF" w:themeColor="background1"/>
      </w:rPr>
      <w:tblPr/>
      <w:tcPr>
        <w:tcBorders>
          <w:top w:val="nil"/>
          <w:left w:val="nil"/>
          <w:bottom w:val="nil"/>
          <w:right w:val="nil"/>
          <w:insideH w:val="single" w:sz="4" w:space="0" w:color="004455" w:themeColor="text1" w:themeShade="99"/>
          <w:insideV w:val="nil"/>
        </w:tcBorders>
        <w:shd w:val="clear" w:color="auto" w:fill="00445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556B" w:themeFill="text1" w:themeFillShade="BF"/>
      </w:tcPr>
    </w:tblStylePr>
    <w:tblStylePr w:type="band1Vert">
      <w:tblPr/>
      <w:tcPr>
        <w:shd w:val="clear" w:color="auto" w:fill="6CE1FF" w:themeFill="text1" w:themeFillTint="66"/>
      </w:tcPr>
    </w:tblStylePr>
    <w:tblStylePr w:type="band1Horz">
      <w:tblPr/>
      <w:tcPr>
        <w:shd w:val="clear" w:color="auto" w:fill="48D9FF" w:themeFill="text1" w:themeFillTint="7F"/>
      </w:tcPr>
    </w:tblStylePr>
    <w:tblStylePr w:type="neCell">
      <w:rPr>
        <w:color w:val="00728F" w:themeColor="text1"/>
      </w:rPr>
    </w:tblStylePr>
    <w:tblStylePr w:type="nwCell">
      <w:rPr>
        <w:color w:val="00728F" w:themeColor="text1"/>
      </w:rPr>
    </w:tblStylePr>
  </w:style>
  <w:style w:type="table" w:styleId="ColorfulShading-Accent1">
    <w:name w:val="Colorful Shading Accent 1"/>
    <w:basedOn w:val="TableNormal"/>
    <w:uiPriority w:val="99"/>
    <w:semiHidden/>
    <w:rsid w:val="00361DEB"/>
    <w:pPr>
      <w:spacing w:after="0"/>
    </w:pPr>
    <w:rPr>
      <w:color w:val="00728F" w:themeColor="text1"/>
    </w:rPr>
    <w:tblPr>
      <w:tblStyleRowBandSize w:val="1"/>
      <w:tblStyleColBandSize w:val="1"/>
      <w:tblBorders>
        <w:top w:val="single" w:sz="24" w:space="0" w:color="B7DDE8" w:themeColor="accent2"/>
        <w:left w:val="single" w:sz="4" w:space="0" w:color="00728F" w:themeColor="accent1"/>
        <w:bottom w:val="single" w:sz="4" w:space="0" w:color="00728F" w:themeColor="accent1"/>
        <w:right w:val="single" w:sz="4" w:space="0" w:color="00728F" w:themeColor="accent1"/>
        <w:insideH w:val="single" w:sz="4" w:space="0" w:color="FFFFFF" w:themeColor="background1"/>
        <w:insideV w:val="single" w:sz="4" w:space="0" w:color="FFFFFF" w:themeColor="background1"/>
      </w:tblBorders>
    </w:tblPr>
    <w:tcPr>
      <w:shd w:val="clear" w:color="auto" w:fill="DBF7FF" w:themeFill="accent1" w:themeFillTint="19"/>
    </w:tcPr>
    <w:tblStylePr w:type="firstRow">
      <w:rPr>
        <w:b/>
        <w:bCs/>
      </w:rPr>
      <w:tblPr/>
      <w:tcPr>
        <w:tcBorders>
          <w:top w:val="nil"/>
          <w:left w:val="nil"/>
          <w:bottom w:val="single" w:sz="24" w:space="0" w:color="B7DD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55" w:themeFill="accent1" w:themeFillShade="99"/>
      </w:tcPr>
    </w:tblStylePr>
    <w:tblStylePr w:type="firstCol">
      <w:rPr>
        <w:color w:val="FFFFFF" w:themeColor="background1"/>
      </w:rPr>
      <w:tblPr/>
      <w:tcPr>
        <w:tcBorders>
          <w:top w:val="nil"/>
          <w:left w:val="nil"/>
          <w:bottom w:val="nil"/>
          <w:right w:val="nil"/>
          <w:insideH w:val="single" w:sz="4" w:space="0" w:color="004455" w:themeColor="accent1" w:themeShade="99"/>
          <w:insideV w:val="nil"/>
        </w:tcBorders>
        <w:shd w:val="clear" w:color="auto" w:fill="00445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55" w:themeFill="accent1" w:themeFillShade="99"/>
      </w:tcPr>
    </w:tblStylePr>
    <w:tblStylePr w:type="band1Vert">
      <w:tblPr/>
      <w:tcPr>
        <w:shd w:val="clear" w:color="auto" w:fill="6CE1FF" w:themeFill="accent1" w:themeFillTint="66"/>
      </w:tcPr>
    </w:tblStylePr>
    <w:tblStylePr w:type="band1Horz">
      <w:tblPr/>
      <w:tcPr>
        <w:shd w:val="clear" w:color="auto" w:fill="48D9FF" w:themeFill="accent1" w:themeFillTint="7F"/>
      </w:tcPr>
    </w:tblStylePr>
    <w:tblStylePr w:type="neCell">
      <w:rPr>
        <w:color w:val="00728F" w:themeColor="text1"/>
      </w:rPr>
    </w:tblStylePr>
    <w:tblStylePr w:type="nwCell">
      <w:rPr>
        <w:color w:val="00728F" w:themeColor="text1"/>
      </w:rPr>
    </w:tblStylePr>
  </w:style>
  <w:style w:type="table" w:styleId="ColorfulShading-Accent2">
    <w:name w:val="Colorful Shading Accent 2"/>
    <w:basedOn w:val="TableNormal"/>
    <w:uiPriority w:val="99"/>
    <w:semiHidden/>
    <w:rsid w:val="00361DEB"/>
    <w:pPr>
      <w:spacing w:after="0"/>
    </w:pPr>
    <w:rPr>
      <w:color w:val="00728F" w:themeColor="text1"/>
    </w:rPr>
    <w:tblPr>
      <w:tblStyleRowBandSize w:val="1"/>
      <w:tblStyleColBandSize w:val="1"/>
      <w:tblBorders>
        <w:top w:val="single" w:sz="24" w:space="0" w:color="B7DDE8" w:themeColor="accent2"/>
        <w:left w:val="single" w:sz="4" w:space="0" w:color="B7DDE8" w:themeColor="accent2"/>
        <w:bottom w:val="single" w:sz="4" w:space="0" w:color="B7DDE8" w:themeColor="accent2"/>
        <w:right w:val="single" w:sz="4" w:space="0" w:color="B7DDE8" w:themeColor="accent2"/>
        <w:insideH w:val="single" w:sz="4" w:space="0" w:color="FFFFFF" w:themeColor="background1"/>
        <w:insideV w:val="single" w:sz="4" w:space="0" w:color="FFFFFF" w:themeColor="background1"/>
      </w:tblBorders>
    </w:tblPr>
    <w:tcPr>
      <w:shd w:val="clear" w:color="auto" w:fill="F7FBFC" w:themeFill="accent2" w:themeFillTint="19"/>
    </w:tcPr>
    <w:tblStylePr w:type="firstRow">
      <w:rPr>
        <w:b/>
        <w:bCs/>
      </w:rPr>
      <w:tblPr/>
      <w:tcPr>
        <w:tcBorders>
          <w:top w:val="nil"/>
          <w:left w:val="nil"/>
          <w:bottom w:val="single" w:sz="24" w:space="0" w:color="B7DD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9FBC" w:themeFill="accent2" w:themeFillShade="99"/>
      </w:tcPr>
    </w:tblStylePr>
    <w:tblStylePr w:type="firstCol">
      <w:rPr>
        <w:color w:val="FFFFFF" w:themeColor="background1"/>
      </w:rPr>
      <w:tblPr/>
      <w:tcPr>
        <w:tcBorders>
          <w:top w:val="nil"/>
          <w:left w:val="nil"/>
          <w:bottom w:val="nil"/>
          <w:right w:val="nil"/>
          <w:insideH w:val="single" w:sz="4" w:space="0" w:color="3C9FBC" w:themeColor="accent2" w:themeShade="99"/>
          <w:insideV w:val="nil"/>
        </w:tcBorders>
        <w:shd w:val="clear" w:color="auto" w:fill="3C9FB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C9FBC" w:themeFill="accent2" w:themeFillShade="99"/>
      </w:tcPr>
    </w:tblStylePr>
    <w:tblStylePr w:type="band1Vert">
      <w:tblPr/>
      <w:tcPr>
        <w:shd w:val="clear" w:color="auto" w:fill="E2F1F5" w:themeFill="accent2" w:themeFillTint="66"/>
      </w:tcPr>
    </w:tblStylePr>
    <w:tblStylePr w:type="band1Horz">
      <w:tblPr/>
      <w:tcPr>
        <w:shd w:val="clear" w:color="auto" w:fill="DBEEF3" w:themeFill="accent2" w:themeFillTint="7F"/>
      </w:tcPr>
    </w:tblStylePr>
    <w:tblStylePr w:type="neCell">
      <w:rPr>
        <w:color w:val="00728F" w:themeColor="text1"/>
      </w:rPr>
    </w:tblStylePr>
    <w:tblStylePr w:type="nwCell">
      <w:rPr>
        <w:color w:val="00728F" w:themeColor="text1"/>
      </w:rPr>
    </w:tblStylePr>
  </w:style>
  <w:style w:type="table" w:styleId="ColorfulShading-Accent3">
    <w:name w:val="Colorful Shading Accent 3"/>
    <w:basedOn w:val="TableNormal"/>
    <w:uiPriority w:val="99"/>
    <w:semiHidden/>
    <w:rsid w:val="00361DEB"/>
    <w:pPr>
      <w:spacing w:after="0"/>
    </w:pPr>
    <w:rPr>
      <w:color w:val="00728F" w:themeColor="text1"/>
    </w:rPr>
    <w:tblPr>
      <w:tblStyleRowBandSize w:val="1"/>
      <w:tblStyleColBandSize w:val="1"/>
      <w:tblBorders>
        <w:top w:val="single" w:sz="24" w:space="0" w:color="92CDDC" w:themeColor="accent4"/>
        <w:left w:val="single" w:sz="4" w:space="0" w:color="DBEEF3" w:themeColor="accent3"/>
        <w:bottom w:val="single" w:sz="4" w:space="0" w:color="DBEEF3" w:themeColor="accent3"/>
        <w:right w:val="single" w:sz="4" w:space="0" w:color="DBEEF3" w:themeColor="accent3"/>
        <w:insideH w:val="single" w:sz="4" w:space="0" w:color="FFFFFF" w:themeColor="background1"/>
        <w:insideV w:val="single" w:sz="4" w:space="0" w:color="FFFFFF" w:themeColor="background1"/>
      </w:tblBorders>
    </w:tblPr>
    <w:tcPr>
      <w:shd w:val="clear" w:color="auto" w:fill="FBFDFD" w:themeFill="accent3" w:themeFillTint="19"/>
    </w:tcPr>
    <w:tblStylePr w:type="firstRow">
      <w:rPr>
        <w:b/>
        <w:bCs/>
      </w:rPr>
      <w:tblPr/>
      <w:tcPr>
        <w:tcBorders>
          <w:top w:val="nil"/>
          <w:left w:val="nil"/>
          <w:bottom w:val="single" w:sz="24" w:space="0" w:color="92CDD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ACC4" w:themeFill="accent3" w:themeFillShade="99"/>
      </w:tcPr>
    </w:tblStylePr>
    <w:tblStylePr w:type="firstCol">
      <w:rPr>
        <w:color w:val="FFFFFF" w:themeColor="background1"/>
      </w:rPr>
      <w:tblPr/>
      <w:tcPr>
        <w:tcBorders>
          <w:top w:val="nil"/>
          <w:left w:val="nil"/>
          <w:bottom w:val="nil"/>
          <w:right w:val="nil"/>
          <w:insideH w:val="single" w:sz="4" w:space="0" w:color="50ACC4" w:themeColor="accent3" w:themeShade="99"/>
          <w:insideV w:val="nil"/>
        </w:tcBorders>
        <w:shd w:val="clear" w:color="auto" w:fill="50ACC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0ACC4" w:themeFill="accent3" w:themeFillShade="99"/>
      </w:tcPr>
    </w:tblStylePr>
    <w:tblStylePr w:type="band1Vert">
      <w:tblPr/>
      <w:tcPr>
        <w:shd w:val="clear" w:color="auto" w:fill="F0F8FA" w:themeFill="accent3" w:themeFillTint="66"/>
      </w:tcPr>
    </w:tblStylePr>
    <w:tblStylePr w:type="band1Horz">
      <w:tblPr/>
      <w:tcPr>
        <w:shd w:val="clear" w:color="auto" w:fill="EDF6F9" w:themeFill="accent3" w:themeFillTint="7F"/>
      </w:tcPr>
    </w:tblStylePr>
  </w:style>
  <w:style w:type="table" w:styleId="ColorfulShading-Accent4">
    <w:name w:val="Colorful Shading Accent 4"/>
    <w:basedOn w:val="TableNormal"/>
    <w:uiPriority w:val="99"/>
    <w:semiHidden/>
    <w:rsid w:val="00361DEB"/>
    <w:pPr>
      <w:spacing w:after="0"/>
    </w:pPr>
    <w:rPr>
      <w:color w:val="00728F" w:themeColor="text1"/>
    </w:rPr>
    <w:tblPr>
      <w:tblStyleRowBandSize w:val="1"/>
      <w:tblStyleColBandSize w:val="1"/>
      <w:tblBorders>
        <w:top w:val="single" w:sz="24" w:space="0" w:color="DBEEF3" w:themeColor="accent3"/>
        <w:left w:val="single" w:sz="4" w:space="0" w:color="92CDDC" w:themeColor="accent4"/>
        <w:bottom w:val="single" w:sz="4" w:space="0" w:color="92CDDC" w:themeColor="accent4"/>
        <w:right w:val="single" w:sz="4" w:space="0" w:color="92CDDC" w:themeColor="accent4"/>
        <w:insideH w:val="single" w:sz="4" w:space="0" w:color="FFFFFF" w:themeColor="background1"/>
        <w:insideV w:val="single" w:sz="4" w:space="0" w:color="FFFFFF" w:themeColor="background1"/>
      </w:tblBorders>
    </w:tblPr>
    <w:tcPr>
      <w:shd w:val="clear" w:color="auto" w:fill="F4FAFB" w:themeFill="accent4" w:themeFillTint="19"/>
    </w:tcPr>
    <w:tblStylePr w:type="firstRow">
      <w:rPr>
        <w:b/>
        <w:bCs/>
      </w:rPr>
      <w:tblPr/>
      <w:tcPr>
        <w:tcBorders>
          <w:top w:val="nil"/>
          <w:left w:val="nil"/>
          <w:bottom w:val="single" w:sz="24" w:space="0" w:color="DBEEF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8FA6" w:themeFill="accent4" w:themeFillShade="99"/>
      </w:tcPr>
    </w:tblStylePr>
    <w:tblStylePr w:type="firstCol">
      <w:rPr>
        <w:color w:val="FFFFFF" w:themeColor="background1"/>
      </w:rPr>
      <w:tblPr/>
      <w:tcPr>
        <w:tcBorders>
          <w:top w:val="nil"/>
          <w:left w:val="nil"/>
          <w:bottom w:val="nil"/>
          <w:right w:val="nil"/>
          <w:insideH w:val="single" w:sz="4" w:space="0" w:color="358FA6" w:themeColor="accent4" w:themeShade="99"/>
          <w:insideV w:val="nil"/>
        </w:tcBorders>
        <w:shd w:val="clear" w:color="auto" w:fill="358FA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58FA6" w:themeFill="accent4" w:themeFillShade="99"/>
      </w:tcPr>
    </w:tblStylePr>
    <w:tblStylePr w:type="band1Vert">
      <w:tblPr/>
      <w:tcPr>
        <w:shd w:val="clear" w:color="auto" w:fill="D3EAF1" w:themeFill="accent4" w:themeFillTint="66"/>
      </w:tcPr>
    </w:tblStylePr>
    <w:tblStylePr w:type="band1Horz">
      <w:tblPr/>
      <w:tcPr>
        <w:shd w:val="clear" w:color="auto" w:fill="C8E5ED" w:themeFill="accent4" w:themeFillTint="7F"/>
      </w:tcPr>
    </w:tblStylePr>
    <w:tblStylePr w:type="neCell">
      <w:rPr>
        <w:color w:val="00728F" w:themeColor="text1"/>
      </w:rPr>
    </w:tblStylePr>
    <w:tblStylePr w:type="nwCell">
      <w:rPr>
        <w:color w:val="00728F" w:themeColor="text1"/>
      </w:rPr>
    </w:tblStylePr>
  </w:style>
  <w:style w:type="table" w:styleId="ColorfulShading-Accent5">
    <w:name w:val="Colorful Shading Accent 5"/>
    <w:basedOn w:val="TableNormal"/>
    <w:uiPriority w:val="99"/>
    <w:semiHidden/>
    <w:rsid w:val="00361DEB"/>
    <w:pPr>
      <w:spacing w:after="0"/>
    </w:pPr>
    <w:rPr>
      <w:color w:val="00728F" w:themeColor="text1"/>
    </w:rPr>
    <w:tblPr>
      <w:tblStyleRowBandSize w:val="1"/>
      <w:tblStyleColBandSize w:val="1"/>
      <w:tblBorders>
        <w:top w:val="single" w:sz="24" w:space="0" w:color="64B8CE" w:themeColor="accent6"/>
        <w:left w:val="single" w:sz="4" w:space="0" w:color="31859B" w:themeColor="accent5"/>
        <w:bottom w:val="single" w:sz="4" w:space="0" w:color="31859B" w:themeColor="accent5"/>
        <w:right w:val="single" w:sz="4" w:space="0" w:color="31859B" w:themeColor="accent5"/>
        <w:insideH w:val="single" w:sz="4" w:space="0" w:color="FFFFFF" w:themeColor="background1"/>
        <w:insideV w:val="single" w:sz="4" w:space="0" w:color="FFFFFF" w:themeColor="background1"/>
      </w:tblBorders>
    </w:tblPr>
    <w:tcPr>
      <w:shd w:val="clear" w:color="auto" w:fill="E8F4F7" w:themeFill="accent5" w:themeFillTint="19"/>
    </w:tcPr>
    <w:tblStylePr w:type="firstRow">
      <w:rPr>
        <w:b/>
        <w:bCs/>
      </w:rPr>
      <w:tblPr/>
      <w:tcPr>
        <w:tcBorders>
          <w:top w:val="nil"/>
          <w:left w:val="nil"/>
          <w:bottom w:val="single" w:sz="24" w:space="0" w:color="64B8C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4F5C" w:themeFill="accent5" w:themeFillShade="99"/>
      </w:tcPr>
    </w:tblStylePr>
    <w:tblStylePr w:type="firstCol">
      <w:rPr>
        <w:color w:val="FFFFFF" w:themeColor="background1"/>
      </w:rPr>
      <w:tblPr/>
      <w:tcPr>
        <w:tcBorders>
          <w:top w:val="nil"/>
          <w:left w:val="nil"/>
          <w:bottom w:val="nil"/>
          <w:right w:val="nil"/>
          <w:insideH w:val="single" w:sz="4" w:space="0" w:color="1D4F5C" w:themeColor="accent5" w:themeShade="99"/>
          <w:insideV w:val="nil"/>
        </w:tcBorders>
        <w:shd w:val="clear" w:color="auto" w:fill="1D4F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D4F5C" w:themeFill="accent5" w:themeFillShade="99"/>
      </w:tcPr>
    </w:tblStylePr>
    <w:tblStylePr w:type="band1Vert">
      <w:tblPr/>
      <w:tcPr>
        <w:shd w:val="clear" w:color="auto" w:fill="A1D4E1" w:themeFill="accent5" w:themeFillTint="66"/>
      </w:tcPr>
    </w:tblStylePr>
    <w:tblStylePr w:type="band1Horz">
      <w:tblPr/>
      <w:tcPr>
        <w:shd w:val="clear" w:color="auto" w:fill="8BC9DA" w:themeFill="accent5" w:themeFillTint="7F"/>
      </w:tcPr>
    </w:tblStylePr>
    <w:tblStylePr w:type="neCell">
      <w:rPr>
        <w:color w:val="00728F" w:themeColor="text1"/>
      </w:rPr>
    </w:tblStylePr>
    <w:tblStylePr w:type="nwCell">
      <w:rPr>
        <w:color w:val="00728F" w:themeColor="text1"/>
      </w:rPr>
    </w:tblStylePr>
  </w:style>
  <w:style w:type="table" w:styleId="ColorfulShading-Accent6">
    <w:name w:val="Colorful Shading Accent 6"/>
    <w:basedOn w:val="TableNormal"/>
    <w:uiPriority w:val="99"/>
    <w:semiHidden/>
    <w:rsid w:val="00361DEB"/>
    <w:pPr>
      <w:spacing w:after="0"/>
    </w:pPr>
    <w:rPr>
      <w:color w:val="00728F" w:themeColor="text1"/>
    </w:rPr>
    <w:tblPr>
      <w:tblStyleRowBandSize w:val="1"/>
      <w:tblStyleColBandSize w:val="1"/>
      <w:tblBorders>
        <w:top w:val="single" w:sz="24" w:space="0" w:color="31859B" w:themeColor="accent5"/>
        <w:left w:val="single" w:sz="4" w:space="0" w:color="64B8CE" w:themeColor="accent6"/>
        <w:bottom w:val="single" w:sz="4" w:space="0" w:color="64B8CE" w:themeColor="accent6"/>
        <w:right w:val="single" w:sz="4" w:space="0" w:color="64B8CE" w:themeColor="accent6"/>
        <w:insideH w:val="single" w:sz="4" w:space="0" w:color="FFFFFF" w:themeColor="background1"/>
        <w:insideV w:val="single" w:sz="4" w:space="0" w:color="FFFFFF" w:themeColor="background1"/>
      </w:tblBorders>
    </w:tblPr>
    <w:tcPr>
      <w:shd w:val="clear" w:color="auto" w:fill="EFF8FA" w:themeFill="accent6" w:themeFillTint="19"/>
    </w:tcPr>
    <w:tblStylePr w:type="firstRow">
      <w:rPr>
        <w:b/>
        <w:bCs/>
      </w:rPr>
      <w:tblPr/>
      <w:tcPr>
        <w:tcBorders>
          <w:top w:val="nil"/>
          <w:left w:val="nil"/>
          <w:bottom w:val="single" w:sz="24" w:space="0" w:color="31859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778B" w:themeFill="accent6" w:themeFillShade="99"/>
      </w:tcPr>
    </w:tblStylePr>
    <w:tblStylePr w:type="firstCol">
      <w:rPr>
        <w:color w:val="FFFFFF" w:themeColor="background1"/>
      </w:rPr>
      <w:tblPr/>
      <w:tcPr>
        <w:tcBorders>
          <w:top w:val="nil"/>
          <w:left w:val="nil"/>
          <w:bottom w:val="nil"/>
          <w:right w:val="nil"/>
          <w:insideH w:val="single" w:sz="4" w:space="0" w:color="2C778B" w:themeColor="accent6" w:themeShade="99"/>
          <w:insideV w:val="nil"/>
        </w:tcBorders>
        <w:shd w:val="clear" w:color="auto" w:fill="2C778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C778B" w:themeFill="accent6" w:themeFillShade="99"/>
      </w:tcPr>
    </w:tblStylePr>
    <w:tblStylePr w:type="band1Vert">
      <w:tblPr/>
      <w:tcPr>
        <w:shd w:val="clear" w:color="auto" w:fill="C0E2EB" w:themeFill="accent6" w:themeFillTint="66"/>
      </w:tcPr>
    </w:tblStylePr>
    <w:tblStylePr w:type="band1Horz">
      <w:tblPr/>
      <w:tcPr>
        <w:shd w:val="clear" w:color="auto" w:fill="B1DBE6" w:themeFill="accent6" w:themeFillTint="7F"/>
      </w:tcPr>
    </w:tblStylePr>
    <w:tblStylePr w:type="neCell">
      <w:rPr>
        <w:color w:val="00728F" w:themeColor="text1"/>
      </w:rPr>
    </w:tblStylePr>
    <w:tblStylePr w:type="nwCell">
      <w:rPr>
        <w:color w:val="00728F" w:themeColor="text1"/>
      </w:rPr>
    </w:tblStylePr>
  </w:style>
  <w:style w:type="table" w:customStyle="1" w:styleId="DarkList1">
    <w:name w:val="Dark List1"/>
    <w:basedOn w:val="TableNormal"/>
    <w:uiPriority w:val="99"/>
    <w:semiHidden/>
    <w:rsid w:val="00361DEB"/>
    <w:pPr>
      <w:spacing w:after="0"/>
    </w:pPr>
    <w:rPr>
      <w:color w:val="FFFFFF" w:themeColor="background1"/>
    </w:rPr>
    <w:tblPr>
      <w:tblStyleRowBandSize w:val="1"/>
      <w:tblStyleColBandSize w:val="1"/>
    </w:tblPr>
    <w:tcPr>
      <w:shd w:val="clear" w:color="auto" w:fill="00728F"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003847"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6B"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556B" w:themeFill="text1" w:themeFillShade="BF"/>
      </w:tcPr>
    </w:tblStylePr>
    <w:tblStylePr w:type="band1Vert">
      <w:tblPr/>
      <w:tcPr>
        <w:tcBorders>
          <w:top w:val="nil"/>
          <w:left w:val="nil"/>
          <w:bottom w:val="nil"/>
          <w:right w:val="nil"/>
          <w:insideH w:val="nil"/>
          <w:insideV w:val="nil"/>
        </w:tcBorders>
        <w:shd w:val="clear" w:color="auto" w:fill="00556B" w:themeFill="text1" w:themeFillShade="BF"/>
      </w:tcPr>
    </w:tblStylePr>
    <w:tblStylePr w:type="band1Horz">
      <w:tblPr/>
      <w:tcPr>
        <w:tcBorders>
          <w:top w:val="nil"/>
          <w:left w:val="nil"/>
          <w:bottom w:val="nil"/>
          <w:right w:val="nil"/>
          <w:insideH w:val="nil"/>
          <w:insideV w:val="nil"/>
        </w:tcBorders>
        <w:shd w:val="clear" w:color="auto" w:fill="00556B" w:themeFill="text1" w:themeFillShade="BF"/>
      </w:tcPr>
    </w:tblStylePr>
  </w:style>
  <w:style w:type="table" w:styleId="DarkList-Accent1">
    <w:name w:val="Dark List Accent 1"/>
    <w:basedOn w:val="TableNormal"/>
    <w:uiPriority w:val="99"/>
    <w:semiHidden/>
    <w:rsid w:val="00361DEB"/>
    <w:pPr>
      <w:spacing w:after="0"/>
    </w:pPr>
    <w:rPr>
      <w:color w:val="FFFFFF" w:themeColor="background1"/>
    </w:rPr>
    <w:tblPr>
      <w:tblStyleRowBandSize w:val="1"/>
      <w:tblStyleColBandSize w:val="1"/>
    </w:tblPr>
    <w:tcPr>
      <w:shd w:val="clear" w:color="auto" w:fill="00728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00384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6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6B" w:themeFill="accent1" w:themeFillShade="BF"/>
      </w:tcPr>
    </w:tblStylePr>
    <w:tblStylePr w:type="band1Vert">
      <w:tblPr/>
      <w:tcPr>
        <w:tcBorders>
          <w:top w:val="nil"/>
          <w:left w:val="nil"/>
          <w:bottom w:val="nil"/>
          <w:right w:val="nil"/>
          <w:insideH w:val="nil"/>
          <w:insideV w:val="nil"/>
        </w:tcBorders>
        <w:shd w:val="clear" w:color="auto" w:fill="00556B" w:themeFill="accent1" w:themeFillShade="BF"/>
      </w:tcPr>
    </w:tblStylePr>
    <w:tblStylePr w:type="band1Horz">
      <w:tblPr/>
      <w:tcPr>
        <w:tcBorders>
          <w:top w:val="nil"/>
          <w:left w:val="nil"/>
          <w:bottom w:val="nil"/>
          <w:right w:val="nil"/>
          <w:insideH w:val="nil"/>
          <w:insideV w:val="nil"/>
        </w:tcBorders>
        <w:shd w:val="clear" w:color="auto" w:fill="00556B" w:themeFill="accent1" w:themeFillShade="BF"/>
      </w:tcPr>
    </w:tblStylePr>
  </w:style>
  <w:style w:type="table" w:styleId="DarkList-Accent2">
    <w:name w:val="Dark List Accent 2"/>
    <w:basedOn w:val="TableNormal"/>
    <w:uiPriority w:val="99"/>
    <w:semiHidden/>
    <w:rsid w:val="00361DEB"/>
    <w:pPr>
      <w:spacing w:after="0"/>
    </w:pPr>
    <w:rPr>
      <w:color w:val="FFFFFF" w:themeColor="background1"/>
    </w:rPr>
    <w:tblPr>
      <w:tblStyleRowBandSize w:val="1"/>
      <w:tblStyleColBandSize w:val="1"/>
    </w:tblPr>
    <w:tcPr>
      <w:shd w:val="clear" w:color="auto" w:fill="B7DDE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32849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7B7C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7B7CE" w:themeFill="accent2" w:themeFillShade="BF"/>
      </w:tcPr>
    </w:tblStylePr>
    <w:tblStylePr w:type="band1Vert">
      <w:tblPr/>
      <w:tcPr>
        <w:tcBorders>
          <w:top w:val="nil"/>
          <w:left w:val="nil"/>
          <w:bottom w:val="nil"/>
          <w:right w:val="nil"/>
          <w:insideH w:val="nil"/>
          <w:insideV w:val="nil"/>
        </w:tcBorders>
        <w:shd w:val="clear" w:color="auto" w:fill="67B7CE" w:themeFill="accent2" w:themeFillShade="BF"/>
      </w:tcPr>
    </w:tblStylePr>
    <w:tblStylePr w:type="band1Horz">
      <w:tblPr/>
      <w:tcPr>
        <w:tcBorders>
          <w:top w:val="nil"/>
          <w:left w:val="nil"/>
          <w:bottom w:val="nil"/>
          <w:right w:val="nil"/>
          <w:insideH w:val="nil"/>
          <w:insideV w:val="nil"/>
        </w:tcBorders>
        <w:shd w:val="clear" w:color="auto" w:fill="67B7CE" w:themeFill="accent2" w:themeFillShade="BF"/>
      </w:tcPr>
    </w:tblStylePr>
  </w:style>
  <w:style w:type="table" w:styleId="DarkList-Accent3">
    <w:name w:val="Dark List Accent 3"/>
    <w:basedOn w:val="TableNormal"/>
    <w:uiPriority w:val="99"/>
    <w:semiHidden/>
    <w:rsid w:val="00361DEB"/>
    <w:pPr>
      <w:spacing w:after="0"/>
    </w:pPr>
    <w:rPr>
      <w:color w:val="FFFFFF" w:themeColor="background1"/>
    </w:rPr>
    <w:tblPr>
      <w:tblStyleRowBandSize w:val="1"/>
      <w:tblStyleColBandSize w:val="1"/>
    </w:tblPr>
    <w:tcPr>
      <w:shd w:val="clear" w:color="auto" w:fill="DBEEF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3994A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4C4D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4C4D6" w:themeFill="accent3" w:themeFillShade="BF"/>
      </w:tcPr>
    </w:tblStylePr>
    <w:tblStylePr w:type="band1Vert">
      <w:tblPr/>
      <w:tcPr>
        <w:tcBorders>
          <w:top w:val="nil"/>
          <w:left w:val="nil"/>
          <w:bottom w:val="nil"/>
          <w:right w:val="nil"/>
          <w:insideH w:val="nil"/>
          <w:insideV w:val="nil"/>
        </w:tcBorders>
        <w:shd w:val="clear" w:color="auto" w:fill="84C4D6" w:themeFill="accent3" w:themeFillShade="BF"/>
      </w:tcPr>
    </w:tblStylePr>
    <w:tblStylePr w:type="band1Horz">
      <w:tblPr/>
      <w:tcPr>
        <w:tcBorders>
          <w:top w:val="nil"/>
          <w:left w:val="nil"/>
          <w:bottom w:val="nil"/>
          <w:right w:val="nil"/>
          <w:insideH w:val="nil"/>
          <w:insideV w:val="nil"/>
        </w:tcBorders>
        <w:shd w:val="clear" w:color="auto" w:fill="84C4D6" w:themeFill="accent3" w:themeFillShade="BF"/>
      </w:tcPr>
    </w:tblStylePr>
  </w:style>
  <w:style w:type="table" w:styleId="DarkList-Accent4">
    <w:name w:val="Dark List Accent 4"/>
    <w:basedOn w:val="TableNormal"/>
    <w:uiPriority w:val="99"/>
    <w:semiHidden/>
    <w:rsid w:val="00361DEB"/>
    <w:pPr>
      <w:spacing w:after="0"/>
    </w:pPr>
    <w:rPr>
      <w:color w:val="FFFFFF" w:themeColor="background1"/>
    </w:rPr>
    <w:tblPr>
      <w:tblStyleRowBandSize w:val="1"/>
      <w:tblStyleColBandSize w:val="1"/>
    </w:tblPr>
    <w:tcPr>
      <w:shd w:val="clear" w:color="auto" w:fill="92CDD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2C768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ACC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ACC5" w:themeFill="accent4" w:themeFillShade="BF"/>
      </w:tcPr>
    </w:tblStylePr>
    <w:tblStylePr w:type="band1Vert">
      <w:tblPr/>
      <w:tcPr>
        <w:tcBorders>
          <w:top w:val="nil"/>
          <w:left w:val="nil"/>
          <w:bottom w:val="nil"/>
          <w:right w:val="nil"/>
          <w:insideH w:val="nil"/>
          <w:insideV w:val="nil"/>
        </w:tcBorders>
        <w:shd w:val="clear" w:color="auto" w:fill="4CACC5" w:themeFill="accent4" w:themeFillShade="BF"/>
      </w:tcPr>
    </w:tblStylePr>
    <w:tblStylePr w:type="band1Horz">
      <w:tblPr/>
      <w:tcPr>
        <w:tcBorders>
          <w:top w:val="nil"/>
          <w:left w:val="nil"/>
          <w:bottom w:val="nil"/>
          <w:right w:val="nil"/>
          <w:insideH w:val="nil"/>
          <w:insideV w:val="nil"/>
        </w:tcBorders>
        <w:shd w:val="clear" w:color="auto" w:fill="4CACC5" w:themeFill="accent4" w:themeFillShade="BF"/>
      </w:tcPr>
    </w:tblStylePr>
  </w:style>
  <w:style w:type="table" w:styleId="DarkList-Accent5">
    <w:name w:val="Dark List Accent 5"/>
    <w:basedOn w:val="TableNormal"/>
    <w:uiPriority w:val="99"/>
    <w:semiHidden/>
    <w:rsid w:val="00361DEB"/>
    <w:pPr>
      <w:spacing w:after="0"/>
    </w:pPr>
    <w:rPr>
      <w:color w:val="FFFFFF" w:themeColor="background1"/>
    </w:rPr>
    <w:tblPr>
      <w:tblStyleRowBandSize w:val="1"/>
      <w:tblStyleColBandSize w:val="1"/>
    </w:tblPr>
    <w:tcPr>
      <w:shd w:val="clear" w:color="auto" w:fill="31859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1841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463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46373" w:themeFill="accent5" w:themeFillShade="BF"/>
      </w:tcPr>
    </w:tblStylePr>
    <w:tblStylePr w:type="band1Vert">
      <w:tblPr/>
      <w:tcPr>
        <w:tcBorders>
          <w:top w:val="nil"/>
          <w:left w:val="nil"/>
          <w:bottom w:val="nil"/>
          <w:right w:val="nil"/>
          <w:insideH w:val="nil"/>
          <w:insideV w:val="nil"/>
        </w:tcBorders>
        <w:shd w:val="clear" w:color="auto" w:fill="246373" w:themeFill="accent5" w:themeFillShade="BF"/>
      </w:tcPr>
    </w:tblStylePr>
    <w:tblStylePr w:type="band1Horz">
      <w:tblPr/>
      <w:tcPr>
        <w:tcBorders>
          <w:top w:val="nil"/>
          <w:left w:val="nil"/>
          <w:bottom w:val="nil"/>
          <w:right w:val="nil"/>
          <w:insideH w:val="nil"/>
          <w:insideV w:val="nil"/>
        </w:tcBorders>
        <w:shd w:val="clear" w:color="auto" w:fill="246373" w:themeFill="accent5" w:themeFillShade="BF"/>
      </w:tcPr>
    </w:tblStylePr>
  </w:style>
  <w:style w:type="table" w:styleId="DarkList-Accent6">
    <w:name w:val="Dark List Accent 6"/>
    <w:basedOn w:val="TableNormal"/>
    <w:uiPriority w:val="99"/>
    <w:semiHidden/>
    <w:rsid w:val="00361DEB"/>
    <w:pPr>
      <w:spacing w:after="0"/>
    </w:pPr>
    <w:rPr>
      <w:color w:val="FFFFFF" w:themeColor="background1"/>
    </w:rPr>
    <w:tblPr>
      <w:tblStyleRowBandSize w:val="1"/>
      <w:tblStyleColBandSize w:val="1"/>
    </w:tblPr>
    <w:tcPr>
      <w:shd w:val="clear" w:color="auto" w:fill="64B8C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24637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795A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795AD" w:themeFill="accent6" w:themeFillShade="BF"/>
      </w:tcPr>
    </w:tblStylePr>
    <w:tblStylePr w:type="band1Vert">
      <w:tblPr/>
      <w:tcPr>
        <w:tcBorders>
          <w:top w:val="nil"/>
          <w:left w:val="nil"/>
          <w:bottom w:val="nil"/>
          <w:right w:val="nil"/>
          <w:insideH w:val="nil"/>
          <w:insideV w:val="nil"/>
        </w:tcBorders>
        <w:shd w:val="clear" w:color="auto" w:fill="3795AD" w:themeFill="accent6" w:themeFillShade="BF"/>
      </w:tcPr>
    </w:tblStylePr>
    <w:tblStylePr w:type="band1Horz">
      <w:tblPr/>
      <w:tcPr>
        <w:tcBorders>
          <w:top w:val="nil"/>
          <w:left w:val="nil"/>
          <w:bottom w:val="nil"/>
          <w:right w:val="nil"/>
          <w:insideH w:val="nil"/>
          <w:insideV w:val="nil"/>
        </w:tcBorders>
        <w:shd w:val="clear" w:color="auto" w:fill="3795AD" w:themeFill="accent6" w:themeFillShade="BF"/>
      </w:tcPr>
    </w:tblStylePr>
  </w:style>
  <w:style w:type="table" w:customStyle="1" w:styleId="LightGrid1">
    <w:name w:val="Light Grid1"/>
    <w:basedOn w:val="TableNormal"/>
    <w:uiPriority w:val="99"/>
    <w:semiHidden/>
    <w:rsid w:val="00361DEB"/>
    <w:pPr>
      <w:spacing w:after="0"/>
    </w:pPr>
    <w:tblPr>
      <w:tblStyleRowBandSize w:val="1"/>
      <w:tblStyleColBandSize w:val="1"/>
      <w:tblBorders>
        <w:top w:val="single" w:sz="8" w:space="0" w:color="00728F" w:themeColor="text1"/>
        <w:left w:val="single" w:sz="8" w:space="0" w:color="00728F" w:themeColor="text1"/>
        <w:bottom w:val="single" w:sz="8" w:space="0" w:color="00728F" w:themeColor="text1"/>
        <w:right w:val="single" w:sz="8" w:space="0" w:color="00728F" w:themeColor="text1"/>
        <w:insideH w:val="single" w:sz="8" w:space="0" w:color="00728F" w:themeColor="text1"/>
        <w:insideV w:val="single" w:sz="8" w:space="0" w:color="00728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8F" w:themeColor="text1"/>
          <w:left w:val="single" w:sz="8" w:space="0" w:color="00728F" w:themeColor="text1"/>
          <w:bottom w:val="single" w:sz="18" w:space="0" w:color="00728F" w:themeColor="text1"/>
          <w:right w:val="single" w:sz="8" w:space="0" w:color="00728F" w:themeColor="text1"/>
          <w:insideH w:val="nil"/>
          <w:insideV w:val="single" w:sz="8" w:space="0" w:color="00728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8F" w:themeColor="text1"/>
          <w:left w:val="single" w:sz="8" w:space="0" w:color="00728F" w:themeColor="text1"/>
          <w:bottom w:val="single" w:sz="8" w:space="0" w:color="00728F" w:themeColor="text1"/>
          <w:right w:val="single" w:sz="8" w:space="0" w:color="00728F" w:themeColor="text1"/>
          <w:insideH w:val="nil"/>
          <w:insideV w:val="single" w:sz="8" w:space="0" w:color="00728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8F" w:themeColor="text1"/>
          <w:left w:val="single" w:sz="8" w:space="0" w:color="00728F" w:themeColor="text1"/>
          <w:bottom w:val="single" w:sz="8" w:space="0" w:color="00728F" w:themeColor="text1"/>
          <w:right w:val="single" w:sz="8" w:space="0" w:color="00728F" w:themeColor="text1"/>
        </w:tcBorders>
      </w:tcPr>
    </w:tblStylePr>
    <w:tblStylePr w:type="band1Vert">
      <w:tblPr/>
      <w:tcPr>
        <w:tcBorders>
          <w:top w:val="single" w:sz="8" w:space="0" w:color="00728F" w:themeColor="text1"/>
          <w:left w:val="single" w:sz="8" w:space="0" w:color="00728F" w:themeColor="text1"/>
          <w:bottom w:val="single" w:sz="8" w:space="0" w:color="00728F" w:themeColor="text1"/>
          <w:right w:val="single" w:sz="8" w:space="0" w:color="00728F" w:themeColor="text1"/>
        </w:tcBorders>
        <w:shd w:val="clear" w:color="auto" w:fill="A4ECFF" w:themeFill="text1" w:themeFillTint="3F"/>
      </w:tcPr>
    </w:tblStylePr>
    <w:tblStylePr w:type="band1Horz">
      <w:tblPr/>
      <w:tcPr>
        <w:tcBorders>
          <w:top w:val="single" w:sz="8" w:space="0" w:color="00728F" w:themeColor="text1"/>
          <w:left w:val="single" w:sz="8" w:space="0" w:color="00728F" w:themeColor="text1"/>
          <w:bottom w:val="single" w:sz="8" w:space="0" w:color="00728F" w:themeColor="text1"/>
          <w:right w:val="single" w:sz="8" w:space="0" w:color="00728F" w:themeColor="text1"/>
          <w:insideV w:val="single" w:sz="8" w:space="0" w:color="00728F" w:themeColor="text1"/>
        </w:tcBorders>
        <w:shd w:val="clear" w:color="auto" w:fill="A4ECFF" w:themeFill="text1" w:themeFillTint="3F"/>
      </w:tcPr>
    </w:tblStylePr>
    <w:tblStylePr w:type="band2Horz">
      <w:tblPr/>
      <w:tcPr>
        <w:tcBorders>
          <w:top w:val="single" w:sz="8" w:space="0" w:color="00728F" w:themeColor="text1"/>
          <w:left w:val="single" w:sz="8" w:space="0" w:color="00728F" w:themeColor="text1"/>
          <w:bottom w:val="single" w:sz="8" w:space="0" w:color="00728F" w:themeColor="text1"/>
          <w:right w:val="single" w:sz="8" w:space="0" w:color="00728F" w:themeColor="text1"/>
          <w:insideV w:val="single" w:sz="8" w:space="0" w:color="00728F" w:themeColor="text1"/>
        </w:tcBorders>
      </w:tcPr>
    </w:tblStylePr>
  </w:style>
  <w:style w:type="table" w:customStyle="1" w:styleId="LightGrid-Accent11">
    <w:name w:val="Light Grid - Accent 11"/>
    <w:basedOn w:val="TableNormal"/>
    <w:uiPriority w:val="99"/>
    <w:semiHidden/>
    <w:rsid w:val="00361DEB"/>
    <w:pPr>
      <w:spacing w:after="0"/>
    </w:pPr>
    <w:tblPr>
      <w:tblStyleRowBandSize w:val="1"/>
      <w:tblStyleColBandSize w:val="1"/>
      <w:tblBorders>
        <w:top w:val="single" w:sz="8" w:space="0" w:color="00728F" w:themeColor="accent1"/>
        <w:left w:val="single" w:sz="8" w:space="0" w:color="00728F" w:themeColor="accent1"/>
        <w:bottom w:val="single" w:sz="8" w:space="0" w:color="00728F" w:themeColor="accent1"/>
        <w:right w:val="single" w:sz="8" w:space="0" w:color="00728F" w:themeColor="accent1"/>
        <w:insideH w:val="single" w:sz="8" w:space="0" w:color="00728F" w:themeColor="accent1"/>
        <w:insideV w:val="single" w:sz="8" w:space="0" w:color="00728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8F" w:themeColor="accent1"/>
          <w:left w:val="single" w:sz="8" w:space="0" w:color="00728F" w:themeColor="accent1"/>
          <w:bottom w:val="single" w:sz="18" w:space="0" w:color="00728F" w:themeColor="accent1"/>
          <w:right w:val="single" w:sz="8" w:space="0" w:color="00728F" w:themeColor="accent1"/>
          <w:insideH w:val="nil"/>
          <w:insideV w:val="single" w:sz="8" w:space="0" w:color="00728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8F" w:themeColor="accent1"/>
          <w:left w:val="single" w:sz="8" w:space="0" w:color="00728F" w:themeColor="accent1"/>
          <w:bottom w:val="single" w:sz="8" w:space="0" w:color="00728F" w:themeColor="accent1"/>
          <w:right w:val="single" w:sz="8" w:space="0" w:color="00728F" w:themeColor="accent1"/>
          <w:insideH w:val="nil"/>
          <w:insideV w:val="single" w:sz="8" w:space="0" w:color="00728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8F" w:themeColor="accent1"/>
          <w:left w:val="single" w:sz="8" w:space="0" w:color="00728F" w:themeColor="accent1"/>
          <w:bottom w:val="single" w:sz="8" w:space="0" w:color="00728F" w:themeColor="accent1"/>
          <w:right w:val="single" w:sz="8" w:space="0" w:color="00728F" w:themeColor="accent1"/>
        </w:tcBorders>
      </w:tcPr>
    </w:tblStylePr>
    <w:tblStylePr w:type="band1Vert">
      <w:tblPr/>
      <w:tcPr>
        <w:tcBorders>
          <w:top w:val="single" w:sz="8" w:space="0" w:color="00728F" w:themeColor="accent1"/>
          <w:left w:val="single" w:sz="8" w:space="0" w:color="00728F" w:themeColor="accent1"/>
          <w:bottom w:val="single" w:sz="8" w:space="0" w:color="00728F" w:themeColor="accent1"/>
          <w:right w:val="single" w:sz="8" w:space="0" w:color="00728F" w:themeColor="accent1"/>
        </w:tcBorders>
        <w:shd w:val="clear" w:color="auto" w:fill="A4ECFF" w:themeFill="accent1" w:themeFillTint="3F"/>
      </w:tcPr>
    </w:tblStylePr>
    <w:tblStylePr w:type="band1Horz">
      <w:tblPr/>
      <w:tcPr>
        <w:tcBorders>
          <w:top w:val="single" w:sz="8" w:space="0" w:color="00728F" w:themeColor="accent1"/>
          <w:left w:val="single" w:sz="8" w:space="0" w:color="00728F" w:themeColor="accent1"/>
          <w:bottom w:val="single" w:sz="8" w:space="0" w:color="00728F" w:themeColor="accent1"/>
          <w:right w:val="single" w:sz="8" w:space="0" w:color="00728F" w:themeColor="accent1"/>
          <w:insideV w:val="single" w:sz="8" w:space="0" w:color="00728F" w:themeColor="accent1"/>
        </w:tcBorders>
        <w:shd w:val="clear" w:color="auto" w:fill="A4ECFF" w:themeFill="accent1" w:themeFillTint="3F"/>
      </w:tcPr>
    </w:tblStylePr>
    <w:tblStylePr w:type="band2Horz">
      <w:tblPr/>
      <w:tcPr>
        <w:tcBorders>
          <w:top w:val="single" w:sz="8" w:space="0" w:color="00728F" w:themeColor="accent1"/>
          <w:left w:val="single" w:sz="8" w:space="0" w:color="00728F" w:themeColor="accent1"/>
          <w:bottom w:val="single" w:sz="8" w:space="0" w:color="00728F" w:themeColor="accent1"/>
          <w:right w:val="single" w:sz="8" w:space="0" w:color="00728F" w:themeColor="accent1"/>
          <w:insideV w:val="single" w:sz="8" w:space="0" w:color="00728F" w:themeColor="accent1"/>
        </w:tcBorders>
      </w:tcPr>
    </w:tblStylePr>
  </w:style>
  <w:style w:type="table" w:styleId="LightGrid-Accent2">
    <w:name w:val="Light Grid Accent 2"/>
    <w:basedOn w:val="TableNormal"/>
    <w:uiPriority w:val="99"/>
    <w:semiHidden/>
    <w:rsid w:val="00361DEB"/>
    <w:pPr>
      <w:spacing w:after="0"/>
    </w:pPr>
    <w:tblPr>
      <w:tblStyleRowBandSize w:val="1"/>
      <w:tblStyleColBandSize w:val="1"/>
      <w:tblBorders>
        <w:top w:val="single" w:sz="8" w:space="0" w:color="B7DDE8" w:themeColor="accent2"/>
        <w:left w:val="single" w:sz="8" w:space="0" w:color="B7DDE8" w:themeColor="accent2"/>
        <w:bottom w:val="single" w:sz="8" w:space="0" w:color="B7DDE8" w:themeColor="accent2"/>
        <w:right w:val="single" w:sz="8" w:space="0" w:color="B7DDE8" w:themeColor="accent2"/>
        <w:insideH w:val="single" w:sz="8" w:space="0" w:color="B7DDE8" w:themeColor="accent2"/>
        <w:insideV w:val="single" w:sz="8" w:space="0" w:color="B7DDE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DDE8" w:themeColor="accent2"/>
          <w:left w:val="single" w:sz="8" w:space="0" w:color="B7DDE8" w:themeColor="accent2"/>
          <w:bottom w:val="single" w:sz="18" w:space="0" w:color="B7DDE8" w:themeColor="accent2"/>
          <w:right w:val="single" w:sz="8" w:space="0" w:color="B7DDE8" w:themeColor="accent2"/>
          <w:insideH w:val="nil"/>
          <w:insideV w:val="single" w:sz="8" w:space="0" w:color="B7DDE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DDE8" w:themeColor="accent2"/>
          <w:left w:val="single" w:sz="8" w:space="0" w:color="B7DDE8" w:themeColor="accent2"/>
          <w:bottom w:val="single" w:sz="8" w:space="0" w:color="B7DDE8" w:themeColor="accent2"/>
          <w:right w:val="single" w:sz="8" w:space="0" w:color="B7DDE8" w:themeColor="accent2"/>
          <w:insideH w:val="nil"/>
          <w:insideV w:val="single" w:sz="8" w:space="0" w:color="B7DDE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DDE8" w:themeColor="accent2"/>
          <w:left w:val="single" w:sz="8" w:space="0" w:color="B7DDE8" w:themeColor="accent2"/>
          <w:bottom w:val="single" w:sz="8" w:space="0" w:color="B7DDE8" w:themeColor="accent2"/>
          <w:right w:val="single" w:sz="8" w:space="0" w:color="B7DDE8" w:themeColor="accent2"/>
        </w:tcBorders>
      </w:tcPr>
    </w:tblStylePr>
    <w:tblStylePr w:type="band1Vert">
      <w:tblPr/>
      <w:tcPr>
        <w:tcBorders>
          <w:top w:val="single" w:sz="8" w:space="0" w:color="B7DDE8" w:themeColor="accent2"/>
          <w:left w:val="single" w:sz="8" w:space="0" w:color="B7DDE8" w:themeColor="accent2"/>
          <w:bottom w:val="single" w:sz="8" w:space="0" w:color="B7DDE8" w:themeColor="accent2"/>
          <w:right w:val="single" w:sz="8" w:space="0" w:color="B7DDE8" w:themeColor="accent2"/>
        </w:tcBorders>
        <w:shd w:val="clear" w:color="auto" w:fill="EDF6F9" w:themeFill="accent2" w:themeFillTint="3F"/>
      </w:tcPr>
    </w:tblStylePr>
    <w:tblStylePr w:type="band1Horz">
      <w:tblPr/>
      <w:tcPr>
        <w:tcBorders>
          <w:top w:val="single" w:sz="8" w:space="0" w:color="B7DDE8" w:themeColor="accent2"/>
          <w:left w:val="single" w:sz="8" w:space="0" w:color="B7DDE8" w:themeColor="accent2"/>
          <w:bottom w:val="single" w:sz="8" w:space="0" w:color="B7DDE8" w:themeColor="accent2"/>
          <w:right w:val="single" w:sz="8" w:space="0" w:color="B7DDE8" w:themeColor="accent2"/>
          <w:insideV w:val="single" w:sz="8" w:space="0" w:color="B7DDE8" w:themeColor="accent2"/>
        </w:tcBorders>
        <w:shd w:val="clear" w:color="auto" w:fill="EDF6F9" w:themeFill="accent2" w:themeFillTint="3F"/>
      </w:tcPr>
    </w:tblStylePr>
    <w:tblStylePr w:type="band2Horz">
      <w:tblPr/>
      <w:tcPr>
        <w:tcBorders>
          <w:top w:val="single" w:sz="8" w:space="0" w:color="B7DDE8" w:themeColor="accent2"/>
          <w:left w:val="single" w:sz="8" w:space="0" w:color="B7DDE8" w:themeColor="accent2"/>
          <w:bottom w:val="single" w:sz="8" w:space="0" w:color="B7DDE8" w:themeColor="accent2"/>
          <w:right w:val="single" w:sz="8" w:space="0" w:color="B7DDE8" w:themeColor="accent2"/>
          <w:insideV w:val="single" w:sz="8" w:space="0" w:color="B7DDE8" w:themeColor="accent2"/>
        </w:tcBorders>
      </w:tcPr>
    </w:tblStylePr>
  </w:style>
  <w:style w:type="table" w:styleId="LightGrid-Accent3">
    <w:name w:val="Light Grid Accent 3"/>
    <w:basedOn w:val="TableNormal"/>
    <w:uiPriority w:val="99"/>
    <w:semiHidden/>
    <w:rsid w:val="00361DEB"/>
    <w:pPr>
      <w:spacing w:after="0"/>
    </w:pPr>
    <w:tblPr>
      <w:tblStyleRowBandSize w:val="1"/>
      <w:tblStyleColBandSize w:val="1"/>
      <w:tblBorders>
        <w:top w:val="single" w:sz="8" w:space="0" w:color="DBEEF3" w:themeColor="accent3"/>
        <w:left w:val="single" w:sz="8" w:space="0" w:color="DBEEF3" w:themeColor="accent3"/>
        <w:bottom w:val="single" w:sz="8" w:space="0" w:color="DBEEF3" w:themeColor="accent3"/>
        <w:right w:val="single" w:sz="8" w:space="0" w:color="DBEEF3" w:themeColor="accent3"/>
        <w:insideH w:val="single" w:sz="8" w:space="0" w:color="DBEEF3" w:themeColor="accent3"/>
        <w:insideV w:val="single" w:sz="8" w:space="0" w:color="DBEEF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BEEF3" w:themeColor="accent3"/>
          <w:left w:val="single" w:sz="8" w:space="0" w:color="DBEEF3" w:themeColor="accent3"/>
          <w:bottom w:val="single" w:sz="18" w:space="0" w:color="DBEEF3" w:themeColor="accent3"/>
          <w:right w:val="single" w:sz="8" w:space="0" w:color="DBEEF3" w:themeColor="accent3"/>
          <w:insideH w:val="nil"/>
          <w:insideV w:val="single" w:sz="8" w:space="0" w:color="DBEEF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EEF3" w:themeColor="accent3"/>
          <w:left w:val="single" w:sz="8" w:space="0" w:color="DBEEF3" w:themeColor="accent3"/>
          <w:bottom w:val="single" w:sz="8" w:space="0" w:color="DBEEF3" w:themeColor="accent3"/>
          <w:right w:val="single" w:sz="8" w:space="0" w:color="DBEEF3" w:themeColor="accent3"/>
          <w:insideH w:val="nil"/>
          <w:insideV w:val="single" w:sz="8" w:space="0" w:color="DBEEF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EEF3" w:themeColor="accent3"/>
          <w:left w:val="single" w:sz="8" w:space="0" w:color="DBEEF3" w:themeColor="accent3"/>
          <w:bottom w:val="single" w:sz="8" w:space="0" w:color="DBEEF3" w:themeColor="accent3"/>
          <w:right w:val="single" w:sz="8" w:space="0" w:color="DBEEF3" w:themeColor="accent3"/>
        </w:tcBorders>
      </w:tcPr>
    </w:tblStylePr>
    <w:tblStylePr w:type="band1Vert">
      <w:tblPr/>
      <w:tcPr>
        <w:tcBorders>
          <w:top w:val="single" w:sz="8" w:space="0" w:color="DBEEF3" w:themeColor="accent3"/>
          <w:left w:val="single" w:sz="8" w:space="0" w:color="DBEEF3" w:themeColor="accent3"/>
          <w:bottom w:val="single" w:sz="8" w:space="0" w:color="DBEEF3" w:themeColor="accent3"/>
          <w:right w:val="single" w:sz="8" w:space="0" w:color="DBEEF3" w:themeColor="accent3"/>
        </w:tcBorders>
        <w:shd w:val="clear" w:color="auto" w:fill="F6FAFC" w:themeFill="accent3" w:themeFillTint="3F"/>
      </w:tcPr>
    </w:tblStylePr>
    <w:tblStylePr w:type="band1Horz">
      <w:tblPr/>
      <w:tcPr>
        <w:tcBorders>
          <w:top w:val="single" w:sz="8" w:space="0" w:color="DBEEF3" w:themeColor="accent3"/>
          <w:left w:val="single" w:sz="8" w:space="0" w:color="DBEEF3" w:themeColor="accent3"/>
          <w:bottom w:val="single" w:sz="8" w:space="0" w:color="DBEEF3" w:themeColor="accent3"/>
          <w:right w:val="single" w:sz="8" w:space="0" w:color="DBEEF3" w:themeColor="accent3"/>
          <w:insideV w:val="single" w:sz="8" w:space="0" w:color="DBEEF3" w:themeColor="accent3"/>
        </w:tcBorders>
        <w:shd w:val="clear" w:color="auto" w:fill="F6FAFC" w:themeFill="accent3" w:themeFillTint="3F"/>
      </w:tcPr>
    </w:tblStylePr>
    <w:tblStylePr w:type="band2Horz">
      <w:tblPr/>
      <w:tcPr>
        <w:tcBorders>
          <w:top w:val="single" w:sz="8" w:space="0" w:color="DBEEF3" w:themeColor="accent3"/>
          <w:left w:val="single" w:sz="8" w:space="0" w:color="DBEEF3" w:themeColor="accent3"/>
          <w:bottom w:val="single" w:sz="8" w:space="0" w:color="DBEEF3" w:themeColor="accent3"/>
          <w:right w:val="single" w:sz="8" w:space="0" w:color="DBEEF3" w:themeColor="accent3"/>
          <w:insideV w:val="single" w:sz="8" w:space="0" w:color="DBEEF3" w:themeColor="accent3"/>
        </w:tcBorders>
      </w:tcPr>
    </w:tblStylePr>
  </w:style>
  <w:style w:type="table" w:styleId="LightGrid-Accent4">
    <w:name w:val="Light Grid Accent 4"/>
    <w:basedOn w:val="TableNormal"/>
    <w:uiPriority w:val="99"/>
    <w:semiHidden/>
    <w:rsid w:val="00361DEB"/>
    <w:pPr>
      <w:spacing w:after="0"/>
    </w:pPr>
    <w:tblPr>
      <w:tblStyleRowBandSize w:val="1"/>
      <w:tblStyleColBandSize w:val="1"/>
      <w:tblBorders>
        <w:top w:val="single" w:sz="8" w:space="0" w:color="92CDDC" w:themeColor="accent4"/>
        <w:left w:val="single" w:sz="8" w:space="0" w:color="92CDDC" w:themeColor="accent4"/>
        <w:bottom w:val="single" w:sz="8" w:space="0" w:color="92CDDC" w:themeColor="accent4"/>
        <w:right w:val="single" w:sz="8" w:space="0" w:color="92CDDC" w:themeColor="accent4"/>
        <w:insideH w:val="single" w:sz="8" w:space="0" w:color="92CDDC" w:themeColor="accent4"/>
        <w:insideV w:val="single" w:sz="8" w:space="0" w:color="92CDD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CDDC" w:themeColor="accent4"/>
          <w:left w:val="single" w:sz="8" w:space="0" w:color="92CDDC" w:themeColor="accent4"/>
          <w:bottom w:val="single" w:sz="18" w:space="0" w:color="92CDDC" w:themeColor="accent4"/>
          <w:right w:val="single" w:sz="8" w:space="0" w:color="92CDDC" w:themeColor="accent4"/>
          <w:insideH w:val="nil"/>
          <w:insideV w:val="single" w:sz="8" w:space="0" w:color="92CDD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CDDC" w:themeColor="accent4"/>
          <w:left w:val="single" w:sz="8" w:space="0" w:color="92CDDC" w:themeColor="accent4"/>
          <w:bottom w:val="single" w:sz="8" w:space="0" w:color="92CDDC" w:themeColor="accent4"/>
          <w:right w:val="single" w:sz="8" w:space="0" w:color="92CDDC" w:themeColor="accent4"/>
          <w:insideH w:val="nil"/>
          <w:insideV w:val="single" w:sz="8" w:space="0" w:color="92CDD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CDDC" w:themeColor="accent4"/>
          <w:left w:val="single" w:sz="8" w:space="0" w:color="92CDDC" w:themeColor="accent4"/>
          <w:bottom w:val="single" w:sz="8" w:space="0" w:color="92CDDC" w:themeColor="accent4"/>
          <w:right w:val="single" w:sz="8" w:space="0" w:color="92CDDC" w:themeColor="accent4"/>
        </w:tcBorders>
      </w:tcPr>
    </w:tblStylePr>
    <w:tblStylePr w:type="band1Vert">
      <w:tblPr/>
      <w:tcPr>
        <w:tcBorders>
          <w:top w:val="single" w:sz="8" w:space="0" w:color="92CDDC" w:themeColor="accent4"/>
          <w:left w:val="single" w:sz="8" w:space="0" w:color="92CDDC" w:themeColor="accent4"/>
          <w:bottom w:val="single" w:sz="8" w:space="0" w:color="92CDDC" w:themeColor="accent4"/>
          <w:right w:val="single" w:sz="8" w:space="0" w:color="92CDDC" w:themeColor="accent4"/>
        </w:tcBorders>
        <w:shd w:val="clear" w:color="auto" w:fill="E4F2F6" w:themeFill="accent4" w:themeFillTint="3F"/>
      </w:tcPr>
    </w:tblStylePr>
    <w:tblStylePr w:type="band1Horz">
      <w:tblPr/>
      <w:tcPr>
        <w:tcBorders>
          <w:top w:val="single" w:sz="8" w:space="0" w:color="92CDDC" w:themeColor="accent4"/>
          <w:left w:val="single" w:sz="8" w:space="0" w:color="92CDDC" w:themeColor="accent4"/>
          <w:bottom w:val="single" w:sz="8" w:space="0" w:color="92CDDC" w:themeColor="accent4"/>
          <w:right w:val="single" w:sz="8" w:space="0" w:color="92CDDC" w:themeColor="accent4"/>
          <w:insideV w:val="single" w:sz="8" w:space="0" w:color="92CDDC" w:themeColor="accent4"/>
        </w:tcBorders>
        <w:shd w:val="clear" w:color="auto" w:fill="E4F2F6" w:themeFill="accent4" w:themeFillTint="3F"/>
      </w:tcPr>
    </w:tblStylePr>
    <w:tblStylePr w:type="band2Horz">
      <w:tblPr/>
      <w:tcPr>
        <w:tcBorders>
          <w:top w:val="single" w:sz="8" w:space="0" w:color="92CDDC" w:themeColor="accent4"/>
          <w:left w:val="single" w:sz="8" w:space="0" w:color="92CDDC" w:themeColor="accent4"/>
          <w:bottom w:val="single" w:sz="8" w:space="0" w:color="92CDDC" w:themeColor="accent4"/>
          <w:right w:val="single" w:sz="8" w:space="0" w:color="92CDDC" w:themeColor="accent4"/>
          <w:insideV w:val="single" w:sz="8" w:space="0" w:color="92CDDC" w:themeColor="accent4"/>
        </w:tcBorders>
      </w:tcPr>
    </w:tblStylePr>
  </w:style>
  <w:style w:type="table" w:styleId="LightGrid-Accent5">
    <w:name w:val="Light Grid Accent 5"/>
    <w:basedOn w:val="TableNormal"/>
    <w:uiPriority w:val="99"/>
    <w:semiHidden/>
    <w:rsid w:val="00361DEB"/>
    <w:pPr>
      <w:spacing w:after="0"/>
    </w:pPr>
    <w:tblPr>
      <w:tblStyleRowBandSize w:val="1"/>
      <w:tblStyleColBandSize w:val="1"/>
      <w:tblBorders>
        <w:top w:val="single" w:sz="8" w:space="0" w:color="31859B" w:themeColor="accent5"/>
        <w:left w:val="single" w:sz="8" w:space="0" w:color="31859B" w:themeColor="accent5"/>
        <w:bottom w:val="single" w:sz="8" w:space="0" w:color="31859B" w:themeColor="accent5"/>
        <w:right w:val="single" w:sz="8" w:space="0" w:color="31859B" w:themeColor="accent5"/>
        <w:insideH w:val="single" w:sz="8" w:space="0" w:color="31859B" w:themeColor="accent5"/>
        <w:insideV w:val="single" w:sz="8" w:space="0" w:color="31859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1859B" w:themeColor="accent5"/>
          <w:left w:val="single" w:sz="8" w:space="0" w:color="31859B" w:themeColor="accent5"/>
          <w:bottom w:val="single" w:sz="18" w:space="0" w:color="31859B" w:themeColor="accent5"/>
          <w:right w:val="single" w:sz="8" w:space="0" w:color="31859B" w:themeColor="accent5"/>
          <w:insideH w:val="nil"/>
          <w:insideV w:val="single" w:sz="8" w:space="0" w:color="31859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1859B" w:themeColor="accent5"/>
          <w:left w:val="single" w:sz="8" w:space="0" w:color="31859B" w:themeColor="accent5"/>
          <w:bottom w:val="single" w:sz="8" w:space="0" w:color="31859B" w:themeColor="accent5"/>
          <w:right w:val="single" w:sz="8" w:space="0" w:color="31859B" w:themeColor="accent5"/>
          <w:insideH w:val="nil"/>
          <w:insideV w:val="single" w:sz="8" w:space="0" w:color="31859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tcPr>
    </w:tblStylePr>
    <w:tblStylePr w:type="band1Vert">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shd w:val="clear" w:color="auto" w:fill="C5E4EC" w:themeFill="accent5" w:themeFillTint="3F"/>
      </w:tcPr>
    </w:tblStylePr>
    <w:tblStylePr w:type="band1Horz">
      <w:tblPr/>
      <w:tcPr>
        <w:tcBorders>
          <w:top w:val="single" w:sz="8" w:space="0" w:color="31859B" w:themeColor="accent5"/>
          <w:left w:val="single" w:sz="8" w:space="0" w:color="31859B" w:themeColor="accent5"/>
          <w:bottom w:val="single" w:sz="8" w:space="0" w:color="31859B" w:themeColor="accent5"/>
          <w:right w:val="single" w:sz="8" w:space="0" w:color="31859B" w:themeColor="accent5"/>
          <w:insideV w:val="single" w:sz="8" w:space="0" w:color="31859B" w:themeColor="accent5"/>
        </w:tcBorders>
        <w:shd w:val="clear" w:color="auto" w:fill="C5E4EC" w:themeFill="accent5" w:themeFillTint="3F"/>
      </w:tcPr>
    </w:tblStylePr>
    <w:tblStylePr w:type="band2Horz">
      <w:tblPr/>
      <w:tcPr>
        <w:tcBorders>
          <w:top w:val="single" w:sz="8" w:space="0" w:color="31859B" w:themeColor="accent5"/>
          <w:left w:val="single" w:sz="8" w:space="0" w:color="31859B" w:themeColor="accent5"/>
          <w:bottom w:val="single" w:sz="8" w:space="0" w:color="31859B" w:themeColor="accent5"/>
          <w:right w:val="single" w:sz="8" w:space="0" w:color="31859B" w:themeColor="accent5"/>
          <w:insideV w:val="single" w:sz="8" w:space="0" w:color="31859B" w:themeColor="accent5"/>
        </w:tcBorders>
      </w:tcPr>
    </w:tblStylePr>
  </w:style>
  <w:style w:type="table" w:styleId="LightGrid-Accent6">
    <w:name w:val="Light Grid Accent 6"/>
    <w:basedOn w:val="TableNormal"/>
    <w:uiPriority w:val="99"/>
    <w:semiHidden/>
    <w:rsid w:val="00361DEB"/>
    <w:pPr>
      <w:spacing w:after="0"/>
    </w:pPr>
    <w:tblPr>
      <w:tblStyleRowBandSize w:val="1"/>
      <w:tblStyleColBandSize w:val="1"/>
      <w:tblBorders>
        <w:top w:val="single" w:sz="8" w:space="0" w:color="64B8CE" w:themeColor="accent6"/>
        <w:left w:val="single" w:sz="8" w:space="0" w:color="64B8CE" w:themeColor="accent6"/>
        <w:bottom w:val="single" w:sz="8" w:space="0" w:color="64B8CE" w:themeColor="accent6"/>
        <w:right w:val="single" w:sz="8" w:space="0" w:color="64B8CE" w:themeColor="accent6"/>
        <w:insideH w:val="single" w:sz="8" w:space="0" w:color="64B8CE" w:themeColor="accent6"/>
        <w:insideV w:val="single" w:sz="8" w:space="0" w:color="64B8C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4B8CE" w:themeColor="accent6"/>
          <w:left w:val="single" w:sz="8" w:space="0" w:color="64B8CE" w:themeColor="accent6"/>
          <w:bottom w:val="single" w:sz="18" w:space="0" w:color="64B8CE" w:themeColor="accent6"/>
          <w:right w:val="single" w:sz="8" w:space="0" w:color="64B8CE" w:themeColor="accent6"/>
          <w:insideH w:val="nil"/>
          <w:insideV w:val="single" w:sz="8" w:space="0" w:color="64B8C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4B8CE" w:themeColor="accent6"/>
          <w:left w:val="single" w:sz="8" w:space="0" w:color="64B8CE" w:themeColor="accent6"/>
          <w:bottom w:val="single" w:sz="8" w:space="0" w:color="64B8CE" w:themeColor="accent6"/>
          <w:right w:val="single" w:sz="8" w:space="0" w:color="64B8CE" w:themeColor="accent6"/>
          <w:insideH w:val="nil"/>
          <w:insideV w:val="single" w:sz="8" w:space="0" w:color="64B8C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B8CE" w:themeColor="accent6"/>
          <w:left w:val="single" w:sz="8" w:space="0" w:color="64B8CE" w:themeColor="accent6"/>
          <w:bottom w:val="single" w:sz="8" w:space="0" w:color="64B8CE" w:themeColor="accent6"/>
          <w:right w:val="single" w:sz="8" w:space="0" w:color="64B8CE" w:themeColor="accent6"/>
        </w:tcBorders>
      </w:tcPr>
    </w:tblStylePr>
    <w:tblStylePr w:type="band1Vert">
      <w:tblPr/>
      <w:tcPr>
        <w:tcBorders>
          <w:top w:val="single" w:sz="8" w:space="0" w:color="64B8CE" w:themeColor="accent6"/>
          <w:left w:val="single" w:sz="8" w:space="0" w:color="64B8CE" w:themeColor="accent6"/>
          <w:bottom w:val="single" w:sz="8" w:space="0" w:color="64B8CE" w:themeColor="accent6"/>
          <w:right w:val="single" w:sz="8" w:space="0" w:color="64B8CE" w:themeColor="accent6"/>
        </w:tcBorders>
        <w:shd w:val="clear" w:color="auto" w:fill="D8EDF2" w:themeFill="accent6" w:themeFillTint="3F"/>
      </w:tcPr>
    </w:tblStylePr>
    <w:tblStylePr w:type="band1Horz">
      <w:tblPr/>
      <w:tcPr>
        <w:tcBorders>
          <w:top w:val="single" w:sz="8" w:space="0" w:color="64B8CE" w:themeColor="accent6"/>
          <w:left w:val="single" w:sz="8" w:space="0" w:color="64B8CE" w:themeColor="accent6"/>
          <w:bottom w:val="single" w:sz="8" w:space="0" w:color="64B8CE" w:themeColor="accent6"/>
          <w:right w:val="single" w:sz="8" w:space="0" w:color="64B8CE" w:themeColor="accent6"/>
          <w:insideV w:val="single" w:sz="8" w:space="0" w:color="64B8CE" w:themeColor="accent6"/>
        </w:tcBorders>
        <w:shd w:val="clear" w:color="auto" w:fill="D8EDF2" w:themeFill="accent6" w:themeFillTint="3F"/>
      </w:tcPr>
    </w:tblStylePr>
    <w:tblStylePr w:type="band2Horz">
      <w:tblPr/>
      <w:tcPr>
        <w:tcBorders>
          <w:top w:val="single" w:sz="8" w:space="0" w:color="64B8CE" w:themeColor="accent6"/>
          <w:left w:val="single" w:sz="8" w:space="0" w:color="64B8CE" w:themeColor="accent6"/>
          <w:bottom w:val="single" w:sz="8" w:space="0" w:color="64B8CE" w:themeColor="accent6"/>
          <w:right w:val="single" w:sz="8" w:space="0" w:color="64B8CE" w:themeColor="accent6"/>
          <w:insideV w:val="single" w:sz="8" w:space="0" w:color="64B8CE" w:themeColor="accent6"/>
        </w:tcBorders>
      </w:tcPr>
    </w:tblStylePr>
  </w:style>
  <w:style w:type="table" w:customStyle="1" w:styleId="LightList1">
    <w:name w:val="Light List1"/>
    <w:basedOn w:val="TableNormal"/>
    <w:uiPriority w:val="99"/>
    <w:semiHidden/>
    <w:rsid w:val="00361DEB"/>
    <w:pPr>
      <w:spacing w:after="0"/>
    </w:pPr>
    <w:tblPr>
      <w:tblStyleRowBandSize w:val="1"/>
      <w:tblStyleColBandSize w:val="1"/>
      <w:tblBorders>
        <w:top w:val="single" w:sz="8" w:space="0" w:color="00728F" w:themeColor="text1"/>
        <w:left w:val="single" w:sz="8" w:space="0" w:color="00728F" w:themeColor="text1"/>
        <w:bottom w:val="single" w:sz="8" w:space="0" w:color="00728F" w:themeColor="text1"/>
        <w:right w:val="single" w:sz="8" w:space="0" w:color="00728F" w:themeColor="text1"/>
      </w:tblBorders>
    </w:tblPr>
    <w:tblStylePr w:type="firstRow">
      <w:pPr>
        <w:spacing w:before="0" w:after="0" w:line="240" w:lineRule="auto"/>
      </w:pPr>
      <w:rPr>
        <w:b/>
        <w:bCs/>
        <w:color w:val="FFFFFF" w:themeColor="background1"/>
      </w:rPr>
      <w:tblPr/>
      <w:tcPr>
        <w:shd w:val="clear" w:color="auto" w:fill="00728F" w:themeFill="text1"/>
      </w:tcPr>
    </w:tblStylePr>
    <w:tblStylePr w:type="lastRow">
      <w:pPr>
        <w:spacing w:before="0" w:after="0" w:line="240" w:lineRule="auto"/>
      </w:pPr>
      <w:rPr>
        <w:b/>
        <w:bCs/>
      </w:rPr>
      <w:tblPr/>
      <w:tcPr>
        <w:tcBorders>
          <w:top w:val="double" w:sz="6" w:space="0" w:color="00728F" w:themeColor="text1"/>
          <w:left w:val="single" w:sz="8" w:space="0" w:color="00728F" w:themeColor="text1"/>
          <w:bottom w:val="single" w:sz="8" w:space="0" w:color="00728F" w:themeColor="text1"/>
          <w:right w:val="single" w:sz="8" w:space="0" w:color="00728F" w:themeColor="text1"/>
        </w:tcBorders>
      </w:tcPr>
    </w:tblStylePr>
    <w:tblStylePr w:type="firstCol">
      <w:rPr>
        <w:b/>
        <w:bCs/>
      </w:rPr>
    </w:tblStylePr>
    <w:tblStylePr w:type="lastCol">
      <w:rPr>
        <w:b/>
        <w:bCs/>
      </w:rPr>
    </w:tblStylePr>
    <w:tblStylePr w:type="band1Vert">
      <w:tblPr/>
      <w:tcPr>
        <w:tcBorders>
          <w:top w:val="single" w:sz="8" w:space="0" w:color="00728F" w:themeColor="text1"/>
          <w:left w:val="single" w:sz="8" w:space="0" w:color="00728F" w:themeColor="text1"/>
          <w:bottom w:val="single" w:sz="8" w:space="0" w:color="00728F" w:themeColor="text1"/>
          <w:right w:val="single" w:sz="8" w:space="0" w:color="00728F" w:themeColor="text1"/>
        </w:tcBorders>
      </w:tcPr>
    </w:tblStylePr>
    <w:tblStylePr w:type="band1Horz">
      <w:tblPr/>
      <w:tcPr>
        <w:tcBorders>
          <w:top w:val="single" w:sz="8" w:space="0" w:color="00728F" w:themeColor="text1"/>
          <w:left w:val="single" w:sz="8" w:space="0" w:color="00728F" w:themeColor="text1"/>
          <w:bottom w:val="single" w:sz="8" w:space="0" w:color="00728F" w:themeColor="text1"/>
          <w:right w:val="single" w:sz="8" w:space="0" w:color="00728F" w:themeColor="text1"/>
        </w:tcBorders>
      </w:tcPr>
    </w:tblStylePr>
  </w:style>
  <w:style w:type="table" w:customStyle="1" w:styleId="LightList-Accent11">
    <w:name w:val="Light List - Accent 11"/>
    <w:basedOn w:val="TableNormal"/>
    <w:uiPriority w:val="99"/>
    <w:semiHidden/>
    <w:rsid w:val="00361DEB"/>
    <w:pPr>
      <w:spacing w:after="0"/>
    </w:pPr>
    <w:tblPr>
      <w:tblStyleRowBandSize w:val="1"/>
      <w:tblStyleColBandSize w:val="1"/>
      <w:tblBorders>
        <w:top w:val="single" w:sz="8" w:space="0" w:color="00728F" w:themeColor="accent1"/>
        <w:left w:val="single" w:sz="8" w:space="0" w:color="00728F" w:themeColor="accent1"/>
        <w:bottom w:val="single" w:sz="8" w:space="0" w:color="00728F" w:themeColor="accent1"/>
        <w:right w:val="single" w:sz="8" w:space="0" w:color="00728F" w:themeColor="accent1"/>
      </w:tblBorders>
    </w:tblPr>
    <w:tblStylePr w:type="firstRow">
      <w:pPr>
        <w:spacing w:before="0" w:after="0" w:line="240" w:lineRule="auto"/>
      </w:pPr>
      <w:rPr>
        <w:b/>
        <w:bCs/>
        <w:color w:val="FFFFFF" w:themeColor="background1"/>
      </w:rPr>
      <w:tblPr/>
      <w:tcPr>
        <w:shd w:val="clear" w:color="auto" w:fill="00728F" w:themeFill="accent1"/>
      </w:tcPr>
    </w:tblStylePr>
    <w:tblStylePr w:type="lastRow">
      <w:pPr>
        <w:spacing w:before="0" w:after="0" w:line="240" w:lineRule="auto"/>
      </w:pPr>
      <w:rPr>
        <w:b/>
        <w:bCs/>
      </w:rPr>
      <w:tblPr/>
      <w:tcPr>
        <w:tcBorders>
          <w:top w:val="double" w:sz="6" w:space="0" w:color="00728F" w:themeColor="accent1"/>
          <w:left w:val="single" w:sz="8" w:space="0" w:color="00728F" w:themeColor="accent1"/>
          <w:bottom w:val="single" w:sz="8" w:space="0" w:color="00728F" w:themeColor="accent1"/>
          <w:right w:val="single" w:sz="8" w:space="0" w:color="00728F" w:themeColor="accent1"/>
        </w:tcBorders>
      </w:tcPr>
    </w:tblStylePr>
    <w:tblStylePr w:type="firstCol">
      <w:rPr>
        <w:b/>
        <w:bCs/>
      </w:rPr>
    </w:tblStylePr>
    <w:tblStylePr w:type="lastCol">
      <w:rPr>
        <w:b/>
        <w:bCs/>
      </w:rPr>
    </w:tblStylePr>
    <w:tblStylePr w:type="band1Vert">
      <w:tblPr/>
      <w:tcPr>
        <w:tcBorders>
          <w:top w:val="single" w:sz="8" w:space="0" w:color="00728F" w:themeColor="accent1"/>
          <w:left w:val="single" w:sz="8" w:space="0" w:color="00728F" w:themeColor="accent1"/>
          <w:bottom w:val="single" w:sz="8" w:space="0" w:color="00728F" w:themeColor="accent1"/>
          <w:right w:val="single" w:sz="8" w:space="0" w:color="00728F" w:themeColor="accent1"/>
        </w:tcBorders>
      </w:tcPr>
    </w:tblStylePr>
    <w:tblStylePr w:type="band1Horz">
      <w:tblPr/>
      <w:tcPr>
        <w:tcBorders>
          <w:top w:val="single" w:sz="8" w:space="0" w:color="00728F" w:themeColor="accent1"/>
          <w:left w:val="single" w:sz="8" w:space="0" w:color="00728F" w:themeColor="accent1"/>
          <w:bottom w:val="single" w:sz="8" w:space="0" w:color="00728F" w:themeColor="accent1"/>
          <w:right w:val="single" w:sz="8" w:space="0" w:color="00728F" w:themeColor="accent1"/>
        </w:tcBorders>
      </w:tcPr>
    </w:tblStylePr>
  </w:style>
  <w:style w:type="table" w:styleId="LightList-Accent2">
    <w:name w:val="Light List Accent 2"/>
    <w:basedOn w:val="TableNormal"/>
    <w:uiPriority w:val="99"/>
    <w:semiHidden/>
    <w:rsid w:val="00361DEB"/>
    <w:pPr>
      <w:spacing w:after="0"/>
    </w:pPr>
    <w:tblPr>
      <w:tblStyleRowBandSize w:val="1"/>
      <w:tblStyleColBandSize w:val="1"/>
      <w:tblBorders>
        <w:top w:val="single" w:sz="8" w:space="0" w:color="B7DDE8" w:themeColor="accent2"/>
        <w:left w:val="single" w:sz="8" w:space="0" w:color="B7DDE8" w:themeColor="accent2"/>
        <w:bottom w:val="single" w:sz="8" w:space="0" w:color="B7DDE8" w:themeColor="accent2"/>
        <w:right w:val="single" w:sz="8" w:space="0" w:color="B7DDE8" w:themeColor="accent2"/>
      </w:tblBorders>
    </w:tblPr>
    <w:tblStylePr w:type="firstRow">
      <w:pPr>
        <w:spacing w:before="0" w:after="0" w:line="240" w:lineRule="auto"/>
      </w:pPr>
      <w:rPr>
        <w:b/>
        <w:bCs/>
        <w:color w:val="FFFFFF" w:themeColor="background1"/>
      </w:rPr>
      <w:tblPr/>
      <w:tcPr>
        <w:shd w:val="clear" w:color="auto" w:fill="B7DDE8" w:themeFill="accent2"/>
      </w:tcPr>
    </w:tblStylePr>
    <w:tblStylePr w:type="lastRow">
      <w:pPr>
        <w:spacing w:before="0" w:after="0" w:line="240" w:lineRule="auto"/>
      </w:pPr>
      <w:rPr>
        <w:b/>
        <w:bCs/>
      </w:rPr>
      <w:tblPr/>
      <w:tcPr>
        <w:tcBorders>
          <w:top w:val="double" w:sz="6" w:space="0" w:color="B7DDE8" w:themeColor="accent2"/>
          <w:left w:val="single" w:sz="8" w:space="0" w:color="B7DDE8" w:themeColor="accent2"/>
          <w:bottom w:val="single" w:sz="8" w:space="0" w:color="B7DDE8" w:themeColor="accent2"/>
          <w:right w:val="single" w:sz="8" w:space="0" w:color="B7DDE8" w:themeColor="accent2"/>
        </w:tcBorders>
      </w:tcPr>
    </w:tblStylePr>
    <w:tblStylePr w:type="firstCol">
      <w:rPr>
        <w:b/>
        <w:bCs/>
      </w:rPr>
    </w:tblStylePr>
    <w:tblStylePr w:type="lastCol">
      <w:rPr>
        <w:b/>
        <w:bCs/>
      </w:rPr>
    </w:tblStylePr>
    <w:tblStylePr w:type="band1Vert">
      <w:tblPr/>
      <w:tcPr>
        <w:tcBorders>
          <w:top w:val="single" w:sz="8" w:space="0" w:color="B7DDE8" w:themeColor="accent2"/>
          <w:left w:val="single" w:sz="8" w:space="0" w:color="B7DDE8" w:themeColor="accent2"/>
          <w:bottom w:val="single" w:sz="8" w:space="0" w:color="B7DDE8" w:themeColor="accent2"/>
          <w:right w:val="single" w:sz="8" w:space="0" w:color="B7DDE8" w:themeColor="accent2"/>
        </w:tcBorders>
      </w:tcPr>
    </w:tblStylePr>
    <w:tblStylePr w:type="band1Horz">
      <w:tblPr/>
      <w:tcPr>
        <w:tcBorders>
          <w:top w:val="single" w:sz="8" w:space="0" w:color="B7DDE8" w:themeColor="accent2"/>
          <w:left w:val="single" w:sz="8" w:space="0" w:color="B7DDE8" w:themeColor="accent2"/>
          <w:bottom w:val="single" w:sz="8" w:space="0" w:color="B7DDE8" w:themeColor="accent2"/>
          <w:right w:val="single" w:sz="8" w:space="0" w:color="B7DDE8" w:themeColor="accent2"/>
        </w:tcBorders>
      </w:tcPr>
    </w:tblStylePr>
  </w:style>
  <w:style w:type="table" w:styleId="LightList-Accent3">
    <w:name w:val="Light List Accent 3"/>
    <w:basedOn w:val="TableNormal"/>
    <w:uiPriority w:val="99"/>
    <w:semiHidden/>
    <w:rsid w:val="00361DEB"/>
    <w:pPr>
      <w:spacing w:after="0"/>
    </w:pPr>
    <w:tblPr>
      <w:tblStyleRowBandSize w:val="1"/>
      <w:tblStyleColBandSize w:val="1"/>
      <w:tblBorders>
        <w:top w:val="single" w:sz="8" w:space="0" w:color="DBEEF3" w:themeColor="accent3"/>
        <w:left w:val="single" w:sz="8" w:space="0" w:color="DBEEF3" w:themeColor="accent3"/>
        <w:bottom w:val="single" w:sz="8" w:space="0" w:color="DBEEF3" w:themeColor="accent3"/>
        <w:right w:val="single" w:sz="8" w:space="0" w:color="DBEEF3" w:themeColor="accent3"/>
      </w:tblBorders>
    </w:tblPr>
    <w:tblStylePr w:type="firstRow">
      <w:pPr>
        <w:spacing w:before="0" w:after="0" w:line="240" w:lineRule="auto"/>
      </w:pPr>
      <w:rPr>
        <w:b/>
        <w:bCs/>
        <w:color w:val="FFFFFF" w:themeColor="background1"/>
      </w:rPr>
      <w:tblPr/>
      <w:tcPr>
        <w:shd w:val="clear" w:color="auto" w:fill="DBEEF3" w:themeFill="accent3"/>
      </w:tcPr>
    </w:tblStylePr>
    <w:tblStylePr w:type="lastRow">
      <w:pPr>
        <w:spacing w:before="0" w:after="0" w:line="240" w:lineRule="auto"/>
      </w:pPr>
      <w:rPr>
        <w:b/>
        <w:bCs/>
      </w:rPr>
      <w:tblPr/>
      <w:tcPr>
        <w:tcBorders>
          <w:top w:val="double" w:sz="6" w:space="0" w:color="DBEEF3" w:themeColor="accent3"/>
          <w:left w:val="single" w:sz="8" w:space="0" w:color="DBEEF3" w:themeColor="accent3"/>
          <w:bottom w:val="single" w:sz="8" w:space="0" w:color="DBEEF3" w:themeColor="accent3"/>
          <w:right w:val="single" w:sz="8" w:space="0" w:color="DBEEF3" w:themeColor="accent3"/>
        </w:tcBorders>
      </w:tcPr>
    </w:tblStylePr>
    <w:tblStylePr w:type="firstCol">
      <w:rPr>
        <w:b/>
        <w:bCs/>
      </w:rPr>
    </w:tblStylePr>
    <w:tblStylePr w:type="lastCol">
      <w:rPr>
        <w:b/>
        <w:bCs/>
      </w:rPr>
    </w:tblStylePr>
    <w:tblStylePr w:type="band1Vert">
      <w:tblPr/>
      <w:tcPr>
        <w:tcBorders>
          <w:top w:val="single" w:sz="8" w:space="0" w:color="DBEEF3" w:themeColor="accent3"/>
          <w:left w:val="single" w:sz="8" w:space="0" w:color="DBEEF3" w:themeColor="accent3"/>
          <w:bottom w:val="single" w:sz="8" w:space="0" w:color="DBEEF3" w:themeColor="accent3"/>
          <w:right w:val="single" w:sz="8" w:space="0" w:color="DBEEF3" w:themeColor="accent3"/>
        </w:tcBorders>
      </w:tcPr>
    </w:tblStylePr>
    <w:tblStylePr w:type="band1Horz">
      <w:tblPr/>
      <w:tcPr>
        <w:tcBorders>
          <w:top w:val="single" w:sz="8" w:space="0" w:color="DBEEF3" w:themeColor="accent3"/>
          <w:left w:val="single" w:sz="8" w:space="0" w:color="DBEEF3" w:themeColor="accent3"/>
          <w:bottom w:val="single" w:sz="8" w:space="0" w:color="DBEEF3" w:themeColor="accent3"/>
          <w:right w:val="single" w:sz="8" w:space="0" w:color="DBEEF3" w:themeColor="accent3"/>
        </w:tcBorders>
      </w:tcPr>
    </w:tblStylePr>
  </w:style>
  <w:style w:type="table" w:styleId="LightList-Accent4">
    <w:name w:val="Light List Accent 4"/>
    <w:basedOn w:val="TableNormal"/>
    <w:uiPriority w:val="99"/>
    <w:semiHidden/>
    <w:rsid w:val="00361DEB"/>
    <w:pPr>
      <w:spacing w:after="0"/>
    </w:pPr>
    <w:tblPr>
      <w:tblStyleRowBandSize w:val="1"/>
      <w:tblStyleColBandSize w:val="1"/>
      <w:tblBorders>
        <w:top w:val="single" w:sz="8" w:space="0" w:color="92CDDC" w:themeColor="accent4"/>
        <w:left w:val="single" w:sz="8" w:space="0" w:color="92CDDC" w:themeColor="accent4"/>
        <w:bottom w:val="single" w:sz="8" w:space="0" w:color="92CDDC" w:themeColor="accent4"/>
        <w:right w:val="single" w:sz="8" w:space="0" w:color="92CDDC" w:themeColor="accent4"/>
      </w:tblBorders>
    </w:tblPr>
    <w:tblStylePr w:type="firstRow">
      <w:pPr>
        <w:spacing w:before="0" w:after="0" w:line="240" w:lineRule="auto"/>
      </w:pPr>
      <w:rPr>
        <w:b/>
        <w:bCs/>
        <w:color w:val="FFFFFF" w:themeColor="background1"/>
      </w:rPr>
      <w:tblPr/>
      <w:tcPr>
        <w:shd w:val="clear" w:color="auto" w:fill="92CDDC" w:themeFill="accent4"/>
      </w:tcPr>
    </w:tblStylePr>
    <w:tblStylePr w:type="lastRow">
      <w:pPr>
        <w:spacing w:before="0" w:after="0" w:line="240" w:lineRule="auto"/>
      </w:pPr>
      <w:rPr>
        <w:b/>
        <w:bCs/>
      </w:rPr>
      <w:tblPr/>
      <w:tcPr>
        <w:tcBorders>
          <w:top w:val="double" w:sz="6" w:space="0" w:color="92CDDC" w:themeColor="accent4"/>
          <w:left w:val="single" w:sz="8" w:space="0" w:color="92CDDC" w:themeColor="accent4"/>
          <w:bottom w:val="single" w:sz="8" w:space="0" w:color="92CDDC" w:themeColor="accent4"/>
          <w:right w:val="single" w:sz="8" w:space="0" w:color="92CDDC" w:themeColor="accent4"/>
        </w:tcBorders>
      </w:tcPr>
    </w:tblStylePr>
    <w:tblStylePr w:type="firstCol">
      <w:rPr>
        <w:b/>
        <w:bCs/>
      </w:rPr>
    </w:tblStylePr>
    <w:tblStylePr w:type="lastCol">
      <w:rPr>
        <w:b/>
        <w:bCs/>
      </w:rPr>
    </w:tblStylePr>
    <w:tblStylePr w:type="band1Vert">
      <w:tblPr/>
      <w:tcPr>
        <w:tcBorders>
          <w:top w:val="single" w:sz="8" w:space="0" w:color="92CDDC" w:themeColor="accent4"/>
          <w:left w:val="single" w:sz="8" w:space="0" w:color="92CDDC" w:themeColor="accent4"/>
          <w:bottom w:val="single" w:sz="8" w:space="0" w:color="92CDDC" w:themeColor="accent4"/>
          <w:right w:val="single" w:sz="8" w:space="0" w:color="92CDDC" w:themeColor="accent4"/>
        </w:tcBorders>
      </w:tcPr>
    </w:tblStylePr>
    <w:tblStylePr w:type="band1Horz">
      <w:tblPr/>
      <w:tcPr>
        <w:tcBorders>
          <w:top w:val="single" w:sz="8" w:space="0" w:color="92CDDC" w:themeColor="accent4"/>
          <w:left w:val="single" w:sz="8" w:space="0" w:color="92CDDC" w:themeColor="accent4"/>
          <w:bottom w:val="single" w:sz="8" w:space="0" w:color="92CDDC" w:themeColor="accent4"/>
          <w:right w:val="single" w:sz="8" w:space="0" w:color="92CDDC" w:themeColor="accent4"/>
        </w:tcBorders>
      </w:tcPr>
    </w:tblStylePr>
  </w:style>
  <w:style w:type="table" w:styleId="LightList-Accent5">
    <w:name w:val="Light List Accent 5"/>
    <w:basedOn w:val="TableNormal"/>
    <w:uiPriority w:val="99"/>
    <w:semiHidden/>
    <w:rsid w:val="00361DEB"/>
    <w:pPr>
      <w:spacing w:after="0"/>
    </w:pPr>
    <w:tblPr>
      <w:tblStyleRowBandSize w:val="1"/>
      <w:tblStyleColBandSize w:val="1"/>
      <w:tblBorders>
        <w:top w:val="single" w:sz="8" w:space="0" w:color="31859B" w:themeColor="accent5"/>
        <w:left w:val="single" w:sz="8" w:space="0" w:color="31859B" w:themeColor="accent5"/>
        <w:bottom w:val="single" w:sz="8" w:space="0" w:color="31859B" w:themeColor="accent5"/>
        <w:right w:val="single" w:sz="8" w:space="0" w:color="31859B" w:themeColor="accent5"/>
      </w:tblBorders>
    </w:tblPr>
    <w:tblStylePr w:type="firstRow">
      <w:pPr>
        <w:spacing w:before="0" w:after="0" w:line="240" w:lineRule="auto"/>
      </w:pPr>
      <w:rPr>
        <w:b/>
        <w:bCs/>
        <w:color w:val="FFFFFF" w:themeColor="background1"/>
      </w:rPr>
      <w:tblPr/>
      <w:tcPr>
        <w:shd w:val="clear" w:color="auto" w:fill="31859B" w:themeFill="accent5"/>
      </w:tcPr>
    </w:tblStylePr>
    <w:tblStylePr w:type="lastRow">
      <w:pPr>
        <w:spacing w:before="0" w:after="0" w:line="240" w:lineRule="auto"/>
      </w:pPr>
      <w:rPr>
        <w:b/>
        <w:bCs/>
      </w:rPr>
      <w:tblPr/>
      <w:tcPr>
        <w:tcBorders>
          <w:top w:val="double" w:sz="6" w:space="0" w:color="31859B" w:themeColor="accent5"/>
          <w:left w:val="single" w:sz="8" w:space="0" w:color="31859B" w:themeColor="accent5"/>
          <w:bottom w:val="single" w:sz="8" w:space="0" w:color="31859B" w:themeColor="accent5"/>
          <w:right w:val="single" w:sz="8" w:space="0" w:color="31859B" w:themeColor="accent5"/>
        </w:tcBorders>
      </w:tcPr>
    </w:tblStylePr>
    <w:tblStylePr w:type="firstCol">
      <w:rPr>
        <w:b/>
        <w:bCs/>
      </w:rPr>
    </w:tblStylePr>
    <w:tblStylePr w:type="lastCol">
      <w:rPr>
        <w:b/>
        <w:bCs/>
      </w:rPr>
    </w:tblStylePr>
    <w:tblStylePr w:type="band1Vert">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tcPr>
    </w:tblStylePr>
    <w:tblStylePr w:type="band1Horz">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tcPr>
    </w:tblStylePr>
  </w:style>
  <w:style w:type="table" w:styleId="LightList-Accent6">
    <w:name w:val="Light List Accent 6"/>
    <w:basedOn w:val="TableNormal"/>
    <w:uiPriority w:val="99"/>
    <w:semiHidden/>
    <w:rsid w:val="00361DEB"/>
    <w:pPr>
      <w:spacing w:after="0"/>
    </w:pPr>
    <w:tblPr>
      <w:tblStyleRowBandSize w:val="1"/>
      <w:tblStyleColBandSize w:val="1"/>
      <w:tblBorders>
        <w:top w:val="single" w:sz="8" w:space="0" w:color="64B8CE" w:themeColor="accent6"/>
        <w:left w:val="single" w:sz="8" w:space="0" w:color="64B8CE" w:themeColor="accent6"/>
        <w:bottom w:val="single" w:sz="8" w:space="0" w:color="64B8CE" w:themeColor="accent6"/>
        <w:right w:val="single" w:sz="8" w:space="0" w:color="64B8CE" w:themeColor="accent6"/>
      </w:tblBorders>
    </w:tblPr>
    <w:tblStylePr w:type="firstRow">
      <w:pPr>
        <w:spacing w:before="0" w:after="0" w:line="240" w:lineRule="auto"/>
      </w:pPr>
      <w:rPr>
        <w:b/>
        <w:bCs/>
        <w:color w:val="FFFFFF" w:themeColor="background1"/>
      </w:rPr>
      <w:tblPr/>
      <w:tcPr>
        <w:shd w:val="clear" w:color="auto" w:fill="64B8CE" w:themeFill="accent6"/>
      </w:tcPr>
    </w:tblStylePr>
    <w:tblStylePr w:type="lastRow">
      <w:pPr>
        <w:spacing w:before="0" w:after="0" w:line="240" w:lineRule="auto"/>
      </w:pPr>
      <w:rPr>
        <w:b/>
        <w:bCs/>
      </w:rPr>
      <w:tblPr/>
      <w:tcPr>
        <w:tcBorders>
          <w:top w:val="double" w:sz="6" w:space="0" w:color="64B8CE" w:themeColor="accent6"/>
          <w:left w:val="single" w:sz="8" w:space="0" w:color="64B8CE" w:themeColor="accent6"/>
          <w:bottom w:val="single" w:sz="8" w:space="0" w:color="64B8CE" w:themeColor="accent6"/>
          <w:right w:val="single" w:sz="8" w:space="0" w:color="64B8CE" w:themeColor="accent6"/>
        </w:tcBorders>
      </w:tcPr>
    </w:tblStylePr>
    <w:tblStylePr w:type="firstCol">
      <w:rPr>
        <w:b/>
        <w:bCs/>
      </w:rPr>
    </w:tblStylePr>
    <w:tblStylePr w:type="lastCol">
      <w:rPr>
        <w:b/>
        <w:bCs/>
      </w:rPr>
    </w:tblStylePr>
    <w:tblStylePr w:type="band1Vert">
      <w:tblPr/>
      <w:tcPr>
        <w:tcBorders>
          <w:top w:val="single" w:sz="8" w:space="0" w:color="64B8CE" w:themeColor="accent6"/>
          <w:left w:val="single" w:sz="8" w:space="0" w:color="64B8CE" w:themeColor="accent6"/>
          <w:bottom w:val="single" w:sz="8" w:space="0" w:color="64B8CE" w:themeColor="accent6"/>
          <w:right w:val="single" w:sz="8" w:space="0" w:color="64B8CE" w:themeColor="accent6"/>
        </w:tcBorders>
      </w:tcPr>
    </w:tblStylePr>
    <w:tblStylePr w:type="band1Horz">
      <w:tblPr/>
      <w:tcPr>
        <w:tcBorders>
          <w:top w:val="single" w:sz="8" w:space="0" w:color="64B8CE" w:themeColor="accent6"/>
          <w:left w:val="single" w:sz="8" w:space="0" w:color="64B8CE" w:themeColor="accent6"/>
          <w:bottom w:val="single" w:sz="8" w:space="0" w:color="64B8CE" w:themeColor="accent6"/>
          <w:right w:val="single" w:sz="8" w:space="0" w:color="64B8CE" w:themeColor="accent6"/>
        </w:tcBorders>
      </w:tcPr>
    </w:tblStylePr>
  </w:style>
  <w:style w:type="table" w:customStyle="1" w:styleId="LightShading1">
    <w:name w:val="Light Shading1"/>
    <w:basedOn w:val="TableNormal"/>
    <w:uiPriority w:val="99"/>
    <w:semiHidden/>
    <w:rsid w:val="00361DEB"/>
    <w:pPr>
      <w:spacing w:after="0"/>
    </w:pPr>
    <w:rPr>
      <w:color w:val="00556B" w:themeColor="text1" w:themeShade="BF"/>
    </w:rPr>
    <w:tblPr>
      <w:tblStyleRowBandSize w:val="1"/>
      <w:tblStyleColBandSize w:val="1"/>
      <w:tblBorders>
        <w:top w:val="single" w:sz="8" w:space="0" w:color="00728F" w:themeColor="text1"/>
        <w:bottom w:val="single" w:sz="8" w:space="0" w:color="00728F" w:themeColor="text1"/>
      </w:tblBorders>
    </w:tblPr>
    <w:tblStylePr w:type="firstRow">
      <w:pPr>
        <w:spacing w:before="0" w:after="0" w:line="240" w:lineRule="auto"/>
      </w:pPr>
      <w:rPr>
        <w:b/>
        <w:bCs/>
      </w:rPr>
      <w:tblPr/>
      <w:tcPr>
        <w:tcBorders>
          <w:top w:val="single" w:sz="8" w:space="0" w:color="00728F" w:themeColor="text1"/>
          <w:left w:val="nil"/>
          <w:bottom w:val="single" w:sz="8" w:space="0" w:color="00728F" w:themeColor="text1"/>
          <w:right w:val="nil"/>
          <w:insideH w:val="nil"/>
          <w:insideV w:val="nil"/>
        </w:tcBorders>
      </w:tcPr>
    </w:tblStylePr>
    <w:tblStylePr w:type="lastRow">
      <w:pPr>
        <w:spacing w:before="0" w:after="0" w:line="240" w:lineRule="auto"/>
      </w:pPr>
      <w:rPr>
        <w:b/>
        <w:bCs/>
      </w:rPr>
      <w:tblPr/>
      <w:tcPr>
        <w:tcBorders>
          <w:top w:val="single" w:sz="8" w:space="0" w:color="00728F" w:themeColor="text1"/>
          <w:left w:val="nil"/>
          <w:bottom w:val="single" w:sz="8" w:space="0" w:color="00728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ECFF" w:themeFill="text1" w:themeFillTint="3F"/>
      </w:tcPr>
    </w:tblStylePr>
    <w:tblStylePr w:type="band1Horz">
      <w:tblPr/>
      <w:tcPr>
        <w:tcBorders>
          <w:left w:val="nil"/>
          <w:right w:val="nil"/>
          <w:insideH w:val="nil"/>
          <w:insideV w:val="nil"/>
        </w:tcBorders>
        <w:shd w:val="clear" w:color="auto" w:fill="A4ECFF" w:themeFill="text1" w:themeFillTint="3F"/>
      </w:tcPr>
    </w:tblStylePr>
  </w:style>
  <w:style w:type="table" w:customStyle="1" w:styleId="LightShading-Accent11">
    <w:name w:val="Light Shading - Accent 11"/>
    <w:basedOn w:val="TableNormal"/>
    <w:uiPriority w:val="99"/>
    <w:semiHidden/>
    <w:rsid w:val="00361DEB"/>
    <w:pPr>
      <w:spacing w:after="0"/>
    </w:pPr>
    <w:rPr>
      <w:color w:val="00556B" w:themeColor="accent1" w:themeShade="BF"/>
    </w:rPr>
    <w:tblPr>
      <w:tblStyleRowBandSize w:val="1"/>
      <w:tblStyleColBandSize w:val="1"/>
      <w:tblBorders>
        <w:top w:val="single" w:sz="8" w:space="0" w:color="00728F" w:themeColor="accent1"/>
        <w:bottom w:val="single" w:sz="8" w:space="0" w:color="00728F" w:themeColor="accent1"/>
      </w:tblBorders>
    </w:tblPr>
    <w:tblStylePr w:type="firstRow">
      <w:pPr>
        <w:spacing w:before="0" w:after="0" w:line="240" w:lineRule="auto"/>
      </w:pPr>
      <w:rPr>
        <w:b/>
        <w:bCs/>
      </w:rPr>
      <w:tblPr/>
      <w:tcPr>
        <w:tcBorders>
          <w:top w:val="single" w:sz="8" w:space="0" w:color="00728F" w:themeColor="accent1"/>
          <w:left w:val="nil"/>
          <w:bottom w:val="single" w:sz="8" w:space="0" w:color="00728F" w:themeColor="accent1"/>
          <w:right w:val="nil"/>
          <w:insideH w:val="nil"/>
          <w:insideV w:val="nil"/>
        </w:tcBorders>
      </w:tcPr>
    </w:tblStylePr>
    <w:tblStylePr w:type="lastRow">
      <w:pPr>
        <w:spacing w:before="0" w:after="0" w:line="240" w:lineRule="auto"/>
      </w:pPr>
      <w:rPr>
        <w:b/>
        <w:bCs/>
      </w:rPr>
      <w:tblPr/>
      <w:tcPr>
        <w:tcBorders>
          <w:top w:val="single" w:sz="8" w:space="0" w:color="00728F" w:themeColor="accent1"/>
          <w:left w:val="nil"/>
          <w:bottom w:val="single" w:sz="8" w:space="0" w:color="0072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ECFF" w:themeFill="accent1" w:themeFillTint="3F"/>
      </w:tcPr>
    </w:tblStylePr>
    <w:tblStylePr w:type="band1Horz">
      <w:tblPr/>
      <w:tcPr>
        <w:tcBorders>
          <w:left w:val="nil"/>
          <w:right w:val="nil"/>
          <w:insideH w:val="nil"/>
          <w:insideV w:val="nil"/>
        </w:tcBorders>
        <w:shd w:val="clear" w:color="auto" w:fill="A4ECFF" w:themeFill="accent1" w:themeFillTint="3F"/>
      </w:tcPr>
    </w:tblStylePr>
  </w:style>
  <w:style w:type="table" w:styleId="LightShading-Accent2">
    <w:name w:val="Light Shading Accent 2"/>
    <w:basedOn w:val="TableNormal"/>
    <w:uiPriority w:val="99"/>
    <w:semiHidden/>
    <w:rsid w:val="00361DEB"/>
    <w:pPr>
      <w:spacing w:after="0"/>
    </w:pPr>
    <w:rPr>
      <w:color w:val="67B7CE" w:themeColor="accent2" w:themeShade="BF"/>
    </w:rPr>
    <w:tblPr>
      <w:tblStyleRowBandSize w:val="1"/>
      <w:tblStyleColBandSize w:val="1"/>
      <w:tblBorders>
        <w:top w:val="single" w:sz="8" w:space="0" w:color="B7DDE8" w:themeColor="accent2"/>
        <w:bottom w:val="single" w:sz="8" w:space="0" w:color="B7DDE8" w:themeColor="accent2"/>
      </w:tblBorders>
    </w:tblPr>
    <w:tblStylePr w:type="firstRow">
      <w:pPr>
        <w:spacing w:before="0" w:after="0" w:line="240" w:lineRule="auto"/>
      </w:pPr>
      <w:rPr>
        <w:b/>
        <w:bCs/>
      </w:rPr>
      <w:tblPr/>
      <w:tcPr>
        <w:tcBorders>
          <w:top w:val="single" w:sz="8" w:space="0" w:color="B7DDE8" w:themeColor="accent2"/>
          <w:left w:val="nil"/>
          <w:bottom w:val="single" w:sz="8" w:space="0" w:color="B7DDE8" w:themeColor="accent2"/>
          <w:right w:val="nil"/>
          <w:insideH w:val="nil"/>
          <w:insideV w:val="nil"/>
        </w:tcBorders>
      </w:tcPr>
    </w:tblStylePr>
    <w:tblStylePr w:type="lastRow">
      <w:pPr>
        <w:spacing w:before="0" w:after="0" w:line="240" w:lineRule="auto"/>
      </w:pPr>
      <w:rPr>
        <w:b/>
        <w:bCs/>
      </w:rPr>
      <w:tblPr/>
      <w:tcPr>
        <w:tcBorders>
          <w:top w:val="single" w:sz="8" w:space="0" w:color="B7DDE8" w:themeColor="accent2"/>
          <w:left w:val="nil"/>
          <w:bottom w:val="single" w:sz="8" w:space="0" w:color="B7DDE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6F9" w:themeFill="accent2" w:themeFillTint="3F"/>
      </w:tcPr>
    </w:tblStylePr>
    <w:tblStylePr w:type="band1Horz">
      <w:tblPr/>
      <w:tcPr>
        <w:tcBorders>
          <w:left w:val="nil"/>
          <w:right w:val="nil"/>
          <w:insideH w:val="nil"/>
          <w:insideV w:val="nil"/>
        </w:tcBorders>
        <w:shd w:val="clear" w:color="auto" w:fill="EDF6F9" w:themeFill="accent2" w:themeFillTint="3F"/>
      </w:tcPr>
    </w:tblStylePr>
  </w:style>
  <w:style w:type="table" w:styleId="LightShading-Accent3">
    <w:name w:val="Light Shading Accent 3"/>
    <w:basedOn w:val="TableNormal"/>
    <w:uiPriority w:val="99"/>
    <w:semiHidden/>
    <w:rsid w:val="00361DEB"/>
    <w:pPr>
      <w:spacing w:after="0"/>
    </w:pPr>
    <w:rPr>
      <w:color w:val="84C4D6" w:themeColor="accent3" w:themeShade="BF"/>
    </w:rPr>
    <w:tblPr>
      <w:tblStyleRowBandSize w:val="1"/>
      <w:tblStyleColBandSize w:val="1"/>
      <w:tblBorders>
        <w:top w:val="single" w:sz="8" w:space="0" w:color="DBEEF3" w:themeColor="accent3"/>
        <w:bottom w:val="single" w:sz="8" w:space="0" w:color="DBEEF3" w:themeColor="accent3"/>
      </w:tblBorders>
    </w:tblPr>
    <w:tblStylePr w:type="firstRow">
      <w:pPr>
        <w:spacing w:before="0" w:after="0" w:line="240" w:lineRule="auto"/>
      </w:pPr>
      <w:rPr>
        <w:b/>
        <w:bCs/>
      </w:rPr>
      <w:tblPr/>
      <w:tcPr>
        <w:tcBorders>
          <w:top w:val="single" w:sz="8" w:space="0" w:color="DBEEF3" w:themeColor="accent3"/>
          <w:left w:val="nil"/>
          <w:bottom w:val="single" w:sz="8" w:space="0" w:color="DBEEF3" w:themeColor="accent3"/>
          <w:right w:val="nil"/>
          <w:insideH w:val="nil"/>
          <w:insideV w:val="nil"/>
        </w:tcBorders>
      </w:tcPr>
    </w:tblStylePr>
    <w:tblStylePr w:type="lastRow">
      <w:pPr>
        <w:spacing w:before="0" w:after="0" w:line="240" w:lineRule="auto"/>
      </w:pPr>
      <w:rPr>
        <w:b/>
        <w:bCs/>
      </w:rPr>
      <w:tblPr/>
      <w:tcPr>
        <w:tcBorders>
          <w:top w:val="single" w:sz="8" w:space="0" w:color="DBEEF3" w:themeColor="accent3"/>
          <w:left w:val="nil"/>
          <w:bottom w:val="single" w:sz="8" w:space="0" w:color="DBEEF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AFC" w:themeFill="accent3" w:themeFillTint="3F"/>
      </w:tcPr>
    </w:tblStylePr>
    <w:tblStylePr w:type="band1Horz">
      <w:tblPr/>
      <w:tcPr>
        <w:tcBorders>
          <w:left w:val="nil"/>
          <w:right w:val="nil"/>
          <w:insideH w:val="nil"/>
          <w:insideV w:val="nil"/>
        </w:tcBorders>
        <w:shd w:val="clear" w:color="auto" w:fill="F6FAFC" w:themeFill="accent3" w:themeFillTint="3F"/>
      </w:tcPr>
    </w:tblStylePr>
  </w:style>
  <w:style w:type="table" w:styleId="LightShading-Accent4">
    <w:name w:val="Light Shading Accent 4"/>
    <w:basedOn w:val="TableNormal"/>
    <w:uiPriority w:val="99"/>
    <w:semiHidden/>
    <w:rsid w:val="00361DEB"/>
    <w:pPr>
      <w:spacing w:after="0"/>
    </w:pPr>
    <w:rPr>
      <w:color w:val="4CACC5" w:themeColor="accent4" w:themeShade="BF"/>
    </w:rPr>
    <w:tblPr>
      <w:tblStyleRowBandSize w:val="1"/>
      <w:tblStyleColBandSize w:val="1"/>
      <w:tblBorders>
        <w:top w:val="single" w:sz="8" w:space="0" w:color="92CDDC" w:themeColor="accent4"/>
        <w:bottom w:val="single" w:sz="8" w:space="0" w:color="92CDDC" w:themeColor="accent4"/>
      </w:tblBorders>
    </w:tblPr>
    <w:tblStylePr w:type="firstRow">
      <w:pPr>
        <w:spacing w:before="0" w:after="0" w:line="240" w:lineRule="auto"/>
      </w:pPr>
      <w:rPr>
        <w:b/>
        <w:bCs/>
      </w:rPr>
      <w:tblPr/>
      <w:tcPr>
        <w:tcBorders>
          <w:top w:val="single" w:sz="8" w:space="0" w:color="92CDDC" w:themeColor="accent4"/>
          <w:left w:val="nil"/>
          <w:bottom w:val="single" w:sz="8" w:space="0" w:color="92CDDC" w:themeColor="accent4"/>
          <w:right w:val="nil"/>
          <w:insideH w:val="nil"/>
          <w:insideV w:val="nil"/>
        </w:tcBorders>
      </w:tcPr>
    </w:tblStylePr>
    <w:tblStylePr w:type="lastRow">
      <w:pPr>
        <w:spacing w:before="0" w:after="0" w:line="240" w:lineRule="auto"/>
      </w:pPr>
      <w:rPr>
        <w:b/>
        <w:bCs/>
      </w:rPr>
      <w:tblPr/>
      <w:tcPr>
        <w:tcBorders>
          <w:top w:val="single" w:sz="8" w:space="0" w:color="92CDDC" w:themeColor="accent4"/>
          <w:left w:val="nil"/>
          <w:bottom w:val="single" w:sz="8" w:space="0" w:color="92CDD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2F6" w:themeFill="accent4" w:themeFillTint="3F"/>
      </w:tcPr>
    </w:tblStylePr>
    <w:tblStylePr w:type="band1Horz">
      <w:tblPr/>
      <w:tcPr>
        <w:tcBorders>
          <w:left w:val="nil"/>
          <w:right w:val="nil"/>
          <w:insideH w:val="nil"/>
          <w:insideV w:val="nil"/>
        </w:tcBorders>
        <w:shd w:val="clear" w:color="auto" w:fill="E4F2F6" w:themeFill="accent4" w:themeFillTint="3F"/>
      </w:tcPr>
    </w:tblStylePr>
  </w:style>
  <w:style w:type="table" w:styleId="LightShading-Accent5">
    <w:name w:val="Light Shading Accent 5"/>
    <w:basedOn w:val="TableNormal"/>
    <w:uiPriority w:val="99"/>
    <w:semiHidden/>
    <w:rsid w:val="00361DEB"/>
    <w:pPr>
      <w:spacing w:after="0"/>
    </w:pPr>
    <w:rPr>
      <w:color w:val="246373" w:themeColor="accent5" w:themeShade="BF"/>
    </w:rPr>
    <w:tblPr>
      <w:tblStyleRowBandSize w:val="1"/>
      <w:tblStyleColBandSize w:val="1"/>
      <w:tblBorders>
        <w:top w:val="single" w:sz="8" w:space="0" w:color="31859B" w:themeColor="accent5"/>
        <w:bottom w:val="single" w:sz="8" w:space="0" w:color="31859B" w:themeColor="accent5"/>
      </w:tblBorders>
    </w:tblPr>
    <w:tblStylePr w:type="firstRow">
      <w:pPr>
        <w:spacing w:before="0" w:after="0" w:line="240" w:lineRule="auto"/>
      </w:pPr>
      <w:rPr>
        <w:b/>
        <w:bCs/>
      </w:rPr>
      <w:tblPr/>
      <w:tcPr>
        <w:tcBorders>
          <w:top w:val="single" w:sz="8" w:space="0" w:color="31859B" w:themeColor="accent5"/>
          <w:left w:val="nil"/>
          <w:bottom w:val="single" w:sz="8" w:space="0" w:color="31859B" w:themeColor="accent5"/>
          <w:right w:val="nil"/>
          <w:insideH w:val="nil"/>
          <w:insideV w:val="nil"/>
        </w:tcBorders>
      </w:tcPr>
    </w:tblStylePr>
    <w:tblStylePr w:type="lastRow">
      <w:pPr>
        <w:spacing w:before="0" w:after="0" w:line="240" w:lineRule="auto"/>
      </w:pPr>
      <w:rPr>
        <w:b/>
        <w:bCs/>
      </w:rPr>
      <w:tblPr/>
      <w:tcPr>
        <w:tcBorders>
          <w:top w:val="single" w:sz="8" w:space="0" w:color="31859B" w:themeColor="accent5"/>
          <w:left w:val="nil"/>
          <w:bottom w:val="single" w:sz="8" w:space="0" w:color="31859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4EC" w:themeFill="accent5" w:themeFillTint="3F"/>
      </w:tcPr>
    </w:tblStylePr>
    <w:tblStylePr w:type="band1Horz">
      <w:tblPr/>
      <w:tcPr>
        <w:tcBorders>
          <w:left w:val="nil"/>
          <w:right w:val="nil"/>
          <w:insideH w:val="nil"/>
          <w:insideV w:val="nil"/>
        </w:tcBorders>
        <w:shd w:val="clear" w:color="auto" w:fill="C5E4EC" w:themeFill="accent5" w:themeFillTint="3F"/>
      </w:tcPr>
    </w:tblStylePr>
  </w:style>
  <w:style w:type="table" w:styleId="LightShading-Accent6">
    <w:name w:val="Light Shading Accent 6"/>
    <w:basedOn w:val="TableNormal"/>
    <w:uiPriority w:val="99"/>
    <w:semiHidden/>
    <w:rsid w:val="00361DEB"/>
    <w:pPr>
      <w:spacing w:after="0"/>
    </w:pPr>
    <w:rPr>
      <w:color w:val="3795AD" w:themeColor="accent6" w:themeShade="BF"/>
    </w:rPr>
    <w:tblPr>
      <w:tblStyleRowBandSize w:val="1"/>
      <w:tblStyleColBandSize w:val="1"/>
      <w:tblBorders>
        <w:top w:val="single" w:sz="8" w:space="0" w:color="64B8CE" w:themeColor="accent6"/>
        <w:bottom w:val="single" w:sz="8" w:space="0" w:color="64B8CE" w:themeColor="accent6"/>
      </w:tblBorders>
    </w:tblPr>
    <w:tblStylePr w:type="firstRow">
      <w:pPr>
        <w:spacing w:before="0" w:after="0" w:line="240" w:lineRule="auto"/>
      </w:pPr>
      <w:rPr>
        <w:b/>
        <w:bCs/>
      </w:rPr>
      <w:tblPr/>
      <w:tcPr>
        <w:tcBorders>
          <w:top w:val="single" w:sz="8" w:space="0" w:color="64B8CE" w:themeColor="accent6"/>
          <w:left w:val="nil"/>
          <w:bottom w:val="single" w:sz="8" w:space="0" w:color="64B8CE" w:themeColor="accent6"/>
          <w:right w:val="nil"/>
          <w:insideH w:val="nil"/>
          <w:insideV w:val="nil"/>
        </w:tcBorders>
      </w:tcPr>
    </w:tblStylePr>
    <w:tblStylePr w:type="lastRow">
      <w:pPr>
        <w:spacing w:before="0" w:after="0" w:line="240" w:lineRule="auto"/>
      </w:pPr>
      <w:rPr>
        <w:b/>
        <w:bCs/>
      </w:rPr>
      <w:tblPr/>
      <w:tcPr>
        <w:tcBorders>
          <w:top w:val="single" w:sz="8" w:space="0" w:color="64B8CE" w:themeColor="accent6"/>
          <w:left w:val="nil"/>
          <w:bottom w:val="single" w:sz="8" w:space="0" w:color="64B8C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DF2" w:themeFill="accent6" w:themeFillTint="3F"/>
      </w:tcPr>
    </w:tblStylePr>
    <w:tblStylePr w:type="band1Horz">
      <w:tblPr/>
      <w:tcPr>
        <w:tcBorders>
          <w:left w:val="nil"/>
          <w:right w:val="nil"/>
          <w:insideH w:val="nil"/>
          <w:insideV w:val="nil"/>
        </w:tcBorders>
        <w:shd w:val="clear" w:color="auto" w:fill="D8EDF2" w:themeFill="accent6" w:themeFillTint="3F"/>
      </w:tcPr>
    </w:tblStylePr>
  </w:style>
  <w:style w:type="table" w:customStyle="1" w:styleId="MediumGrid11">
    <w:name w:val="Medium Grid 11"/>
    <w:basedOn w:val="TableNormal"/>
    <w:uiPriority w:val="99"/>
    <w:semiHidden/>
    <w:rsid w:val="00361DEB"/>
    <w:pPr>
      <w:spacing w:after="0"/>
    </w:pPr>
    <w:tblPr>
      <w:tblStyleRowBandSize w:val="1"/>
      <w:tblStyleColBandSize w:val="1"/>
      <w:tblBorders>
        <w:top w:val="single" w:sz="8" w:space="0" w:color="00BBEB" w:themeColor="text1" w:themeTint="BF"/>
        <w:left w:val="single" w:sz="8" w:space="0" w:color="00BBEB" w:themeColor="text1" w:themeTint="BF"/>
        <w:bottom w:val="single" w:sz="8" w:space="0" w:color="00BBEB" w:themeColor="text1" w:themeTint="BF"/>
        <w:right w:val="single" w:sz="8" w:space="0" w:color="00BBEB" w:themeColor="text1" w:themeTint="BF"/>
        <w:insideH w:val="single" w:sz="8" w:space="0" w:color="00BBEB" w:themeColor="text1" w:themeTint="BF"/>
        <w:insideV w:val="single" w:sz="8" w:space="0" w:color="00BBEB" w:themeColor="text1" w:themeTint="BF"/>
      </w:tblBorders>
    </w:tblPr>
    <w:tcPr>
      <w:shd w:val="clear" w:color="auto" w:fill="A4ECFF" w:themeFill="text1" w:themeFillTint="3F"/>
    </w:tcPr>
    <w:tblStylePr w:type="firstRow">
      <w:rPr>
        <w:b/>
        <w:bCs/>
      </w:rPr>
    </w:tblStylePr>
    <w:tblStylePr w:type="lastRow">
      <w:rPr>
        <w:b/>
        <w:bCs/>
      </w:rPr>
      <w:tblPr/>
      <w:tcPr>
        <w:tcBorders>
          <w:top w:val="single" w:sz="18" w:space="0" w:color="00BBEB" w:themeColor="text1" w:themeTint="BF"/>
        </w:tcBorders>
      </w:tcPr>
    </w:tblStylePr>
    <w:tblStylePr w:type="firstCol">
      <w:rPr>
        <w:b/>
        <w:bCs/>
      </w:rPr>
    </w:tblStylePr>
    <w:tblStylePr w:type="lastCol">
      <w:rPr>
        <w:b/>
        <w:bCs/>
      </w:rPr>
    </w:tblStylePr>
    <w:tblStylePr w:type="band1Vert">
      <w:tblPr/>
      <w:tcPr>
        <w:shd w:val="clear" w:color="auto" w:fill="48D9FF" w:themeFill="text1" w:themeFillTint="7F"/>
      </w:tcPr>
    </w:tblStylePr>
    <w:tblStylePr w:type="band1Horz">
      <w:tblPr/>
      <w:tcPr>
        <w:shd w:val="clear" w:color="auto" w:fill="48D9FF" w:themeFill="text1" w:themeFillTint="7F"/>
      </w:tcPr>
    </w:tblStylePr>
  </w:style>
  <w:style w:type="table" w:styleId="MediumGrid1-Accent1">
    <w:name w:val="Medium Grid 1 Accent 1"/>
    <w:basedOn w:val="TableNormal"/>
    <w:uiPriority w:val="99"/>
    <w:semiHidden/>
    <w:rsid w:val="00361DEB"/>
    <w:pPr>
      <w:spacing w:after="0"/>
    </w:pPr>
    <w:tblPr>
      <w:tblStyleRowBandSize w:val="1"/>
      <w:tblStyleColBandSize w:val="1"/>
      <w:tblBorders>
        <w:top w:val="single" w:sz="8" w:space="0" w:color="00BBEB" w:themeColor="accent1" w:themeTint="BF"/>
        <w:left w:val="single" w:sz="8" w:space="0" w:color="00BBEB" w:themeColor="accent1" w:themeTint="BF"/>
        <w:bottom w:val="single" w:sz="8" w:space="0" w:color="00BBEB" w:themeColor="accent1" w:themeTint="BF"/>
        <w:right w:val="single" w:sz="8" w:space="0" w:color="00BBEB" w:themeColor="accent1" w:themeTint="BF"/>
        <w:insideH w:val="single" w:sz="8" w:space="0" w:color="00BBEB" w:themeColor="accent1" w:themeTint="BF"/>
        <w:insideV w:val="single" w:sz="8" w:space="0" w:color="00BBEB" w:themeColor="accent1" w:themeTint="BF"/>
      </w:tblBorders>
    </w:tblPr>
    <w:tcPr>
      <w:shd w:val="clear" w:color="auto" w:fill="A4ECFF" w:themeFill="accent1" w:themeFillTint="3F"/>
    </w:tcPr>
    <w:tblStylePr w:type="firstRow">
      <w:rPr>
        <w:b/>
        <w:bCs/>
      </w:rPr>
    </w:tblStylePr>
    <w:tblStylePr w:type="lastRow">
      <w:rPr>
        <w:b/>
        <w:bCs/>
      </w:rPr>
      <w:tblPr/>
      <w:tcPr>
        <w:tcBorders>
          <w:top w:val="single" w:sz="18" w:space="0" w:color="00BBEB" w:themeColor="accent1" w:themeTint="BF"/>
        </w:tcBorders>
      </w:tcPr>
    </w:tblStylePr>
    <w:tblStylePr w:type="firstCol">
      <w:rPr>
        <w:b/>
        <w:bCs/>
      </w:rPr>
    </w:tblStylePr>
    <w:tblStylePr w:type="lastCol">
      <w:rPr>
        <w:b/>
        <w:bCs/>
      </w:rPr>
    </w:tblStylePr>
    <w:tblStylePr w:type="band1Vert">
      <w:tblPr/>
      <w:tcPr>
        <w:shd w:val="clear" w:color="auto" w:fill="48D9FF" w:themeFill="accent1" w:themeFillTint="7F"/>
      </w:tcPr>
    </w:tblStylePr>
    <w:tblStylePr w:type="band1Horz">
      <w:tblPr/>
      <w:tcPr>
        <w:shd w:val="clear" w:color="auto" w:fill="48D9FF" w:themeFill="accent1" w:themeFillTint="7F"/>
      </w:tcPr>
    </w:tblStylePr>
  </w:style>
  <w:style w:type="table" w:styleId="MediumGrid1-Accent2">
    <w:name w:val="Medium Grid 1 Accent 2"/>
    <w:basedOn w:val="TableNormal"/>
    <w:uiPriority w:val="99"/>
    <w:semiHidden/>
    <w:rsid w:val="00361DEB"/>
    <w:pPr>
      <w:spacing w:after="0"/>
    </w:pPr>
    <w:tblPr>
      <w:tblStyleRowBandSize w:val="1"/>
      <w:tblStyleColBandSize w:val="1"/>
      <w:tblBorders>
        <w:top w:val="single" w:sz="8" w:space="0" w:color="C8E5ED" w:themeColor="accent2" w:themeTint="BF"/>
        <w:left w:val="single" w:sz="8" w:space="0" w:color="C8E5ED" w:themeColor="accent2" w:themeTint="BF"/>
        <w:bottom w:val="single" w:sz="8" w:space="0" w:color="C8E5ED" w:themeColor="accent2" w:themeTint="BF"/>
        <w:right w:val="single" w:sz="8" w:space="0" w:color="C8E5ED" w:themeColor="accent2" w:themeTint="BF"/>
        <w:insideH w:val="single" w:sz="8" w:space="0" w:color="C8E5ED" w:themeColor="accent2" w:themeTint="BF"/>
        <w:insideV w:val="single" w:sz="8" w:space="0" w:color="C8E5ED" w:themeColor="accent2" w:themeTint="BF"/>
      </w:tblBorders>
    </w:tblPr>
    <w:tcPr>
      <w:shd w:val="clear" w:color="auto" w:fill="EDF6F9" w:themeFill="accent2" w:themeFillTint="3F"/>
    </w:tcPr>
    <w:tblStylePr w:type="firstRow">
      <w:rPr>
        <w:b/>
        <w:bCs/>
      </w:rPr>
    </w:tblStylePr>
    <w:tblStylePr w:type="lastRow">
      <w:rPr>
        <w:b/>
        <w:bCs/>
      </w:rPr>
      <w:tblPr/>
      <w:tcPr>
        <w:tcBorders>
          <w:top w:val="single" w:sz="18" w:space="0" w:color="C8E5ED" w:themeColor="accent2" w:themeTint="BF"/>
        </w:tcBorders>
      </w:tcPr>
    </w:tblStylePr>
    <w:tblStylePr w:type="firstCol">
      <w:rPr>
        <w:b/>
        <w:bCs/>
      </w:rPr>
    </w:tblStylePr>
    <w:tblStylePr w:type="lastCol">
      <w:rPr>
        <w:b/>
        <w:bCs/>
      </w:rPr>
    </w:tblStylePr>
    <w:tblStylePr w:type="band1Vert">
      <w:tblPr/>
      <w:tcPr>
        <w:shd w:val="clear" w:color="auto" w:fill="DBEEF3" w:themeFill="accent2" w:themeFillTint="7F"/>
      </w:tcPr>
    </w:tblStylePr>
    <w:tblStylePr w:type="band1Horz">
      <w:tblPr/>
      <w:tcPr>
        <w:shd w:val="clear" w:color="auto" w:fill="DBEEF3" w:themeFill="accent2" w:themeFillTint="7F"/>
      </w:tcPr>
    </w:tblStylePr>
  </w:style>
  <w:style w:type="table" w:styleId="MediumGrid1-Accent3">
    <w:name w:val="Medium Grid 1 Accent 3"/>
    <w:basedOn w:val="TableNormal"/>
    <w:uiPriority w:val="99"/>
    <w:semiHidden/>
    <w:rsid w:val="00361DEB"/>
    <w:pPr>
      <w:spacing w:after="0"/>
    </w:pPr>
    <w:tblPr>
      <w:tblStyleRowBandSize w:val="1"/>
      <w:tblStyleColBandSize w:val="1"/>
      <w:tblBorders>
        <w:top w:val="single" w:sz="8" w:space="0" w:color="E4F2F6" w:themeColor="accent3" w:themeTint="BF"/>
        <w:left w:val="single" w:sz="8" w:space="0" w:color="E4F2F6" w:themeColor="accent3" w:themeTint="BF"/>
        <w:bottom w:val="single" w:sz="8" w:space="0" w:color="E4F2F6" w:themeColor="accent3" w:themeTint="BF"/>
        <w:right w:val="single" w:sz="8" w:space="0" w:color="E4F2F6" w:themeColor="accent3" w:themeTint="BF"/>
        <w:insideH w:val="single" w:sz="8" w:space="0" w:color="E4F2F6" w:themeColor="accent3" w:themeTint="BF"/>
        <w:insideV w:val="single" w:sz="8" w:space="0" w:color="E4F2F6" w:themeColor="accent3" w:themeTint="BF"/>
      </w:tblBorders>
    </w:tblPr>
    <w:tcPr>
      <w:shd w:val="clear" w:color="auto" w:fill="F6FAFC" w:themeFill="accent3" w:themeFillTint="3F"/>
    </w:tcPr>
    <w:tblStylePr w:type="firstRow">
      <w:rPr>
        <w:b/>
        <w:bCs/>
      </w:rPr>
    </w:tblStylePr>
    <w:tblStylePr w:type="lastRow">
      <w:rPr>
        <w:b/>
        <w:bCs/>
      </w:rPr>
      <w:tblPr/>
      <w:tcPr>
        <w:tcBorders>
          <w:top w:val="single" w:sz="18" w:space="0" w:color="E4F2F6" w:themeColor="accent3" w:themeTint="BF"/>
        </w:tcBorders>
      </w:tcPr>
    </w:tblStylePr>
    <w:tblStylePr w:type="firstCol">
      <w:rPr>
        <w:b/>
        <w:bCs/>
      </w:rPr>
    </w:tblStylePr>
    <w:tblStylePr w:type="lastCol">
      <w:rPr>
        <w:b/>
        <w:bCs/>
      </w:rPr>
    </w:tblStylePr>
    <w:tblStylePr w:type="band1Vert">
      <w:tblPr/>
      <w:tcPr>
        <w:shd w:val="clear" w:color="auto" w:fill="EDF6F9" w:themeFill="accent3" w:themeFillTint="7F"/>
      </w:tcPr>
    </w:tblStylePr>
    <w:tblStylePr w:type="band1Horz">
      <w:tblPr/>
      <w:tcPr>
        <w:shd w:val="clear" w:color="auto" w:fill="EDF6F9" w:themeFill="accent3" w:themeFillTint="7F"/>
      </w:tcPr>
    </w:tblStylePr>
  </w:style>
  <w:style w:type="table" w:styleId="MediumGrid1-Accent4">
    <w:name w:val="Medium Grid 1 Accent 4"/>
    <w:basedOn w:val="TableNormal"/>
    <w:uiPriority w:val="99"/>
    <w:semiHidden/>
    <w:rsid w:val="00361DEB"/>
    <w:pPr>
      <w:spacing w:after="0"/>
    </w:pPr>
    <w:tblPr>
      <w:tblStyleRowBandSize w:val="1"/>
      <w:tblStyleColBandSize w:val="1"/>
      <w:tblBorders>
        <w:top w:val="single" w:sz="8" w:space="0" w:color="ADD9E4" w:themeColor="accent4" w:themeTint="BF"/>
        <w:left w:val="single" w:sz="8" w:space="0" w:color="ADD9E4" w:themeColor="accent4" w:themeTint="BF"/>
        <w:bottom w:val="single" w:sz="8" w:space="0" w:color="ADD9E4" w:themeColor="accent4" w:themeTint="BF"/>
        <w:right w:val="single" w:sz="8" w:space="0" w:color="ADD9E4" w:themeColor="accent4" w:themeTint="BF"/>
        <w:insideH w:val="single" w:sz="8" w:space="0" w:color="ADD9E4" w:themeColor="accent4" w:themeTint="BF"/>
        <w:insideV w:val="single" w:sz="8" w:space="0" w:color="ADD9E4" w:themeColor="accent4" w:themeTint="BF"/>
      </w:tblBorders>
    </w:tblPr>
    <w:tcPr>
      <w:shd w:val="clear" w:color="auto" w:fill="E4F2F6" w:themeFill="accent4" w:themeFillTint="3F"/>
    </w:tcPr>
    <w:tblStylePr w:type="firstRow">
      <w:rPr>
        <w:b/>
        <w:bCs/>
      </w:rPr>
    </w:tblStylePr>
    <w:tblStylePr w:type="lastRow">
      <w:rPr>
        <w:b/>
        <w:bCs/>
      </w:rPr>
      <w:tblPr/>
      <w:tcPr>
        <w:tcBorders>
          <w:top w:val="single" w:sz="18" w:space="0" w:color="ADD9E4" w:themeColor="accent4" w:themeTint="BF"/>
        </w:tcBorders>
      </w:tcPr>
    </w:tblStylePr>
    <w:tblStylePr w:type="firstCol">
      <w:rPr>
        <w:b/>
        <w:bCs/>
      </w:rPr>
    </w:tblStylePr>
    <w:tblStylePr w:type="lastCol">
      <w:rPr>
        <w:b/>
        <w:bCs/>
      </w:rPr>
    </w:tblStylePr>
    <w:tblStylePr w:type="band1Vert">
      <w:tblPr/>
      <w:tcPr>
        <w:shd w:val="clear" w:color="auto" w:fill="C8E5ED" w:themeFill="accent4" w:themeFillTint="7F"/>
      </w:tcPr>
    </w:tblStylePr>
    <w:tblStylePr w:type="band1Horz">
      <w:tblPr/>
      <w:tcPr>
        <w:shd w:val="clear" w:color="auto" w:fill="C8E5ED" w:themeFill="accent4" w:themeFillTint="7F"/>
      </w:tcPr>
    </w:tblStylePr>
  </w:style>
  <w:style w:type="table" w:styleId="MediumGrid1-Accent5">
    <w:name w:val="Medium Grid 1 Accent 5"/>
    <w:basedOn w:val="TableNormal"/>
    <w:uiPriority w:val="99"/>
    <w:semiHidden/>
    <w:rsid w:val="00361DEB"/>
    <w:pPr>
      <w:spacing w:after="0"/>
    </w:pPr>
    <w:tblPr>
      <w:tblStyleRowBandSize w:val="1"/>
      <w:tblStyleColBandSize w:val="1"/>
      <w:tblBorders>
        <w:top w:val="single" w:sz="8" w:space="0" w:color="50AFC8" w:themeColor="accent5" w:themeTint="BF"/>
        <w:left w:val="single" w:sz="8" w:space="0" w:color="50AFC8" w:themeColor="accent5" w:themeTint="BF"/>
        <w:bottom w:val="single" w:sz="8" w:space="0" w:color="50AFC8" w:themeColor="accent5" w:themeTint="BF"/>
        <w:right w:val="single" w:sz="8" w:space="0" w:color="50AFC8" w:themeColor="accent5" w:themeTint="BF"/>
        <w:insideH w:val="single" w:sz="8" w:space="0" w:color="50AFC8" w:themeColor="accent5" w:themeTint="BF"/>
        <w:insideV w:val="single" w:sz="8" w:space="0" w:color="50AFC8" w:themeColor="accent5" w:themeTint="BF"/>
      </w:tblBorders>
    </w:tblPr>
    <w:tcPr>
      <w:shd w:val="clear" w:color="auto" w:fill="C5E4EC" w:themeFill="accent5" w:themeFillTint="3F"/>
    </w:tcPr>
    <w:tblStylePr w:type="firstRow">
      <w:rPr>
        <w:b/>
        <w:bCs/>
      </w:rPr>
    </w:tblStylePr>
    <w:tblStylePr w:type="lastRow">
      <w:rPr>
        <w:b/>
        <w:bCs/>
      </w:rPr>
      <w:tblPr/>
      <w:tcPr>
        <w:tcBorders>
          <w:top w:val="single" w:sz="18" w:space="0" w:color="50AFC8" w:themeColor="accent5" w:themeTint="BF"/>
        </w:tcBorders>
      </w:tcPr>
    </w:tblStylePr>
    <w:tblStylePr w:type="firstCol">
      <w:rPr>
        <w:b/>
        <w:bCs/>
      </w:rPr>
    </w:tblStylePr>
    <w:tblStylePr w:type="lastCol">
      <w:rPr>
        <w:b/>
        <w:bCs/>
      </w:rPr>
    </w:tblStylePr>
    <w:tblStylePr w:type="band1Vert">
      <w:tblPr/>
      <w:tcPr>
        <w:shd w:val="clear" w:color="auto" w:fill="8BC9DA" w:themeFill="accent5" w:themeFillTint="7F"/>
      </w:tcPr>
    </w:tblStylePr>
    <w:tblStylePr w:type="band1Horz">
      <w:tblPr/>
      <w:tcPr>
        <w:shd w:val="clear" w:color="auto" w:fill="8BC9DA" w:themeFill="accent5" w:themeFillTint="7F"/>
      </w:tcPr>
    </w:tblStylePr>
  </w:style>
  <w:style w:type="table" w:styleId="MediumGrid1-Accent6">
    <w:name w:val="Medium Grid 1 Accent 6"/>
    <w:basedOn w:val="TableNormal"/>
    <w:uiPriority w:val="99"/>
    <w:semiHidden/>
    <w:rsid w:val="00361DEB"/>
    <w:pPr>
      <w:spacing w:after="0"/>
    </w:pPr>
    <w:tblPr>
      <w:tblStyleRowBandSize w:val="1"/>
      <w:tblStyleColBandSize w:val="1"/>
      <w:tblBorders>
        <w:top w:val="single" w:sz="8" w:space="0" w:color="8AC9DA" w:themeColor="accent6" w:themeTint="BF"/>
        <w:left w:val="single" w:sz="8" w:space="0" w:color="8AC9DA" w:themeColor="accent6" w:themeTint="BF"/>
        <w:bottom w:val="single" w:sz="8" w:space="0" w:color="8AC9DA" w:themeColor="accent6" w:themeTint="BF"/>
        <w:right w:val="single" w:sz="8" w:space="0" w:color="8AC9DA" w:themeColor="accent6" w:themeTint="BF"/>
        <w:insideH w:val="single" w:sz="8" w:space="0" w:color="8AC9DA" w:themeColor="accent6" w:themeTint="BF"/>
        <w:insideV w:val="single" w:sz="8" w:space="0" w:color="8AC9DA" w:themeColor="accent6" w:themeTint="BF"/>
      </w:tblBorders>
    </w:tblPr>
    <w:tcPr>
      <w:shd w:val="clear" w:color="auto" w:fill="D8EDF2" w:themeFill="accent6" w:themeFillTint="3F"/>
    </w:tcPr>
    <w:tblStylePr w:type="firstRow">
      <w:rPr>
        <w:b/>
        <w:bCs/>
      </w:rPr>
    </w:tblStylePr>
    <w:tblStylePr w:type="lastRow">
      <w:rPr>
        <w:b/>
        <w:bCs/>
      </w:rPr>
      <w:tblPr/>
      <w:tcPr>
        <w:tcBorders>
          <w:top w:val="single" w:sz="18" w:space="0" w:color="8AC9DA" w:themeColor="accent6" w:themeTint="BF"/>
        </w:tcBorders>
      </w:tcPr>
    </w:tblStylePr>
    <w:tblStylePr w:type="firstCol">
      <w:rPr>
        <w:b/>
        <w:bCs/>
      </w:rPr>
    </w:tblStylePr>
    <w:tblStylePr w:type="lastCol">
      <w:rPr>
        <w:b/>
        <w:bCs/>
      </w:rPr>
    </w:tblStylePr>
    <w:tblStylePr w:type="band1Vert">
      <w:tblPr/>
      <w:tcPr>
        <w:shd w:val="clear" w:color="auto" w:fill="B1DBE6" w:themeFill="accent6" w:themeFillTint="7F"/>
      </w:tcPr>
    </w:tblStylePr>
    <w:tblStylePr w:type="band1Horz">
      <w:tblPr/>
      <w:tcPr>
        <w:shd w:val="clear" w:color="auto" w:fill="B1DBE6" w:themeFill="accent6" w:themeFillTint="7F"/>
      </w:tcPr>
    </w:tblStylePr>
  </w:style>
  <w:style w:type="table" w:customStyle="1" w:styleId="MediumGrid21">
    <w:name w:val="Medium Grid 21"/>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00728F" w:themeColor="text1"/>
        <w:left w:val="single" w:sz="8" w:space="0" w:color="00728F" w:themeColor="text1"/>
        <w:bottom w:val="single" w:sz="8" w:space="0" w:color="00728F" w:themeColor="text1"/>
        <w:right w:val="single" w:sz="8" w:space="0" w:color="00728F" w:themeColor="text1"/>
        <w:insideH w:val="single" w:sz="8" w:space="0" w:color="00728F" w:themeColor="text1"/>
        <w:insideV w:val="single" w:sz="8" w:space="0" w:color="00728F" w:themeColor="text1"/>
      </w:tblBorders>
    </w:tblPr>
    <w:tcPr>
      <w:shd w:val="clear" w:color="auto" w:fill="A4ECFF" w:themeFill="text1" w:themeFillTint="3F"/>
    </w:tcPr>
    <w:tblStylePr w:type="firstRow">
      <w:rPr>
        <w:b/>
        <w:bCs/>
        <w:color w:val="00728F" w:themeColor="text1"/>
      </w:rPr>
      <w:tblPr/>
      <w:tcPr>
        <w:shd w:val="clear" w:color="auto" w:fill="DBF7FF" w:themeFill="text1"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B5EFFF" w:themeFill="text1" w:themeFillTint="33"/>
      </w:tcPr>
    </w:tblStylePr>
    <w:tblStylePr w:type="band1Vert">
      <w:tblPr/>
      <w:tcPr>
        <w:shd w:val="clear" w:color="auto" w:fill="48D9FF" w:themeFill="text1" w:themeFillTint="7F"/>
      </w:tcPr>
    </w:tblStylePr>
    <w:tblStylePr w:type="band1Horz">
      <w:tblPr/>
      <w:tcPr>
        <w:tcBorders>
          <w:insideH w:val="single" w:sz="6" w:space="0" w:color="00728F" w:themeColor="text1"/>
          <w:insideV w:val="single" w:sz="6" w:space="0" w:color="00728F" w:themeColor="text1"/>
        </w:tcBorders>
        <w:shd w:val="clear" w:color="auto" w:fill="48D9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00728F" w:themeColor="accent1"/>
        <w:left w:val="single" w:sz="8" w:space="0" w:color="00728F" w:themeColor="accent1"/>
        <w:bottom w:val="single" w:sz="8" w:space="0" w:color="00728F" w:themeColor="accent1"/>
        <w:right w:val="single" w:sz="8" w:space="0" w:color="00728F" w:themeColor="accent1"/>
        <w:insideH w:val="single" w:sz="8" w:space="0" w:color="00728F" w:themeColor="accent1"/>
        <w:insideV w:val="single" w:sz="8" w:space="0" w:color="00728F" w:themeColor="accent1"/>
      </w:tblBorders>
    </w:tblPr>
    <w:tcPr>
      <w:shd w:val="clear" w:color="auto" w:fill="A4ECFF" w:themeFill="accent1" w:themeFillTint="3F"/>
    </w:tcPr>
    <w:tblStylePr w:type="firstRow">
      <w:rPr>
        <w:b/>
        <w:bCs/>
        <w:color w:val="00728F" w:themeColor="text1"/>
      </w:rPr>
      <w:tblPr/>
      <w:tcPr>
        <w:shd w:val="clear" w:color="auto" w:fill="DBF7FF" w:themeFill="accent1"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B5EFFF" w:themeFill="accent1" w:themeFillTint="33"/>
      </w:tcPr>
    </w:tblStylePr>
    <w:tblStylePr w:type="band1Vert">
      <w:tblPr/>
      <w:tcPr>
        <w:shd w:val="clear" w:color="auto" w:fill="48D9FF" w:themeFill="accent1" w:themeFillTint="7F"/>
      </w:tcPr>
    </w:tblStylePr>
    <w:tblStylePr w:type="band1Horz">
      <w:tblPr/>
      <w:tcPr>
        <w:tcBorders>
          <w:insideH w:val="single" w:sz="6" w:space="0" w:color="00728F" w:themeColor="accent1"/>
          <w:insideV w:val="single" w:sz="6" w:space="0" w:color="00728F" w:themeColor="accent1"/>
        </w:tcBorders>
        <w:shd w:val="clear" w:color="auto" w:fill="48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B7DDE8" w:themeColor="accent2"/>
        <w:left w:val="single" w:sz="8" w:space="0" w:color="B7DDE8" w:themeColor="accent2"/>
        <w:bottom w:val="single" w:sz="8" w:space="0" w:color="B7DDE8" w:themeColor="accent2"/>
        <w:right w:val="single" w:sz="8" w:space="0" w:color="B7DDE8" w:themeColor="accent2"/>
        <w:insideH w:val="single" w:sz="8" w:space="0" w:color="B7DDE8" w:themeColor="accent2"/>
        <w:insideV w:val="single" w:sz="8" w:space="0" w:color="B7DDE8" w:themeColor="accent2"/>
      </w:tblBorders>
    </w:tblPr>
    <w:tcPr>
      <w:shd w:val="clear" w:color="auto" w:fill="EDF6F9" w:themeFill="accent2" w:themeFillTint="3F"/>
    </w:tcPr>
    <w:tblStylePr w:type="firstRow">
      <w:rPr>
        <w:b/>
        <w:bCs/>
        <w:color w:val="00728F" w:themeColor="text1"/>
      </w:rPr>
      <w:tblPr/>
      <w:tcPr>
        <w:shd w:val="clear" w:color="auto" w:fill="F7FBFC" w:themeFill="accent2"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F0F8FA" w:themeFill="accent2" w:themeFillTint="33"/>
      </w:tcPr>
    </w:tblStylePr>
    <w:tblStylePr w:type="band1Vert">
      <w:tblPr/>
      <w:tcPr>
        <w:shd w:val="clear" w:color="auto" w:fill="DBEEF3" w:themeFill="accent2" w:themeFillTint="7F"/>
      </w:tcPr>
    </w:tblStylePr>
    <w:tblStylePr w:type="band1Horz">
      <w:tblPr/>
      <w:tcPr>
        <w:tcBorders>
          <w:insideH w:val="single" w:sz="6" w:space="0" w:color="B7DDE8" w:themeColor="accent2"/>
          <w:insideV w:val="single" w:sz="6" w:space="0" w:color="B7DDE8" w:themeColor="accent2"/>
        </w:tcBorders>
        <w:shd w:val="clear" w:color="auto" w:fill="DBEEF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DBEEF3" w:themeColor="accent3"/>
        <w:left w:val="single" w:sz="8" w:space="0" w:color="DBEEF3" w:themeColor="accent3"/>
        <w:bottom w:val="single" w:sz="8" w:space="0" w:color="DBEEF3" w:themeColor="accent3"/>
        <w:right w:val="single" w:sz="8" w:space="0" w:color="DBEEF3" w:themeColor="accent3"/>
        <w:insideH w:val="single" w:sz="8" w:space="0" w:color="DBEEF3" w:themeColor="accent3"/>
        <w:insideV w:val="single" w:sz="8" w:space="0" w:color="DBEEF3" w:themeColor="accent3"/>
      </w:tblBorders>
    </w:tblPr>
    <w:tcPr>
      <w:shd w:val="clear" w:color="auto" w:fill="F6FAFC" w:themeFill="accent3" w:themeFillTint="3F"/>
    </w:tcPr>
    <w:tblStylePr w:type="firstRow">
      <w:rPr>
        <w:b/>
        <w:bCs/>
        <w:color w:val="00728F" w:themeColor="text1"/>
      </w:rPr>
      <w:tblPr/>
      <w:tcPr>
        <w:shd w:val="clear" w:color="auto" w:fill="FBFDFD" w:themeFill="accent3"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F7FBFC" w:themeFill="accent3" w:themeFillTint="33"/>
      </w:tcPr>
    </w:tblStylePr>
    <w:tblStylePr w:type="band1Vert">
      <w:tblPr/>
      <w:tcPr>
        <w:shd w:val="clear" w:color="auto" w:fill="EDF6F9" w:themeFill="accent3" w:themeFillTint="7F"/>
      </w:tcPr>
    </w:tblStylePr>
    <w:tblStylePr w:type="band1Horz">
      <w:tblPr/>
      <w:tcPr>
        <w:tcBorders>
          <w:insideH w:val="single" w:sz="6" w:space="0" w:color="DBEEF3" w:themeColor="accent3"/>
          <w:insideV w:val="single" w:sz="6" w:space="0" w:color="DBEEF3" w:themeColor="accent3"/>
        </w:tcBorders>
        <w:shd w:val="clear" w:color="auto" w:fill="EDF6F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92CDDC" w:themeColor="accent4"/>
        <w:left w:val="single" w:sz="8" w:space="0" w:color="92CDDC" w:themeColor="accent4"/>
        <w:bottom w:val="single" w:sz="8" w:space="0" w:color="92CDDC" w:themeColor="accent4"/>
        <w:right w:val="single" w:sz="8" w:space="0" w:color="92CDDC" w:themeColor="accent4"/>
        <w:insideH w:val="single" w:sz="8" w:space="0" w:color="92CDDC" w:themeColor="accent4"/>
        <w:insideV w:val="single" w:sz="8" w:space="0" w:color="92CDDC" w:themeColor="accent4"/>
      </w:tblBorders>
    </w:tblPr>
    <w:tcPr>
      <w:shd w:val="clear" w:color="auto" w:fill="E4F2F6" w:themeFill="accent4" w:themeFillTint="3F"/>
    </w:tcPr>
    <w:tblStylePr w:type="firstRow">
      <w:rPr>
        <w:b/>
        <w:bCs/>
        <w:color w:val="00728F" w:themeColor="text1"/>
      </w:rPr>
      <w:tblPr/>
      <w:tcPr>
        <w:shd w:val="clear" w:color="auto" w:fill="F4FAFB" w:themeFill="accent4"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E9F4F8" w:themeFill="accent4" w:themeFillTint="33"/>
      </w:tcPr>
    </w:tblStylePr>
    <w:tblStylePr w:type="band1Vert">
      <w:tblPr/>
      <w:tcPr>
        <w:shd w:val="clear" w:color="auto" w:fill="C8E5ED" w:themeFill="accent4" w:themeFillTint="7F"/>
      </w:tcPr>
    </w:tblStylePr>
    <w:tblStylePr w:type="band1Horz">
      <w:tblPr/>
      <w:tcPr>
        <w:tcBorders>
          <w:insideH w:val="single" w:sz="6" w:space="0" w:color="92CDDC" w:themeColor="accent4"/>
          <w:insideV w:val="single" w:sz="6" w:space="0" w:color="92CDDC" w:themeColor="accent4"/>
        </w:tcBorders>
        <w:shd w:val="clear" w:color="auto" w:fill="C8E5E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31859B" w:themeColor="accent5"/>
        <w:left w:val="single" w:sz="8" w:space="0" w:color="31859B" w:themeColor="accent5"/>
        <w:bottom w:val="single" w:sz="8" w:space="0" w:color="31859B" w:themeColor="accent5"/>
        <w:right w:val="single" w:sz="8" w:space="0" w:color="31859B" w:themeColor="accent5"/>
        <w:insideH w:val="single" w:sz="8" w:space="0" w:color="31859B" w:themeColor="accent5"/>
        <w:insideV w:val="single" w:sz="8" w:space="0" w:color="31859B" w:themeColor="accent5"/>
      </w:tblBorders>
    </w:tblPr>
    <w:tcPr>
      <w:shd w:val="clear" w:color="auto" w:fill="C5E4EC" w:themeFill="accent5" w:themeFillTint="3F"/>
    </w:tcPr>
    <w:tblStylePr w:type="firstRow">
      <w:rPr>
        <w:b/>
        <w:bCs/>
        <w:color w:val="00728F" w:themeColor="text1"/>
      </w:rPr>
      <w:tblPr/>
      <w:tcPr>
        <w:shd w:val="clear" w:color="auto" w:fill="E8F4F7" w:themeFill="accent5"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D0E9F0" w:themeFill="accent5" w:themeFillTint="33"/>
      </w:tcPr>
    </w:tblStylePr>
    <w:tblStylePr w:type="band1Vert">
      <w:tblPr/>
      <w:tcPr>
        <w:shd w:val="clear" w:color="auto" w:fill="8BC9DA" w:themeFill="accent5" w:themeFillTint="7F"/>
      </w:tcPr>
    </w:tblStylePr>
    <w:tblStylePr w:type="band1Horz">
      <w:tblPr/>
      <w:tcPr>
        <w:tcBorders>
          <w:insideH w:val="single" w:sz="6" w:space="0" w:color="31859B" w:themeColor="accent5"/>
          <w:insideV w:val="single" w:sz="6" w:space="0" w:color="31859B" w:themeColor="accent5"/>
        </w:tcBorders>
        <w:shd w:val="clear" w:color="auto" w:fill="8BC9D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64B8CE" w:themeColor="accent6"/>
        <w:left w:val="single" w:sz="8" w:space="0" w:color="64B8CE" w:themeColor="accent6"/>
        <w:bottom w:val="single" w:sz="8" w:space="0" w:color="64B8CE" w:themeColor="accent6"/>
        <w:right w:val="single" w:sz="8" w:space="0" w:color="64B8CE" w:themeColor="accent6"/>
        <w:insideH w:val="single" w:sz="8" w:space="0" w:color="64B8CE" w:themeColor="accent6"/>
        <w:insideV w:val="single" w:sz="8" w:space="0" w:color="64B8CE" w:themeColor="accent6"/>
      </w:tblBorders>
    </w:tblPr>
    <w:tcPr>
      <w:shd w:val="clear" w:color="auto" w:fill="D8EDF2" w:themeFill="accent6" w:themeFillTint="3F"/>
    </w:tcPr>
    <w:tblStylePr w:type="firstRow">
      <w:rPr>
        <w:b/>
        <w:bCs/>
        <w:color w:val="00728F" w:themeColor="text1"/>
      </w:rPr>
      <w:tblPr/>
      <w:tcPr>
        <w:shd w:val="clear" w:color="auto" w:fill="EFF8FA" w:themeFill="accent6"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DFF0F5" w:themeFill="accent6" w:themeFillTint="33"/>
      </w:tcPr>
    </w:tblStylePr>
    <w:tblStylePr w:type="band1Vert">
      <w:tblPr/>
      <w:tcPr>
        <w:shd w:val="clear" w:color="auto" w:fill="B1DBE6" w:themeFill="accent6" w:themeFillTint="7F"/>
      </w:tcPr>
    </w:tblStylePr>
    <w:tblStylePr w:type="band1Horz">
      <w:tblPr/>
      <w:tcPr>
        <w:tcBorders>
          <w:insideH w:val="single" w:sz="6" w:space="0" w:color="64B8CE" w:themeColor="accent6"/>
          <w:insideV w:val="single" w:sz="6" w:space="0" w:color="64B8CE" w:themeColor="accent6"/>
        </w:tcBorders>
        <w:shd w:val="clear" w:color="auto" w:fill="B1DBE6"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EC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8F"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8F"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8F"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8F"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8D9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8D9FF" w:themeFill="text1" w:themeFillTint="7F"/>
      </w:tcPr>
    </w:tblStylePr>
  </w:style>
  <w:style w:type="table" w:styleId="MediumGrid3-Accent1">
    <w:name w:val="Medium Grid 3 Accent 1"/>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8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8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8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8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8D9FF" w:themeFill="accent1" w:themeFillTint="7F"/>
      </w:tcPr>
    </w:tblStylePr>
  </w:style>
  <w:style w:type="table" w:styleId="MediumGrid3-Accent2">
    <w:name w:val="Medium Grid 3 Accent 2"/>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6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7DDE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7DDE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7DDE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7DDE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EEF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EEF3" w:themeFill="accent2" w:themeFillTint="7F"/>
      </w:tcPr>
    </w:tblStylePr>
  </w:style>
  <w:style w:type="table" w:styleId="MediumGrid3-Accent3">
    <w:name w:val="Medium Grid 3 Accent 3"/>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A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EEF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EEF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EEF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EEF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F6F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F6F9" w:themeFill="accent3" w:themeFillTint="7F"/>
      </w:tcPr>
    </w:tblStylePr>
  </w:style>
  <w:style w:type="table" w:styleId="MediumGrid3-Accent4">
    <w:name w:val="Medium Grid 3 Accent 4"/>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2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CDD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CDD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CDD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CDD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5E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5ED" w:themeFill="accent4" w:themeFillTint="7F"/>
      </w:tcPr>
    </w:tblStylePr>
  </w:style>
  <w:style w:type="table" w:styleId="MediumGrid3-Accent5">
    <w:name w:val="Medium Grid 3 Accent 5"/>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4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1859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1859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1859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1859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BC9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BC9DA" w:themeFill="accent5" w:themeFillTint="7F"/>
      </w:tcPr>
    </w:tblStylePr>
  </w:style>
  <w:style w:type="table" w:styleId="MediumGrid3-Accent6">
    <w:name w:val="Medium Grid 3 Accent 6"/>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DF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4B8C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4B8C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4B8C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4B8C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DBE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DBE6" w:themeFill="accent6" w:themeFillTint="7F"/>
      </w:tcPr>
    </w:tblStylePr>
  </w:style>
  <w:style w:type="table" w:customStyle="1" w:styleId="MediumList11">
    <w:name w:val="Medium List 11"/>
    <w:basedOn w:val="TableNormal"/>
    <w:uiPriority w:val="99"/>
    <w:semiHidden/>
    <w:rsid w:val="00361DEB"/>
    <w:pPr>
      <w:spacing w:after="0"/>
    </w:pPr>
    <w:rPr>
      <w:color w:val="00728F" w:themeColor="text1"/>
    </w:rPr>
    <w:tblPr>
      <w:tblStyleRowBandSize w:val="1"/>
      <w:tblStyleColBandSize w:val="1"/>
      <w:tblBorders>
        <w:top w:val="single" w:sz="8" w:space="0" w:color="00728F" w:themeColor="text1"/>
        <w:bottom w:val="single" w:sz="8" w:space="0" w:color="00728F" w:themeColor="text1"/>
      </w:tblBorders>
    </w:tblPr>
    <w:tblStylePr w:type="firstRow">
      <w:rPr>
        <w:rFonts w:asciiTheme="majorHAnsi" w:eastAsiaTheme="majorEastAsia" w:hAnsiTheme="majorHAnsi" w:cstheme="majorBidi"/>
      </w:rPr>
      <w:tblPr/>
      <w:tcPr>
        <w:tcBorders>
          <w:top w:val="nil"/>
          <w:bottom w:val="single" w:sz="8" w:space="0" w:color="00728F" w:themeColor="text1"/>
        </w:tcBorders>
      </w:tcPr>
    </w:tblStylePr>
    <w:tblStylePr w:type="lastRow">
      <w:rPr>
        <w:b/>
        <w:bCs/>
        <w:color w:val="B7DDE8" w:themeColor="text2"/>
      </w:rPr>
      <w:tblPr/>
      <w:tcPr>
        <w:tcBorders>
          <w:top w:val="single" w:sz="8" w:space="0" w:color="00728F" w:themeColor="text1"/>
          <w:bottom w:val="single" w:sz="8" w:space="0" w:color="00728F" w:themeColor="text1"/>
        </w:tcBorders>
      </w:tcPr>
    </w:tblStylePr>
    <w:tblStylePr w:type="firstCol">
      <w:rPr>
        <w:b/>
        <w:bCs/>
      </w:rPr>
    </w:tblStylePr>
    <w:tblStylePr w:type="lastCol">
      <w:rPr>
        <w:b/>
        <w:bCs/>
      </w:rPr>
      <w:tblPr/>
      <w:tcPr>
        <w:tcBorders>
          <w:top w:val="single" w:sz="8" w:space="0" w:color="00728F" w:themeColor="text1"/>
          <w:bottom w:val="single" w:sz="8" w:space="0" w:color="00728F" w:themeColor="text1"/>
        </w:tcBorders>
      </w:tcPr>
    </w:tblStylePr>
    <w:tblStylePr w:type="band1Vert">
      <w:tblPr/>
      <w:tcPr>
        <w:shd w:val="clear" w:color="auto" w:fill="A4ECFF" w:themeFill="text1" w:themeFillTint="3F"/>
      </w:tcPr>
    </w:tblStylePr>
    <w:tblStylePr w:type="band1Horz">
      <w:tblPr/>
      <w:tcPr>
        <w:shd w:val="clear" w:color="auto" w:fill="A4ECFF" w:themeFill="text1" w:themeFillTint="3F"/>
      </w:tcPr>
    </w:tblStylePr>
  </w:style>
  <w:style w:type="table" w:customStyle="1" w:styleId="MediumList1-Accent11">
    <w:name w:val="Medium List 1 - Accent 11"/>
    <w:basedOn w:val="TableNormal"/>
    <w:uiPriority w:val="99"/>
    <w:semiHidden/>
    <w:rsid w:val="00361DEB"/>
    <w:pPr>
      <w:spacing w:after="0"/>
    </w:pPr>
    <w:rPr>
      <w:color w:val="00728F" w:themeColor="text1"/>
    </w:rPr>
    <w:tblPr>
      <w:tblStyleRowBandSize w:val="1"/>
      <w:tblStyleColBandSize w:val="1"/>
      <w:tblBorders>
        <w:top w:val="single" w:sz="8" w:space="0" w:color="00728F" w:themeColor="accent1"/>
        <w:bottom w:val="single" w:sz="8" w:space="0" w:color="00728F" w:themeColor="accent1"/>
      </w:tblBorders>
    </w:tblPr>
    <w:tblStylePr w:type="firstRow">
      <w:rPr>
        <w:rFonts w:asciiTheme="majorHAnsi" w:eastAsiaTheme="majorEastAsia" w:hAnsiTheme="majorHAnsi" w:cstheme="majorBidi"/>
      </w:rPr>
      <w:tblPr/>
      <w:tcPr>
        <w:tcBorders>
          <w:top w:val="nil"/>
          <w:bottom w:val="single" w:sz="8" w:space="0" w:color="00728F" w:themeColor="accent1"/>
        </w:tcBorders>
      </w:tcPr>
    </w:tblStylePr>
    <w:tblStylePr w:type="lastRow">
      <w:rPr>
        <w:b/>
        <w:bCs/>
        <w:color w:val="B7DDE8" w:themeColor="text2"/>
      </w:rPr>
      <w:tblPr/>
      <w:tcPr>
        <w:tcBorders>
          <w:top w:val="single" w:sz="8" w:space="0" w:color="00728F" w:themeColor="accent1"/>
          <w:bottom w:val="single" w:sz="8" w:space="0" w:color="00728F" w:themeColor="accent1"/>
        </w:tcBorders>
      </w:tcPr>
    </w:tblStylePr>
    <w:tblStylePr w:type="firstCol">
      <w:rPr>
        <w:b/>
        <w:bCs/>
      </w:rPr>
    </w:tblStylePr>
    <w:tblStylePr w:type="lastCol">
      <w:rPr>
        <w:b/>
        <w:bCs/>
      </w:rPr>
      <w:tblPr/>
      <w:tcPr>
        <w:tcBorders>
          <w:top w:val="single" w:sz="8" w:space="0" w:color="00728F" w:themeColor="accent1"/>
          <w:bottom w:val="single" w:sz="8" w:space="0" w:color="00728F" w:themeColor="accent1"/>
        </w:tcBorders>
      </w:tcPr>
    </w:tblStylePr>
    <w:tblStylePr w:type="band1Vert">
      <w:tblPr/>
      <w:tcPr>
        <w:shd w:val="clear" w:color="auto" w:fill="A4ECFF" w:themeFill="accent1" w:themeFillTint="3F"/>
      </w:tcPr>
    </w:tblStylePr>
    <w:tblStylePr w:type="band1Horz">
      <w:tblPr/>
      <w:tcPr>
        <w:shd w:val="clear" w:color="auto" w:fill="A4ECFF" w:themeFill="accent1" w:themeFillTint="3F"/>
      </w:tcPr>
    </w:tblStylePr>
  </w:style>
  <w:style w:type="table" w:styleId="MediumList1-Accent2">
    <w:name w:val="Medium List 1 Accent 2"/>
    <w:basedOn w:val="TableNormal"/>
    <w:uiPriority w:val="99"/>
    <w:semiHidden/>
    <w:rsid w:val="00361DEB"/>
    <w:pPr>
      <w:spacing w:after="0"/>
    </w:pPr>
    <w:rPr>
      <w:color w:val="00728F" w:themeColor="text1"/>
    </w:rPr>
    <w:tblPr>
      <w:tblStyleRowBandSize w:val="1"/>
      <w:tblStyleColBandSize w:val="1"/>
      <w:tblBorders>
        <w:top w:val="single" w:sz="8" w:space="0" w:color="B7DDE8" w:themeColor="accent2"/>
        <w:bottom w:val="single" w:sz="8" w:space="0" w:color="B7DDE8" w:themeColor="accent2"/>
      </w:tblBorders>
    </w:tblPr>
    <w:tblStylePr w:type="firstRow">
      <w:rPr>
        <w:rFonts w:asciiTheme="majorHAnsi" w:eastAsiaTheme="majorEastAsia" w:hAnsiTheme="majorHAnsi" w:cstheme="majorBidi"/>
      </w:rPr>
      <w:tblPr/>
      <w:tcPr>
        <w:tcBorders>
          <w:top w:val="nil"/>
          <w:bottom w:val="single" w:sz="8" w:space="0" w:color="B7DDE8" w:themeColor="accent2"/>
        </w:tcBorders>
      </w:tcPr>
    </w:tblStylePr>
    <w:tblStylePr w:type="lastRow">
      <w:rPr>
        <w:b/>
        <w:bCs/>
        <w:color w:val="B7DDE8" w:themeColor="text2"/>
      </w:rPr>
      <w:tblPr/>
      <w:tcPr>
        <w:tcBorders>
          <w:top w:val="single" w:sz="8" w:space="0" w:color="B7DDE8" w:themeColor="accent2"/>
          <w:bottom w:val="single" w:sz="8" w:space="0" w:color="B7DDE8" w:themeColor="accent2"/>
        </w:tcBorders>
      </w:tcPr>
    </w:tblStylePr>
    <w:tblStylePr w:type="firstCol">
      <w:rPr>
        <w:b/>
        <w:bCs/>
      </w:rPr>
    </w:tblStylePr>
    <w:tblStylePr w:type="lastCol">
      <w:rPr>
        <w:b/>
        <w:bCs/>
      </w:rPr>
      <w:tblPr/>
      <w:tcPr>
        <w:tcBorders>
          <w:top w:val="single" w:sz="8" w:space="0" w:color="B7DDE8" w:themeColor="accent2"/>
          <w:bottom w:val="single" w:sz="8" w:space="0" w:color="B7DDE8" w:themeColor="accent2"/>
        </w:tcBorders>
      </w:tcPr>
    </w:tblStylePr>
    <w:tblStylePr w:type="band1Vert">
      <w:tblPr/>
      <w:tcPr>
        <w:shd w:val="clear" w:color="auto" w:fill="EDF6F9" w:themeFill="accent2" w:themeFillTint="3F"/>
      </w:tcPr>
    </w:tblStylePr>
    <w:tblStylePr w:type="band1Horz">
      <w:tblPr/>
      <w:tcPr>
        <w:shd w:val="clear" w:color="auto" w:fill="EDF6F9" w:themeFill="accent2" w:themeFillTint="3F"/>
      </w:tcPr>
    </w:tblStylePr>
  </w:style>
  <w:style w:type="table" w:styleId="MediumList1-Accent3">
    <w:name w:val="Medium List 1 Accent 3"/>
    <w:basedOn w:val="TableNormal"/>
    <w:uiPriority w:val="99"/>
    <w:semiHidden/>
    <w:rsid w:val="00361DEB"/>
    <w:pPr>
      <w:spacing w:after="0"/>
    </w:pPr>
    <w:rPr>
      <w:color w:val="00728F" w:themeColor="text1"/>
    </w:rPr>
    <w:tblPr>
      <w:tblStyleRowBandSize w:val="1"/>
      <w:tblStyleColBandSize w:val="1"/>
      <w:tblBorders>
        <w:top w:val="single" w:sz="8" w:space="0" w:color="DBEEF3" w:themeColor="accent3"/>
        <w:bottom w:val="single" w:sz="8" w:space="0" w:color="DBEEF3" w:themeColor="accent3"/>
      </w:tblBorders>
    </w:tblPr>
    <w:tblStylePr w:type="firstRow">
      <w:rPr>
        <w:rFonts w:asciiTheme="majorHAnsi" w:eastAsiaTheme="majorEastAsia" w:hAnsiTheme="majorHAnsi" w:cstheme="majorBidi"/>
      </w:rPr>
      <w:tblPr/>
      <w:tcPr>
        <w:tcBorders>
          <w:top w:val="nil"/>
          <w:bottom w:val="single" w:sz="8" w:space="0" w:color="DBEEF3" w:themeColor="accent3"/>
        </w:tcBorders>
      </w:tcPr>
    </w:tblStylePr>
    <w:tblStylePr w:type="lastRow">
      <w:rPr>
        <w:b/>
        <w:bCs/>
        <w:color w:val="B7DDE8" w:themeColor="text2"/>
      </w:rPr>
      <w:tblPr/>
      <w:tcPr>
        <w:tcBorders>
          <w:top w:val="single" w:sz="8" w:space="0" w:color="DBEEF3" w:themeColor="accent3"/>
          <w:bottom w:val="single" w:sz="8" w:space="0" w:color="DBEEF3" w:themeColor="accent3"/>
        </w:tcBorders>
      </w:tcPr>
    </w:tblStylePr>
    <w:tblStylePr w:type="firstCol">
      <w:rPr>
        <w:b/>
        <w:bCs/>
      </w:rPr>
    </w:tblStylePr>
    <w:tblStylePr w:type="lastCol">
      <w:rPr>
        <w:b/>
        <w:bCs/>
      </w:rPr>
      <w:tblPr/>
      <w:tcPr>
        <w:tcBorders>
          <w:top w:val="single" w:sz="8" w:space="0" w:color="DBEEF3" w:themeColor="accent3"/>
          <w:bottom w:val="single" w:sz="8" w:space="0" w:color="DBEEF3" w:themeColor="accent3"/>
        </w:tcBorders>
      </w:tcPr>
    </w:tblStylePr>
    <w:tblStylePr w:type="band1Vert">
      <w:tblPr/>
      <w:tcPr>
        <w:shd w:val="clear" w:color="auto" w:fill="F6FAFC" w:themeFill="accent3" w:themeFillTint="3F"/>
      </w:tcPr>
    </w:tblStylePr>
    <w:tblStylePr w:type="band1Horz">
      <w:tblPr/>
      <w:tcPr>
        <w:shd w:val="clear" w:color="auto" w:fill="F6FAFC" w:themeFill="accent3" w:themeFillTint="3F"/>
      </w:tcPr>
    </w:tblStylePr>
  </w:style>
  <w:style w:type="table" w:styleId="MediumList1-Accent4">
    <w:name w:val="Medium List 1 Accent 4"/>
    <w:basedOn w:val="TableNormal"/>
    <w:uiPriority w:val="99"/>
    <w:semiHidden/>
    <w:rsid w:val="00361DEB"/>
    <w:pPr>
      <w:spacing w:after="0"/>
    </w:pPr>
    <w:rPr>
      <w:color w:val="00728F" w:themeColor="text1"/>
    </w:rPr>
    <w:tblPr>
      <w:tblStyleRowBandSize w:val="1"/>
      <w:tblStyleColBandSize w:val="1"/>
      <w:tblBorders>
        <w:top w:val="single" w:sz="8" w:space="0" w:color="92CDDC" w:themeColor="accent4"/>
        <w:bottom w:val="single" w:sz="8" w:space="0" w:color="92CDDC" w:themeColor="accent4"/>
      </w:tblBorders>
    </w:tblPr>
    <w:tblStylePr w:type="firstRow">
      <w:rPr>
        <w:rFonts w:asciiTheme="majorHAnsi" w:eastAsiaTheme="majorEastAsia" w:hAnsiTheme="majorHAnsi" w:cstheme="majorBidi"/>
      </w:rPr>
      <w:tblPr/>
      <w:tcPr>
        <w:tcBorders>
          <w:top w:val="nil"/>
          <w:bottom w:val="single" w:sz="8" w:space="0" w:color="92CDDC" w:themeColor="accent4"/>
        </w:tcBorders>
      </w:tcPr>
    </w:tblStylePr>
    <w:tblStylePr w:type="lastRow">
      <w:rPr>
        <w:b/>
        <w:bCs/>
        <w:color w:val="B7DDE8" w:themeColor="text2"/>
      </w:rPr>
      <w:tblPr/>
      <w:tcPr>
        <w:tcBorders>
          <w:top w:val="single" w:sz="8" w:space="0" w:color="92CDDC" w:themeColor="accent4"/>
          <w:bottom w:val="single" w:sz="8" w:space="0" w:color="92CDDC" w:themeColor="accent4"/>
        </w:tcBorders>
      </w:tcPr>
    </w:tblStylePr>
    <w:tblStylePr w:type="firstCol">
      <w:rPr>
        <w:b/>
        <w:bCs/>
      </w:rPr>
    </w:tblStylePr>
    <w:tblStylePr w:type="lastCol">
      <w:rPr>
        <w:b/>
        <w:bCs/>
      </w:rPr>
      <w:tblPr/>
      <w:tcPr>
        <w:tcBorders>
          <w:top w:val="single" w:sz="8" w:space="0" w:color="92CDDC" w:themeColor="accent4"/>
          <w:bottom w:val="single" w:sz="8" w:space="0" w:color="92CDDC" w:themeColor="accent4"/>
        </w:tcBorders>
      </w:tcPr>
    </w:tblStylePr>
    <w:tblStylePr w:type="band1Vert">
      <w:tblPr/>
      <w:tcPr>
        <w:shd w:val="clear" w:color="auto" w:fill="E4F2F6" w:themeFill="accent4" w:themeFillTint="3F"/>
      </w:tcPr>
    </w:tblStylePr>
    <w:tblStylePr w:type="band1Horz">
      <w:tblPr/>
      <w:tcPr>
        <w:shd w:val="clear" w:color="auto" w:fill="E4F2F6" w:themeFill="accent4" w:themeFillTint="3F"/>
      </w:tcPr>
    </w:tblStylePr>
  </w:style>
  <w:style w:type="table" w:styleId="MediumList1-Accent5">
    <w:name w:val="Medium List 1 Accent 5"/>
    <w:basedOn w:val="TableNormal"/>
    <w:uiPriority w:val="99"/>
    <w:semiHidden/>
    <w:rsid w:val="00361DEB"/>
    <w:pPr>
      <w:spacing w:after="0"/>
    </w:pPr>
    <w:rPr>
      <w:color w:val="00728F" w:themeColor="text1"/>
    </w:rPr>
    <w:tblPr>
      <w:tblStyleRowBandSize w:val="1"/>
      <w:tblStyleColBandSize w:val="1"/>
      <w:tblBorders>
        <w:top w:val="single" w:sz="8" w:space="0" w:color="31859B" w:themeColor="accent5"/>
        <w:bottom w:val="single" w:sz="8" w:space="0" w:color="31859B" w:themeColor="accent5"/>
      </w:tblBorders>
    </w:tblPr>
    <w:tblStylePr w:type="firstRow">
      <w:rPr>
        <w:rFonts w:asciiTheme="majorHAnsi" w:eastAsiaTheme="majorEastAsia" w:hAnsiTheme="majorHAnsi" w:cstheme="majorBidi"/>
      </w:rPr>
      <w:tblPr/>
      <w:tcPr>
        <w:tcBorders>
          <w:top w:val="nil"/>
          <w:bottom w:val="single" w:sz="8" w:space="0" w:color="31859B" w:themeColor="accent5"/>
        </w:tcBorders>
      </w:tcPr>
    </w:tblStylePr>
    <w:tblStylePr w:type="lastRow">
      <w:rPr>
        <w:b/>
        <w:bCs/>
        <w:color w:val="B7DDE8" w:themeColor="text2"/>
      </w:rPr>
      <w:tblPr/>
      <w:tcPr>
        <w:tcBorders>
          <w:top w:val="single" w:sz="8" w:space="0" w:color="31859B" w:themeColor="accent5"/>
          <w:bottom w:val="single" w:sz="8" w:space="0" w:color="31859B" w:themeColor="accent5"/>
        </w:tcBorders>
      </w:tcPr>
    </w:tblStylePr>
    <w:tblStylePr w:type="firstCol">
      <w:rPr>
        <w:b/>
        <w:bCs/>
      </w:rPr>
    </w:tblStylePr>
    <w:tblStylePr w:type="lastCol">
      <w:rPr>
        <w:b/>
        <w:bCs/>
      </w:rPr>
      <w:tblPr/>
      <w:tcPr>
        <w:tcBorders>
          <w:top w:val="single" w:sz="8" w:space="0" w:color="31859B" w:themeColor="accent5"/>
          <w:bottom w:val="single" w:sz="8" w:space="0" w:color="31859B" w:themeColor="accent5"/>
        </w:tcBorders>
      </w:tcPr>
    </w:tblStylePr>
    <w:tblStylePr w:type="band1Vert">
      <w:tblPr/>
      <w:tcPr>
        <w:shd w:val="clear" w:color="auto" w:fill="C5E4EC" w:themeFill="accent5" w:themeFillTint="3F"/>
      </w:tcPr>
    </w:tblStylePr>
    <w:tblStylePr w:type="band1Horz">
      <w:tblPr/>
      <w:tcPr>
        <w:shd w:val="clear" w:color="auto" w:fill="C5E4EC" w:themeFill="accent5" w:themeFillTint="3F"/>
      </w:tcPr>
    </w:tblStylePr>
  </w:style>
  <w:style w:type="table" w:styleId="MediumList1-Accent6">
    <w:name w:val="Medium List 1 Accent 6"/>
    <w:basedOn w:val="TableNormal"/>
    <w:uiPriority w:val="99"/>
    <w:semiHidden/>
    <w:rsid w:val="00361DEB"/>
    <w:pPr>
      <w:spacing w:after="0"/>
    </w:pPr>
    <w:rPr>
      <w:color w:val="00728F" w:themeColor="text1"/>
    </w:rPr>
    <w:tblPr>
      <w:tblStyleRowBandSize w:val="1"/>
      <w:tblStyleColBandSize w:val="1"/>
      <w:tblBorders>
        <w:top w:val="single" w:sz="8" w:space="0" w:color="64B8CE" w:themeColor="accent6"/>
        <w:bottom w:val="single" w:sz="8" w:space="0" w:color="64B8CE" w:themeColor="accent6"/>
      </w:tblBorders>
    </w:tblPr>
    <w:tblStylePr w:type="firstRow">
      <w:rPr>
        <w:rFonts w:asciiTheme="majorHAnsi" w:eastAsiaTheme="majorEastAsia" w:hAnsiTheme="majorHAnsi" w:cstheme="majorBidi"/>
      </w:rPr>
      <w:tblPr/>
      <w:tcPr>
        <w:tcBorders>
          <w:top w:val="nil"/>
          <w:bottom w:val="single" w:sz="8" w:space="0" w:color="64B8CE" w:themeColor="accent6"/>
        </w:tcBorders>
      </w:tcPr>
    </w:tblStylePr>
    <w:tblStylePr w:type="lastRow">
      <w:rPr>
        <w:b/>
        <w:bCs/>
        <w:color w:val="B7DDE8" w:themeColor="text2"/>
      </w:rPr>
      <w:tblPr/>
      <w:tcPr>
        <w:tcBorders>
          <w:top w:val="single" w:sz="8" w:space="0" w:color="64B8CE" w:themeColor="accent6"/>
          <w:bottom w:val="single" w:sz="8" w:space="0" w:color="64B8CE" w:themeColor="accent6"/>
        </w:tcBorders>
      </w:tcPr>
    </w:tblStylePr>
    <w:tblStylePr w:type="firstCol">
      <w:rPr>
        <w:b/>
        <w:bCs/>
      </w:rPr>
    </w:tblStylePr>
    <w:tblStylePr w:type="lastCol">
      <w:rPr>
        <w:b/>
        <w:bCs/>
      </w:rPr>
      <w:tblPr/>
      <w:tcPr>
        <w:tcBorders>
          <w:top w:val="single" w:sz="8" w:space="0" w:color="64B8CE" w:themeColor="accent6"/>
          <w:bottom w:val="single" w:sz="8" w:space="0" w:color="64B8CE" w:themeColor="accent6"/>
        </w:tcBorders>
      </w:tcPr>
    </w:tblStylePr>
    <w:tblStylePr w:type="band1Vert">
      <w:tblPr/>
      <w:tcPr>
        <w:shd w:val="clear" w:color="auto" w:fill="D8EDF2" w:themeFill="accent6" w:themeFillTint="3F"/>
      </w:tcPr>
    </w:tblStylePr>
    <w:tblStylePr w:type="band1Horz">
      <w:tblPr/>
      <w:tcPr>
        <w:shd w:val="clear" w:color="auto" w:fill="D8EDF2" w:themeFill="accent6" w:themeFillTint="3F"/>
      </w:tcPr>
    </w:tblStylePr>
  </w:style>
  <w:style w:type="table" w:customStyle="1" w:styleId="MediumList21">
    <w:name w:val="Medium List 21"/>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00728F" w:themeColor="text1"/>
        <w:left w:val="single" w:sz="8" w:space="0" w:color="00728F" w:themeColor="text1"/>
        <w:bottom w:val="single" w:sz="8" w:space="0" w:color="00728F" w:themeColor="text1"/>
        <w:right w:val="single" w:sz="8" w:space="0" w:color="00728F" w:themeColor="text1"/>
      </w:tblBorders>
    </w:tblPr>
    <w:tblStylePr w:type="firstRow">
      <w:rPr>
        <w:sz w:val="24"/>
        <w:szCs w:val="24"/>
      </w:rPr>
      <w:tblPr/>
      <w:tcPr>
        <w:tcBorders>
          <w:top w:val="nil"/>
          <w:left w:val="nil"/>
          <w:bottom w:val="single" w:sz="24" w:space="0" w:color="00728F" w:themeColor="text1"/>
          <w:right w:val="nil"/>
          <w:insideH w:val="nil"/>
          <w:insideV w:val="nil"/>
        </w:tcBorders>
        <w:shd w:val="clear" w:color="auto" w:fill="FFFFFF" w:themeFill="background1"/>
      </w:tcPr>
    </w:tblStylePr>
    <w:tblStylePr w:type="lastRow">
      <w:tblPr/>
      <w:tcPr>
        <w:tcBorders>
          <w:top w:val="single" w:sz="8" w:space="0" w:color="00728F"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8F" w:themeColor="text1"/>
          <w:insideH w:val="nil"/>
          <w:insideV w:val="nil"/>
        </w:tcBorders>
        <w:shd w:val="clear" w:color="auto" w:fill="FFFFFF" w:themeFill="background1"/>
      </w:tcPr>
    </w:tblStylePr>
    <w:tblStylePr w:type="lastCol">
      <w:tblPr/>
      <w:tcPr>
        <w:tcBorders>
          <w:top w:val="nil"/>
          <w:left w:val="single" w:sz="8" w:space="0" w:color="00728F"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ECFF" w:themeFill="text1" w:themeFillTint="3F"/>
      </w:tcPr>
    </w:tblStylePr>
    <w:tblStylePr w:type="band1Horz">
      <w:tblPr/>
      <w:tcPr>
        <w:tcBorders>
          <w:top w:val="nil"/>
          <w:bottom w:val="nil"/>
          <w:insideH w:val="nil"/>
          <w:insideV w:val="nil"/>
        </w:tcBorders>
        <w:shd w:val="clear" w:color="auto" w:fill="A4EC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00728F" w:themeColor="accent1"/>
        <w:left w:val="single" w:sz="8" w:space="0" w:color="00728F" w:themeColor="accent1"/>
        <w:bottom w:val="single" w:sz="8" w:space="0" w:color="00728F" w:themeColor="accent1"/>
        <w:right w:val="single" w:sz="8" w:space="0" w:color="00728F" w:themeColor="accent1"/>
      </w:tblBorders>
    </w:tblPr>
    <w:tblStylePr w:type="firstRow">
      <w:rPr>
        <w:sz w:val="24"/>
        <w:szCs w:val="24"/>
      </w:rPr>
      <w:tblPr/>
      <w:tcPr>
        <w:tcBorders>
          <w:top w:val="nil"/>
          <w:left w:val="nil"/>
          <w:bottom w:val="single" w:sz="24" w:space="0" w:color="00728F" w:themeColor="accent1"/>
          <w:right w:val="nil"/>
          <w:insideH w:val="nil"/>
          <w:insideV w:val="nil"/>
        </w:tcBorders>
        <w:shd w:val="clear" w:color="auto" w:fill="FFFFFF" w:themeFill="background1"/>
      </w:tcPr>
    </w:tblStylePr>
    <w:tblStylePr w:type="lastRow">
      <w:tblPr/>
      <w:tcPr>
        <w:tcBorders>
          <w:top w:val="single" w:sz="8" w:space="0" w:color="00728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8F" w:themeColor="accent1"/>
          <w:insideH w:val="nil"/>
          <w:insideV w:val="nil"/>
        </w:tcBorders>
        <w:shd w:val="clear" w:color="auto" w:fill="FFFFFF" w:themeFill="background1"/>
      </w:tcPr>
    </w:tblStylePr>
    <w:tblStylePr w:type="lastCol">
      <w:tblPr/>
      <w:tcPr>
        <w:tcBorders>
          <w:top w:val="nil"/>
          <w:left w:val="single" w:sz="8" w:space="0" w:color="00728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ECFF" w:themeFill="accent1" w:themeFillTint="3F"/>
      </w:tcPr>
    </w:tblStylePr>
    <w:tblStylePr w:type="band1Horz">
      <w:tblPr/>
      <w:tcPr>
        <w:tcBorders>
          <w:top w:val="nil"/>
          <w:bottom w:val="nil"/>
          <w:insideH w:val="nil"/>
          <w:insideV w:val="nil"/>
        </w:tcBorders>
        <w:shd w:val="clear" w:color="auto" w:fill="A4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B7DDE8" w:themeColor="accent2"/>
        <w:left w:val="single" w:sz="8" w:space="0" w:color="B7DDE8" w:themeColor="accent2"/>
        <w:bottom w:val="single" w:sz="8" w:space="0" w:color="B7DDE8" w:themeColor="accent2"/>
        <w:right w:val="single" w:sz="8" w:space="0" w:color="B7DDE8" w:themeColor="accent2"/>
      </w:tblBorders>
    </w:tblPr>
    <w:tblStylePr w:type="firstRow">
      <w:rPr>
        <w:sz w:val="24"/>
        <w:szCs w:val="24"/>
      </w:rPr>
      <w:tblPr/>
      <w:tcPr>
        <w:tcBorders>
          <w:top w:val="nil"/>
          <w:left w:val="nil"/>
          <w:bottom w:val="single" w:sz="24" w:space="0" w:color="B7DDE8" w:themeColor="accent2"/>
          <w:right w:val="nil"/>
          <w:insideH w:val="nil"/>
          <w:insideV w:val="nil"/>
        </w:tcBorders>
        <w:shd w:val="clear" w:color="auto" w:fill="FFFFFF" w:themeFill="background1"/>
      </w:tcPr>
    </w:tblStylePr>
    <w:tblStylePr w:type="lastRow">
      <w:tblPr/>
      <w:tcPr>
        <w:tcBorders>
          <w:top w:val="single" w:sz="8" w:space="0" w:color="B7DDE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7DDE8" w:themeColor="accent2"/>
          <w:insideH w:val="nil"/>
          <w:insideV w:val="nil"/>
        </w:tcBorders>
        <w:shd w:val="clear" w:color="auto" w:fill="FFFFFF" w:themeFill="background1"/>
      </w:tcPr>
    </w:tblStylePr>
    <w:tblStylePr w:type="lastCol">
      <w:tblPr/>
      <w:tcPr>
        <w:tcBorders>
          <w:top w:val="nil"/>
          <w:left w:val="single" w:sz="8" w:space="0" w:color="B7DDE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6F9" w:themeFill="accent2" w:themeFillTint="3F"/>
      </w:tcPr>
    </w:tblStylePr>
    <w:tblStylePr w:type="band1Horz">
      <w:tblPr/>
      <w:tcPr>
        <w:tcBorders>
          <w:top w:val="nil"/>
          <w:bottom w:val="nil"/>
          <w:insideH w:val="nil"/>
          <w:insideV w:val="nil"/>
        </w:tcBorders>
        <w:shd w:val="clear" w:color="auto" w:fill="EDF6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DBEEF3" w:themeColor="accent3"/>
        <w:left w:val="single" w:sz="8" w:space="0" w:color="DBEEF3" w:themeColor="accent3"/>
        <w:bottom w:val="single" w:sz="8" w:space="0" w:color="DBEEF3" w:themeColor="accent3"/>
        <w:right w:val="single" w:sz="8" w:space="0" w:color="DBEEF3" w:themeColor="accent3"/>
      </w:tblBorders>
    </w:tblPr>
    <w:tblStylePr w:type="firstRow">
      <w:rPr>
        <w:sz w:val="24"/>
        <w:szCs w:val="24"/>
      </w:rPr>
      <w:tblPr/>
      <w:tcPr>
        <w:tcBorders>
          <w:top w:val="nil"/>
          <w:left w:val="nil"/>
          <w:bottom w:val="single" w:sz="24" w:space="0" w:color="DBEEF3" w:themeColor="accent3"/>
          <w:right w:val="nil"/>
          <w:insideH w:val="nil"/>
          <w:insideV w:val="nil"/>
        </w:tcBorders>
        <w:shd w:val="clear" w:color="auto" w:fill="FFFFFF" w:themeFill="background1"/>
      </w:tcPr>
    </w:tblStylePr>
    <w:tblStylePr w:type="lastRow">
      <w:tblPr/>
      <w:tcPr>
        <w:tcBorders>
          <w:top w:val="single" w:sz="8" w:space="0" w:color="DBEEF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EEF3" w:themeColor="accent3"/>
          <w:insideH w:val="nil"/>
          <w:insideV w:val="nil"/>
        </w:tcBorders>
        <w:shd w:val="clear" w:color="auto" w:fill="FFFFFF" w:themeFill="background1"/>
      </w:tcPr>
    </w:tblStylePr>
    <w:tblStylePr w:type="lastCol">
      <w:tblPr/>
      <w:tcPr>
        <w:tcBorders>
          <w:top w:val="nil"/>
          <w:left w:val="single" w:sz="8" w:space="0" w:color="DBEEF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AFC" w:themeFill="accent3" w:themeFillTint="3F"/>
      </w:tcPr>
    </w:tblStylePr>
    <w:tblStylePr w:type="band1Horz">
      <w:tblPr/>
      <w:tcPr>
        <w:tcBorders>
          <w:top w:val="nil"/>
          <w:bottom w:val="nil"/>
          <w:insideH w:val="nil"/>
          <w:insideV w:val="nil"/>
        </w:tcBorders>
        <w:shd w:val="clear" w:color="auto" w:fill="F6FAF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92CDDC" w:themeColor="accent4"/>
        <w:left w:val="single" w:sz="8" w:space="0" w:color="92CDDC" w:themeColor="accent4"/>
        <w:bottom w:val="single" w:sz="8" w:space="0" w:color="92CDDC" w:themeColor="accent4"/>
        <w:right w:val="single" w:sz="8" w:space="0" w:color="92CDDC" w:themeColor="accent4"/>
      </w:tblBorders>
    </w:tblPr>
    <w:tblStylePr w:type="firstRow">
      <w:rPr>
        <w:sz w:val="24"/>
        <w:szCs w:val="24"/>
      </w:rPr>
      <w:tblPr/>
      <w:tcPr>
        <w:tcBorders>
          <w:top w:val="nil"/>
          <w:left w:val="nil"/>
          <w:bottom w:val="single" w:sz="24" w:space="0" w:color="92CDDC" w:themeColor="accent4"/>
          <w:right w:val="nil"/>
          <w:insideH w:val="nil"/>
          <w:insideV w:val="nil"/>
        </w:tcBorders>
        <w:shd w:val="clear" w:color="auto" w:fill="FFFFFF" w:themeFill="background1"/>
      </w:tcPr>
    </w:tblStylePr>
    <w:tblStylePr w:type="lastRow">
      <w:tblPr/>
      <w:tcPr>
        <w:tcBorders>
          <w:top w:val="single" w:sz="8" w:space="0" w:color="92CDD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CDDC" w:themeColor="accent4"/>
          <w:insideH w:val="nil"/>
          <w:insideV w:val="nil"/>
        </w:tcBorders>
        <w:shd w:val="clear" w:color="auto" w:fill="FFFFFF" w:themeFill="background1"/>
      </w:tcPr>
    </w:tblStylePr>
    <w:tblStylePr w:type="lastCol">
      <w:tblPr/>
      <w:tcPr>
        <w:tcBorders>
          <w:top w:val="nil"/>
          <w:left w:val="single" w:sz="8" w:space="0" w:color="92CDD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2F6" w:themeFill="accent4" w:themeFillTint="3F"/>
      </w:tcPr>
    </w:tblStylePr>
    <w:tblStylePr w:type="band1Horz">
      <w:tblPr/>
      <w:tcPr>
        <w:tcBorders>
          <w:top w:val="nil"/>
          <w:bottom w:val="nil"/>
          <w:insideH w:val="nil"/>
          <w:insideV w:val="nil"/>
        </w:tcBorders>
        <w:shd w:val="clear" w:color="auto" w:fill="E4F2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31859B" w:themeColor="accent5"/>
        <w:left w:val="single" w:sz="8" w:space="0" w:color="31859B" w:themeColor="accent5"/>
        <w:bottom w:val="single" w:sz="8" w:space="0" w:color="31859B" w:themeColor="accent5"/>
        <w:right w:val="single" w:sz="8" w:space="0" w:color="31859B" w:themeColor="accent5"/>
      </w:tblBorders>
    </w:tblPr>
    <w:tblStylePr w:type="firstRow">
      <w:rPr>
        <w:sz w:val="24"/>
        <w:szCs w:val="24"/>
      </w:rPr>
      <w:tblPr/>
      <w:tcPr>
        <w:tcBorders>
          <w:top w:val="nil"/>
          <w:left w:val="nil"/>
          <w:bottom w:val="single" w:sz="24" w:space="0" w:color="31859B" w:themeColor="accent5"/>
          <w:right w:val="nil"/>
          <w:insideH w:val="nil"/>
          <w:insideV w:val="nil"/>
        </w:tcBorders>
        <w:shd w:val="clear" w:color="auto" w:fill="FFFFFF" w:themeFill="background1"/>
      </w:tcPr>
    </w:tblStylePr>
    <w:tblStylePr w:type="lastRow">
      <w:tblPr/>
      <w:tcPr>
        <w:tcBorders>
          <w:top w:val="single" w:sz="8" w:space="0" w:color="31859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1859B" w:themeColor="accent5"/>
          <w:insideH w:val="nil"/>
          <w:insideV w:val="nil"/>
        </w:tcBorders>
        <w:shd w:val="clear" w:color="auto" w:fill="FFFFFF" w:themeFill="background1"/>
      </w:tcPr>
    </w:tblStylePr>
    <w:tblStylePr w:type="lastCol">
      <w:tblPr/>
      <w:tcPr>
        <w:tcBorders>
          <w:top w:val="nil"/>
          <w:left w:val="single" w:sz="8" w:space="0" w:color="31859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4EC" w:themeFill="accent5" w:themeFillTint="3F"/>
      </w:tcPr>
    </w:tblStylePr>
    <w:tblStylePr w:type="band1Horz">
      <w:tblPr/>
      <w:tcPr>
        <w:tcBorders>
          <w:top w:val="nil"/>
          <w:bottom w:val="nil"/>
          <w:insideH w:val="nil"/>
          <w:insideV w:val="nil"/>
        </w:tcBorders>
        <w:shd w:val="clear" w:color="auto" w:fill="C5E4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64B8CE" w:themeColor="accent6"/>
        <w:left w:val="single" w:sz="8" w:space="0" w:color="64B8CE" w:themeColor="accent6"/>
        <w:bottom w:val="single" w:sz="8" w:space="0" w:color="64B8CE" w:themeColor="accent6"/>
        <w:right w:val="single" w:sz="8" w:space="0" w:color="64B8CE" w:themeColor="accent6"/>
      </w:tblBorders>
    </w:tblPr>
    <w:tblStylePr w:type="firstRow">
      <w:rPr>
        <w:sz w:val="24"/>
        <w:szCs w:val="24"/>
      </w:rPr>
      <w:tblPr/>
      <w:tcPr>
        <w:tcBorders>
          <w:top w:val="nil"/>
          <w:left w:val="nil"/>
          <w:bottom w:val="single" w:sz="24" w:space="0" w:color="64B8CE" w:themeColor="accent6"/>
          <w:right w:val="nil"/>
          <w:insideH w:val="nil"/>
          <w:insideV w:val="nil"/>
        </w:tcBorders>
        <w:shd w:val="clear" w:color="auto" w:fill="FFFFFF" w:themeFill="background1"/>
      </w:tcPr>
    </w:tblStylePr>
    <w:tblStylePr w:type="lastRow">
      <w:tblPr/>
      <w:tcPr>
        <w:tcBorders>
          <w:top w:val="single" w:sz="8" w:space="0" w:color="64B8C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4B8CE" w:themeColor="accent6"/>
          <w:insideH w:val="nil"/>
          <w:insideV w:val="nil"/>
        </w:tcBorders>
        <w:shd w:val="clear" w:color="auto" w:fill="FFFFFF" w:themeFill="background1"/>
      </w:tcPr>
    </w:tblStylePr>
    <w:tblStylePr w:type="lastCol">
      <w:tblPr/>
      <w:tcPr>
        <w:tcBorders>
          <w:top w:val="nil"/>
          <w:left w:val="single" w:sz="8" w:space="0" w:color="64B8C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2" w:themeFill="accent6" w:themeFillTint="3F"/>
      </w:tcPr>
    </w:tblStylePr>
    <w:tblStylePr w:type="band1Horz">
      <w:tblPr/>
      <w:tcPr>
        <w:tcBorders>
          <w:top w:val="nil"/>
          <w:bottom w:val="nil"/>
          <w:insideH w:val="nil"/>
          <w:insideV w:val="nil"/>
        </w:tcBorders>
        <w:shd w:val="clear" w:color="auto" w:fill="D8EDF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99"/>
    <w:semiHidden/>
    <w:rsid w:val="00361DEB"/>
    <w:pPr>
      <w:spacing w:after="0"/>
    </w:pPr>
    <w:tblPr>
      <w:tblStyleRowBandSize w:val="1"/>
      <w:tblStyleColBandSize w:val="1"/>
      <w:tblBorders>
        <w:top w:val="single" w:sz="8" w:space="0" w:color="00BBEB" w:themeColor="text1" w:themeTint="BF"/>
        <w:left w:val="single" w:sz="8" w:space="0" w:color="00BBEB" w:themeColor="text1" w:themeTint="BF"/>
        <w:bottom w:val="single" w:sz="8" w:space="0" w:color="00BBEB" w:themeColor="text1" w:themeTint="BF"/>
        <w:right w:val="single" w:sz="8" w:space="0" w:color="00BBEB" w:themeColor="text1" w:themeTint="BF"/>
        <w:insideH w:val="single" w:sz="8" w:space="0" w:color="00BBEB" w:themeColor="text1" w:themeTint="BF"/>
      </w:tblBorders>
    </w:tblPr>
    <w:tblStylePr w:type="firstRow">
      <w:pPr>
        <w:spacing w:before="0" w:after="0" w:line="240" w:lineRule="auto"/>
      </w:pPr>
      <w:rPr>
        <w:b/>
        <w:bCs/>
        <w:color w:val="FFFFFF" w:themeColor="background1"/>
      </w:rPr>
      <w:tblPr/>
      <w:tcPr>
        <w:tcBorders>
          <w:top w:val="single" w:sz="8" w:space="0" w:color="00BBEB" w:themeColor="text1" w:themeTint="BF"/>
          <w:left w:val="single" w:sz="8" w:space="0" w:color="00BBEB" w:themeColor="text1" w:themeTint="BF"/>
          <w:bottom w:val="single" w:sz="8" w:space="0" w:color="00BBEB" w:themeColor="text1" w:themeTint="BF"/>
          <w:right w:val="single" w:sz="8" w:space="0" w:color="00BBEB" w:themeColor="text1" w:themeTint="BF"/>
          <w:insideH w:val="nil"/>
          <w:insideV w:val="nil"/>
        </w:tcBorders>
        <w:shd w:val="clear" w:color="auto" w:fill="00728F" w:themeFill="text1"/>
      </w:tcPr>
    </w:tblStylePr>
    <w:tblStylePr w:type="lastRow">
      <w:pPr>
        <w:spacing w:before="0" w:after="0" w:line="240" w:lineRule="auto"/>
      </w:pPr>
      <w:rPr>
        <w:b/>
        <w:bCs/>
      </w:rPr>
      <w:tblPr/>
      <w:tcPr>
        <w:tcBorders>
          <w:top w:val="double" w:sz="6" w:space="0" w:color="00BBEB" w:themeColor="text1" w:themeTint="BF"/>
          <w:left w:val="single" w:sz="8" w:space="0" w:color="00BBEB" w:themeColor="text1" w:themeTint="BF"/>
          <w:bottom w:val="single" w:sz="8" w:space="0" w:color="00BBEB" w:themeColor="text1" w:themeTint="BF"/>
          <w:right w:val="single" w:sz="8" w:space="0" w:color="00BBEB" w:themeColor="text1" w:themeTint="BF"/>
          <w:insideH w:val="nil"/>
          <w:insideV w:val="nil"/>
        </w:tcBorders>
      </w:tcPr>
    </w:tblStylePr>
    <w:tblStylePr w:type="firstCol">
      <w:rPr>
        <w:b/>
        <w:bCs/>
      </w:rPr>
    </w:tblStylePr>
    <w:tblStylePr w:type="lastCol">
      <w:rPr>
        <w:b/>
        <w:bCs/>
      </w:rPr>
    </w:tblStylePr>
    <w:tblStylePr w:type="band1Vert">
      <w:tblPr/>
      <w:tcPr>
        <w:shd w:val="clear" w:color="auto" w:fill="A4ECFF" w:themeFill="text1" w:themeFillTint="3F"/>
      </w:tcPr>
    </w:tblStylePr>
    <w:tblStylePr w:type="band1Horz">
      <w:tblPr/>
      <w:tcPr>
        <w:tcBorders>
          <w:insideH w:val="nil"/>
          <w:insideV w:val="nil"/>
        </w:tcBorders>
        <w:shd w:val="clear" w:color="auto" w:fill="A4ECFF"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99"/>
    <w:semiHidden/>
    <w:rsid w:val="00361DEB"/>
    <w:pPr>
      <w:spacing w:after="0"/>
    </w:pPr>
    <w:tblPr>
      <w:tblStyleRowBandSize w:val="1"/>
      <w:tblStyleColBandSize w:val="1"/>
      <w:tblBorders>
        <w:top w:val="single" w:sz="8" w:space="0" w:color="00BBEB" w:themeColor="accent1" w:themeTint="BF"/>
        <w:left w:val="single" w:sz="8" w:space="0" w:color="00BBEB" w:themeColor="accent1" w:themeTint="BF"/>
        <w:bottom w:val="single" w:sz="8" w:space="0" w:color="00BBEB" w:themeColor="accent1" w:themeTint="BF"/>
        <w:right w:val="single" w:sz="8" w:space="0" w:color="00BBEB" w:themeColor="accent1" w:themeTint="BF"/>
        <w:insideH w:val="single" w:sz="8" w:space="0" w:color="00BBEB" w:themeColor="accent1" w:themeTint="BF"/>
      </w:tblBorders>
    </w:tblPr>
    <w:tblStylePr w:type="firstRow">
      <w:pPr>
        <w:spacing w:before="0" w:after="0" w:line="240" w:lineRule="auto"/>
      </w:pPr>
      <w:rPr>
        <w:b/>
        <w:bCs/>
        <w:color w:val="FFFFFF" w:themeColor="background1"/>
      </w:rPr>
      <w:tblPr/>
      <w:tcPr>
        <w:tcBorders>
          <w:top w:val="single" w:sz="8" w:space="0" w:color="00BBEB" w:themeColor="accent1" w:themeTint="BF"/>
          <w:left w:val="single" w:sz="8" w:space="0" w:color="00BBEB" w:themeColor="accent1" w:themeTint="BF"/>
          <w:bottom w:val="single" w:sz="8" w:space="0" w:color="00BBEB" w:themeColor="accent1" w:themeTint="BF"/>
          <w:right w:val="single" w:sz="8" w:space="0" w:color="00BBEB" w:themeColor="accent1" w:themeTint="BF"/>
          <w:insideH w:val="nil"/>
          <w:insideV w:val="nil"/>
        </w:tcBorders>
        <w:shd w:val="clear" w:color="auto" w:fill="00728F" w:themeFill="accent1"/>
      </w:tcPr>
    </w:tblStylePr>
    <w:tblStylePr w:type="lastRow">
      <w:pPr>
        <w:spacing w:before="0" w:after="0" w:line="240" w:lineRule="auto"/>
      </w:pPr>
      <w:rPr>
        <w:b/>
        <w:bCs/>
      </w:rPr>
      <w:tblPr/>
      <w:tcPr>
        <w:tcBorders>
          <w:top w:val="double" w:sz="6" w:space="0" w:color="00BBEB" w:themeColor="accent1" w:themeTint="BF"/>
          <w:left w:val="single" w:sz="8" w:space="0" w:color="00BBEB" w:themeColor="accent1" w:themeTint="BF"/>
          <w:bottom w:val="single" w:sz="8" w:space="0" w:color="00BBEB" w:themeColor="accent1" w:themeTint="BF"/>
          <w:right w:val="single" w:sz="8" w:space="0" w:color="00B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4ECFF" w:themeFill="accent1" w:themeFillTint="3F"/>
      </w:tcPr>
    </w:tblStylePr>
    <w:tblStylePr w:type="band1Horz">
      <w:tblPr/>
      <w:tcPr>
        <w:tcBorders>
          <w:insideH w:val="nil"/>
          <w:insideV w:val="nil"/>
        </w:tcBorders>
        <w:shd w:val="clear" w:color="auto" w:fill="A4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rsid w:val="00361DEB"/>
    <w:pPr>
      <w:spacing w:after="0"/>
    </w:pPr>
    <w:tblPr>
      <w:tblStyleRowBandSize w:val="1"/>
      <w:tblStyleColBandSize w:val="1"/>
      <w:tblBorders>
        <w:top w:val="single" w:sz="8" w:space="0" w:color="C8E5ED" w:themeColor="accent2" w:themeTint="BF"/>
        <w:left w:val="single" w:sz="8" w:space="0" w:color="C8E5ED" w:themeColor="accent2" w:themeTint="BF"/>
        <w:bottom w:val="single" w:sz="8" w:space="0" w:color="C8E5ED" w:themeColor="accent2" w:themeTint="BF"/>
        <w:right w:val="single" w:sz="8" w:space="0" w:color="C8E5ED" w:themeColor="accent2" w:themeTint="BF"/>
        <w:insideH w:val="single" w:sz="8" w:space="0" w:color="C8E5ED" w:themeColor="accent2" w:themeTint="BF"/>
      </w:tblBorders>
    </w:tblPr>
    <w:tblStylePr w:type="firstRow">
      <w:pPr>
        <w:spacing w:before="0" w:after="0" w:line="240" w:lineRule="auto"/>
      </w:pPr>
      <w:rPr>
        <w:b/>
        <w:bCs/>
        <w:color w:val="FFFFFF" w:themeColor="background1"/>
      </w:rPr>
      <w:tblPr/>
      <w:tcPr>
        <w:tcBorders>
          <w:top w:val="single" w:sz="8" w:space="0" w:color="C8E5ED" w:themeColor="accent2" w:themeTint="BF"/>
          <w:left w:val="single" w:sz="8" w:space="0" w:color="C8E5ED" w:themeColor="accent2" w:themeTint="BF"/>
          <w:bottom w:val="single" w:sz="8" w:space="0" w:color="C8E5ED" w:themeColor="accent2" w:themeTint="BF"/>
          <w:right w:val="single" w:sz="8" w:space="0" w:color="C8E5ED" w:themeColor="accent2" w:themeTint="BF"/>
          <w:insideH w:val="nil"/>
          <w:insideV w:val="nil"/>
        </w:tcBorders>
        <w:shd w:val="clear" w:color="auto" w:fill="B7DDE8" w:themeFill="accent2"/>
      </w:tcPr>
    </w:tblStylePr>
    <w:tblStylePr w:type="lastRow">
      <w:pPr>
        <w:spacing w:before="0" w:after="0" w:line="240" w:lineRule="auto"/>
      </w:pPr>
      <w:rPr>
        <w:b/>
        <w:bCs/>
      </w:rPr>
      <w:tblPr/>
      <w:tcPr>
        <w:tcBorders>
          <w:top w:val="double" w:sz="6" w:space="0" w:color="C8E5ED" w:themeColor="accent2" w:themeTint="BF"/>
          <w:left w:val="single" w:sz="8" w:space="0" w:color="C8E5ED" w:themeColor="accent2" w:themeTint="BF"/>
          <w:bottom w:val="single" w:sz="8" w:space="0" w:color="C8E5ED" w:themeColor="accent2" w:themeTint="BF"/>
          <w:right w:val="single" w:sz="8" w:space="0" w:color="C8E5E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DF6F9" w:themeFill="accent2" w:themeFillTint="3F"/>
      </w:tcPr>
    </w:tblStylePr>
    <w:tblStylePr w:type="band1Horz">
      <w:tblPr/>
      <w:tcPr>
        <w:tcBorders>
          <w:insideH w:val="nil"/>
          <w:insideV w:val="nil"/>
        </w:tcBorders>
        <w:shd w:val="clear" w:color="auto" w:fill="EDF6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rsid w:val="00361DEB"/>
    <w:pPr>
      <w:spacing w:after="0"/>
    </w:pPr>
    <w:tblPr>
      <w:tblStyleRowBandSize w:val="1"/>
      <w:tblStyleColBandSize w:val="1"/>
      <w:tblBorders>
        <w:top w:val="single" w:sz="8" w:space="0" w:color="E4F2F6" w:themeColor="accent3" w:themeTint="BF"/>
        <w:left w:val="single" w:sz="8" w:space="0" w:color="E4F2F6" w:themeColor="accent3" w:themeTint="BF"/>
        <w:bottom w:val="single" w:sz="8" w:space="0" w:color="E4F2F6" w:themeColor="accent3" w:themeTint="BF"/>
        <w:right w:val="single" w:sz="8" w:space="0" w:color="E4F2F6" w:themeColor="accent3" w:themeTint="BF"/>
        <w:insideH w:val="single" w:sz="8" w:space="0" w:color="E4F2F6" w:themeColor="accent3" w:themeTint="BF"/>
      </w:tblBorders>
    </w:tblPr>
    <w:tblStylePr w:type="firstRow">
      <w:pPr>
        <w:spacing w:before="0" w:after="0" w:line="240" w:lineRule="auto"/>
      </w:pPr>
      <w:rPr>
        <w:b/>
        <w:bCs/>
        <w:color w:val="FFFFFF" w:themeColor="background1"/>
      </w:rPr>
      <w:tblPr/>
      <w:tcPr>
        <w:tcBorders>
          <w:top w:val="single" w:sz="8" w:space="0" w:color="E4F2F6" w:themeColor="accent3" w:themeTint="BF"/>
          <w:left w:val="single" w:sz="8" w:space="0" w:color="E4F2F6" w:themeColor="accent3" w:themeTint="BF"/>
          <w:bottom w:val="single" w:sz="8" w:space="0" w:color="E4F2F6" w:themeColor="accent3" w:themeTint="BF"/>
          <w:right w:val="single" w:sz="8" w:space="0" w:color="E4F2F6" w:themeColor="accent3" w:themeTint="BF"/>
          <w:insideH w:val="nil"/>
          <w:insideV w:val="nil"/>
        </w:tcBorders>
        <w:shd w:val="clear" w:color="auto" w:fill="DBEEF3" w:themeFill="accent3"/>
      </w:tcPr>
    </w:tblStylePr>
    <w:tblStylePr w:type="lastRow">
      <w:pPr>
        <w:spacing w:before="0" w:after="0" w:line="240" w:lineRule="auto"/>
      </w:pPr>
      <w:rPr>
        <w:b/>
        <w:bCs/>
      </w:rPr>
      <w:tblPr/>
      <w:tcPr>
        <w:tcBorders>
          <w:top w:val="double" w:sz="6" w:space="0" w:color="E4F2F6" w:themeColor="accent3" w:themeTint="BF"/>
          <w:left w:val="single" w:sz="8" w:space="0" w:color="E4F2F6" w:themeColor="accent3" w:themeTint="BF"/>
          <w:bottom w:val="single" w:sz="8" w:space="0" w:color="E4F2F6" w:themeColor="accent3" w:themeTint="BF"/>
          <w:right w:val="single" w:sz="8" w:space="0" w:color="E4F2F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AFC" w:themeFill="accent3" w:themeFillTint="3F"/>
      </w:tcPr>
    </w:tblStylePr>
    <w:tblStylePr w:type="band1Horz">
      <w:tblPr/>
      <w:tcPr>
        <w:tcBorders>
          <w:insideH w:val="nil"/>
          <w:insideV w:val="nil"/>
        </w:tcBorders>
        <w:shd w:val="clear" w:color="auto" w:fill="F6FAF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rsid w:val="00361DEB"/>
    <w:pPr>
      <w:spacing w:after="0"/>
    </w:pPr>
    <w:tblPr>
      <w:tblStyleRowBandSize w:val="1"/>
      <w:tblStyleColBandSize w:val="1"/>
      <w:tblBorders>
        <w:top w:val="single" w:sz="8" w:space="0" w:color="ADD9E4" w:themeColor="accent4" w:themeTint="BF"/>
        <w:left w:val="single" w:sz="8" w:space="0" w:color="ADD9E4" w:themeColor="accent4" w:themeTint="BF"/>
        <w:bottom w:val="single" w:sz="8" w:space="0" w:color="ADD9E4" w:themeColor="accent4" w:themeTint="BF"/>
        <w:right w:val="single" w:sz="8" w:space="0" w:color="ADD9E4" w:themeColor="accent4" w:themeTint="BF"/>
        <w:insideH w:val="single" w:sz="8" w:space="0" w:color="ADD9E4" w:themeColor="accent4" w:themeTint="BF"/>
      </w:tblBorders>
    </w:tblPr>
    <w:tblStylePr w:type="firstRow">
      <w:pPr>
        <w:spacing w:before="0" w:after="0" w:line="240" w:lineRule="auto"/>
      </w:pPr>
      <w:rPr>
        <w:b/>
        <w:bCs/>
        <w:color w:val="FFFFFF" w:themeColor="background1"/>
      </w:rPr>
      <w:tblPr/>
      <w:tcPr>
        <w:tcBorders>
          <w:top w:val="single" w:sz="8" w:space="0" w:color="ADD9E4" w:themeColor="accent4" w:themeTint="BF"/>
          <w:left w:val="single" w:sz="8" w:space="0" w:color="ADD9E4" w:themeColor="accent4" w:themeTint="BF"/>
          <w:bottom w:val="single" w:sz="8" w:space="0" w:color="ADD9E4" w:themeColor="accent4" w:themeTint="BF"/>
          <w:right w:val="single" w:sz="8" w:space="0" w:color="ADD9E4" w:themeColor="accent4" w:themeTint="BF"/>
          <w:insideH w:val="nil"/>
          <w:insideV w:val="nil"/>
        </w:tcBorders>
        <w:shd w:val="clear" w:color="auto" w:fill="92CDDC" w:themeFill="accent4"/>
      </w:tcPr>
    </w:tblStylePr>
    <w:tblStylePr w:type="lastRow">
      <w:pPr>
        <w:spacing w:before="0" w:after="0" w:line="240" w:lineRule="auto"/>
      </w:pPr>
      <w:rPr>
        <w:b/>
        <w:bCs/>
      </w:rPr>
      <w:tblPr/>
      <w:tcPr>
        <w:tcBorders>
          <w:top w:val="double" w:sz="6" w:space="0" w:color="ADD9E4" w:themeColor="accent4" w:themeTint="BF"/>
          <w:left w:val="single" w:sz="8" w:space="0" w:color="ADD9E4" w:themeColor="accent4" w:themeTint="BF"/>
          <w:bottom w:val="single" w:sz="8" w:space="0" w:color="ADD9E4" w:themeColor="accent4" w:themeTint="BF"/>
          <w:right w:val="single" w:sz="8" w:space="0" w:color="ADD9E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F2F6" w:themeFill="accent4" w:themeFillTint="3F"/>
      </w:tcPr>
    </w:tblStylePr>
    <w:tblStylePr w:type="band1Horz">
      <w:tblPr/>
      <w:tcPr>
        <w:tcBorders>
          <w:insideH w:val="nil"/>
          <w:insideV w:val="nil"/>
        </w:tcBorders>
        <w:shd w:val="clear" w:color="auto" w:fill="E4F2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rsid w:val="00361DEB"/>
    <w:pPr>
      <w:spacing w:after="0"/>
    </w:pPr>
    <w:tblPr>
      <w:tblStyleRowBandSize w:val="1"/>
      <w:tblStyleColBandSize w:val="1"/>
      <w:tblBorders>
        <w:top w:val="single" w:sz="8" w:space="0" w:color="50AFC8" w:themeColor="accent5" w:themeTint="BF"/>
        <w:left w:val="single" w:sz="8" w:space="0" w:color="50AFC8" w:themeColor="accent5" w:themeTint="BF"/>
        <w:bottom w:val="single" w:sz="8" w:space="0" w:color="50AFC8" w:themeColor="accent5" w:themeTint="BF"/>
        <w:right w:val="single" w:sz="8" w:space="0" w:color="50AFC8" w:themeColor="accent5" w:themeTint="BF"/>
        <w:insideH w:val="single" w:sz="8" w:space="0" w:color="50AFC8" w:themeColor="accent5" w:themeTint="BF"/>
      </w:tblBorders>
    </w:tblPr>
    <w:tblStylePr w:type="firstRow">
      <w:pPr>
        <w:spacing w:before="0" w:after="0" w:line="240" w:lineRule="auto"/>
      </w:pPr>
      <w:rPr>
        <w:b/>
        <w:bCs/>
        <w:color w:val="FFFFFF" w:themeColor="background1"/>
      </w:rPr>
      <w:tblPr/>
      <w:tcPr>
        <w:tcBorders>
          <w:top w:val="single" w:sz="8" w:space="0" w:color="50AFC8" w:themeColor="accent5" w:themeTint="BF"/>
          <w:left w:val="single" w:sz="8" w:space="0" w:color="50AFC8" w:themeColor="accent5" w:themeTint="BF"/>
          <w:bottom w:val="single" w:sz="8" w:space="0" w:color="50AFC8" w:themeColor="accent5" w:themeTint="BF"/>
          <w:right w:val="single" w:sz="8" w:space="0" w:color="50AFC8" w:themeColor="accent5" w:themeTint="BF"/>
          <w:insideH w:val="nil"/>
          <w:insideV w:val="nil"/>
        </w:tcBorders>
        <w:shd w:val="clear" w:color="auto" w:fill="31859B" w:themeFill="accent5"/>
      </w:tcPr>
    </w:tblStylePr>
    <w:tblStylePr w:type="lastRow">
      <w:pPr>
        <w:spacing w:before="0" w:after="0" w:line="240" w:lineRule="auto"/>
      </w:pPr>
      <w:rPr>
        <w:b/>
        <w:bCs/>
      </w:rPr>
      <w:tblPr/>
      <w:tcPr>
        <w:tcBorders>
          <w:top w:val="double" w:sz="6" w:space="0" w:color="50AFC8" w:themeColor="accent5" w:themeTint="BF"/>
          <w:left w:val="single" w:sz="8" w:space="0" w:color="50AFC8" w:themeColor="accent5" w:themeTint="BF"/>
          <w:bottom w:val="single" w:sz="8" w:space="0" w:color="50AFC8" w:themeColor="accent5" w:themeTint="BF"/>
          <w:right w:val="single" w:sz="8" w:space="0" w:color="50AF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5E4EC" w:themeFill="accent5" w:themeFillTint="3F"/>
      </w:tcPr>
    </w:tblStylePr>
    <w:tblStylePr w:type="band1Horz">
      <w:tblPr/>
      <w:tcPr>
        <w:tcBorders>
          <w:insideH w:val="nil"/>
          <w:insideV w:val="nil"/>
        </w:tcBorders>
        <w:shd w:val="clear" w:color="auto" w:fill="C5E4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rsid w:val="00361DEB"/>
    <w:pPr>
      <w:spacing w:after="0"/>
    </w:pPr>
    <w:tblPr>
      <w:tblStyleRowBandSize w:val="1"/>
      <w:tblStyleColBandSize w:val="1"/>
      <w:tblBorders>
        <w:top w:val="single" w:sz="8" w:space="0" w:color="8AC9DA" w:themeColor="accent6" w:themeTint="BF"/>
        <w:left w:val="single" w:sz="8" w:space="0" w:color="8AC9DA" w:themeColor="accent6" w:themeTint="BF"/>
        <w:bottom w:val="single" w:sz="8" w:space="0" w:color="8AC9DA" w:themeColor="accent6" w:themeTint="BF"/>
        <w:right w:val="single" w:sz="8" w:space="0" w:color="8AC9DA" w:themeColor="accent6" w:themeTint="BF"/>
        <w:insideH w:val="single" w:sz="8" w:space="0" w:color="8AC9DA" w:themeColor="accent6" w:themeTint="BF"/>
      </w:tblBorders>
    </w:tblPr>
    <w:tblStylePr w:type="firstRow">
      <w:pPr>
        <w:spacing w:before="0" w:after="0" w:line="240" w:lineRule="auto"/>
      </w:pPr>
      <w:rPr>
        <w:b/>
        <w:bCs/>
        <w:color w:val="FFFFFF" w:themeColor="background1"/>
      </w:rPr>
      <w:tblPr/>
      <w:tcPr>
        <w:tcBorders>
          <w:top w:val="single" w:sz="8" w:space="0" w:color="8AC9DA" w:themeColor="accent6" w:themeTint="BF"/>
          <w:left w:val="single" w:sz="8" w:space="0" w:color="8AC9DA" w:themeColor="accent6" w:themeTint="BF"/>
          <w:bottom w:val="single" w:sz="8" w:space="0" w:color="8AC9DA" w:themeColor="accent6" w:themeTint="BF"/>
          <w:right w:val="single" w:sz="8" w:space="0" w:color="8AC9DA" w:themeColor="accent6" w:themeTint="BF"/>
          <w:insideH w:val="nil"/>
          <w:insideV w:val="nil"/>
        </w:tcBorders>
        <w:shd w:val="clear" w:color="auto" w:fill="64B8CE" w:themeFill="accent6"/>
      </w:tcPr>
    </w:tblStylePr>
    <w:tblStylePr w:type="lastRow">
      <w:pPr>
        <w:spacing w:before="0" w:after="0" w:line="240" w:lineRule="auto"/>
      </w:pPr>
      <w:rPr>
        <w:b/>
        <w:bCs/>
      </w:rPr>
      <w:tblPr/>
      <w:tcPr>
        <w:tcBorders>
          <w:top w:val="double" w:sz="6" w:space="0" w:color="8AC9DA" w:themeColor="accent6" w:themeTint="BF"/>
          <w:left w:val="single" w:sz="8" w:space="0" w:color="8AC9DA" w:themeColor="accent6" w:themeTint="BF"/>
          <w:bottom w:val="single" w:sz="8" w:space="0" w:color="8AC9DA" w:themeColor="accent6" w:themeTint="BF"/>
          <w:right w:val="single" w:sz="8" w:space="0" w:color="8AC9D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EDF2" w:themeFill="accent6" w:themeFillTint="3F"/>
      </w:tcPr>
    </w:tblStylePr>
    <w:tblStylePr w:type="band1Horz">
      <w:tblPr/>
      <w:tcPr>
        <w:tcBorders>
          <w:insideH w:val="nil"/>
          <w:insideV w:val="nil"/>
        </w:tcBorders>
        <w:shd w:val="clear" w:color="auto" w:fill="D8EDF2"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8F"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8F" w:themeFill="text1"/>
      </w:tcPr>
    </w:tblStylePr>
    <w:tblStylePr w:type="lastCol">
      <w:rPr>
        <w:b/>
        <w:bCs/>
        <w:color w:val="FFFFFF" w:themeColor="background1"/>
      </w:rPr>
      <w:tblPr/>
      <w:tcPr>
        <w:tcBorders>
          <w:left w:val="nil"/>
          <w:right w:val="nil"/>
          <w:insideH w:val="nil"/>
          <w:insideV w:val="nil"/>
        </w:tcBorders>
        <w:shd w:val="clear" w:color="auto" w:fill="00728F"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8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8F" w:themeFill="accent1"/>
      </w:tcPr>
    </w:tblStylePr>
    <w:tblStylePr w:type="lastCol">
      <w:rPr>
        <w:b/>
        <w:bCs/>
        <w:color w:val="FFFFFF" w:themeColor="background1"/>
      </w:rPr>
      <w:tblPr/>
      <w:tcPr>
        <w:tcBorders>
          <w:left w:val="nil"/>
          <w:right w:val="nil"/>
          <w:insideH w:val="nil"/>
          <w:insideV w:val="nil"/>
        </w:tcBorders>
        <w:shd w:val="clear" w:color="auto" w:fill="00728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7DDE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7DDE8" w:themeFill="accent2"/>
      </w:tcPr>
    </w:tblStylePr>
    <w:tblStylePr w:type="lastCol">
      <w:rPr>
        <w:b/>
        <w:bCs/>
        <w:color w:val="FFFFFF" w:themeColor="background1"/>
      </w:rPr>
      <w:tblPr/>
      <w:tcPr>
        <w:tcBorders>
          <w:left w:val="nil"/>
          <w:right w:val="nil"/>
          <w:insideH w:val="nil"/>
          <w:insideV w:val="nil"/>
        </w:tcBorders>
        <w:shd w:val="clear" w:color="auto" w:fill="B7DDE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BEEF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EEF3" w:themeFill="accent3"/>
      </w:tcPr>
    </w:tblStylePr>
    <w:tblStylePr w:type="lastCol">
      <w:rPr>
        <w:b/>
        <w:bCs/>
        <w:color w:val="FFFFFF" w:themeColor="background1"/>
      </w:rPr>
      <w:tblPr/>
      <w:tcPr>
        <w:tcBorders>
          <w:left w:val="nil"/>
          <w:right w:val="nil"/>
          <w:insideH w:val="nil"/>
          <w:insideV w:val="nil"/>
        </w:tcBorders>
        <w:shd w:val="clear" w:color="auto" w:fill="DBEEF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CDD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CDDC" w:themeFill="accent4"/>
      </w:tcPr>
    </w:tblStylePr>
    <w:tblStylePr w:type="lastCol">
      <w:rPr>
        <w:b/>
        <w:bCs/>
        <w:color w:val="FFFFFF" w:themeColor="background1"/>
      </w:rPr>
      <w:tblPr/>
      <w:tcPr>
        <w:tcBorders>
          <w:left w:val="nil"/>
          <w:right w:val="nil"/>
          <w:insideH w:val="nil"/>
          <w:insideV w:val="nil"/>
        </w:tcBorders>
        <w:shd w:val="clear" w:color="auto" w:fill="92CDD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1859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1859B" w:themeFill="accent5"/>
      </w:tcPr>
    </w:tblStylePr>
    <w:tblStylePr w:type="lastCol">
      <w:rPr>
        <w:b/>
        <w:bCs/>
        <w:color w:val="FFFFFF" w:themeColor="background1"/>
      </w:rPr>
      <w:tblPr/>
      <w:tcPr>
        <w:tcBorders>
          <w:left w:val="nil"/>
          <w:right w:val="nil"/>
          <w:insideH w:val="nil"/>
          <w:insideV w:val="nil"/>
        </w:tcBorders>
        <w:shd w:val="clear" w:color="auto" w:fill="31859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4B8C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4B8CE" w:themeFill="accent6"/>
      </w:tcPr>
    </w:tblStylePr>
    <w:tblStylePr w:type="lastCol">
      <w:rPr>
        <w:b/>
        <w:bCs/>
        <w:color w:val="FFFFFF" w:themeColor="background1"/>
      </w:rPr>
      <w:tblPr/>
      <w:tcPr>
        <w:tcBorders>
          <w:left w:val="nil"/>
          <w:right w:val="nil"/>
          <w:insideH w:val="nil"/>
          <w:insideV w:val="nil"/>
        </w:tcBorders>
        <w:shd w:val="clear" w:color="auto" w:fill="64B8C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Colorful1">
    <w:name w:val="Table Colorful 1"/>
    <w:basedOn w:val="TableNormal"/>
    <w:uiPriority w:val="99"/>
    <w:semiHidden/>
    <w:rsid w:val="00361DEB"/>
    <w:pPr>
      <w:spacing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61DEB"/>
    <w:pPr>
      <w:spacing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61DEB"/>
    <w:pPr>
      <w:spacing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Grid">
    <w:name w:val="Table Grid"/>
    <w:basedOn w:val="TableNormal"/>
    <w:uiPriority w:val="59"/>
    <w:rsid w:val="00361DE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361DEB"/>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61DEB"/>
    <w:pPr>
      <w:spacing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61DEB"/>
    <w:pPr>
      <w:spacing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61DEB"/>
    <w:pPr>
      <w:spacing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61DEB"/>
    <w:pPr>
      <w:spacing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361DEB"/>
    <w:pPr>
      <w:spacing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361DEB"/>
    <w:pPr>
      <w:spacing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361DEB"/>
    <w:pPr>
      <w:spacing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361DEB"/>
    <w:pPr>
      <w:pBdr>
        <w:bottom w:val="single" w:sz="8" w:space="4" w:color="00728F" w:themeColor="accent1"/>
      </w:pBdr>
      <w:spacing w:after="300"/>
      <w:contextualSpacing/>
    </w:pPr>
    <w:rPr>
      <w:rFonts w:asciiTheme="majorHAnsi" w:eastAsiaTheme="majorEastAsia" w:hAnsiTheme="majorHAnsi" w:cstheme="majorBidi"/>
      <w:color w:val="67B7CE" w:themeColor="text2" w:themeShade="BF"/>
      <w:spacing w:val="5"/>
      <w:kern w:val="28"/>
      <w:sz w:val="52"/>
      <w:szCs w:val="52"/>
    </w:rPr>
  </w:style>
  <w:style w:type="character" w:customStyle="1" w:styleId="TitleChar">
    <w:name w:val="Title Char"/>
    <w:basedOn w:val="DefaultParagraphFont"/>
    <w:link w:val="Title"/>
    <w:uiPriority w:val="10"/>
    <w:rsid w:val="00361DEB"/>
    <w:rPr>
      <w:rFonts w:asciiTheme="majorHAnsi" w:eastAsiaTheme="majorEastAsia" w:hAnsiTheme="majorHAnsi" w:cstheme="majorBidi"/>
      <w:color w:val="67B7CE" w:themeColor="text2" w:themeShade="BF"/>
      <w:spacing w:val="5"/>
      <w:kern w:val="28"/>
      <w:sz w:val="52"/>
      <w:szCs w:val="52"/>
    </w:rPr>
  </w:style>
  <w:style w:type="character" w:customStyle="1" w:styleId="FigurecaptionCharChar">
    <w:name w:val="Figure caption Char Char"/>
    <w:basedOn w:val="DefaultParagraphFont"/>
    <w:link w:val="Figurecaption"/>
    <w:uiPriority w:val="10"/>
    <w:locked/>
    <w:rsid w:val="00FC3687"/>
    <w:rPr>
      <w:rFonts w:ascii="Calibri" w:hAnsi="Calibri"/>
      <w:b/>
      <w:bCs/>
      <w:color w:val="0072B9"/>
      <w:sz w:val="18"/>
      <w:szCs w:val="18"/>
    </w:rPr>
  </w:style>
  <w:style w:type="paragraph" w:customStyle="1" w:styleId="Reference">
    <w:name w:val="Reference"/>
    <w:basedOn w:val="BodyText"/>
    <w:uiPriority w:val="20"/>
    <w:qFormat/>
    <w:rsid w:val="00D24D34"/>
    <w:pPr>
      <w:spacing w:before="360" w:after="360"/>
    </w:pPr>
    <w:rPr>
      <w:noProof/>
    </w:rPr>
  </w:style>
  <w:style w:type="character" w:customStyle="1" w:styleId="BodyTextChar">
    <w:name w:val="Body Text Char"/>
    <w:basedOn w:val="DefaultParagraphFont"/>
    <w:link w:val="BodyText"/>
    <w:rsid w:val="00BA5622"/>
    <w:rPr>
      <w:rFonts w:ascii="Calibri" w:hAnsi="Calibri"/>
    </w:rPr>
  </w:style>
  <w:style w:type="paragraph" w:customStyle="1" w:styleId="Bodytext-Quote">
    <w:name w:val="Body text - Quote"/>
    <w:basedOn w:val="BodyText"/>
    <w:next w:val="BodyText"/>
    <w:qFormat/>
    <w:rsid w:val="00DF7C5F"/>
    <w:pPr>
      <w:ind w:left="567" w:right="567"/>
    </w:pPr>
  </w:style>
  <w:style w:type="paragraph" w:customStyle="1" w:styleId="FigureImagewithoutrule">
    <w:name w:val="Figure/Image without rule"/>
    <w:basedOn w:val="BodyText"/>
    <w:next w:val="BodyText"/>
    <w:uiPriority w:val="10"/>
    <w:qFormat/>
    <w:rsid w:val="002A69C4"/>
    <w:pPr>
      <w:spacing w:after="360"/>
    </w:pPr>
    <w:rPr>
      <w:noProof/>
      <w:lang w:eastAsia="en-AU"/>
    </w:rPr>
  </w:style>
  <w:style w:type="paragraph" w:customStyle="1" w:styleId="DBCDElogo">
    <w:name w:val="DBCDE logo"/>
    <w:basedOn w:val="Normal"/>
    <w:next w:val="BodyText"/>
    <w:semiHidden/>
    <w:qFormat/>
    <w:rsid w:val="00665016"/>
    <w:pPr>
      <w:jc w:val="center"/>
    </w:pPr>
    <w:rPr>
      <w:noProof/>
      <w:lang w:eastAsia="en-AU"/>
    </w:rPr>
  </w:style>
  <w:style w:type="character" w:customStyle="1" w:styleId="Instructionaltext">
    <w:name w:val="Instructional text"/>
    <w:basedOn w:val="DefaultParagraphFont"/>
    <w:uiPriority w:val="59"/>
    <w:qFormat/>
    <w:rsid w:val="003600D8"/>
    <w:rPr>
      <w:i/>
      <w:color w:val="0066FF"/>
    </w:rPr>
  </w:style>
  <w:style w:type="paragraph" w:customStyle="1" w:styleId="Instructionaltext-Numberedlist">
    <w:name w:val="Instructional text - Numbered list"/>
    <w:basedOn w:val="Normal"/>
    <w:uiPriority w:val="59"/>
    <w:qFormat/>
    <w:rsid w:val="003C6FB6"/>
    <w:pPr>
      <w:numPr>
        <w:numId w:val="20"/>
      </w:numPr>
      <w:spacing w:after="240"/>
    </w:pPr>
    <w:rPr>
      <w:i/>
      <w:color w:val="0066FF"/>
    </w:rPr>
  </w:style>
  <w:style w:type="character" w:customStyle="1" w:styleId="Exampletext">
    <w:name w:val="Example text"/>
    <w:basedOn w:val="DefaultParagraphFont"/>
    <w:uiPriority w:val="60"/>
    <w:qFormat/>
    <w:rsid w:val="00135456"/>
    <w:rPr>
      <w:color w:val="CC0000"/>
    </w:rPr>
  </w:style>
  <w:style w:type="character" w:customStyle="1" w:styleId="Heading2Char">
    <w:name w:val="Heading 2 Char"/>
    <w:basedOn w:val="DefaultParagraphFont"/>
    <w:link w:val="Heading2"/>
    <w:uiPriority w:val="9"/>
    <w:rsid w:val="00041250"/>
    <w:rPr>
      <w:rFonts w:ascii="Cambria" w:eastAsiaTheme="majorEastAsia" w:hAnsi="Cambria" w:cstheme="majorBidi"/>
      <w:color w:val="0072B9"/>
      <w:sz w:val="26"/>
      <w:szCs w:val="26"/>
    </w:rPr>
  </w:style>
  <w:style w:type="character" w:customStyle="1" w:styleId="FooterChar">
    <w:name w:val="Footer Char"/>
    <w:basedOn w:val="DefaultParagraphFont"/>
    <w:link w:val="Footer"/>
    <w:rsid w:val="00FC3687"/>
    <w:rPr>
      <w:rFonts w:ascii="Calibri" w:hAnsi="Calibri"/>
      <w:color w:val="FFFFFF" w:themeColor="background1"/>
      <w:sz w:val="20"/>
    </w:rPr>
  </w:style>
  <w:style w:type="paragraph" w:customStyle="1" w:styleId="Documenttype">
    <w:name w:val="Document type"/>
    <w:basedOn w:val="Normal"/>
    <w:uiPriority w:val="17"/>
    <w:qFormat/>
    <w:rsid w:val="008E0426"/>
    <w:pPr>
      <w:spacing w:before="120"/>
      <w:jc w:val="right"/>
    </w:pPr>
    <w:rPr>
      <w:rFonts w:ascii="Cambria" w:eastAsia="Times New Roman" w:hAnsi="Cambria" w:cs="Times New Roman"/>
      <w:b/>
      <w:color w:val="00728F"/>
      <w:kern w:val="28"/>
      <w:sz w:val="24"/>
      <w:szCs w:val="52"/>
    </w:rPr>
  </w:style>
  <w:style w:type="character" w:customStyle="1" w:styleId="HeaderChar">
    <w:name w:val="Header Char"/>
    <w:basedOn w:val="DefaultParagraphFont"/>
    <w:link w:val="Header"/>
    <w:rsid w:val="00FC3687"/>
    <w:rPr>
      <w:rFonts w:ascii="Calibri" w:hAnsi="Calibri"/>
      <w:color w:val="0072C3"/>
      <w:sz w:val="20"/>
    </w:rPr>
  </w:style>
  <w:style w:type="paragraph" w:customStyle="1" w:styleId="DotPoint2">
    <w:name w:val="Dot Point 2"/>
    <w:basedOn w:val="ListParagraph"/>
    <w:link w:val="DotPoint2Char"/>
    <w:qFormat/>
    <w:rsid w:val="00C1340F"/>
    <w:pPr>
      <w:spacing w:before="0" w:after="120"/>
      <w:ind w:left="1080" w:hanging="360"/>
      <w:contextualSpacing w:val="0"/>
    </w:pPr>
  </w:style>
  <w:style w:type="paragraph" w:customStyle="1" w:styleId="DotPoint3">
    <w:name w:val="Dot Point 3"/>
    <w:basedOn w:val="ListParagraph"/>
    <w:qFormat/>
    <w:rsid w:val="00C1340F"/>
    <w:pPr>
      <w:tabs>
        <w:tab w:val="num" w:pos="360"/>
      </w:tabs>
      <w:spacing w:after="120"/>
      <w:ind w:left="1800" w:hanging="180"/>
      <w:contextualSpacing w:val="0"/>
    </w:pPr>
    <w:rPr>
      <w:rFonts w:asciiTheme="minorHAnsi" w:eastAsia="Times New Roman" w:hAnsiTheme="minorHAnsi" w:cstheme="minorHAnsi"/>
    </w:rPr>
  </w:style>
  <w:style w:type="character" w:customStyle="1" w:styleId="ListParagraphChar">
    <w:name w:val="List Paragraph Char"/>
    <w:basedOn w:val="DefaultParagraphFont"/>
    <w:link w:val="ListParagraph"/>
    <w:uiPriority w:val="34"/>
    <w:rsid w:val="00C1340F"/>
    <w:rPr>
      <w:rFonts w:ascii="Calibri" w:hAnsi="Calibri"/>
    </w:rPr>
  </w:style>
  <w:style w:type="character" w:customStyle="1" w:styleId="DotPoint2Char">
    <w:name w:val="Dot Point 2 Char"/>
    <w:basedOn w:val="ListParagraphChar"/>
    <w:link w:val="DotPoint2"/>
    <w:rsid w:val="00C1340F"/>
    <w:rPr>
      <w:rFonts w:ascii="Calibri" w:hAnsi="Calibri"/>
    </w:rPr>
  </w:style>
  <w:style w:type="character" w:customStyle="1" w:styleId="CommentTextChar">
    <w:name w:val="Comment Text Char"/>
    <w:basedOn w:val="DefaultParagraphFont"/>
    <w:link w:val="CommentText"/>
    <w:uiPriority w:val="99"/>
    <w:semiHidden/>
    <w:rsid w:val="00266485"/>
    <w:rPr>
      <w:rFonts w:ascii="Calibri" w:hAnsi="Calibri"/>
      <w:sz w:val="20"/>
      <w:szCs w:val="20"/>
    </w:rPr>
  </w:style>
  <w:style w:type="character" w:customStyle="1" w:styleId="FootnoteTextChar">
    <w:name w:val="Footnote Text Char"/>
    <w:basedOn w:val="DefaultParagraphFont"/>
    <w:link w:val="FootnoteText"/>
    <w:uiPriority w:val="99"/>
    <w:rsid w:val="00E53A0E"/>
    <w:rPr>
      <w:rFonts w:ascii="Calibri" w:hAnsi="Calibri"/>
      <w:sz w:val="20"/>
      <w:szCs w:val="20"/>
    </w:rPr>
  </w:style>
  <w:style w:type="paragraph" w:styleId="Revision">
    <w:name w:val="Revision"/>
    <w:hidden/>
    <w:uiPriority w:val="99"/>
    <w:semiHidden/>
    <w:rsid w:val="002424AB"/>
    <w:pPr>
      <w:spacing w:before="0" w:after="0"/>
      <w:ind w:left="0" w:firstLine="0"/>
    </w:pPr>
    <w:rPr>
      <w:rFonts w:ascii="Calibri" w:hAnsi="Calibri"/>
    </w:rPr>
  </w:style>
  <w:style w:type="paragraph" w:customStyle="1" w:styleId="copyrighttextStyles">
    <w:name w:val="copyright text (Styles)"/>
    <w:basedOn w:val="Normal"/>
    <w:next w:val="Normal"/>
    <w:uiPriority w:val="99"/>
    <w:rsid w:val="008A135A"/>
    <w:pPr>
      <w:widowControl w:val="0"/>
      <w:suppressAutoHyphens/>
      <w:autoSpaceDE w:val="0"/>
      <w:autoSpaceDN w:val="0"/>
      <w:adjustRightInd w:val="0"/>
      <w:spacing w:before="170" w:line="270" w:lineRule="atLeast"/>
      <w:textAlignment w:val="center"/>
    </w:pPr>
    <w:rPr>
      <w:rFonts w:ascii="Arial" w:eastAsia="Times New Roman" w:hAnsi="Arial" w:cs="TradeGothicLTStd-Light"/>
      <w:color w:val="000000"/>
      <w:sz w:val="16"/>
      <w:szCs w:val="16"/>
    </w:rPr>
  </w:style>
  <w:style w:type="paragraph" w:customStyle="1" w:styleId="copyrightHeading2Styles">
    <w:name w:val="copyrightHeading 2 (Styles)"/>
    <w:basedOn w:val="Normal"/>
    <w:next w:val="Normal"/>
    <w:uiPriority w:val="99"/>
    <w:rsid w:val="00FC3687"/>
    <w:pPr>
      <w:keepNext/>
      <w:widowControl w:val="0"/>
      <w:suppressAutoHyphens/>
      <w:autoSpaceDE w:val="0"/>
      <w:autoSpaceDN w:val="0"/>
      <w:adjustRightInd w:val="0"/>
      <w:spacing w:before="454" w:line="320" w:lineRule="atLeast"/>
      <w:textAlignment w:val="center"/>
    </w:pPr>
    <w:rPr>
      <w:rFonts w:ascii="Arial" w:eastAsia="Times New Roman" w:hAnsi="Arial" w:cs="Geogrotesque-Light"/>
      <w:color w:val="0072B9"/>
      <w:sz w:val="33"/>
      <w:szCs w:val="33"/>
    </w:rPr>
  </w:style>
  <w:style w:type="character" w:customStyle="1" w:styleId="Heading4Char">
    <w:name w:val="Heading 4 Char"/>
    <w:basedOn w:val="DefaultParagraphFont"/>
    <w:link w:val="Heading4"/>
    <w:uiPriority w:val="9"/>
    <w:rsid w:val="00010C91"/>
    <w:rPr>
      <w:rFonts w:ascii="Cambria" w:eastAsiaTheme="majorEastAsia" w:hAnsi="Cambria" w:cstheme="majorBidi"/>
      <w:b/>
      <w:bCs/>
      <w:iCs/>
    </w:rPr>
  </w:style>
  <w:style w:type="paragraph" w:customStyle="1" w:styleId="Boxsub-headingQUESTION">
    <w:name w:val="Box sub-heading QUESTION"/>
    <w:basedOn w:val="Boxsub-heading"/>
    <w:next w:val="BoxtextQUESTION"/>
    <w:qFormat/>
    <w:rsid w:val="00DC2BD3"/>
    <w:pPr>
      <w:pBdr>
        <w:top w:val="single" w:sz="4" w:space="8" w:color="005491"/>
        <w:left w:val="single" w:sz="4" w:space="8" w:color="005491"/>
        <w:bottom w:val="single" w:sz="4" w:space="8" w:color="005491"/>
        <w:right w:val="single" w:sz="4" w:space="0" w:color="005491"/>
      </w:pBdr>
      <w:shd w:val="clear" w:color="auto" w:fill="005491"/>
      <w:spacing w:before="0" w:after="0"/>
    </w:pPr>
    <w:rPr>
      <w:color w:val="FFFFFF" w:themeColor="background1"/>
    </w:rPr>
  </w:style>
  <w:style w:type="paragraph" w:customStyle="1" w:styleId="BoxtextQUESTION">
    <w:name w:val="Box text QUESTION"/>
    <w:basedOn w:val="Boxtext"/>
    <w:qFormat/>
    <w:rsid w:val="00DC2BD3"/>
    <w:pPr>
      <w:pBdr>
        <w:top w:val="single" w:sz="4" w:space="8" w:color="808080" w:themeColor="background1" w:themeShade="80"/>
        <w:left w:val="single" w:sz="4" w:space="8" w:color="808080" w:themeColor="background1" w:themeShade="80"/>
        <w:bottom w:val="single" w:sz="4" w:space="8" w:color="808080" w:themeColor="background1" w:themeShade="80"/>
        <w:right w:val="single" w:sz="4" w:space="0" w:color="808080" w:themeColor="background1" w:themeShade="80"/>
      </w:pBdr>
      <w:shd w:val="clear" w:color="auto" w:fill="F3F5F4"/>
      <w:spacing w:before="0"/>
    </w:pPr>
  </w:style>
  <w:style w:type="paragraph" w:customStyle="1" w:styleId="BoxtextQUESTIONITALICS">
    <w:name w:val="Box text QUESTION ITALICS"/>
    <w:basedOn w:val="BoxtextQUESTION"/>
    <w:qFormat/>
    <w:rsid w:val="00DC2BD3"/>
    <w:rPr>
      <w:b/>
      <w:i/>
    </w:rPr>
  </w:style>
  <w:style w:type="character" w:customStyle="1" w:styleId="Heading1Char">
    <w:name w:val="Heading 1 Char"/>
    <w:basedOn w:val="DefaultParagraphFont"/>
    <w:link w:val="Heading1"/>
    <w:uiPriority w:val="9"/>
    <w:rsid w:val="009A07F7"/>
    <w:rPr>
      <w:rFonts w:ascii="Cambria" w:eastAsiaTheme="majorEastAsia" w:hAnsi="Cambria" w:cstheme="majorBidi"/>
      <w:bCs/>
      <w:color w:val="0072B9"/>
      <w:sz w:val="36"/>
      <w:szCs w:val="28"/>
    </w:rPr>
  </w:style>
  <w:style w:type="character" w:customStyle="1" w:styleId="Heading3Char">
    <w:name w:val="Heading 3 Char"/>
    <w:basedOn w:val="DefaultParagraphFont"/>
    <w:link w:val="Heading3"/>
    <w:uiPriority w:val="9"/>
    <w:rsid w:val="009A07F7"/>
    <w:rPr>
      <w:rFonts w:ascii="Cambria" w:eastAsiaTheme="majorEastAsia" w:hAnsi="Cambria" w:cstheme="majorBidi"/>
      <w:b/>
      <w:bCs/>
      <w:color w:val="0072B9"/>
    </w:rPr>
  </w:style>
  <w:style w:type="character" w:customStyle="1" w:styleId="TOC1Char">
    <w:name w:val="TOC 1 Char"/>
    <w:basedOn w:val="DefaultParagraphFont"/>
    <w:link w:val="TOC1"/>
    <w:uiPriority w:val="39"/>
    <w:rsid w:val="00EE3AB0"/>
    <w:rPr>
      <w:rFonts w:ascii="Calibri" w:hAnsi="Calibri"/>
      <w:noProof/>
      <w:color w:val="0072B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5590">
      <w:bodyDiv w:val="1"/>
      <w:marLeft w:val="0"/>
      <w:marRight w:val="0"/>
      <w:marTop w:val="0"/>
      <w:marBottom w:val="0"/>
      <w:divBdr>
        <w:top w:val="none" w:sz="0" w:space="0" w:color="auto"/>
        <w:left w:val="none" w:sz="0" w:space="0" w:color="auto"/>
        <w:bottom w:val="none" w:sz="0" w:space="0" w:color="auto"/>
        <w:right w:val="none" w:sz="0" w:space="0" w:color="auto"/>
      </w:divBdr>
    </w:div>
    <w:div w:id="89594517">
      <w:bodyDiv w:val="1"/>
      <w:marLeft w:val="0"/>
      <w:marRight w:val="0"/>
      <w:marTop w:val="0"/>
      <w:marBottom w:val="0"/>
      <w:divBdr>
        <w:top w:val="none" w:sz="0" w:space="0" w:color="auto"/>
        <w:left w:val="none" w:sz="0" w:space="0" w:color="auto"/>
        <w:bottom w:val="none" w:sz="0" w:space="0" w:color="auto"/>
        <w:right w:val="none" w:sz="0" w:space="0" w:color="auto"/>
      </w:divBdr>
      <w:divsChild>
        <w:div w:id="1187869197">
          <w:marLeft w:val="0"/>
          <w:marRight w:val="0"/>
          <w:marTop w:val="0"/>
          <w:marBottom w:val="0"/>
          <w:divBdr>
            <w:top w:val="none" w:sz="0" w:space="0" w:color="auto"/>
            <w:left w:val="none" w:sz="0" w:space="0" w:color="auto"/>
            <w:bottom w:val="none" w:sz="0" w:space="0" w:color="auto"/>
            <w:right w:val="none" w:sz="0" w:space="0" w:color="auto"/>
          </w:divBdr>
          <w:divsChild>
            <w:div w:id="302151897">
              <w:marLeft w:val="0"/>
              <w:marRight w:val="0"/>
              <w:marTop w:val="0"/>
              <w:marBottom w:val="0"/>
              <w:divBdr>
                <w:top w:val="none" w:sz="0" w:space="0" w:color="auto"/>
                <w:left w:val="none" w:sz="0" w:space="0" w:color="auto"/>
                <w:bottom w:val="none" w:sz="0" w:space="0" w:color="auto"/>
                <w:right w:val="none" w:sz="0" w:space="0" w:color="auto"/>
              </w:divBdr>
              <w:divsChild>
                <w:div w:id="1881475353">
                  <w:marLeft w:val="0"/>
                  <w:marRight w:val="0"/>
                  <w:marTop w:val="0"/>
                  <w:marBottom w:val="0"/>
                  <w:divBdr>
                    <w:top w:val="none" w:sz="0" w:space="0" w:color="auto"/>
                    <w:left w:val="none" w:sz="0" w:space="0" w:color="auto"/>
                    <w:bottom w:val="none" w:sz="0" w:space="0" w:color="auto"/>
                    <w:right w:val="none" w:sz="0" w:space="0" w:color="auto"/>
                  </w:divBdr>
                  <w:divsChild>
                    <w:div w:id="11349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2892">
      <w:bodyDiv w:val="1"/>
      <w:marLeft w:val="0"/>
      <w:marRight w:val="0"/>
      <w:marTop w:val="0"/>
      <w:marBottom w:val="0"/>
      <w:divBdr>
        <w:top w:val="none" w:sz="0" w:space="0" w:color="auto"/>
        <w:left w:val="none" w:sz="0" w:space="0" w:color="auto"/>
        <w:bottom w:val="none" w:sz="0" w:space="0" w:color="auto"/>
        <w:right w:val="none" w:sz="0" w:space="0" w:color="auto"/>
      </w:divBdr>
    </w:div>
    <w:div w:id="548110304">
      <w:bodyDiv w:val="1"/>
      <w:marLeft w:val="0"/>
      <w:marRight w:val="0"/>
      <w:marTop w:val="0"/>
      <w:marBottom w:val="0"/>
      <w:divBdr>
        <w:top w:val="none" w:sz="0" w:space="0" w:color="auto"/>
        <w:left w:val="none" w:sz="0" w:space="0" w:color="auto"/>
        <w:bottom w:val="none" w:sz="0" w:space="0" w:color="auto"/>
        <w:right w:val="none" w:sz="0" w:space="0" w:color="auto"/>
      </w:divBdr>
      <w:divsChild>
        <w:div w:id="14311038">
          <w:marLeft w:val="0"/>
          <w:marRight w:val="0"/>
          <w:marTop w:val="0"/>
          <w:marBottom w:val="0"/>
          <w:divBdr>
            <w:top w:val="none" w:sz="0" w:space="0" w:color="auto"/>
            <w:left w:val="none" w:sz="0" w:space="0" w:color="auto"/>
            <w:bottom w:val="none" w:sz="0" w:space="0" w:color="auto"/>
            <w:right w:val="none" w:sz="0" w:space="0" w:color="auto"/>
          </w:divBdr>
          <w:divsChild>
            <w:div w:id="1451436225">
              <w:marLeft w:val="0"/>
              <w:marRight w:val="0"/>
              <w:marTop w:val="0"/>
              <w:marBottom w:val="0"/>
              <w:divBdr>
                <w:top w:val="none" w:sz="0" w:space="0" w:color="auto"/>
                <w:left w:val="none" w:sz="0" w:space="0" w:color="auto"/>
                <w:bottom w:val="none" w:sz="0" w:space="0" w:color="auto"/>
                <w:right w:val="none" w:sz="0" w:space="0" w:color="auto"/>
              </w:divBdr>
              <w:divsChild>
                <w:div w:id="526673042">
                  <w:marLeft w:val="0"/>
                  <w:marRight w:val="0"/>
                  <w:marTop w:val="0"/>
                  <w:marBottom w:val="0"/>
                  <w:divBdr>
                    <w:top w:val="none" w:sz="0" w:space="0" w:color="auto"/>
                    <w:left w:val="none" w:sz="0" w:space="0" w:color="auto"/>
                    <w:bottom w:val="none" w:sz="0" w:space="0" w:color="auto"/>
                    <w:right w:val="none" w:sz="0" w:space="0" w:color="auto"/>
                  </w:divBdr>
                  <w:divsChild>
                    <w:div w:id="777721752">
                      <w:marLeft w:val="0"/>
                      <w:marRight w:val="0"/>
                      <w:marTop w:val="0"/>
                      <w:marBottom w:val="0"/>
                      <w:divBdr>
                        <w:top w:val="none" w:sz="0" w:space="0" w:color="auto"/>
                        <w:left w:val="none" w:sz="0" w:space="0" w:color="auto"/>
                        <w:bottom w:val="none" w:sz="0" w:space="0" w:color="auto"/>
                        <w:right w:val="none" w:sz="0" w:space="0" w:color="auto"/>
                      </w:divBdr>
                      <w:divsChild>
                        <w:div w:id="1351882228">
                          <w:marLeft w:val="0"/>
                          <w:marRight w:val="0"/>
                          <w:marTop w:val="0"/>
                          <w:marBottom w:val="0"/>
                          <w:divBdr>
                            <w:top w:val="none" w:sz="0" w:space="0" w:color="auto"/>
                            <w:left w:val="none" w:sz="0" w:space="0" w:color="auto"/>
                            <w:bottom w:val="none" w:sz="0" w:space="0" w:color="auto"/>
                            <w:right w:val="none" w:sz="0" w:space="0" w:color="auto"/>
                          </w:divBdr>
                          <w:divsChild>
                            <w:div w:id="9616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286324">
      <w:bodyDiv w:val="1"/>
      <w:marLeft w:val="0"/>
      <w:marRight w:val="0"/>
      <w:marTop w:val="0"/>
      <w:marBottom w:val="0"/>
      <w:divBdr>
        <w:top w:val="none" w:sz="0" w:space="0" w:color="auto"/>
        <w:left w:val="none" w:sz="0" w:space="0" w:color="auto"/>
        <w:bottom w:val="none" w:sz="0" w:space="0" w:color="auto"/>
        <w:right w:val="none" w:sz="0" w:space="0" w:color="auto"/>
      </w:divBdr>
    </w:div>
    <w:div w:id="647515969">
      <w:bodyDiv w:val="1"/>
      <w:marLeft w:val="0"/>
      <w:marRight w:val="0"/>
      <w:marTop w:val="0"/>
      <w:marBottom w:val="0"/>
      <w:divBdr>
        <w:top w:val="none" w:sz="0" w:space="0" w:color="auto"/>
        <w:left w:val="none" w:sz="0" w:space="0" w:color="auto"/>
        <w:bottom w:val="none" w:sz="0" w:space="0" w:color="auto"/>
        <w:right w:val="none" w:sz="0" w:space="0" w:color="auto"/>
      </w:divBdr>
    </w:div>
    <w:div w:id="679744597">
      <w:bodyDiv w:val="1"/>
      <w:marLeft w:val="0"/>
      <w:marRight w:val="0"/>
      <w:marTop w:val="0"/>
      <w:marBottom w:val="0"/>
      <w:divBdr>
        <w:top w:val="none" w:sz="0" w:space="0" w:color="auto"/>
        <w:left w:val="none" w:sz="0" w:space="0" w:color="auto"/>
        <w:bottom w:val="none" w:sz="0" w:space="0" w:color="auto"/>
        <w:right w:val="none" w:sz="0" w:space="0" w:color="auto"/>
      </w:divBdr>
    </w:div>
    <w:div w:id="699862380">
      <w:bodyDiv w:val="1"/>
      <w:marLeft w:val="0"/>
      <w:marRight w:val="0"/>
      <w:marTop w:val="0"/>
      <w:marBottom w:val="0"/>
      <w:divBdr>
        <w:top w:val="none" w:sz="0" w:space="0" w:color="auto"/>
        <w:left w:val="none" w:sz="0" w:space="0" w:color="auto"/>
        <w:bottom w:val="none" w:sz="0" w:space="0" w:color="auto"/>
        <w:right w:val="none" w:sz="0" w:space="0" w:color="auto"/>
      </w:divBdr>
      <w:divsChild>
        <w:div w:id="1141776224">
          <w:marLeft w:val="0"/>
          <w:marRight w:val="0"/>
          <w:marTop w:val="0"/>
          <w:marBottom w:val="0"/>
          <w:divBdr>
            <w:top w:val="none" w:sz="0" w:space="0" w:color="auto"/>
            <w:left w:val="none" w:sz="0" w:space="0" w:color="auto"/>
            <w:bottom w:val="none" w:sz="0" w:space="0" w:color="auto"/>
            <w:right w:val="none" w:sz="0" w:space="0" w:color="auto"/>
          </w:divBdr>
          <w:divsChild>
            <w:div w:id="213927279">
              <w:marLeft w:val="0"/>
              <w:marRight w:val="0"/>
              <w:marTop w:val="0"/>
              <w:marBottom w:val="0"/>
              <w:divBdr>
                <w:top w:val="none" w:sz="0" w:space="0" w:color="auto"/>
                <w:left w:val="none" w:sz="0" w:space="0" w:color="auto"/>
                <w:bottom w:val="none" w:sz="0" w:space="0" w:color="auto"/>
                <w:right w:val="none" w:sz="0" w:space="0" w:color="auto"/>
              </w:divBdr>
              <w:divsChild>
                <w:div w:id="11347651">
                  <w:marLeft w:val="0"/>
                  <w:marRight w:val="0"/>
                  <w:marTop w:val="0"/>
                  <w:marBottom w:val="0"/>
                  <w:divBdr>
                    <w:top w:val="none" w:sz="0" w:space="0" w:color="auto"/>
                    <w:left w:val="none" w:sz="0" w:space="0" w:color="auto"/>
                    <w:bottom w:val="none" w:sz="0" w:space="0" w:color="auto"/>
                    <w:right w:val="none" w:sz="0" w:space="0" w:color="auto"/>
                  </w:divBdr>
                  <w:divsChild>
                    <w:div w:id="1558467339">
                      <w:marLeft w:val="0"/>
                      <w:marRight w:val="0"/>
                      <w:marTop w:val="0"/>
                      <w:marBottom w:val="0"/>
                      <w:divBdr>
                        <w:top w:val="none" w:sz="0" w:space="0" w:color="auto"/>
                        <w:left w:val="none" w:sz="0" w:space="0" w:color="auto"/>
                        <w:bottom w:val="none" w:sz="0" w:space="0" w:color="auto"/>
                        <w:right w:val="none" w:sz="0" w:space="0" w:color="auto"/>
                      </w:divBdr>
                      <w:divsChild>
                        <w:div w:id="1342970264">
                          <w:marLeft w:val="0"/>
                          <w:marRight w:val="120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524107">
      <w:bodyDiv w:val="1"/>
      <w:marLeft w:val="0"/>
      <w:marRight w:val="0"/>
      <w:marTop w:val="0"/>
      <w:marBottom w:val="0"/>
      <w:divBdr>
        <w:top w:val="none" w:sz="0" w:space="0" w:color="auto"/>
        <w:left w:val="none" w:sz="0" w:space="0" w:color="auto"/>
        <w:bottom w:val="none" w:sz="0" w:space="0" w:color="auto"/>
        <w:right w:val="none" w:sz="0" w:space="0" w:color="auto"/>
      </w:divBdr>
      <w:divsChild>
        <w:div w:id="838736492">
          <w:marLeft w:val="0"/>
          <w:marRight w:val="0"/>
          <w:marTop w:val="0"/>
          <w:marBottom w:val="0"/>
          <w:divBdr>
            <w:top w:val="none" w:sz="0" w:space="0" w:color="auto"/>
            <w:left w:val="none" w:sz="0" w:space="0" w:color="auto"/>
            <w:bottom w:val="none" w:sz="0" w:space="0" w:color="auto"/>
            <w:right w:val="none" w:sz="0" w:space="0" w:color="auto"/>
          </w:divBdr>
          <w:divsChild>
            <w:div w:id="693652630">
              <w:marLeft w:val="0"/>
              <w:marRight w:val="0"/>
              <w:marTop w:val="0"/>
              <w:marBottom w:val="0"/>
              <w:divBdr>
                <w:top w:val="none" w:sz="0" w:space="0" w:color="auto"/>
                <w:left w:val="none" w:sz="0" w:space="0" w:color="auto"/>
                <w:bottom w:val="none" w:sz="0" w:space="0" w:color="auto"/>
                <w:right w:val="none" w:sz="0" w:space="0" w:color="auto"/>
              </w:divBdr>
              <w:divsChild>
                <w:div w:id="507064688">
                  <w:marLeft w:val="0"/>
                  <w:marRight w:val="0"/>
                  <w:marTop w:val="0"/>
                  <w:marBottom w:val="0"/>
                  <w:divBdr>
                    <w:top w:val="none" w:sz="0" w:space="0" w:color="auto"/>
                    <w:left w:val="none" w:sz="0" w:space="0" w:color="auto"/>
                    <w:bottom w:val="none" w:sz="0" w:space="0" w:color="auto"/>
                    <w:right w:val="none" w:sz="0" w:space="0" w:color="auto"/>
                  </w:divBdr>
                  <w:divsChild>
                    <w:div w:id="167600973">
                      <w:marLeft w:val="0"/>
                      <w:marRight w:val="0"/>
                      <w:marTop w:val="45"/>
                      <w:marBottom w:val="0"/>
                      <w:divBdr>
                        <w:top w:val="none" w:sz="0" w:space="0" w:color="auto"/>
                        <w:left w:val="none" w:sz="0" w:space="0" w:color="auto"/>
                        <w:bottom w:val="none" w:sz="0" w:space="0" w:color="auto"/>
                        <w:right w:val="none" w:sz="0" w:space="0" w:color="auto"/>
                      </w:divBdr>
                      <w:divsChild>
                        <w:div w:id="1436441587">
                          <w:marLeft w:val="0"/>
                          <w:marRight w:val="0"/>
                          <w:marTop w:val="0"/>
                          <w:marBottom w:val="0"/>
                          <w:divBdr>
                            <w:top w:val="none" w:sz="0" w:space="0" w:color="auto"/>
                            <w:left w:val="none" w:sz="0" w:space="0" w:color="auto"/>
                            <w:bottom w:val="none" w:sz="0" w:space="0" w:color="auto"/>
                            <w:right w:val="none" w:sz="0" w:space="0" w:color="auto"/>
                          </w:divBdr>
                          <w:divsChild>
                            <w:div w:id="495267385">
                              <w:marLeft w:val="2070"/>
                              <w:marRight w:val="3810"/>
                              <w:marTop w:val="0"/>
                              <w:marBottom w:val="0"/>
                              <w:divBdr>
                                <w:top w:val="none" w:sz="0" w:space="0" w:color="auto"/>
                                <w:left w:val="none" w:sz="0" w:space="0" w:color="auto"/>
                                <w:bottom w:val="none" w:sz="0" w:space="0" w:color="auto"/>
                                <w:right w:val="none" w:sz="0" w:space="0" w:color="auto"/>
                              </w:divBdr>
                              <w:divsChild>
                                <w:div w:id="1260916424">
                                  <w:marLeft w:val="0"/>
                                  <w:marRight w:val="0"/>
                                  <w:marTop w:val="0"/>
                                  <w:marBottom w:val="0"/>
                                  <w:divBdr>
                                    <w:top w:val="none" w:sz="0" w:space="0" w:color="auto"/>
                                    <w:left w:val="none" w:sz="0" w:space="0" w:color="auto"/>
                                    <w:bottom w:val="none" w:sz="0" w:space="0" w:color="auto"/>
                                    <w:right w:val="none" w:sz="0" w:space="0" w:color="auto"/>
                                  </w:divBdr>
                                  <w:divsChild>
                                    <w:div w:id="808790551">
                                      <w:marLeft w:val="0"/>
                                      <w:marRight w:val="0"/>
                                      <w:marTop w:val="0"/>
                                      <w:marBottom w:val="0"/>
                                      <w:divBdr>
                                        <w:top w:val="none" w:sz="0" w:space="0" w:color="auto"/>
                                        <w:left w:val="none" w:sz="0" w:space="0" w:color="auto"/>
                                        <w:bottom w:val="none" w:sz="0" w:space="0" w:color="auto"/>
                                        <w:right w:val="none" w:sz="0" w:space="0" w:color="auto"/>
                                      </w:divBdr>
                                      <w:divsChild>
                                        <w:div w:id="1401051070">
                                          <w:marLeft w:val="0"/>
                                          <w:marRight w:val="0"/>
                                          <w:marTop w:val="0"/>
                                          <w:marBottom w:val="0"/>
                                          <w:divBdr>
                                            <w:top w:val="none" w:sz="0" w:space="0" w:color="auto"/>
                                            <w:left w:val="none" w:sz="0" w:space="0" w:color="auto"/>
                                            <w:bottom w:val="none" w:sz="0" w:space="0" w:color="auto"/>
                                            <w:right w:val="none" w:sz="0" w:space="0" w:color="auto"/>
                                          </w:divBdr>
                                          <w:divsChild>
                                            <w:div w:id="15161285">
                                              <w:marLeft w:val="0"/>
                                              <w:marRight w:val="0"/>
                                              <w:marTop w:val="0"/>
                                              <w:marBottom w:val="0"/>
                                              <w:divBdr>
                                                <w:top w:val="none" w:sz="0" w:space="0" w:color="auto"/>
                                                <w:left w:val="none" w:sz="0" w:space="0" w:color="auto"/>
                                                <w:bottom w:val="none" w:sz="0" w:space="0" w:color="auto"/>
                                                <w:right w:val="none" w:sz="0" w:space="0" w:color="auto"/>
                                              </w:divBdr>
                                              <w:divsChild>
                                                <w:div w:id="364524701">
                                                  <w:marLeft w:val="0"/>
                                                  <w:marRight w:val="0"/>
                                                  <w:marTop w:val="0"/>
                                                  <w:marBottom w:val="0"/>
                                                  <w:divBdr>
                                                    <w:top w:val="none" w:sz="0" w:space="0" w:color="auto"/>
                                                    <w:left w:val="none" w:sz="0" w:space="0" w:color="auto"/>
                                                    <w:bottom w:val="none" w:sz="0" w:space="0" w:color="auto"/>
                                                    <w:right w:val="none" w:sz="0" w:space="0" w:color="auto"/>
                                                  </w:divBdr>
                                                  <w:divsChild>
                                                    <w:div w:id="1299070540">
                                                      <w:marLeft w:val="0"/>
                                                      <w:marRight w:val="0"/>
                                                      <w:marTop w:val="0"/>
                                                      <w:marBottom w:val="0"/>
                                                      <w:divBdr>
                                                        <w:top w:val="none" w:sz="0" w:space="0" w:color="auto"/>
                                                        <w:left w:val="none" w:sz="0" w:space="0" w:color="auto"/>
                                                        <w:bottom w:val="none" w:sz="0" w:space="0" w:color="auto"/>
                                                        <w:right w:val="none" w:sz="0" w:space="0" w:color="auto"/>
                                                      </w:divBdr>
                                                      <w:divsChild>
                                                        <w:div w:id="1895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5629134">
      <w:bodyDiv w:val="1"/>
      <w:marLeft w:val="0"/>
      <w:marRight w:val="0"/>
      <w:marTop w:val="0"/>
      <w:marBottom w:val="0"/>
      <w:divBdr>
        <w:top w:val="none" w:sz="0" w:space="0" w:color="auto"/>
        <w:left w:val="none" w:sz="0" w:space="0" w:color="auto"/>
        <w:bottom w:val="none" w:sz="0" w:space="0" w:color="auto"/>
        <w:right w:val="none" w:sz="0" w:space="0" w:color="auto"/>
      </w:divBdr>
      <w:divsChild>
        <w:div w:id="73627811">
          <w:marLeft w:val="0"/>
          <w:marRight w:val="0"/>
          <w:marTop w:val="0"/>
          <w:marBottom w:val="0"/>
          <w:divBdr>
            <w:top w:val="none" w:sz="0" w:space="0" w:color="auto"/>
            <w:left w:val="none" w:sz="0" w:space="0" w:color="auto"/>
            <w:bottom w:val="none" w:sz="0" w:space="0" w:color="auto"/>
            <w:right w:val="none" w:sz="0" w:space="0" w:color="auto"/>
          </w:divBdr>
          <w:divsChild>
            <w:div w:id="1238831155">
              <w:marLeft w:val="0"/>
              <w:marRight w:val="0"/>
              <w:marTop w:val="0"/>
              <w:marBottom w:val="0"/>
              <w:divBdr>
                <w:top w:val="none" w:sz="0" w:space="0" w:color="auto"/>
                <w:left w:val="none" w:sz="0" w:space="0" w:color="auto"/>
                <w:bottom w:val="none" w:sz="0" w:space="0" w:color="auto"/>
                <w:right w:val="none" w:sz="0" w:space="0" w:color="auto"/>
              </w:divBdr>
              <w:divsChild>
                <w:div w:id="346566488">
                  <w:marLeft w:val="0"/>
                  <w:marRight w:val="0"/>
                  <w:marTop w:val="0"/>
                  <w:marBottom w:val="0"/>
                  <w:divBdr>
                    <w:top w:val="none" w:sz="0" w:space="0" w:color="auto"/>
                    <w:left w:val="none" w:sz="0" w:space="0" w:color="auto"/>
                    <w:bottom w:val="none" w:sz="0" w:space="0" w:color="auto"/>
                    <w:right w:val="none" w:sz="0" w:space="0" w:color="auto"/>
                  </w:divBdr>
                  <w:divsChild>
                    <w:div w:id="1998418249">
                      <w:marLeft w:val="0"/>
                      <w:marRight w:val="0"/>
                      <w:marTop w:val="0"/>
                      <w:marBottom w:val="0"/>
                      <w:divBdr>
                        <w:top w:val="none" w:sz="0" w:space="0" w:color="auto"/>
                        <w:left w:val="none" w:sz="0" w:space="0" w:color="auto"/>
                        <w:bottom w:val="none" w:sz="0" w:space="0" w:color="auto"/>
                        <w:right w:val="none" w:sz="0" w:space="0" w:color="auto"/>
                      </w:divBdr>
                      <w:divsChild>
                        <w:div w:id="470514940">
                          <w:marLeft w:val="0"/>
                          <w:marRight w:val="1200"/>
                          <w:marTop w:val="300"/>
                          <w:marBottom w:val="0"/>
                          <w:divBdr>
                            <w:top w:val="none" w:sz="0" w:space="0" w:color="auto"/>
                            <w:left w:val="none" w:sz="0" w:space="0" w:color="auto"/>
                            <w:bottom w:val="none" w:sz="0" w:space="0" w:color="auto"/>
                            <w:right w:val="none" w:sz="0" w:space="0" w:color="auto"/>
                          </w:divBdr>
                          <w:divsChild>
                            <w:div w:id="12634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816840">
      <w:bodyDiv w:val="1"/>
      <w:marLeft w:val="0"/>
      <w:marRight w:val="0"/>
      <w:marTop w:val="0"/>
      <w:marBottom w:val="0"/>
      <w:divBdr>
        <w:top w:val="none" w:sz="0" w:space="0" w:color="auto"/>
        <w:left w:val="none" w:sz="0" w:space="0" w:color="auto"/>
        <w:bottom w:val="none" w:sz="0" w:space="0" w:color="auto"/>
        <w:right w:val="none" w:sz="0" w:space="0" w:color="auto"/>
      </w:divBdr>
    </w:div>
    <w:div w:id="1024404542">
      <w:bodyDiv w:val="1"/>
      <w:marLeft w:val="0"/>
      <w:marRight w:val="0"/>
      <w:marTop w:val="0"/>
      <w:marBottom w:val="0"/>
      <w:divBdr>
        <w:top w:val="none" w:sz="0" w:space="0" w:color="auto"/>
        <w:left w:val="none" w:sz="0" w:space="0" w:color="auto"/>
        <w:bottom w:val="none" w:sz="0" w:space="0" w:color="auto"/>
        <w:right w:val="none" w:sz="0" w:space="0" w:color="auto"/>
      </w:divBdr>
      <w:divsChild>
        <w:div w:id="478033158">
          <w:marLeft w:val="0"/>
          <w:marRight w:val="0"/>
          <w:marTop w:val="0"/>
          <w:marBottom w:val="0"/>
          <w:divBdr>
            <w:top w:val="none" w:sz="0" w:space="0" w:color="auto"/>
            <w:left w:val="none" w:sz="0" w:space="0" w:color="auto"/>
            <w:bottom w:val="none" w:sz="0" w:space="0" w:color="auto"/>
            <w:right w:val="none" w:sz="0" w:space="0" w:color="auto"/>
          </w:divBdr>
          <w:divsChild>
            <w:div w:id="1707633385">
              <w:marLeft w:val="0"/>
              <w:marRight w:val="0"/>
              <w:marTop w:val="0"/>
              <w:marBottom w:val="0"/>
              <w:divBdr>
                <w:top w:val="none" w:sz="0" w:space="0" w:color="auto"/>
                <w:left w:val="none" w:sz="0" w:space="0" w:color="auto"/>
                <w:bottom w:val="none" w:sz="0" w:space="0" w:color="auto"/>
                <w:right w:val="none" w:sz="0" w:space="0" w:color="auto"/>
              </w:divBdr>
              <w:divsChild>
                <w:div w:id="1583831306">
                  <w:marLeft w:val="0"/>
                  <w:marRight w:val="0"/>
                  <w:marTop w:val="0"/>
                  <w:marBottom w:val="0"/>
                  <w:divBdr>
                    <w:top w:val="none" w:sz="0" w:space="0" w:color="auto"/>
                    <w:left w:val="none" w:sz="0" w:space="0" w:color="auto"/>
                    <w:bottom w:val="none" w:sz="0" w:space="0" w:color="auto"/>
                    <w:right w:val="none" w:sz="0" w:space="0" w:color="auto"/>
                  </w:divBdr>
                  <w:divsChild>
                    <w:div w:id="1094401828">
                      <w:marLeft w:val="0"/>
                      <w:marRight w:val="0"/>
                      <w:marTop w:val="0"/>
                      <w:marBottom w:val="0"/>
                      <w:divBdr>
                        <w:top w:val="none" w:sz="0" w:space="0" w:color="auto"/>
                        <w:left w:val="none" w:sz="0" w:space="0" w:color="auto"/>
                        <w:bottom w:val="none" w:sz="0" w:space="0" w:color="auto"/>
                        <w:right w:val="none" w:sz="0" w:space="0" w:color="auto"/>
                      </w:divBdr>
                      <w:divsChild>
                        <w:div w:id="277223684">
                          <w:marLeft w:val="0"/>
                          <w:marRight w:val="120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128024">
      <w:bodyDiv w:val="1"/>
      <w:marLeft w:val="0"/>
      <w:marRight w:val="0"/>
      <w:marTop w:val="0"/>
      <w:marBottom w:val="0"/>
      <w:divBdr>
        <w:top w:val="none" w:sz="0" w:space="0" w:color="auto"/>
        <w:left w:val="none" w:sz="0" w:space="0" w:color="auto"/>
        <w:bottom w:val="none" w:sz="0" w:space="0" w:color="auto"/>
        <w:right w:val="none" w:sz="0" w:space="0" w:color="auto"/>
      </w:divBdr>
    </w:div>
    <w:div w:id="1094671970">
      <w:bodyDiv w:val="1"/>
      <w:marLeft w:val="0"/>
      <w:marRight w:val="0"/>
      <w:marTop w:val="0"/>
      <w:marBottom w:val="0"/>
      <w:divBdr>
        <w:top w:val="none" w:sz="0" w:space="0" w:color="auto"/>
        <w:left w:val="none" w:sz="0" w:space="0" w:color="auto"/>
        <w:bottom w:val="none" w:sz="0" w:space="0" w:color="auto"/>
        <w:right w:val="none" w:sz="0" w:space="0" w:color="auto"/>
      </w:divBdr>
    </w:div>
    <w:div w:id="1105542875">
      <w:bodyDiv w:val="1"/>
      <w:marLeft w:val="0"/>
      <w:marRight w:val="0"/>
      <w:marTop w:val="0"/>
      <w:marBottom w:val="0"/>
      <w:divBdr>
        <w:top w:val="none" w:sz="0" w:space="0" w:color="auto"/>
        <w:left w:val="none" w:sz="0" w:space="0" w:color="auto"/>
        <w:bottom w:val="none" w:sz="0" w:space="0" w:color="auto"/>
        <w:right w:val="none" w:sz="0" w:space="0" w:color="auto"/>
      </w:divBdr>
    </w:div>
    <w:div w:id="1163164907">
      <w:bodyDiv w:val="1"/>
      <w:marLeft w:val="0"/>
      <w:marRight w:val="0"/>
      <w:marTop w:val="0"/>
      <w:marBottom w:val="0"/>
      <w:divBdr>
        <w:top w:val="none" w:sz="0" w:space="0" w:color="auto"/>
        <w:left w:val="none" w:sz="0" w:space="0" w:color="auto"/>
        <w:bottom w:val="none" w:sz="0" w:space="0" w:color="auto"/>
        <w:right w:val="none" w:sz="0" w:space="0" w:color="auto"/>
      </w:divBdr>
    </w:div>
    <w:div w:id="1165902111">
      <w:bodyDiv w:val="1"/>
      <w:marLeft w:val="0"/>
      <w:marRight w:val="0"/>
      <w:marTop w:val="0"/>
      <w:marBottom w:val="0"/>
      <w:divBdr>
        <w:top w:val="none" w:sz="0" w:space="0" w:color="auto"/>
        <w:left w:val="none" w:sz="0" w:space="0" w:color="auto"/>
        <w:bottom w:val="none" w:sz="0" w:space="0" w:color="auto"/>
        <w:right w:val="none" w:sz="0" w:space="0" w:color="auto"/>
      </w:divBdr>
    </w:div>
    <w:div w:id="1216165501">
      <w:bodyDiv w:val="1"/>
      <w:marLeft w:val="0"/>
      <w:marRight w:val="0"/>
      <w:marTop w:val="0"/>
      <w:marBottom w:val="0"/>
      <w:divBdr>
        <w:top w:val="none" w:sz="0" w:space="0" w:color="auto"/>
        <w:left w:val="none" w:sz="0" w:space="0" w:color="auto"/>
        <w:bottom w:val="none" w:sz="0" w:space="0" w:color="auto"/>
        <w:right w:val="none" w:sz="0" w:space="0" w:color="auto"/>
      </w:divBdr>
    </w:div>
    <w:div w:id="1369404929">
      <w:bodyDiv w:val="1"/>
      <w:marLeft w:val="0"/>
      <w:marRight w:val="0"/>
      <w:marTop w:val="0"/>
      <w:marBottom w:val="0"/>
      <w:divBdr>
        <w:top w:val="none" w:sz="0" w:space="0" w:color="auto"/>
        <w:left w:val="none" w:sz="0" w:space="0" w:color="auto"/>
        <w:bottom w:val="none" w:sz="0" w:space="0" w:color="auto"/>
        <w:right w:val="none" w:sz="0" w:space="0" w:color="auto"/>
      </w:divBdr>
    </w:div>
    <w:div w:id="1583182622">
      <w:bodyDiv w:val="1"/>
      <w:marLeft w:val="0"/>
      <w:marRight w:val="0"/>
      <w:marTop w:val="0"/>
      <w:marBottom w:val="0"/>
      <w:divBdr>
        <w:top w:val="none" w:sz="0" w:space="0" w:color="auto"/>
        <w:left w:val="none" w:sz="0" w:space="0" w:color="auto"/>
        <w:bottom w:val="none" w:sz="0" w:space="0" w:color="auto"/>
        <w:right w:val="none" w:sz="0" w:space="0" w:color="auto"/>
      </w:divBdr>
    </w:div>
    <w:div w:id="1641381816">
      <w:bodyDiv w:val="1"/>
      <w:marLeft w:val="0"/>
      <w:marRight w:val="0"/>
      <w:marTop w:val="0"/>
      <w:marBottom w:val="0"/>
      <w:divBdr>
        <w:top w:val="none" w:sz="0" w:space="0" w:color="auto"/>
        <w:left w:val="none" w:sz="0" w:space="0" w:color="auto"/>
        <w:bottom w:val="none" w:sz="0" w:space="0" w:color="auto"/>
        <w:right w:val="none" w:sz="0" w:space="0" w:color="auto"/>
      </w:divBdr>
      <w:divsChild>
        <w:div w:id="1697848811">
          <w:marLeft w:val="0"/>
          <w:marRight w:val="0"/>
          <w:marTop w:val="0"/>
          <w:marBottom w:val="0"/>
          <w:divBdr>
            <w:top w:val="none" w:sz="0" w:space="0" w:color="auto"/>
            <w:left w:val="none" w:sz="0" w:space="0" w:color="auto"/>
            <w:bottom w:val="none" w:sz="0" w:space="0" w:color="auto"/>
            <w:right w:val="none" w:sz="0" w:space="0" w:color="auto"/>
          </w:divBdr>
          <w:divsChild>
            <w:div w:id="1745031122">
              <w:marLeft w:val="0"/>
              <w:marRight w:val="0"/>
              <w:marTop w:val="0"/>
              <w:marBottom w:val="0"/>
              <w:divBdr>
                <w:top w:val="none" w:sz="0" w:space="0" w:color="auto"/>
                <w:left w:val="none" w:sz="0" w:space="0" w:color="auto"/>
                <w:bottom w:val="none" w:sz="0" w:space="0" w:color="auto"/>
                <w:right w:val="none" w:sz="0" w:space="0" w:color="auto"/>
              </w:divBdr>
              <w:divsChild>
                <w:div w:id="584070581">
                  <w:marLeft w:val="0"/>
                  <w:marRight w:val="0"/>
                  <w:marTop w:val="0"/>
                  <w:marBottom w:val="0"/>
                  <w:divBdr>
                    <w:top w:val="none" w:sz="0" w:space="0" w:color="auto"/>
                    <w:left w:val="none" w:sz="0" w:space="0" w:color="auto"/>
                    <w:bottom w:val="none" w:sz="0" w:space="0" w:color="auto"/>
                    <w:right w:val="none" w:sz="0" w:space="0" w:color="auto"/>
                  </w:divBdr>
                  <w:divsChild>
                    <w:div w:id="234246708">
                      <w:marLeft w:val="0"/>
                      <w:marRight w:val="0"/>
                      <w:marTop w:val="0"/>
                      <w:marBottom w:val="0"/>
                      <w:divBdr>
                        <w:top w:val="none" w:sz="0" w:space="0" w:color="auto"/>
                        <w:left w:val="none" w:sz="0" w:space="0" w:color="auto"/>
                        <w:bottom w:val="none" w:sz="0" w:space="0" w:color="auto"/>
                        <w:right w:val="none" w:sz="0" w:space="0" w:color="auto"/>
                      </w:divBdr>
                      <w:divsChild>
                        <w:div w:id="1959140374">
                          <w:marLeft w:val="0"/>
                          <w:marRight w:val="0"/>
                          <w:marTop w:val="0"/>
                          <w:marBottom w:val="0"/>
                          <w:divBdr>
                            <w:top w:val="none" w:sz="0" w:space="0" w:color="auto"/>
                            <w:left w:val="none" w:sz="0" w:space="0" w:color="auto"/>
                            <w:bottom w:val="none" w:sz="0" w:space="0" w:color="auto"/>
                            <w:right w:val="none" w:sz="0" w:space="0" w:color="auto"/>
                          </w:divBdr>
                          <w:divsChild>
                            <w:div w:id="6993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172761">
      <w:bodyDiv w:val="1"/>
      <w:marLeft w:val="0"/>
      <w:marRight w:val="0"/>
      <w:marTop w:val="0"/>
      <w:marBottom w:val="0"/>
      <w:divBdr>
        <w:top w:val="none" w:sz="0" w:space="0" w:color="auto"/>
        <w:left w:val="none" w:sz="0" w:space="0" w:color="auto"/>
        <w:bottom w:val="none" w:sz="0" w:space="0" w:color="auto"/>
        <w:right w:val="none" w:sz="0" w:space="0" w:color="auto"/>
      </w:divBdr>
    </w:div>
    <w:div w:id="1768303322">
      <w:bodyDiv w:val="1"/>
      <w:marLeft w:val="0"/>
      <w:marRight w:val="0"/>
      <w:marTop w:val="0"/>
      <w:marBottom w:val="0"/>
      <w:divBdr>
        <w:top w:val="none" w:sz="0" w:space="0" w:color="auto"/>
        <w:left w:val="none" w:sz="0" w:space="0" w:color="auto"/>
        <w:bottom w:val="none" w:sz="0" w:space="0" w:color="auto"/>
        <w:right w:val="none" w:sz="0" w:space="0" w:color="auto"/>
      </w:divBdr>
    </w:div>
    <w:div w:id="1770003967">
      <w:bodyDiv w:val="1"/>
      <w:marLeft w:val="0"/>
      <w:marRight w:val="0"/>
      <w:marTop w:val="0"/>
      <w:marBottom w:val="0"/>
      <w:divBdr>
        <w:top w:val="none" w:sz="0" w:space="0" w:color="auto"/>
        <w:left w:val="none" w:sz="0" w:space="0" w:color="auto"/>
        <w:bottom w:val="none" w:sz="0" w:space="0" w:color="auto"/>
        <w:right w:val="none" w:sz="0" w:space="0" w:color="auto"/>
      </w:divBdr>
    </w:div>
    <w:div w:id="1816488618">
      <w:bodyDiv w:val="1"/>
      <w:marLeft w:val="0"/>
      <w:marRight w:val="0"/>
      <w:marTop w:val="0"/>
      <w:marBottom w:val="0"/>
      <w:divBdr>
        <w:top w:val="none" w:sz="0" w:space="0" w:color="auto"/>
        <w:left w:val="none" w:sz="0" w:space="0" w:color="auto"/>
        <w:bottom w:val="none" w:sz="0" w:space="0" w:color="auto"/>
        <w:right w:val="none" w:sz="0" w:space="0" w:color="auto"/>
      </w:divBdr>
      <w:divsChild>
        <w:div w:id="1275287397">
          <w:marLeft w:val="0"/>
          <w:marRight w:val="0"/>
          <w:marTop w:val="0"/>
          <w:marBottom w:val="0"/>
          <w:divBdr>
            <w:top w:val="none" w:sz="0" w:space="0" w:color="auto"/>
            <w:left w:val="none" w:sz="0" w:space="0" w:color="auto"/>
            <w:bottom w:val="none" w:sz="0" w:space="0" w:color="auto"/>
            <w:right w:val="none" w:sz="0" w:space="0" w:color="auto"/>
          </w:divBdr>
          <w:divsChild>
            <w:div w:id="546529986">
              <w:marLeft w:val="0"/>
              <w:marRight w:val="0"/>
              <w:marTop w:val="0"/>
              <w:marBottom w:val="0"/>
              <w:divBdr>
                <w:top w:val="none" w:sz="0" w:space="0" w:color="auto"/>
                <w:left w:val="none" w:sz="0" w:space="0" w:color="auto"/>
                <w:bottom w:val="none" w:sz="0" w:space="0" w:color="auto"/>
                <w:right w:val="none" w:sz="0" w:space="0" w:color="auto"/>
              </w:divBdr>
              <w:divsChild>
                <w:div w:id="196743694">
                  <w:marLeft w:val="0"/>
                  <w:marRight w:val="0"/>
                  <w:marTop w:val="100"/>
                  <w:marBottom w:val="100"/>
                  <w:divBdr>
                    <w:top w:val="none" w:sz="0" w:space="0" w:color="auto"/>
                    <w:left w:val="none" w:sz="0" w:space="0" w:color="auto"/>
                    <w:bottom w:val="none" w:sz="0" w:space="0" w:color="auto"/>
                    <w:right w:val="none" w:sz="0" w:space="0" w:color="auto"/>
                  </w:divBdr>
                  <w:divsChild>
                    <w:div w:id="729116186">
                      <w:marLeft w:val="0"/>
                      <w:marRight w:val="0"/>
                      <w:marTop w:val="0"/>
                      <w:marBottom w:val="0"/>
                      <w:divBdr>
                        <w:top w:val="none" w:sz="0" w:space="0" w:color="auto"/>
                        <w:left w:val="none" w:sz="0" w:space="0" w:color="auto"/>
                        <w:bottom w:val="none" w:sz="0" w:space="0" w:color="auto"/>
                        <w:right w:val="none" w:sz="0" w:space="0" w:color="auto"/>
                      </w:divBdr>
                      <w:divsChild>
                        <w:div w:id="1633904044">
                          <w:marLeft w:val="0"/>
                          <w:marRight w:val="0"/>
                          <w:marTop w:val="0"/>
                          <w:marBottom w:val="0"/>
                          <w:divBdr>
                            <w:top w:val="none" w:sz="0" w:space="0" w:color="auto"/>
                            <w:left w:val="none" w:sz="0" w:space="0" w:color="auto"/>
                            <w:bottom w:val="none" w:sz="0" w:space="0" w:color="auto"/>
                            <w:right w:val="none" w:sz="0" w:space="0" w:color="auto"/>
                          </w:divBdr>
                          <w:divsChild>
                            <w:div w:id="292565755">
                              <w:marLeft w:val="0"/>
                              <w:marRight w:val="0"/>
                              <w:marTop w:val="0"/>
                              <w:marBottom w:val="0"/>
                              <w:divBdr>
                                <w:top w:val="none" w:sz="0" w:space="0" w:color="auto"/>
                                <w:left w:val="none" w:sz="0" w:space="0" w:color="auto"/>
                                <w:bottom w:val="none" w:sz="0" w:space="0" w:color="auto"/>
                                <w:right w:val="none" w:sz="0" w:space="0" w:color="auto"/>
                              </w:divBdr>
                              <w:divsChild>
                                <w:div w:id="203710985">
                                  <w:marLeft w:val="0"/>
                                  <w:marRight w:val="0"/>
                                  <w:marTop w:val="0"/>
                                  <w:marBottom w:val="0"/>
                                  <w:divBdr>
                                    <w:top w:val="none" w:sz="0" w:space="0" w:color="auto"/>
                                    <w:left w:val="none" w:sz="0" w:space="0" w:color="auto"/>
                                    <w:bottom w:val="none" w:sz="0" w:space="0" w:color="auto"/>
                                    <w:right w:val="none" w:sz="0" w:space="0" w:color="auto"/>
                                  </w:divBdr>
                                  <w:divsChild>
                                    <w:div w:id="2067990982">
                                      <w:marLeft w:val="0"/>
                                      <w:marRight w:val="0"/>
                                      <w:marTop w:val="0"/>
                                      <w:marBottom w:val="0"/>
                                      <w:divBdr>
                                        <w:top w:val="none" w:sz="0" w:space="0" w:color="auto"/>
                                        <w:left w:val="none" w:sz="0" w:space="0" w:color="auto"/>
                                        <w:bottom w:val="none" w:sz="0" w:space="0" w:color="auto"/>
                                        <w:right w:val="none" w:sz="0" w:space="0" w:color="auto"/>
                                      </w:divBdr>
                                      <w:divsChild>
                                        <w:div w:id="1461804338">
                                          <w:marLeft w:val="0"/>
                                          <w:marRight w:val="0"/>
                                          <w:marTop w:val="0"/>
                                          <w:marBottom w:val="360"/>
                                          <w:divBdr>
                                            <w:top w:val="none" w:sz="0" w:space="0" w:color="auto"/>
                                            <w:left w:val="none" w:sz="0" w:space="0" w:color="auto"/>
                                            <w:bottom w:val="none" w:sz="0" w:space="0" w:color="auto"/>
                                            <w:right w:val="none" w:sz="0" w:space="0" w:color="auto"/>
                                          </w:divBdr>
                                          <w:divsChild>
                                            <w:div w:id="1411123793">
                                              <w:marLeft w:val="0"/>
                                              <w:marRight w:val="0"/>
                                              <w:marTop w:val="0"/>
                                              <w:marBottom w:val="0"/>
                                              <w:divBdr>
                                                <w:top w:val="none" w:sz="0" w:space="0" w:color="auto"/>
                                                <w:left w:val="none" w:sz="0" w:space="0" w:color="auto"/>
                                                <w:bottom w:val="none" w:sz="0" w:space="0" w:color="auto"/>
                                                <w:right w:val="none" w:sz="0" w:space="0" w:color="auto"/>
                                              </w:divBdr>
                                              <w:divsChild>
                                                <w:div w:id="921720376">
                                                  <w:marLeft w:val="0"/>
                                                  <w:marRight w:val="0"/>
                                                  <w:marTop w:val="0"/>
                                                  <w:marBottom w:val="0"/>
                                                  <w:divBdr>
                                                    <w:top w:val="none" w:sz="0" w:space="0" w:color="auto"/>
                                                    <w:left w:val="none" w:sz="0" w:space="0" w:color="auto"/>
                                                    <w:bottom w:val="none" w:sz="0" w:space="0" w:color="auto"/>
                                                    <w:right w:val="none" w:sz="0" w:space="0" w:color="auto"/>
                                                  </w:divBdr>
                                                  <w:divsChild>
                                                    <w:div w:id="545487255">
                                                      <w:marLeft w:val="5370"/>
                                                      <w:marRight w:val="0"/>
                                                      <w:marTop w:val="120"/>
                                                      <w:marBottom w:val="0"/>
                                                      <w:divBdr>
                                                        <w:top w:val="none" w:sz="0" w:space="0" w:color="auto"/>
                                                        <w:left w:val="none" w:sz="0" w:space="0" w:color="auto"/>
                                                        <w:bottom w:val="none" w:sz="0" w:space="0" w:color="auto"/>
                                                        <w:right w:val="none" w:sz="0" w:space="0" w:color="auto"/>
                                                      </w:divBdr>
                                                      <w:divsChild>
                                                        <w:div w:id="3595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1061267">
      <w:bodyDiv w:val="1"/>
      <w:marLeft w:val="0"/>
      <w:marRight w:val="0"/>
      <w:marTop w:val="0"/>
      <w:marBottom w:val="0"/>
      <w:divBdr>
        <w:top w:val="none" w:sz="0" w:space="0" w:color="auto"/>
        <w:left w:val="none" w:sz="0" w:space="0" w:color="auto"/>
        <w:bottom w:val="none" w:sz="0" w:space="0" w:color="auto"/>
        <w:right w:val="none" w:sz="0" w:space="0" w:color="auto"/>
      </w:divBdr>
    </w:div>
    <w:div w:id="2003118502">
      <w:bodyDiv w:val="1"/>
      <w:marLeft w:val="0"/>
      <w:marRight w:val="0"/>
      <w:marTop w:val="0"/>
      <w:marBottom w:val="0"/>
      <w:divBdr>
        <w:top w:val="none" w:sz="0" w:space="0" w:color="auto"/>
        <w:left w:val="none" w:sz="0" w:space="0" w:color="auto"/>
        <w:bottom w:val="none" w:sz="0" w:space="0" w:color="auto"/>
        <w:right w:val="none" w:sz="0" w:space="0" w:color="auto"/>
      </w:divBdr>
    </w:div>
    <w:div w:id="2142730026">
      <w:bodyDiv w:val="1"/>
      <w:marLeft w:val="0"/>
      <w:marRight w:val="0"/>
      <w:marTop w:val="0"/>
      <w:marBottom w:val="0"/>
      <w:divBdr>
        <w:top w:val="none" w:sz="0" w:space="0" w:color="auto"/>
        <w:left w:val="none" w:sz="0" w:space="0" w:color="auto"/>
        <w:bottom w:val="none" w:sz="0" w:space="0" w:color="auto"/>
        <w:right w:val="none" w:sz="0" w:space="0" w:color="auto"/>
      </w:divBdr>
    </w:div>
    <w:div w:id="214368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jpg@01CF53E2.F599DED0"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telstra.com.au/smart-communit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newdevelopments@nbnco.com.a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reenfields@communications.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ommunications.gov.au/__data/assets/pdf_file/0020/243902/Telecommunications_Regulatory_and_Structural_Reform_Paper_-_11_December_....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DBCDE Corporate Colours">
      <a:dk1>
        <a:srgbClr val="00728F"/>
      </a:dk1>
      <a:lt1>
        <a:sysClr val="window" lastClr="FFFFFF"/>
      </a:lt1>
      <a:dk2>
        <a:srgbClr val="B7DDE8"/>
      </a:dk2>
      <a:lt2>
        <a:srgbClr val="DBEEF3"/>
      </a:lt2>
      <a:accent1>
        <a:srgbClr val="00728F"/>
      </a:accent1>
      <a:accent2>
        <a:srgbClr val="B7DDE8"/>
      </a:accent2>
      <a:accent3>
        <a:srgbClr val="DBEEF3"/>
      </a:accent3>
      <a:accent4>
        <a:srgbClr val="92CDDC"/>
      </a:accent4>
      <a:accent5>
        <a:srgbClr val="31859B"/>
      </a:accent5>
      <a:accent6>
        <a:srgbClr val="64B8CE"/>
      </a:accent6>
      <a:hlink>
        <a:srgbClr val="0000FF"/>
      </a:hlink>
      <a:folHlink>
        <a:srgbClr val="800080"/>
      </a:folHlink>
    </a:clrScheme>
    <a:fontScheme name="DBCDE Corporate Fonts">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PT DOCUMENT" ma:contentTypeID="0x010100407620DDFF47524F86BCF55EDD3946430100CA89A10669E3F2498928894A4219A5CC" ma:contentTypeVersion="18" ma:contentTypeDescription="106" ma:contentTypeScope="" ma:versionID="9b2675a4a4158b21d912ea9552633945">
  <xsd:schema xmlns:xsd="http://www.w3.org/2001/XMLSchema" xmlns:xs="http://www.w3.org/2001/XMLSchema" xmlns:p="http://schemas.microsoft.com/office/2006/metadata/properties" xmlns:ns2="4597da67-68a3-4e9d-8803-ba3e1787ab6c" targetNamespace="http://schemas.microsoft.com/office/2006/metadata/properties" ma:root="true" ma:fieldsID="7565b05217e68dd819d60f5503df44cc" ns2:_="">
    <xsd:import namespace="4597da67-68a3-4e9d-8803-ba3e1787ab6c"/>
    <xsd:element name="properties">
      <xsd:complexType>
        <xsd:sequence>
          <xsd:element name="documentManagement">
            <xsd:complexType>
              <xsd:all>
                <xsd:element ref="ns2:trimRootDocURI" minOccurs="0"/>
                <xsd:element ref="ns2:trimRootDocParentURI" minOccurs="0"/>
                <xsd:element ref="ns2:trimRootDocSecurityLevel" minOccurs="0"/>
                <xsd:element ref="ns2:trimRootDocSecurityCaveats" minOccurs="0"/>
                <xsd:element ref="ns2:trimRootDocACLCanViewDocument" minOccurs="0"/>
                <xsd:element ref="ns2:trimRootDocACLCanViewMetadata" minOccurs="0"/>
                <xsd:element ref="ns2:trimRootDocACLCanUpdateDocument" minOccurs="0"/>
                <xsd:element ref="ns2:trimRootDocACLCanUpdateMetadata" minOccurs="0"/>
                <xsd:element ref="ns2:trimRootDocACLCanModifyAccess" minOccurs="0"/>
                <xsd:element ref="ns2:trimRootDocNotes" minOccurs="0"/>
                <xsd:element ref="ns2:hab31d4ae2264d5c8e77fd86c07e7635" minOccurs="0"/>
                <xsd:element ref="ns2:c1aa94c1bcce43cc9138ccb9c7bf6e69" minOccurs="0"/>
                <xsd:element ref="ns2:e65fcc6ef396426b9c231bd6b3bc54de" minOccurs="0"/>
                <xsd:element ref="ns2:dd9c7627a75f4720a6ccce58a35e4d75" minOccurs="0"/>
                <xsd:element ref="ns2:trimRootDocACLCanContributeDocuments" minOccurs="0"/>
                <xsd:element ref="ns2:l30152c64bc5409cb0d6af5fc7998329" minOccurs="0"/>
                <xsd:element ref="ns2:TaxCatchAll" minOccurs="0"/>
                <xsd:element ref="ns2:ie56bdfdc4a44ef997c05b4ed8c67594" minOccurs="0"/>
                <xsd:element ref="ns2:TaxCatchAllLabel" minOccurs="0"/>
                <xsd:element ref="ns2:me786d0e3c9949dc83d6a9826d3f7afb" minOccurs="0"/>
                <xsd:element ref="ns2:e74c999a0f514bafbaad1ae53c56eac2" minOccurs="0"/>
                <xsd:element ref="ns2:l7f7762656034748af4098221ba10b64" minOccurs="0"/>
                <xsd:element ref="ns2:a26f7cb41fae41ebb6c8e377b7c30d71" minOccurs="0"/>
                <xsd:element ref="ns2:TrimUDF_String_39" minOccurs="0"/>
                <xsd:element ref="ns2:TrimUDF_String_40" minOccurs="0"/>
                <xsd:element ref="ns2:TrimUDF_String_696" minOccurs="0"/>
                <xsd:element ref="ns2:TrimUDF_Text_698" minOccurs="0"/>
                <xsd:element ref="ns2:TrimUDF_Text_7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da67-68a3-4e9d-8803-ba3e1787ab6c" elementFormDefault="qualified">
    <xsd:import namespace="http://schemas.microsoft.com/office/2006/documentManagement/types"/>
    <xsd:import namespace="http://schemas.microsoft.com/office/infopath/2007/PartnerControls"/>
    <xsd:element name="trimRootDocURI" ma:index="2" nillable="true" ma:displayName="URI" ma:hidden="true" ma:internalName="trimRootDocURI" ma:readOnly="false">
      <xsd:simpleType>
        <xsd:restriction base="dms:Text">
          <xsd:maxLength value="255"/>
        </xsd:restriction>
      </xsd:simpleType>
    </xsd:element>
    <xsd:element name="trimRootDocParentURI" ma:index="3" nillable="true" ma:displayName="Parent URI" ma:internalName="trimRootDocParentURI" ma:readOnly="false">
      <xsd:simpleType>
        <xsd:restriction base="dms:Number"/>
      </xsd:simpleType>
    </xsd:element>
    <xsd:element name="trimRootDocSecurityLevel" ma:index="4" nillable="true" ma:displayName="Security Level" ma:default="For Official Use Only" ma:format="Dropdown" ma:internalName="trimRootDocSecurityLevel" ma:readOnly="false">
      <xsd:simpleType>
        <xsd:restriction base="dms:Choice">
          <xsd:enumeration value="For Official Use Only"/>
          <xsd:enumeration value="Protected"/>
          <xsd:enumeration value="Confidential"/>
          <xsd:enumeration value="Secret"/>
          <xsd:enumeration value="Top Secret"/>
        </xsd:restriction>
      </xsd:simpleType>
    </xsd:element>
    <xsd:element name="trimRootDocSecurityCaveats" ma:index="5" nillable="true" ma:displayName="Security Caveats" ma:default="Departmental Staff" ma:internalName="trimRootDocSecurityCaveats" ma:readOnly="false">
      <xsd:complexType>
        <xsd:complexContent>
          <xsd:extension base="dms:MultiChoice">
            <xsd:sequence>
              <xsd:element name="Value" maxOccurs="unbounded" minOccurs="0" nillable="true">
                <xsd:simpleType>
                  <xsd:restriction base="dms:Choice">
                    <xsd:enumeration value="Commercial"/>
                    <xsd:enumeration value="Departmental Staff"/>
                    <xsd:enumeration value="For-Official-Use-Only"/>
                    <xsd:enumeration value="For-Official-Use-Only: Commercial"/>
                    <xsd:enumeration value="For-Official-Use-Only: Legal"/>
                    <xsd:enumeration value="For-Official-Use-Only: Staff"/>
                    <xsd:enumeration value="Sensitive"/>
                    <xsd:enumeration value="Sensitive: Cabinet"/>
                    <xsd:enumeration value="Sensitive: Legal"/>
                    <xsd:enumeration value="Sensitive: Personal"/>
                    <xsd:enumeration value="Admin"/>
                  </xsd:restriction>
                </xsd:simpleType>
              </xsd:element>
            </xsd:sequence>
          </xsd:extension>
        </xsd:complexContent>
      </xsd:complexType>
    </xsd:element>
    <xsd:element name="trimRootDocACLCanViewDocument" ma:index="6" nillable="true" ma:displayName="Can View Document" ma:format="RadioButtons" ma:internalName="trimRootDocACLCanViewDocument" ma:readOnly="false">
      <xsd:simpleType>
        <xsd:restriction base="dms:Choice">
          <xsd:enumeration value="Inherit"/>
          <xsd:enumeration value="Everyone"/>
          <xsd:enumeration value="Custom"/>
        </xsd:restriction>
      </xsd:simpleType>
    </xsd:element>
    <xsd:element name="trimRootDocACLCanViewMetadata" ma:index="8" nillable="true" ma:displayName="Can View Metadata" ma:format="RadioButtons" ma:internalName="trimRootDocACLCanViewMetadata" ma:readOnly="false">
      <xsd:simpleType>
        <xsd:restriction base="dms:Choice">
          <xsd:enumeration value="Inherit"/>
          <xsd:enumeration value="Everyone"/>
          <xsd:enumeration value="Custom"/>
        </xsd:restriction>
      </xsd:simpleType>
    </xsd:element>
    <xsd:element name="trimRootDocACLCanUpdateDocument" ma:index="10" nillable="true" ma:displayName="Can Update Document" ma:format="RadioButtons" ma:internalName="trimRootDocACLCanUpdateDocument" ma:readOnly="false">
      <xsd:simpleType>
        <xsd:restriction base="dms:Choice">
          <xsd:enumeration value="Inherit"/>
          <xsd:enumeration value="Everyone"/>
          <xsd:enumeration value="Custom"/>
        </xsd:restriction>
      </xsd:simpleType>
    </xsd:element>
    <xsd:element name="trimRootDocACLCanUpdateMetadata" ma:index="12" nillable="true" ma:displayName="Can Update Metadata" ma:format="RadioButtons" ma:internalName="trimRootDocACLCanUpdateMetadata" ma:readOnly="false">
      <xsd:simpleType>
        <xsd:restriction base="dms:Choice">
          <xsd:enumeration value="Inherit"/>
          <xsd:enumeration value="Everyone"/>
          <xsd:enumeration value="Custom"/>
        </xsd:restriction>
      </xsd:simpleType>
    </xsd:element>
    <xsd:element name="trimRootDocACLCanModifyAccess" ma:index="14" nillable="true" ma:displayName="Can Modify Access" ma:format="RadioButtons" ma:internalName="trimRootDocACLCanModifyAccess" ma:readOnly="false">
      <xsd:simpleType>
        <xsd:restriction base="dms:Choice">
          <xsd:enumeration value="Inherit"/>
          <xsd:enumeration value="Everyone"/>
          <xsd:enumeration value="Custom"/>
        </xsd:restriction>
      </xsd:simpleType>
    </xsd:element>
    <xsd:element name="trimRootDocNotes" ma:index="16" nillable="true" ma:displayName="Notes" ma:internalName="trimRootDocNotes" ma:readOnly="false">
      <xsd:simpleType>
        <xsd:restriction base="dms:Note"/>
      </xsd:simpleType>
    </xsd:element>
    <xsd:element name="hab31d4ae2264d5c8e77fd86c07e7635" ma:index="18" nillable="true" ma:taxonomy="true" ma:internalName="hab31d4ae2264d5c8e77fd86c07e7635" ma:taxonomyFieldName="trimRootDocACLCanViewMetadata_List" ma:displayName="Can View Metadata List" ma:readOnly="false" ma:fieldId="{1ab31d4a-e226-4d5c-8e77-fd86c07e7635}"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c1aa94c1bcce43cc9138ccb9c7bf6e69" ma:index="21" nillable="true" ma:taxonomy="true" ma:internalName="c1aa94c1bcce43cc9138ccb9c7bf6e69" ma:taxonomyFieldName="trimRootDocACLCanUpdateDocument_List" ma:displayName="Can Update Document List" ma:readOnly="false" ma:fieldId="{c1aa94c1-bcce-43cc-9138-ccb9c7bf6e69}"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e65fcc6ef396426b9c231bd6b3bc54de" ma:index="24" nillable="true" ma:taxonomy="true" ma:internalName="e65fcc6ef396426b9c231bd6b3bc54de" ma:taxonomyFieldName="trimRootDocACLCanUpdateMetadata_List" ma:displayName="Can Update Metadata List" ma:readOnly="false" ma:fieldId="{e65fcc6e-f396-426b-9c23-1bd6b3bc54de}"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dd9c7627a75f4720a6ccce58a35e4d75" ma:index="25" nillable="true" ma:taxonomy="true" ma:internalName="dd9c7627a75f4720a6ccce58a35e4d75" ma:taxonomyFieldName="trimRootDocACLCanViewDocument_List" ma:displayName="Can View Document List" ma:readOnly="false" ma:fieldId="{dd9c7627-a75f-4720-a6cc-ce58a35e4d75}"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rimRootDocACLCanContributeDocuments" ma:index="26" nillable="true" ma:displayName="Can Contribute Content" ma:format="RadioButtons" ma:hidden="true" ma:internalName="trimRootDocACLCanContributeDocuments" ma:readOnly="false">
      <xsd:simpleType>
        <xsd:restriction base="dms:Choice">
          <xsd:enumeration value="Inherit"/>
          <xsd:enumeration value="Everyone"/>
          <xsd:enumeration value="Custom"/>
        </xsd:restriction>
      </xsd:simpleType>
    </xsd:element>
    <xsd:element name="l30152c64bc5409cb0d6af5fc7998329" ma:index="27" nillable="true" ma:taxonomy="true" ma:internalName="l30152c64bc5409cb0d6af5fc7998329" ma:taxonomyFieldName="trimRootDocACLCanContributeDocuments_List" ma:displayName="Can Contribute Content List" ma:readOnly="false" ma:default="" ma:fieldId="{530152c6-4bc5-409c-b0d6-af5fc7998329}"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axCatchAll" ma:index="29" nillable="true" ma:displayName="Taxonomy Catch All Column" ma:hidden="true" ma:list="{e1313e33-0c45-43da-8861-564a4ba3a667}" ma:internalName="TaxCatchAll" ma:showField="CatchAllData" ma:web="4597da67-68a3-4e9d-8803-ba3e1787ab6c">
      <xsd:complexType>
        <xsd:complexContent>
          <xsd:extension base="dms:MultiChoiceLookup">
            <xsd:sequence>
              <xsd:element name="Value" type="dms:Lookup" maxOccurs="unbounded" minOccurs="0" nillable="true"/>
            </xsd:sequence>
          </xsd:extension>
        </xsd:complexContent>
      </xsd:complexType>
    </xsd:element>
    <xsd:element name="ie56bdfdc4a44ef997c05b4ed8c67594" ma:index="30" nillable="true" ma:taxonomy="true" ma:internalName="ie56bdfdc4a44ef997c05b4ed8c67594" ma:taxonomyFieldName="trimRootDocACLCanModifyAccess_List" ma:displayName="Can Modify Access List" ma:readOnly="false" ma:fieldId="{2e56bdfd-c4a4-4ef9-97c0-5b4ed8c67594}"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axCatchAllLabel" ma:index="32" nillable="true" ma:displayName="Taxonomy Catch All Column1" ma:hidden="true" ma:list="{e1313e33-0c45-43da-8861-564a4ba3a667}" ma:internalName="TaxCatchAllLabel" ma:readOnly="true" ma:showField="CatchAllDataLabel" ma:web="4597da67-68a3-4e9d-8803-ba3e1787ab6c">
      <xsd:complexType>
        <xsd:complexContent>
          <xsd:extension base="dms:MultiChoiceLookup">
            <xsd:sequence>
              <xsd:element name="Value" type="dms:Lookup" maxOccurs="unbounded" minOccurs="0" nillable="true"/>
            </xsd:sequence>
          </xsd:extension>
        </xsd:complexContent>
      </xsd:complexType>
    </xsd:element>
    <xsd:element name="me786d0e3c9949dc83d6a9826d3f7afb" ma:index="33" nillable="true" ma:taxonomy="true" ma:internalName="me786d0e3c9949dc83d6a9826d3f7afb" ma:taxonomyFieldName="trimRootDocOwnerLocation" ma:displayName="Owner" ma:readOnly="false" ma:fieldId="{6e786d0e-3c99-49dc-83d6-a9826d3f7afb}"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e74c999a0f514bafbaad1ae53c56eac2" ma:index="35" nillable="true" ma:taxonomy="true" ma:internalName="e74c999a0f514bafbaad1ae53c56eac2" ma:taxonomyFieldName="trimRootDocOtherContactLocation" ma:displayName="Other Contact" ma:readOnly="false" ma:default="" ma:fieldId="{e74c999a-0f51-4baf-baad-1ae53c56eac2}"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l7f7762656034748af4098221ba10b64" ma:index="37" nillable="true" ma:taxonomy="true" ma:internalName="l7f7762656034748af4098221ba10b64" ma:taxonomyFieldName="trimRootDocAssigneeLocation" ma:displayName="Assignee" ma:readOnly="false" ma:default="" ma:fieldId="{57f77626-5603-4748-af40-98221ba10b64}"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a26f7cb41fae41ebb6c8e377b7c30d71" ma:index="39" nillable="true" ma:taxonomy="true" ma:internalName="a26f7cb41fae41ebb6c8e377b7c30d71" ma:taxonomyFieldName="trimRootDocClassification" ma:displayName="Classification" ma:readOnly="false" ma:default="" ma:fieldId="{a26f7cb4-1fae-41eb-b6c8-e377b7c30d71}" ma:sspId="2f9937d8-ded5-4646-b9c0-07a4c210d204" ma:termSetId="f9a750e0-e20a-43c2-89a6-4c381f79f1c1" ma:anchorId="00000000-0000-0000-0000-000000000000" ma:open="false" ma:isKeyword="false">
      <xsd:complexType>
        <xsd:sequence>
          <xsd:element ref="pc:Terms" minOccurs="0" maxOccurs="1"/>
        </xsd:sequence>
      </xsd:complexType>
    </xsd:element>
    <xsd:element name="TrimUDF_String_39" ma:index="41" nillable="true" ma:displayName="Document Type" ma:format="Dropdown" ma:hidden="true" ma:internalName="TrimUDF_String_39" ma:readOnly="false">
      <xsd:simpleType>
        <xsd:restriction base="dms:Choice">
          <xsd:enumeration value="COMMUNITY RELATIONS"/>
          <xsd:enumeration value="EQUIPMENT, STORES AND VECHICLES"/>
          <xsd:enumeration value="FINANCIAL MANAGEMENT"/>
          <xsd:enumeration value="GOVERNMENT AND IT &amp; T"/>
          <xsd:enumeration value="GOVERNMENT RELATIONS"/>
          <xsd:enumeration value="INDUSTRY DEVELOPMENT"/>
          <xsd:enumeration value="INFORMATION MANAGEMENT"/>
          <xsd:enumeration value="INFORMATION SYSTEMS"/>
          <xsd:enumeration value="LEGAL SERVICES"/>
          <xsd:enumeration value="PROPERTY MANAGEMENT"/>
          <xsd:enumeration value="RESEARCH AND STATISTICS"/>
          <xsd:enumeration value="STRATEGIC MANAGEMENT"/>
        </xsd:restriction>
      </xsd:simpleType>
    </xsd:element>
    <xsd:element name="TrimUDF_String_40" ma:index="42" nillable="true" ma:displayName="Classification 2" ma:format="Dropdown" ma:hidden="true" ma:internalName="TrimUDF_String_40" ma:readOnly="false">
      <xsd:simpleType>
        <xsd:restriction base="dms:Choice">
          <xsd:enumeration value="ACCESS AND EQUITY"/>
          <xsd:enumeration value="ACQUISITION AND DISPOSAL"/>
          <xsd:enumeration value="ASSET MANAGEMENT"/>
          <xsd:enumeration value="AUDITS"/>
          <xsd:enumeration value="BUDGETING"/>
          <xsd:enumeration value="BUSINESS IMPROVEMENT"/>
          <xsd:enumeration value="INTERGOVERNMENT LIAISON"/>
          <xsd:enumeration value="LEASING"/>
          <xsd:enumeration value="LEGAL ADVICE"/>
          <xsd:enumeration value="MAINTENANCE"/>
          <xsd:enumeration value="MEDIA RELATIONS"/>
          <xsd:enumeration value="PRIVACY"/>
          <xsd:enumeration value="PROJECTS"/>
          <xsd:enumeration value="PUBLIC REACTION"/>
          <xsd:enumeration value="REVIEWS"/>
          <xsd:enumeration value="RISK MANAGEMENT"/>
          <xsd:enumeration value="SECURITY"/>
          <xsd:enumeration value="STATISTICS"/>
        </xsd:restriction>
      </xsd:simpleType>
    </xsd:element>
    <xsd:element name="TrimUDF_String_696" ma:index="43" nillable="true" ma:displayName="Delete" ma:format="Dropdown" ma:hidden="true" ma:internalName="TrimUDF_String_696" ma:readOnly="false">
      <xsd:simpleType>
        <xsd:restriction base="dms:Choice">
          <xsd:enumeration value="Copy"/>
          <xsd:enumeration value="Draft"/>
          <xsd:enumeration value="Personal"/>
          <xsd:enumeration value="Published"/>
          <xsd:enumeration value="Transitory"/>
          <xsd:enumeration value="Working Paper"/>
        </xsd:restriction>
      </xsd:simpleType>
    </xsd:element>
    <xsd:element name="TrimUDF_Text_698" ma:index="44" nillable="true" ma:displayName="IMS Display" ma:hidden="true" ma:internalName="TrimUDF_Text_698" ma:readOnly="false">
      <xsd:simpleType>
        <xsd:restriction base="dms:Note"/>
      </xsd:simpleType>
    </xsd:element>
    <xsd:element name="TrimUDF_Text_706" ma:index="45" nillable="true" ma:displayName="Published" ma:hidden="true" ma:internalName="TrimUDF_Text_706"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rimUDF_String_39 xmlns="4597da67-68a3-4e9d-8803-ba3e1787ab6c" xsi:nil="true"/>
    <TaxCatchAll xmlns="4597da67-68a3-4e9d-8803-ba3e1787ab6c"/>
    <me786d0e3c9949dc83d6a9826d3f7afb xmlns="4597da67-68a3-4e9d-8803-ba3e1787ab6c">
      <Terms xmlns="http://schemas.microsoft.com/office/infopath/2007/PartnerControls"/>
    </me786d0e3c9949dc83d6a9826d3f7afb>
    <e65fcc6ef396426b9c231bd6b3bc54de xmlns="4597da67-68a3-4e9d-8803-ba3e1787ab6c">
      <Terms xmlns="http://schemas.microsoft.com/office/infopath/2007/PartnerControls"/>
    </e65fcc6ef396426b9c231bd6b3bc54de>
    <trimRootDocACLCanUpdateDocument xmlns="4597da67-68a3-4e9d-8803-ba3e1787ab6c">Inherit</trimRootDocACLCanUpdateDocument>
    <TrimUDF_String_40 xmlns="4597da67-68a3-4e9d-8803-ba3e1787ab6c" xsi:nil="true"/>
    <l30152c64bc5409cb0d6af5fc7998329 xmlns="4597da67-68a3-4e9d-8803-ba3e1787ab6c">
      <Terms xmlns="http://schemas.microsoft.com/office/infopath/2007/PartnerControls"/>
    </l30152c64bc5409cb0d6af5fc7998329>
    <dd9c7627a75f4720a6ccce58a35e4d75 xmlns="4597da67-68a3-4e9d-8803-ba3e1787ab6c">
      <Terms xmlns="http://schemas.microsoft.com/office/infopath/2007/PartnerControls"/>
    </dd9c7627a75f4720a6ccce58a35e4d75>
    <hab31d4ae2264d5c8e77fd86c07e7635 xmlns="4597da67-68a3-4e9d-8803-ba3e1787ab6c">
      <Terms xmlns="http://schemas.microsoft.com/office/infopath/2007/PartnerControls"/>
    </hab31d4ae2264d5c8e77fd86c07e7635>
    <trimRootDocSecurityCaveats xmlns="4597da67-68a3-4e9d-8803-ba3e1787ab6c">
      <Value>Departmental Staff</Value>
    </trimRootDocSecurityCaveats>
    <trimRootDocACLCanModifyAccess xmlns="4597da67-68a3-4e9d-8803-ba3e1787ab6c">Inherit</trimRootDocACLCanModifyAccess>
    <l7f7762656034748af4098221ba10b64 xmlns="4597da67-68a3-4e9d-8803-ba3e1787ab6c">
      <Terms xmlns="http://schemas.microsoft.com/office/infopath/2007/PartnerControls"/>
    </l7f7762656034748af4098221ba10b64>
    <a26f7cb41fae41ebb6c8e377b7c30d71 xmlns="4597da67-68a3-4e9d-8803-ba3e1787ab6c">
      <Terms xmlns="http://schemas.microsoft.com/office/infopath/2007/PartnerControls"/>
    </a26f7cb41fae41ebb6c8e377b7c30d71>
    <e74c999a0f514bafbaad1ae53c56eac2 xmlns="4597da67-68a3-4e9d-8803-ba3e1787ab6c">
      <Terms xmlns="http://schemas.microsoft.com/office/infopath/2007/PartnerControls"/>
    </e74c999a0f514bafbaad1ae53c56eac2>
    <trimRootDocURI xmlns="4597da67-68a3-4e9d-8803-ba3e1787ab6c">4003265</trimRootDocURI>
    <trimRootDocNotes xmlns="4597da67-68a3-4e9d-8803-ba3e1787ab6c" xsi:nil="true"/>
    <TrimUDF_String_696 xmlns="4597da67-68a3-4e9d-8803-ba3e1787ab6c" xsi:nil="true"/>
    <trimRootDocACLCanContributeDocuments xmlns="4597da67-68a3-4e9d-8803-ba3e1787ab6c">Inherit</trimRootDocACLCanContributeDocuments>
    <TrimUDF_Text_698 xmlns="4597da67-68a3-4e9d-8803-ba3e1787ab6c" xsi:nil="true"/>
    <ie56bdfdc4a44ef997c05b4ed8c67594 xmlns="4597da67-68a3-4e9d-8803-ba3e1787ab6c">
      <Terms xmlns="http://schemas.microsoft.com/office/infopath/2007/PartnerControls"/>
    </ie56bdfdc4a44ef997c05b4ed8c67594>
    <trimRootDocParentURI xmlns="4597da67-68a3-4e9d-8803-ba3e1787ab6c" xsi:nil="true"/>
    <trimRootDocACLCanUpdateMetadata xmlns="4597da67-68a3-4e9d-8803-ba3e1787ab6c">Inherit</trimRootDocACLCanUpdateMetadata>
    <trimRootDocSecurityLevel xmlns="4597da67-68a3-4e9d-8803-ba3e1787ab6c">For Official Use Only</trimRootDocSecurityLevel>
    <trimRootDocACLCanViewMetadata xmlns="4597da67-68a3-4e9d-8803-ba3e1787ab6c">Inherit</trimRootDocACLCanViewMetadata>
    <TrimUDF_Text_706 xmlns="4597da67-68a3-4e9d-8803-ba3e1787ab6c" xsi:nil="true"/>
    <trimRootDocACLCanViewDocument xmlns="4597da67-68a3-4e9d-8803-ba3e1787ab6c">Inherit</trimRootDocACLCanViewDocument>
    <c1aa94c1bcce43cc9138ccb9c7bf6e69 xmlns="4597da67-68a3-4e9d-8803-ba3e1787ab6c">
      <Terms xmlns="http://schemas.microsoft.com/office/infopath/2007/PartnerControls"/>
    </c1aa94c1bcce43cc9138ccb9c7bf6e69>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33BD1-72BD-4A11-8A63-DD6014A46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da67-68a3-4e9d-8803-ba3e1787a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176034-9C51-438B-A0CD-8AD32B8BE0B1}">
  <ds:schemaRefs>
    <ds:schemaRef ds:uri="http://schemas.microsoft.com/sharepoint/v3/contenttype/forms"/>
  </ds:schemaRefs>
</ds:datastoreItem>
</file>

<file path=customXml/itemProps3.xml><?xml version="1.0" encoding="utf-8"?>
<ds:datastoreItem xmlns:ds="http://schemas.openxmlformats.org/officeDocument/2006/customXml" ds:itemID="{D7D0BCE3-4AE9-451F-AABC-9D6FFE9FDB35}">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4597da67-68a3-4e9d-8803-ba3e1787ab6c"/>
    <ds:schemaRef ds:uri="http://schemas.microsoft.com/office/2006/metadata/properties"/>
    <ds:schemaRef ds:uri="http://purl.org/dc/elements/1.1/"/>
    <ds:schemaRef ds:uri="http://www.w3.org/XML/1998/namespace"/>
  </ds:schemaRefs>
</ds:datastoreItem>
</file>

<file path=customXml/itemProps4.xml><?xml version="1.0" encoding="utf-8"?>
<ds:datastoreItem xmlns:ds="http://schemas.openxmlformats.org/officeDocument/2006/customXml" ds:itemID="{6D1373D8-0020-429D-8AEE-EB80E2561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37</Pages>
  <Words>14727</Words>
  <Characters>83946</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Telecommunications infrastructure in new developments—A new approach to competition</vt:lpstr>
    </vt:vector>
  </TitlesOfParts>
  <Company>DBCDE</Company>
  <LinksUpToDate>false</LinksUpToDate>
  <CharactersWithSpaces>98477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Telecommunications infrastructure in new developments—A new approach to competition</dc:title>
  <dc:subject>Triple, Zero, review, discussion, paper</dc:subject>
  <dc:creator>Sarah Christie</dc:creator>
  <dc:description>The Australian Government’s revised policy on the provision of telecommunications infrastructure in new developments</dc:description>
  <cp:lastModifiedBy>Hall, Theresa</cp:lastModifiedBy>
  <cp:revision>7</cp:revision>
  <cp:lastPrinted>2015-04-27T00:55:00Z</cp:lastPrinted>
  <dcterms:created xsi:type="dcterms:W3CDTF">2021-01-05T03:21:00Z</dcterms:created>
  <dcterms:modified xsi:type="dcterms:W3CDTF">2021-01-05T04:00:00Z</dcterms:modified>
  <cp:category>Other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lectedContentTypeId">
    <vt:lpwstr>0x010100407620DDFF47524F86BCF55EDD394643010019E00E38CBD7094495F643406AE40ABA</vt:lpwstr>
  </property>
  <property fmtid="{D5CDD505-2E9C-101B-9397-08002B2CF9AE}" pid="3" name="ContentType">
    <vt:lpwstr>DEPT DOCUMENT</vt:lpwstr>
  </property>
  <property fmtid="{D5CDD505-2E9C-101B-9397-08002B2CF9AE}" pid="4" name="SelectedContainerURI">
    <vt:lpwstr>2832026</vt:lpwstr>
  </property>
  <property fmtid="{D5CDD505-2E9C-101B-9397-08002B2CF9AE}" pid="5" name="ContentTypeId">
    <vt:lpwstr>0x010100407620DDFF47524F86BCF55EDD3946430100CA89A10669E3F2498928894A4219A5CC</vt:lpwstr>
  </property>
  <property fmtid="{D5CDD505-2E9C-101B-9397-08002B2CF9AE}" pid="6" name="TrimRevisionNumber">
    <vt:i4>4</vt:i4>
  </property>
  <property fmtid="{D5CDD505-2E9C-101B-9397-08002B2CF9AE}" pid="7" name="trimRootDocClassification">
    <vt:lpwstr/>
  </property>
  <property fmtid="{D5CDD505-2E9C-101B-9397-08002B2CF9AE}" pid="8" name="trimRootDocAssigneeLocation">
    <vt:lpwstr/>
  </property>
  <property fmtid="{D5CDD505-2E9C-101B-9397-08002B2CF9AE}" pid="9" name="trimRootDocACLCanUpdateMetadata_List">
    <vt:lpwstr/>
  </property>
  <property fmtid="{D5CDD505-2E9C-101B-9397-08002B2CF9AE}" pid="10" name="trimRootDocOtherContactLocation">
    <vt:lpwstr/>
  </property>
  <property fmtid="{D5CDD505-2E9C-101B-9397-08002B2CF9AE}" pid="11" name="trimRootDocACLCanModifyAccess_List">
    <vt:lpwstr/>
  </property>
  <property fmtid="{D5CDD505-2E9C-101B-9397-08002B2CF9AE}" pid="12" name="trimRootDocACLCanUpdateDocument_List">
    <vt:lpwstr/>
  </property>
  <property fmtid="{D5CDD505-2E9C-101B-9397-08002B2CF9AE}" pid="13" name="trimRootDocACLCanViewMetadata_List">
    <vt:lpwstr/>
  </property>
  <property fmtid="{D5CDD505-2E9C-101B-9397-08002B2CF9AE}" pid="14" name="trimRootDocACLCanViewDocument_List">
    <vt:lpwstr/>
  </property>
  <property fmtid="{D5CDD505-2E9C-101B-9397-08002B2CF9AE}" pid="15" name="trimRootDocOwnerLocation">
    <vt:lpwstr/>
  </property>
  <property fmtid="{D5CDD505-2E9C-101B-9397-08002B2CF9AE}" pid="16" name="trimRootDocACLCanContributeDocuments_List">
    <vt:lpwstr/>
  </property>
</Properties>
</file>