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4ADD71E1" wp14:editId="4ADD71E2">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D74A65" w:rsidRDefault="00D74A65" w:rsidP="002312DA">
      <w:pPr>
        <w:pStyle w:val="Heading1"/>
        <w:keepNext w:val="0"/>
        <w:widowControl w:val="0"/>
        <w:spacing w:before="360"/>
      </w:pPr>
      <w:bookmarkStart w:id="0" w:name="_Toc512857115"/>
      <w:r>
        <w:t>Supporting coverage of under-represented sports</w:t>
      </w:r>
    </w:p>
    <w:p w:rsidR="00D74A65" w:rsidRPr="00972012" w:rsidRDefault="00D74A65" w:rsidP="00D74A65">
      <w:pPr>
        <w:widowControl w:val="0"/>
      </w:pPr>
      <w:r w:rsidRPr="00972012">
        <w:t>Many sports that occupy a central place in the Australian sporting landscape struggle to secure consistent coverage in the mainstream media. The under-represented sports grant, which forms part of the Government’s Broadc</w:t>
      </w:r>
      <w:bookmarkStart w:id="1" w:name="_GoBack"/>
      <w:bookmarkEnd w:id="1"/>
      <w:r w:rsidRPr="00972012">
        <w:t xml:space="preserve">asting and Content Reform Package, </w:t>
      </w:r>
      <w:r>
        <w:t>is an important step in addressing</w:t>
      </w:r>
      <w:r w:rsidRPr="00972012">
        <w:t xml:space="preserve"> this coverage imbalance</w:t>
      </w:r>
      <w:r>
        <w:t xml:space="preserve"> to</w:t>
      </w:r>
      <w:r w:rsidRPr="00972012">
        <w:t xml:space="preserve"> enabl</w:t>
      </w:r>
      <w:r>
        <w:t>e</w:t>
      </w:r>
      <w:r w:rsidRPr="00972012">
        <w:t xml:space="preserve"> sporting bodies to lift participa</w:t>
      </w:r>
      <w:r>
        <w:t>tion rates and maximise growth.</w:t>
      </w:r>
    </w:p>
    <w:p w:rsidR="00D74A65" w:rsidRPr="00972012" w:rsidRDefault="00D74A65" w:rsidP="00D74A65">
      <w:pPr>
        <w:widowControl w:val="0"/>
      </w:pPr>
      <w:r>
        <w:t>The Australian Government will provide</w:t>
      </w:r>
      <w:r w:rsidRPr="00972012">
        <w:t xml:space="preserve"> $30 million to Fox Sports from </w:t>
      </w:r>
      <w:r>
        <w:t>2017–18</w:t>
      </w:r>
      <w:r w:rsidRPr="00972012">
        <w:t xml:space="preserve"> to </w:t>
      </w:r>
      <w:r>
        <w:t>2020–21</w:t>
      </w:r>
      <w:r w:rsidRPr="00972012">
        <w:t xml:space="preserve"> to support television and online coverage of sports that receive low or no broadcast exposure: women's sports, niche sports, and those sports that command high levels of community</w:t>
      </w:r>
      <w:r>
        <w:t xml:space="preserve"> involvement and participation.</w:t>
      </w:r>
    </w:p>
    <w:p w:rsidR="00D74A65" w:rsidRDefault="00D74A65" w:rsidP="00D74A65">
      <w:pPr>
        <w:pStyle w:val="Heading2"/>
      </w:pPr>
      <w:r>
        <w:t xml:space="preserve">Fox Sports’ deliverables in </w:t>
      </w:r>
      <w:r>
        <w:t>2017–18</w:t>
      </w:r>
    </w:p>
    <w:p w:rsidR="00D74A65" w:rsidRDefault="00D74A65" w:rsidP="00D74A65">
      <w:pPr>
        <w:widowControl w:val="0"/>
      </w:pPr>
      <w:r>
        <w:t xml:space="preserve">Fox Sports has provided its </w:t>
      </w:r>
      <w:r>
        <w:t>2017–18</w:t>
      </w:r>
      <w:r>
        <w:t xml:space="preserve"> Performance Report to the Department of Communications and the Arts. The report outlines Fox Sports’ performance against the requirements set out in the funding agreement, including the sports that benefited from funding, breakdown of expenditure, and coverage for the selected sports.</w:t>
      </w:r>
    </w:p>
    <w:p w:rsidR="00D74A65" w:rsidRDefault="00D74A65" w:rsidP="00D74A65">
      <w:pPr>
        <w:widowControl w:val="0"/>
      </w:pPr>
      <w:r>
        <w:t>In summary, the report shows:</w:t>
      </w:r>
    </w:p>
    <w:p w:rsidR="00D74A65" w:rsidRPr="00D74A65" w:rsidRDefault="00D74A65" w:rsidP="00D74A65">
      <w:pPr>
        <w:pStyle w:val="Bulletlevel1"/>
      </w:pPr>
      <w:r>
        <w:t>mor</w:t>
      </w:r>
      <w:r w:rsidRPr="00D74A65">
        <w:t>e than 4,800 hours of content covered by the funding agreement was broadcast during the 2017–18 financial year, including around 1,600 live hours</w:t>
      </w:r>
    </w:p>
    <w:p w:rsidR="00D74A65" w:rsidRPr="00D74A65" w:rsidRDefault="00D74A65" w:rsidP="00D74A65">
      <w:pPr>
        <w:pStyle w:val="Bulletlevel1"/>
      </w:pPr>
      <w:r w:rsidRPr="00D74A65">
        <w:t>it exceeded the forecast broadcast hours in the 2017–18 Strategic Roadmap by 24 per cent</w:t>
      </w:r>
    </w:p>
    <w:p w:rsidR="00D74A65" w:rsidRPr="00D74A65" w:rsidRDefault="00D74A65" w:rsidP="00D74A65">
      <w:pPr>
        <w:pStyle w:val="Bulletlevel1"/>
      </w:pPr>
      <w:r w:rsidRPr="00D74A65">
        <w:t xml:space="preserve">total coverage represented a 39 per cent increase on broadcast hours during the </w:t>
      </w:r>
      <w:r>
        <w:t>2016–17</w:t>
      </w:r>
      <w:r w:rsidRPr="00D74A65">
        <w:t xml:space="preserve"> financial year</w:t>
      </w:r>
    </w:p>
    <w:p w:rsidR="00D74A65" w:rsidRPr="00D74A65" w:rsidRDefault="00D74A65" w:rsidP="00D74A65">
      <w:pPr>
        <w:pStyle w:val="Bulletlevel1"/>
      </w:pPr>
      <w:r w:rsidRPr="00D74A65">
        <w:t>42 different sport competitions benefited from funding, with 26 new programs or events receiving coverage or benefiting from grant funding</w:t>
      </w:r>
    </w:p>
    <w:p w:rsidR="00D74A65" w:rsidRDefault="00D74A65" w:rsidP="00D74A65">
      <w:pPr>
        <w:pStyle w:val="Bulletlevel1"/>
      </w:pPr>
      <w:r w:rsidRPr="00D74A65">
        <w:t>Fox Spo</w:t>
      </w:r>
      <w:r>
        <w:t xml:space="preserve">rts achieved all of its key performance indicators for the </w:t>
      </w:r>
      <w:r>
        <w:t>2017–18</w:t>
      </w:r>
      <w:r>
        <w:t xml:space="preserve"> financial year.</w:t>
      </w:r>
    </w:p>
    <w:p w:rsidR="00D74A65" w:rsidRDefault="00D74A65" w:rsidP="00D74A65">
      <w:pPr>
        <w:pStyle w:val="Heading2"/>
      </w:pPr>
      <w:r>
        <w:t xml:space="preserve">Success stories in </w:t>
      </w:r>
      <w:r>
        <w:t>2017–18</w:t>
      </w:r>
    </w:p>
    <w:p w:rsidR="00D74A65" w:rsidRDefault="00D74A65" w:rsidP="00D74A65">
      <w:pPr>
        <w:pStyle w:val="Bulletlevel1"/>
        <w:widowControl w:val="0"/>
        <w:numPr>
          <w:ilvl w:val="0"/>
          <w:numId w:val="0"/>
        </w:numPr>
        <w:spacing w:before="240" w:after="240"/>
        <w:contextualSpacing w:val="0"/>
      </w:pPr>
      <w:r>
        <w:t>Fox Sports has worked closely with a range of sports bodies and rights holders to establish partnerships to assist the sports beyond just improving their coverage. Some of these include:</w:t>
      </w:r>
    </w:p>
    <w:p w:rsidR="00D74A65" w:rsidRDefault="00D74A65" w:rsidP="00D74A65">
      <w:pPr>
        <w:pStyle w:val="Bulletlevel1"/>
      </w:pPr>
      <w:r>
        <w:t xml:space="preserve">Acquiring the rights and providing broadcast coverage for the Women’s National Basketball League (WNBL). Fox Sports also provided media training to players, and established ‘Project Leap’, </w:t>
      </w:r>
      <w:r w:rsidRPr="00A91489">
        <w:t>a team of women from different business functions who worked with the WNBL to</w:t>
      </w:r>
      <w:r>
        <w:t xml:space="preserve"> produce broadcast coverage and on-air promotions,</w:t>
      </w:r>
      <w:r w:rsidRPr="00A91489">
        <w:t xml:space="preserve"> assist with </w:t>
      </w:r>
      <w:r>
        <w:t xml:space="preserve">marketing and </w:t>
      </w:r>
      <w:r w:rsidRPr="00A91489">
        <w:t xml:space="preserve">publicity </w:t>
      </w:r>
      <w:r>
        <w:t>as well as improve the WNBL’s digital assets</w:t>
      </w:r>
      <w:r w:rsidRPr="00A91489">
        <w:t>.</w:t>
      </w:r>
      <w:r>
        <w:t xml:space="preserve"> This support has enabled the WNBL to secure Chemist Warehouse as a naming rights sponsor for next three years commencing with the </w:t>
      </w:r>
      <w:r>
        <w:t>2018–19</w:t>
      </w:r>
      <w:r>
        <w:t xml:space="preserve"> season.</w:t>
      </w:r>
    </w:p>
    <w:p w:rsidR="00D74A65" w:rsidRDefault="00D74A65" w:rsidP="00D74A65">
      <w:pPr>
        <w:pStyle w:val="Bulletlevel1"/>
      </w:pPr>
      <w:r>
        <w:t>Providing a pathway for female golfers to participate in competitions forming part of the Ladies European Tour. Amy Walsh, one of Australia’s best up and coming female golfers, was the first golfer to benefit from this relationship and was able to participate in the 2017 and 2018 LET Thailand Open</w:t>
      </w:r>
      <w:r w:rsidRPr="005D49FF">
        <w:t>.</w:t>
      </w:r>
    </w:p>
    <w:p w:rsidR="00D74A65" w:rsidRDefault="00D74A65" w:rsidP="00D74A65">
      <w:pPr>
        <w:pStyle w:val="Bulletlevel1"/>
      </w:pPr>
      <w:r>
        <w:lastRenderedPageBreak/>
        <w:t>Securing a new partnership with the International Hockey Federation to broadcast its premier international events. This partnership will ensure that hockey’s exposure will increase outside of the Olympic cycle.</w:t>
      </w:r>
    </w:p>
    <w:p w:rsidR="00D74A65" w:rsidRPr="00972012" w:rsidRDefault="00D74A65" w:rsidP="00D74A65">
      <w:pPr>
        <w:pStyle w:val="Heading2"/>
      </w:pPr>
      <w:r>
        <w:t>S</w:t>
      </w:r>
      <w:r w:rsidRPr="00972012">
        <w:t>ports supported in 201</w:t>
      </w:r>
      <w:r>
        <w:t>8</w:t>
      </w:r>
      <w:r>
        <w:t>–</w:t>
      </w:r>
      <w:r w:rsidRPr="00972012">
        <w:t>1</w:t>
      </w:r>
      <w:r>
        <w:t>9</w:t>
      </w:r>
    </w:p>
    <w:p w:rsidR="00D74A65" w:rsidRPr="00972012" w:rsidRDefault="00D74A65" w:rsidP="00D74A65">
      <w:pPr>
        <w:widowControl w:val="0"/>
      </w:pPr>
      <w:r w:rsidRPr="00972012">
        <w:t xml:space="preserve">Fox Sports will provide enhanced coverage of </w:t>
      </w:r>
      <w:r>
        <w:t>11 different sports</w:t>
      </w:r>
      <w:r w:rsidRPr="00972012">
        <w:t xml:space="preserve"> in 201</w:t>
      </w:r>
      <w:r>
        <w:t>8</w:t>
      </w:r>
      <w:r w:rsidRPr="00972012">
        <w:t>–1</w:t>
      </w:r>
      <w:r>
        <w:t>9</w:t>
      </w:r>
      <w:r w:rsidRPr="00972012">
        <w:t xml:space="preserve"> (outlined below). </w:t>
      </w:r>
      <w:r>
        <w:t>I</w:t>
      </w:r>
      <w:r w:rsidRPr="00972012">
        <w:t xml:space="preserve">t is expected Fox Sports will broadcast </w:t>
      </w:r>
      <w:r>
        <w:t>around</w:t>
      </w:r>
      <w:r w:rsidRPr="00972012">
        <w:t xml:space="preserve"> 1,300 hours of live coverage, and </w:t>
      </w:r>
      <w:r>
        <w:t>around</w:t>
      </w:r>
      <w:r w:rsidRPr="00972012">
        <w:t xml:space="preserve"> </w:t>
      </w:r>
      <w:r>
        <w:t>3</w:t>
      </w:r>
      <w:r w:rsidRPr="00972012">
        <w:t>,000 hours of coverage in total, of women’s</w:t>
      </w:r>
      <w:r>
        <w:t>,</w:t>
      </w:r>
      <w:r w:rsidRPr="00972012">
        <w:t xml:space="preserve"> niche and emerging sports. </w:t>
      </w:r>
    </w:p>
    <w:p w:rsidR="00D74A65" w:rsidRPr="00972012" w:rsidRDefault="00D74A65" w:rsidP="00D74A65">
      <w:pPr>
        <w:widowControl w:val="0"/>
      </w:pPr>
      <w:r w:rsidRPr="00972012">
        <w:t xml:space="preserve">Details of the </w:t>
      </w:r>
      <w:r>
        <w:t>sports</w:t>
      </w:r>
      <w:r w:rsidRPr="00972012">
        <w:t xml:space="preserve"> that will be supported through the grant in 201</w:t>
      </w:r>
      <w:r>
        <w:t>8</w:t>
      </w:r>
      <w:r w:rsidRPr="00972012">
        <w:t>–1</w:t>
      </w:r>
      <w:r>
        <w:t>9:</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ports supported in 2018–19."/>
      </w:tblPr>
      <w:tblGrid>
        <w:gridCol w:w="1418"/>
        <w:gridCol w:w="3544"/>
        <w:gridCol w:w="4394"/>
      </w:tblGrid>
      <w:tr w:rsidR="002117E6" w:rsidTr="00D74A65">
        <w:trPr>
          <w:cantSplit/>
          <w:tblHeader/>
        </w:trPr>
        <w:tc>
          <w:tcPr>
            <w:tcW w:w="1418" w:type="dxa"/>
            <w:tcBorders>
              <w:top w:val="nil"/>
              <w:left w:val="nil"/>
              <w:bottom w:val="thickThinLargeGap" w:sz="24" w:space="0" w:color="auto"/>
              <w:right w:val="nil"/>
            </w:tcBorders>
            <w:shd w:val="clear" w:color="auto" w:fill="E4E4E4"/>
          </w:tcPr>
          <w:bookmarkEnd w:id="0"/>
          <w:p w:rsidR="002117E6" w:rsidRDefault="00D74A65" w:rsidP="00705B86">
            <w:pPr>
              <w:pStyle w:val="Tablerowcolumnheading"/>
            </w:pPr>
            <w:r>
              <w:t>Sport</w:t>
            </w:r>
          </w:p>
        </w:tc>
        <w:tc>
          <w:tcPr>
            <w:tcW w:w="3544" w:type="dxa"/>
            <w:tcBorders>
              <w:top w:val="nil"/>
              <w:left w:val="nil"/>
              <w:bottom w:val="thickThinLargeGap" w:sz="24" w:space="0" w:color="auto"/>
              <w:right w:val="nil"/>
            </w:tcBorders>
            <w:shd w:val="clear" w:color="auto" w:fill="E4E4E4"/>
          </w:tcPr>
          <w:p w:rsidR="002117E6" w:rsidRDefault="00D74A65" w:rsidP="00705B86">
            <w:pPr>
              <w:pStyle w:val="Tablerowcolumnheading"/>
            </w:pPr>
            <w:r>
              <w:t>Competition</w:t>
            </w:r>
          </w:p>
        </w:tc>
        <w:tc>
          <w:tcPr>
            <w:tcW w:w="4394" w:type="dxa"/>
            <w:tcBorders>
              <w:top w:val="nil"/>
              <w:left w:val="nil"/>
              <w:bottom w:val="thickThinLargeGap" w:sz="24" w:space="0" w:color="auto"/>
              <w:right w:val="nil"/>
            </w:tcBorders>
            <w:shd w:val="clear" w:color="auto" w:fill="E4E4E4"/>
          </w:tcPr>
          <w:p w:rsidR="002117E6" w:rsidRDefault="00D74A65" w:rsidP="00D74A65">
            <w:pPr>
              <w:pStyle w:val="Tablerowcolumnheading"/>
            </w:pPr>
            <w:r>
              <w:t>Anticipated coverage increase in 2018–19*</w:t>
            </w:r>
          </w:p>
        </w:tc>
      </w:tr>
      <w:tr w:rsidR="00D74A65" w:rsidTr="00D74A65">
        <w:trPr>
          <w:cantSplit/>
        </w:trPr>
        <w:tc>
          <w:tcPr>
            <w:tcW w:w="1418" w:type="dxa"/>
            <w:tcBorders>
              <w:top w:val="thickThinLargeGap" w:sz="24" w:space="0" w:color="auto"/>
              <w:left w:val="nil"/>
              <w:bottom w:val="single" w:sz="4" w:space="0" w:color="auto"/>
              <w:right w:val="nil"/>
            </w:tcBorders>
          </w:tcPr>
          <w:p w:rsidR="00D74A65" w:rsidRPr="008F5647" w:rsidRDefault="00D74A65" w:rsidP="00D74A65">
            <w:pPr>
              <w:pStyle w:val="Tabletext"/>
            </w:pPr>
            <w:r>
              <w:t>Football</w:t>
            </w:r>
          </w:p>
        </w:tc>
        <w:tc>
          <w:tcPr>
            <w:tcW w:w="3544" w:type="dxa"/>
            <w:tcBorders>
              <w:top w:val="thickThinLargeGap" w:sz="24" w:space="0" w:color="auto"/>
              <w:left w:val="nil"/>
              <w:bottom w:val="single" w:sz="4" w:space="0" w:color="auto"/>
              <w:right w:val="nil"/>
            </w:tcBorders>
          </w:tcPr>
          <w:p w:rsidR="00D74A65" w:rsidRPr="00D74A65" w:rsidRDefault="00D74A65" w:rsidP="00D74A65">
            <w:pPr>
              <w:pStyle w:val="tabletext-bullet"/>
            </w:pPr>
            <w:r w:rsidRPr="00D74A65">
              <w:t>W-League</w:t>
            </w:r>
          </w:p>
          <w:p w:rsidR="00D74A65" w:rsidRPr="00D74A65" w:rsidRDefault="00D74A65" w:rsidP="00D74A65">
            <w:pPr>
              <w:pStyle w:val="tabletext-bullet"/>
            </w:pPr>
            <w:r w:rsidRPr="00D74A65">
              <w:t>FFA Cup</w:t>
            </w:r>
          </w:p>
          <w:p w:rsidR="00D74A65" w:rsidRPr="00D74A65" w:rsidRDefault="00D74A65" w:rsidP="00D74A65">
            <w:pPr>
              <w:pStyle w:val="tabletext-bullet"/>
            </w:pPr>
            <w:r w:rsidRPr="00D74A65">
              <w:t>Tournament of Nations</w:t>
            </w:r>
          </w:p>
          <w:p w:rsidR="00D74A65" w:rsidRPr="008F5647" w:rsidRDefault="00D74A65" w:rsidP="00D74A65">
            <w:pPr>
              <w:pStyle w:val="tabletext-bullet"/>
            </w:pPr>
            <w:r w:rsidRPr="00D74A65">
              <w:t>Matildas</w:t>
            </w:r>
          </w:p>
        </w:tc>
        <w:tc>
          <w:tcPr>
            <w:tcW w:w="4394" w:type="dxa"/>
            <w:tcBorders>
              <w:top w:val="thickThinLargeGap" w:sz="24" w:space="0" w:color="auto"/>
              <w:left w:val="nil"/>
              <w:bottom w:val="single" w:sz="4" w:space="0" w:color="auto"/>
              <w:right w:val="nil"/>
            </w:tcBorders>
          </w:tcPr>
          <w:p w:rsidR="00D74A65" w:rsidRDefault="00D74A65" w:rsidP="00D74A65">
            <w:pPr>
              <w:pStyle w:val="tabletext-bullet"/>
            </w:pPr>
            <w:r>
              <w:t>Live: 100%; Delayed: 38.95%; Total: 55.38%</w:t>
            </w:r>
          </w:p>
          <w:p w:rsidR="00D74A65" w:rsidRDefault="00D74A65" w:rsidP="00D74A65">
            <w:pPr>
              <w:pStyle w:val="tabletext-bullet"/>
            </w:pPr>
            <w:r>
              <w:t>Live: 28%; Delayed: -21.25%; Total: -9.52%</w:t>
            </w:r>
          </w:p>
          <w:p w:rsidR="00D74A65" w:rsidRDefault="00D74A65" w:rsidP="00D74A65">
            <w:pPr>
              <w:pStyle w:val="tabletext-bullet"/>
            </w:pPr>
            <w:r>
              <w:t>New inclusion in grant allocation in 2018–19 (no coverage in 2016–17)</w:t>
            </w:r>
          </w:p>
          <w:p w:rsidR="00D74A65" w:rsidRPr="008F5647" w:rsidRDefault="00D74A65" w:rsidP="00D74A65">
            <w:pPr>
              <w:pStyle w:val="tabletext-bullet"/>
            </w:pPr>
            <w:r>
              <w:t>Live: -25%; Delayed: 35.71%; Total: 13.64%</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Cricket</w:t>
            </w:r>
          </w:p>
        </w:tc>
        <w:tc>
          <w:tcPr>
            <w:tcW w:w="3544" w:type="dxa"/>
            <w:tcBorders>
              <w:top w:val="single" w:sz="4" w:space="0" w:color="auto"/>
              <w:left w:val="nil"/>
              <w:bottom w:val="single" w:sz="4" w:space="0" w:color="auto"/>
              <w:right w:val="nil"/>
            </w:tcBorders>
          </w:tcPr>
          <w:p w:rsidR="00D74A65" w:rsidRPr="00D74A65" w:rsidRDefault="00D74A65" w:rsidP="00D74A65">
            <w:pPr>
              <w:pStyle w:val="tabletext-bullet"/>
            </w:pPr>
            <w:r w:rsidRPr="00D74A65">
              <w:t>WBBL</w:t>
            </w:r>
          </w:p>
          <w:p w:rsidR="00D74A65" w:rsidRPr="00D74A65" w:rsidRDefault="00D74A65" w:rsidP="00D74A65">
            <w:pPr>
              <w:pStyle w:val="tabletext-bullet"/>
            </w:pPr>
            <w:r w:rsidRPr="00D74A65">
              <w:t>Australian Women’s Cricket Team</w:t>
            </w:r>
          </w:p>
          <w:p w:rsidR="00D74A65" w:rsidRPr="005D49FF" w:rsidRDefault="00D74A65" w:rsidP="00D74A65">
            <w:pPr>
              <w:pStyle w:val="tabletext-bullet"/>
            </w:pPr>
            <w:r w:rsidRPr="00D74A65">
              <w:t>ICC Women’s World Twenty20</w:t>
            </w:r>
          </w:p>
        </w:tc>
        <w:tc>
          <w:tcPr>
            <w:tcW w:w="4394" w:type="dxa"/>
            <w:tcBorders>
              <w:top w:val="single" w:sz="4" w:space="0" w:color="auto"/>
              <w:left w:val="nil"/>
              <w:bottom w:val="single" w:sz="4" w:space="0" w:color="auto"/>
              <w:right w:val="nil"/>
            </w:tcBorders>
          </w:tcPr>
          <w:p w:rsidR="00D74A65" w:rsidRPr="005D49FF" w:rsidRDefault="00D74A65" w:rsidP="00D74A65">
            <w:pPr>
              <w:pStyle w:val="tabletext-bullet"/>
            </w:pPr>
            <w:r w:rsidRPr="005D49FF">
              <w:t>New</w:t>
            </w:r>
            <w:r>
              <w:t xml:space="preserve"> inclusion in grant allocation</w:t>
            </w:r>
            <w:r w:rsidRPr="005D49FF">
              <w:t xml:space="preserve"> in </w:t>
            </w:r>
            <w:r>
              <w:t>2018–19</w:t>
            </w:r>
            <w:r w:rsidRPr="005D49FF">
              <w:t xml:space="preserve"> (</w:t>
            </w:r>
            <w:r>
              <w:t xml:space="preserve">Fox Sports anticipates a 100% increase in live coverage in 2018–19)  </w:t>
            </w:r>
          </w:p>
          <w:p w:rsidR="00D74A65" w:rsidRPr="00BE1AB6" w:rsidRDefault="00D74A65" w:rsidP="00D74A65">
            <w:pPr>
              <w:pStyle w:val="tabletext-bullet"/>
            </w:pPr>
            <w:r w:rsidRPr="00BE1AB6">
              <w:t xml:space="preserve">New inclusion in grant allocation in </w:t>
            </w:r>
            <w:r>
              <w:t>2018–19</w:t>
            </w:r>
            <w:r w:rsidRPr="00BE1AB6">
              <w:t xml:space="preserve"> (Fox Sports anticipates a 100% increase in live coverage in </w:t>
            </w:r>
            <w:r>
              <w:t>2018–19</w:t>
            </w:r>
            <w:r w:rsidRPr="00BE1AB6">
              <w:t>)</w:t>
            </w:r>
          </w:p>
          <w:p w:rsidR="00D74A65" w:rsidRPr="005D49FF" w:rsidRDefault="00D74A65" w:rsidP="00D74A65">
            <w:pPr>
              <w:pStyle w:val="tabletext-bullet"/>
            </w:pPr>
            <w:r>
              <w:t>Biannual event last held in 2015-16</w:t>
            </w:r>
            <w:r w:rsidRPr="005D49FF">
              <w:t xml:space="preserve"> (</w:t>
            </w:r>
            <w:r>
              <w:t xml:space="preserve">as such </w:t>
            </w:r>
            <w:r w:rsidRPr="005D49FF">
              <w:t xml:space="preserve">no coverage in </w:t>
            </w:r>
            <w:r>
              <w:t>2016–17</w:t>
            </w:r>
            <w:r w:rsidRPr="005D49FF">
              <w:t xml:space="preserve"> or </w:t>
            </w:r>
            <w:r>
              <w:t>2017–18, however Fox Sports anticipates a 100% increase in live coverage in comparison to the last event</w:t>
            </w:r>
            <w:r w:rsidRPr="005D49FF">
              <w:t>)</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 xml:space="preserve">Rugby Union </w:t>
            </w:r>
          </w:p>
        </w:tc>
        <w:tc>
          <w:tcPr>
            <w:tcW w:w="3544" w:type="dxa"/>
            <w:tcBorders>
              <w:top w:val="single" w:sz="4" w:space="0" w:color="auto"/>
              <w:left w:val="nil"/>
              <w:bottom w:val="single" w:sz="4" w:space="0" w:color="auto"/>
              <w:right w:val="nil"/>
            </w:tcBorders>
          </w:tcPr>
          <w:p w:rsidR="00D74A65" w:rsidRPr="00D74A65" w:rsidRDefault="00D74A65" w:rsidP="00D74A65">
            <w:pPr>
              <w:pStyle w:val="tabletext-bullet"/>
            </w:pPr>
            <w:r w:rsidRPr="00D74A65">
              <w:t>Super W</w:t>
            </w:r>
          </w:p>
          <w:p w:rsidR="00D74A65" w:rsidRPr="00D74A65" w:rsidRDefault="00D74A65" w:rsidP="00D74A65">
            <w:pPr>
              <w:pStyle w:val="tabletext-bullet"/>
            </w:pPr>
            <w:r w:rsidRPr="00D74A65">
              <w:t>Rugby Sevens (Men’s)</w:t>
            </w:r>
          </w:p>
          <w:p w:rsidR="00D74A65" w:rsidRPr="008F5647" w:rsidRDefault="00D74A65" w:rsidP="00D74A65">
            <w:pPr>
              <w:pStyle w:val="tabletext-bullet"/>
            </w:pPr>
            <w:r w:rsidRPr="00D74A65">
              <w:t>Rugby Seven (Women’s)</w:t>
            </w:r>
          </w:p>
        </w:tc>
        <w:tc>
          <w:tcPr>
            <w:tcW w:w="439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No coverage in 2016–17, similar increase in coverage as 2017–18</w:t>
            </w:r>
          </w:p>
          <w:p w:rsidR="00D74A65" w:rsidRPr="005D49FF" w:rsidRDefault="00D74A65" w:rsidP="00D74A65">
            <w:pPr>
              <w:pStyle w:val="tabletext-bullet"/>
              <w:rPr>
                <w:sz w:val="21"/>
                <w:szCs w:val="21"/>
              </w:rPr>
            </w:pPr>
            <w:r w:rsidRPr="005D49FF">
              <w:rPr>
                <w:sz w:val="21"/>
                <w:szCs w:val="21"/>
              </w:rPr>
              <w:t>Live: 6.32%; Delayed: -37.74%; Total: -21.26%</w:t>
            </w:r>
          </w:p>
          <w:p w:rsidR="00D74A65" w:rsidRPr="005D49FF" w:rsidRDefault="00D74A65" w:rsidP="00D74A65">
            <w:pPr>
              <w:pStyle w:val="tabletext-bullet"/>
              <w:rPr>
                <w:sz w:val="21"/>
                <w:szCs w:val="21"/>
              </w:rPr>
            </w:pPr>
            <w:r w:rsidRPr="005D49FF">
              <w:rPr>
                <w:sz w:val="21"/>
                <w:szCs w:val="21"/>
              </w:rPr>
              <w:t>Live: 12%; Delayed: -56%; Total: - 33.33%</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 xml:space="preserve">Rugby League </w:t>
            </w:r>
          </w:p>
        </w:tc>
        <w:tc>
          <w:tcPr>
            <w:tcW w:w="3544" w:type="dxa"/>
            <w:tcBorders>
              <w:top w:val="single" w:sz="4" w:space="0" w:color="auto"/>
              <w:left w:val="nil"/>
              <w:bottom w:val="single" w:sz="4" w:space="0" w:color="auto"/>
              <w:right w:val="nil"/>
            </w:tcBorders>
          </w:tcPr>
          <w:p w:rsidR="00D74A65" w:rsidRPr="00D74A65" w:rsidRDefault="00D74A65" w:rsidP="00D74A65">
            <w:pPr>
              <w:pStyle w:val="tabletext-bullet"/>
            </w:pPr>
            <w:r w:rsidRPr="00D74A65">
              <w:t>Wo</w:t>
            </w:r>
            <w:r>
              <w:t>men’s Tests and State of Origin</w:t>
            </w:r>
          </w:p>
          <w:p w:rsidR="00D74A65" w:rsidRPr="00D74A65" w:rsidRDefault="00D74A65" w:rsidP="00D74A65">
            <w:pPr>
              <w:pStyle w:val="tabletext-bullet"/>
            </w:pPr>
            <w:r w:rsidRPr="00D74A65">
              <w:t>NRL Touch Premiership</w:t>
            </w:r>
          </w:p>
          <w:p w:rsidR="00D74A65" w:rsidRPr="00BA3835" w:rsidRDefault="00D74A65" w:rsidP="00D74A65">
            <w:pPr>
              <w:pStyle w:val="tabletext-bullet"/>
            </w:pPr>
            <w:r w:rsidRPr="00D74A65">
              <w:t>League Life</w:t>
            </w:r>
          </w:p>
        </w:tc>
        <w:tc>
          <w:tcPr>
            <w:tcW w:w="4394" w:type="dxa"/>
            <w:tcBorders>
              <w:top w:val="single" w:sz="4" w:space="0" w:color="auto"/>
              <w:left w:val="nil"/>
              <w:bottom w:val="single" w:sz="4" w:space="0" w:color="auto"/>
              <w:right w:val="nil"/>
            </w:tcBorders>
          </w:tcPr>
          <w:p w:rsidR="00D74A65" w:rsidRPr="000E3ED7" w:rsidRDefault="00D74A65" w:rsidP="00D74A65">
            <w:pPr>
              <w:pStyle w:val="tabletext-bullet"/>
              <w:rPr>
                <w:sz w:val="21"/>
                <w:szCs w:val="21"/>
              </w:rPr>
            </w:pPr>
            <w:r w:rsidRPr="00C11013">
              <w:rPr>
                <w:sz w:val="21"/>
                <w:szCs w:val="21"/>
              </w:rPr>
              <w:t xml:space="preserve">Live: No change; </w:t>
            </w:r>
            <w:r w:rsidRPr="001D6257">
              <w:rPr>
                <w:sz w:val="21"/>
                <w:szCs w:val="21"/>
              </w:rPr>
              <w:t>Delayed: 280%; Total: 340%</w:t>
            </w:r>
          </w:p>
          <w:p w:rsidR="00D74A65" w:rsidRPr="00C87111" w:rsidRDefault="00D74A65" w:rsidP="00D74A65">
            <w:pPr>
              <w:pStyle w:val="tabletext-bullet"/>
              <w:rPr>
                <w:sz w:val="21"/>
                <w:szCs w:val="21"/>
              </w:rPr>
            </w:pPr>
            <w:r>
              <w:rPr>
                <w:sz w:val="21"/>
                <w:szCs w:val="21"/>
              </w:rPr>
              <w:t>No coverage in 2016–17, similar increase in coverage as 2017–18</w:t>
            </w:r>
          </w:p>
          <w:p w:rsidR="00D74A65" w:rsidRPr="008471D0" w:rsidRDefault="00D74A65" w:rsidP="00D74A65">
            <w:pPr>
              <w:pStyle w:val="tabletext-bullet"/>
              <w:rPr>
                <w:sz w:val="21"/>
                <w:szCs w:val="21"/>
              </w:rPr>
            </w:pPr>
            <w:r>
              <w:rPr>
                <w:sz w:val="21"/>
                <w:szCs w:val="21"/>
              </w:rPr>
              <w:t>Live: 57.14%; Delayed: 71.19%; Total: 69.70%</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Cycling</w:t>
            </w:r>
          </w:p>
        </w:tc>
        <w:tc>
          <w:tcPr>
            <w:tcW w:w="3544" w:type="dxa"/>
            <w:tcBorders>
              <w:top w:val="single" w:sz="4" w:space="0" w:color="auto"/>
              <w:left w:val="nil"/>
              <w:bottom w:val="single" w:sz="4" w:space="0" w:color="auto"/>
              <w:right w:val="nil"/>
            </w:tcBorders>
          </w:tcPr>
          <w:p w:rsidR="00D74A65" w:rsidRPr="000E3ED7" w:rsidRDefault="00D74A65" w:rsidP="00D74A65">
            <w:pPr>
              <w:pStyle w:val="tabletext-bullet"/>
              <w:rPr>
                <w:sz w:val="21"/>
                <w:szCs w:val="21"/>
              </w:rPr>
            </w:pPr>
            <w:r w:rsidRPr="000E3ED7">
              <w:rPr>
                <w:sz w:val="21"/>
                <w:szCs w:val="21"/>
              </w:rPr>
              <w:t>Road National Championships</w:t>
            </w:r>
          </w:p>
          <w:p w:rsidR="00D74A65" w:rsidRDefault="00D74A65" w:rsidP="00D74A65">
            <w:pPr>
              <w:pStyle w:val="tabletext-bullet"/>
              <w:rPr>
                <w:sz w:val="21"/>
                <w:szCs w:val="21"/>
              </w:rPr>
            </w:pPr>
            <w:r w:rsidRPr="000E3ED7">
              <w:rPr>
                <w:sz w:val="21"/>
                <w:szCs w:val="21"/>
              </w:rPr>
              <w:t>National Road Series</w:t>
            </w:r>
          </w:p>
          <w:p w:rsidR="00D74A65" w:rsidRPr="000E3ED7" w:rsidRDefault="00D74A65" w:rsidP="00D74A65">
            <w:pPr>
              <w:pStyle w:val="tabletext-bullet"/>
              <w:rPr>
                <w:sz w:val="21"/>
                <w:szCs w:val="21"/>
              </w:rPr>
            </w:pPr>
            <w:r w:rsidRPr="000E3ED7">
              <w:rPr>
                <w:sz w:val="21"/>
                <w:szCs w:val="21"/>
              </w:rPr>
              <w:t>National Track Championships</w:t>
            </w:r>
          </w:p>
        </w:tc>
        <w:tc>
          <w:tcPr>
            <w:tcW w:w="4394" w:type="dxa"/>
            <w:tcBorders>
              <w:top w:val="single" w:sz="4" w:space="0" w:color="auto"/>
              <w:left w:val="nil"/>
              <w:bottom w:val="single" w:sz="4" w:space="0" w:color="auto"/>
              <w:right w:val="nil"/>
            </w:tcBorders>
          </w:tcPr>
          <w:p w:rsidR="00D74A65" w:rsidRPr="000E3ED7" w:rsidRDefault="00D74A65" w:rsidP="00D74A65">
            <w:pPr>
              <w:pStyle w:val="tabletext-bullet"/>
              <w:rPr>
                <w:sz w:val="21"/>
                <w:szCs w:val="21"/>
              </w:rPr>
            </w:pPr>
            <w:r w:rsidRPr="000E3ED7">
              <w:rPr>
                <w:sz w:val="21"/>
                <w:szCs w:val="21"/>
              </w:rPr>
              <w:t>Live: 220%; Delayed: -57.14%; Total: -34.43%</w:t>
            </w:r>
          </w:p>
          <w:p w:rsidR="00D74A65" w:rsidRPr="000E3ED7" w:rsidRDefault="00D74A65" w:rsidP="00D74A65">
            <w:pPr>
              <w:pStyle w:val="tabletext-bullet"/>
              <w:rPr>
                <w:sz w:val="21"/>
                <w:szCs w:val="21"/>
              </w:rPr>
            </w:pPr>
            <w:r w:rsidRPr="000E3ED7">
              <w:rPr>
                <w:sz w:val="21"/>
                <w:szCs w:val="21"/>
              </w:rPr>
              <w:t xml:space="preserve">New in </w:t>
            </w:r>
            <w:r>
              <w:rPr>
                <w:sz w:val="21"/>
                <w:szCs w:val="21"/>
              </w:rPr>
              <w:t>2018–19</w:t>
            </w:r>
            <w:r w:rsidRPr="000E3ED7">
              <w:rPr>
                <w:sz w:val="21"/>
                <w:szCs w:val="21"/>
              </w:rPr>
              <w:t xml:space="preserve"> (no coverage in </w:t>
            </w:r>
            <w:r>
              <w:rPr>
                <w:sz w:val="21"/>
                <w:szCs w:val="21"/>
              </w:rPr>
              <w:t>2016–17</w:t>
            </w:r>
            <w:r w:rsidRPr="000E3ED7">
              <w:rPr>
                <w:sz w:val="21"/>
                <w:szCs w:val="21"/>
              </w:rPr>
              <w:t xml:space="preserve"> or </w:t>
            </w:r>
            <w:r>
              <w:rPr>
                <w:sz w:val="21"/>
                <w:szCs w:val="21"/>
              </w:rPr>
              <w:t>2017–18</w:t>
            </w:r>
            <w:r w:rsidRPr="000E3ED7">
              <w:rPr>
                <w:sz w:val="21"/>
                <w:szCs w:val="21"/>
              </w:rPr>
              <w:t>)</w:t>
            </w:r>
          </w:p>
          <w:p w:rsidR="00D74A65" w:rsidRPr="000E3ED7" w:rsidRDefault="00D74A65" w:rsidP="00D74A65">
            <w:pPr>
              <w:pStyle w:val="tabletext-bullet"/>
              <w:rPr>
                <w:sz w:val="21"/>
                <w:szCs w:val="21"/>
              </w:rPr>
            </w:pPr>
            <w:r w:rsidRPr="000E3ED7">
              <w:rPr>
                <w:sz w:val="21"/>
                <w:szCs w:val="21"/>
              </w:rPr>
              <w:t xml:space="preserve">New in </w:t>
            </w:r>
            <w:r>
              <w:rPr>
                <w:sz w:val="21"/>
                <w:szCs w:val="21"/>
              </w:rPr>
              <w:t>2018–19</w:t>
            </w:r>
            <w:r w:rsidRPr="000E3ED7">
              <w:rPr>
                <w:sz w:val="21"/>
                <w:szCs w:val="21"/>
              </w:rPr>
              <w:t xml:space="preserve"> (no coverage in </w:t>
            </w:r>
            <w:r>
              <w:rPr>
                <w:sz w:val="21"/>
                <w:szCs w:val="21"/>
              </w:rPr>
              <w:t>2016–17</w:t>
            </w:r>
            <w:r w:rsidRPr="000E3ED7">
              <w:rPr>
                <w:sz w:val="21"/>
                <w:szCs w:val="21"/>
              </w:rPr>
              <w:t xml:space="preserve"> or </w:t>
            </w:r>
            <w:r>
              <w:rPr>
                <w:sz w:val="21"/>
                <w:szCs w:val="21"/>
              </w:rPr>
              <w:t>2017–18</w:t>
            </w:r>
            <w:r w:rsidRPr="000E3ED7">
              <w:rPr>
                <w:sz w:val="21"/>
                <w:szCs w:val="21"/>
              </w:rPr>
              <w:t>)</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Lawn Bowls</w:t>
            </w:r>
          </w:p>
        </w:tc>
        <w:tc>
          <w:tcPr>
            <w:tcW w:w="354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Australian Open (Men’s and Women’s)</w:t>
            </w:r>
          </w:p>
          <w:p w:rsidR="00D74A65" w:rsidRDefault="00D74A65" w:rsidP="00D74A65">
            <w:pPr>
              <w:pStyle w:val="tabletext-bullet"/>
              <w:rPr>
                <w:sz w:val="21"/>
                <w:szCs w:val="21"/>
              </w:rPr>
            </w:pPr>
            <w:r>
              <w:rPr>
                <w:sz w:val="21"/>
                <w:szCs w:val="21"/>
              </w:rPr>
              <w:t>Australian Premier League</w:t>
            </w:r>
          </w:p>
          <w:p w:rsidR="00D74A65" w:rsidRPr="008F5647" w:rsidRDefault="00D74A65" w:rsidP="00D74A65">
            <w:pPr>
              <w:pStyle w:val="tabletext-bullet"/>
              <w:rPr>
                <w:sz w:val="21"/>
                <w:szCs w:val="21"/>
              </w:rPr>
            </w:pPr>
            <w:r>
              <w:rPr>
                <w:sz w:val="21"/>
                <w:szCs w:val="21"/>
              </w:rPr>
              <w:t>The Bowls Show</w:t>
            </w:r>
          </w:p>
        </w:tc>
        <w:tc>
          <w:tcPr>
            <w:tcW w:w="4394" w:type="dxa"/>
            <w:tcBorders>
              <w:top w:val="single" w:sz="4" w:space="0" w:color="auto"/>
              <w:left w:val="nil"/>
              <w:bottom w:val="single" w:sz="4" w:space="0" w:color="auto"/>
              <w:right w:val="nil"/>
            </w:tcBorders>
          </w:tcPr>
          <w:p w:rsidR="00D74A65" w:rsidRPr="008F5647" w:rsidRDefault="00D74A65" w:rsidP="00D74A65">
            <w:pPr>
              <w:pStyle w:val="tabletext-bullet"/>
              <w:rPr>
                <w:sz w:val="21"/>
                <w:szCs w:val="21"/>
              </w:rPr>
            </w:pPr>
            <w:r>
              <w:rPr>
                <w:sz w:val="21"/>
                <w:szCs w:val="21"/>
              </w:rPr>
              <w:t>Live: -33.33%; Delayed: 47.27%; Total: 15.38% (across Australian Open, Australian Premier League and The Bowls Show)</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lastRenderedPageBreak/>
              <w:t>Surfing</w:t>
            </w:r>
          </w:p>
        </w:tc>
        <w:tc>
          <w:tcPr>
            <w:tcW w:w="354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World Surfing League (Men’s and Women’s)</w:t>
            </w:r>
          </w:p>
          <w:p w:rsidR="00D74A65" w:rsidRDefault="00D74A65" w:rsidP="00D74A65">
            <w:pPr>
              <w:pStyle w:val="tabletext-bullet"/>
              <w:rPr>
                <w:sz w:val="21"/>
                <w:szCs w:val="21"/>
              </w:rPr>
            </w:pPr>
            <w:r>
              <w:rPr>
                <w:sz w:val="21"/>
                <w:szCs w:val="21"/>
              </w:rPr>
              <w:t>Australian Boardriders Battle</w:t>
            </w:r>
          </w:p>
          <w:p w:rsidR="00D74A65" w:rsidRPr="008F5647" w:rsidRDefault="00D74A65" w:rsidP="00D74A65">
            <w:pPr>
              <w:pStyle w:val="tabletext-bullet"/>
              <w:rPr>
                <w:sz w:val="21"/>
                <w:szCs w:val="21"/>
              </w:rPr>
            </w:pPr>
            <w:r>
              <w:rPr>
                <w:sz w:val="21"/>
                <w:szCs w:val="21"/>
              </w:rPr>
              <w:t>mySURF.TV / Australian Surf Content</w:t>
            </w:r>
          </w:p>
        </w:tc>
        <w:tc>
          <w:tcPr>
            <w:tcW w:w="439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sidRPr="00673304">
              <w:rPr>
                <w:sz w:val="21"/>
                <w:szCs w:val="21"/>
              </w:rPr>
              <w:t xml:space="preserve">Live: No change; Delayed: -0.96%; </w:t>
            </w:r>
            <w:r>
              <w:rPr>
                <w:sz w:val="21"/>
                <w:szCs w:val="21"/>
              </w:rPr>
              <w:br/>
            </w:r>
            <w:r w:rsidRPr="00673304">
              <w:rPr>
                <w:sz w:val="21"/>
                <w:szCs w:val="21"/>
              </w:rPr>
              <w:t>Total: -0.38%</w:t>
            </w:r>
          </w:p>
          <w:p w:rsidR="00D74A65" w:rsidRDefault="00D74A65" w:rsidP="00D74A65">
            <w:pPr>
              <w:pStyle w:val="tabletext-bullet"/>
              <w:rPr>
                <w:sz w:val="21"/>
                <w:szCs w:val="21"/>
              </w:rPr>
            </w:pPr>
            <w:r>
              <w:rPr>
                <w:sz w:val="21"/>
                <w:szCs w:val="21"/>
              </w:rPr>
              <w:t>Live: 5%; Delayed: -47.83%; Total: -31.82%%</w:t>
            </w:r>
          </w:p>
          <w:p w:rsidR="00D74A65" w:rsidRPr="00CB55D3" w:rsidRDefault="00D74A65" w:rsidP="00D74A65">
            <w:pPr>
              <w:pStyle w:val="tabletext-bullet"/>
              <w:rPr>
                <w:sz w:val="21"/>
                <w:szCs w:val="21"/>
              </w:rPr>
            </w:pPr>
            <w:r>
              <w:rPr>
                <w:sz w:val="21"/>
                <w:szCs w:val="21"/>
              </w:rPr>
              <w:t>No coverage in 2016–17, similar increase in coverage as 2017–18</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Life Saving</w:t>
            </w:r>
          </w:p>
        </w:tc>
        <w:tc>
          <w:tcPr>
            <w:tcW w:w="3544" w:type="dxa"/>
            <w:tcBorders>
              <w:top w:val="single" w:sz="4" w:space="0" w:color="auto"/>
              <w:left w:val="nil"/>
              <w:bottom w:val="single" w:sz="4" w:space="0" w:color="auto"/>
              <w:right w:val="nil"/>
            </w:tcBorders>
          </w:tcPr>
          <w:p w:rsidR="00D74A65" w:rsidRPr="008F5647" w:rsidRDefault="00D74A65" w:rsidP="00D74A65">
            <w:pPr>
              <w:pStyle w:val="tabletext-bullet"/>
              <w:rPr>
                <w:sz w:val="21"/>
                <w:szCs w:val="21"/>
              </w:rPr>
            </w:pPr>
            <w:r>
              <w:rPr>
                <w:sz w:val="21"/>
                <w:szCs w:val="21"/>
              </w:rPr>
              <w:t>Ocean6 Series</w:t>
            </w:r>
          </w:p>
        </w:tc>
        <w:tc>
          <w:tcPr>
            <w:tcW w:w="4394" w:type="dxa"/>
            <w:tcBorders>
              <w:top w:val="single" w:sz="4" w:space="0" w:color="auto"/>
              <w:left w:val="nil"/>
              <w:bottom w:val="single" w:sz="4" w:space="0" w:color="auto"/>
              <w:right w:val="nil"/>
            </w:tcBorders>
          </w:tcPr>
          <w:p w:rsidR="00D74A65" w:rsidRPr="008F5647" w:rsidRDefault="00D74A65" w:rsidP="00D74A65">
            <w:pPr>
              <w:pStyle w:val="tabletext-bullet"/>
              <w:rPr>
                <w:sz w:val="21"/>
                <w:szCs w:val="21"/>
              </w:rPr>
            </w:pPr>
            <w:r>
              <w:rPr>
                <w:sz w:val="21"/>
                <w:szCs w:val="21"/>
              </w:rPr>
              <w:t>Live: -62.5%; Delayed: -0.50%; Total: -2.87%</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Basketball</w:t>
            </w:r>
          </w:p>
        </w:tc>
        <w:tc>
          <w:tcPr>
            <w:tcW w:w="354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WNBL</w:t>
            </w:r>
          </w:p>
          <w:p w:rsidR="00D74A65" w:rsidRDefault="00D74A65" w:rsidP="00D74A65">
            <w:pPr>
              <w:pStyle w:val="tabletext-bullet"/>
              <w:rPr>
                <w:sz w:val="21"/>
                <w:szCs w:val="21"/>
              </w:rPr>
            </w:pPr>
            <w:r>
              <w:rPr>
                <w:sz w:val="21"/>
                <w:szCs w:val="21"/>
              </w:rPr>
              <w:t>FIBA Women’s World Cup</w:t>
            </w:r>
          </w:p>
          <w:p w:rsidR="00D74A65" w:rsidRPr="008F5647" w:rsidRDefault="00D74A65" w:rsidP="00D74A65">
            <w:pPr>
              <w:pStyle w:val="tabletext-bullet"/>
              <w:rPr>
                <w:sz w:val="21"/>
                <w:szCs w:val="21"/>
              </w:rPr>
            </w:pPr>
            <w:r>
              <w:rPr>
                <w:sz w:val="21"/>
                <w:szCs w:val="21"/>
              </w:rPr>
              <w:t>FIBA Basketball World Cup Qualifiers (Asia)</w:t>
            </w:r>
          </w:p>
        </w:tc>
        <w:tc>
          <w:tcPr>
            <w:tcW w:w="4394" w:type="dxa"/>
            <w:tcBorders>
              <w:top w:val="single" w:sz="4" w:space="0" w:color="auto"/>
              <w:left w:val="nil"/>
              <w:bottom w:val="single" w:sz="4" w:space="0" w:color="auto"/>
              <w:right w:val="nil"/>
            </w:tcBorders>
          </w:tcPr>
          <w:p w:rsidR="00D74A65" w:rsidRPr="006034BB" w:rsidRDefault="00D74A65" w:rsidP="00D74A65">
            <w:pPr>
              <w:pStyle w:val="tabletext-bullet"/>
              <w:rPr>
                <w:sz w:val="21"/>
                <w:szCs w:val="21"/>
              </w:rPr>
            </w:pPr>
            <w:r>
              <w:rPr>
                <w:sz w:val="21"/>
                <w:szCs w:val="21"/>
              </w:rPr>
              <w:t>No coverage in 2016–17, similar increase in coverage as 2017–18</w:t>
            </w:r>
          </w:p>
          <w:p w:rsidR="00D74A65" w:rsidRPr="00A44365" w:rsidRDefault="00D74A65" w:rsidP="00D74A65">
            <w:pPr>
              <w:pStyle w:val="tabletext-bullet"/>
              <w:rPr>
                <w:sz w:val="21"/>
                <w:szCs w:val="21"/>
              </w:rPr>
            </w:pPr>
            <w:r>
              <w:rPr>
                <w:sz w:val="21"/>
                <w:szCs w:val="21"/>
              </w:rPr>
              <w:t>Quadrennial event last held 2014–15 (as such no coverage in 2016–17 or 2017–18)</w:t>
            </w:r>
          </w:p>
          <w:p w:rsidR="00D74A65" w:rsidRPr="00793E95" w:rsidRDefault="00D74A65" w:rsidP="00D74A65">
            <w:pPr>
              <w:pStyle w:val="tabletext-bullet"/>
              <w:rPr>
                <w:sz w:val="21"/>
                <w:szCs w:val="21"/>
              </w:rPr>
            </w:pPr>
            <w:r>
              <w:rPr>
                <w:sz w:val="21"/>
                <w:szCs w:val="21"/>
              </w:rPr>
              <w:t>Quadrennial event last held 2014–15 (as such no coverage in 2016–17 or 2017–18)</w:t>
            </w:r>
          </w:p>
        </w:tc>
      </w:tr>
      <w:tr w:rsidR="00D74A65" w:rsidTr="00D74A65">
        <w:trPr>
          <w:cantSplit/>
        </w:trPr>
        <w:tc>
          <w:tcPr>
            <w:tcW w:w="1418" w:type="dxa"/>
            <w:tcBorders>
              <w:top w:val="single" w:sz="4" w:space="0" w:color="auto"/>
              <w:left w:val="nil"/>
              <w:bottom w:val="single" w:sz="4" w:space="0" w:color="auto"/>
              <w:right w:val="nil"/>
            </w:tcBorders>
          </w:tcPr>
          <w:p w:rsidR="00D74A65" w:rsidRPr="008F5647" w:rsidRDefault="00D74A65" w:rsidP="00D74A65">
            <w:pPr>
              <w:pStyle w:val="Tabletext"/>
            </w:pPr>
            <w:r>
              <w:t>Hockey</w:t>
            </w:r>
          </w:p>
        </w:tc>
        <w:tc>
          <w:tcPr>
            <w:tcW w:w="354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FIH Hockey World Cup (Men’s and Women’s)</w:t>
            </w:r>
          </w:p>
          <w:p w:rsidR="00D74A65" w:rsidRPr="008F5647" w:rsidRDefault="00D74A65" w:rsidP="00D74A65">
            <w:pPr>
              <w:pStyle w:val="tabletext-bullet"/>
              <w:rPr>
                <w:sz w:val="21"/>
                <w:szCs w:val="21"/>
              </w:rPr>
            </w:pPr>
            <w:r>
              <w:rPr>
                <w:sz w:val="21"/>
                <w:szCs w:val="21"/>
              </w:rPr>
              <w:t>FIH Hockey Pro-League(Men’s and Women’s)</w:t>
            </w:r>
          </w:p>
        </w:tc>
        <w:tc>
          <w:tcPr>
            <w:tcW w:w="439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New in 2018–19 (no coverage in 2016–17 or 2017–18)</w:t>
            </w:r>
          </w:p>
          <w:p w:rsidR="00D74A65" w:rsidRPr="008F5647" w:rsidRDefault="00D74A65" w:rsidP="00D74A65">
            <w:pPr>
              <w:pStyle w:val="tabletext-bullet"/>
              <w:rPr>
                <w:sz w:val="21"/>
                <w:szCs w:val="21"/>
              </w:rPr>
            </w:pPr>
            <w:r>
              <w:rPr>
                <w:sz w:val="21"/>
                <w:szCs w:val="21"/>
              </w:rPr>
              <w:t>New in 2018–19 (no coverage in 2016–17 or 2017–18)</w:t>
            </w:r>
          </w:p>
        </w:tc>
      </w:tr>
      <w:tr w:rsidR="00D74A65" w:rsidTr="00D74A65">
        <w:trPr>
          <w:cantSplit/>
        </w:trPr>
        <w:tc>
          <w:tcPr>
            <w:tcW w:w="1418" w:type="dxa"/>
            <w:tcBorders>
              <w:top w:val="single" w:sz="4" w:space="0" w:color="auto"/>
              <w:left w:val="nil"/>
              <w:bottom w:val="single" w:sz="12" w:space="0" w:color="auto"/>
              <w:right w:val="nil"/>
            </w:tcBorders>
          </w:tcPr>
          <w:p w:rsidR="00D74A65" w:rsidRPr="008F5647" w:rsidRDefault="00D74A65" w:rsidP="00D74A65">
            <w:pPr>
              <w:pStyle w:val="Tabletext"/>
            </w:pPr>
            <w:r>
              <w:t>Gymnastics</w:t>
            </w:r>
          </w:p>
        </w:tc>
        <w:tc>
          <w:tcPr>
            <w:tcW w:w="3544" w:type="dxa"/>
            <w:tcBorders>
              <w:top w:val="single" w:sz="4" w:space="0" w:color="auto"/>
              <w:left w:val="nil"/>
              <w:bottom w:val="single" w:sz="12" w:space="0" w:color="auto"/>
              <w:right w:val="nil"/>
            </w:tcBorders>
          </w:tcPr>
          <w:p w:rsidR="00D74A65" w:rsidRDefault="00D74A65" w:rsidP="00D74A65">
            <w:pPr>
              <w:pStyle w:val="tabletext-bullet"/>
              <w:rPr>
                <w:sz w:val="21"/>
                <w:szCs w:val="21"/>
              </w:rPr>
            </w:pPr>
            <w:r>
              <w:rPr>
                <w:sz w:val="21"/>
                <w:szCs w:val="21"/>
              </w:rPr>
              <w:t>Rhythmic Gymnastics World Championships</w:t>
            </w:r>
          </w:p>
          <w:p w:rsidR="00D74A65" w:rsidRDefault="00D74A65" w:rsidP="00D74A65">
            <w:pPr>
              <w:pStyle w:val="tabletext-bullet"/>
              <w:rPr>
                <w:sz w:val="21"/>
                <w:szCs w:val="21"/>
              </w:rPr>
            </w:pPr>
            <w:r>
              <w:rPr>
                <w:sz w:val="21"/>
                <w:szCs w:val="21"/>
              </w:rPr>
              <w:t>Artistic Gymnastics World Championships</w:t>
            </w:r>
          </w:p>
          <w:p w:rsidR="00D74A65" w:rsidRDefault="00D74A65" w:rsidP="00D74A65">
            <w:pPr>
              <w:pStyle w:val="tabletext-bullet"/>
              <w:rPr>
                <w:sz w:val="21"/>
                <w:szCs w:val="21"/>
              </w:rPr>
            </w:pPr>
            <w:r>
              <w:rPr>
                <w:sz w:val="21"/>
                <w:szCs w:val="21"/>
              </w:rPr>
              <w:t>Trampoline / Tumbling Gymnastics World Championships</w:t>
            </w:r>
          </w:p>
          <w:p w:rsidR="00D74A65" w:rsidRDefault="00D74A65" w:rsidP="00D74A65">
            <w:pPr>
              <w:pStyle w:val="tabletext-bullet"/>
              <w:rPr>
                <w:sz w:val="21"/>
                <w:szCs w:val="21"/>
              </w:rPr>
            </w:pPr>
            <w:r>
              <w:rPr>
                <w:sz w:val="21"/>
                <w:szCs w:val="21"/>
              </w:rPr>
              <w:t>Apparatus World Cup</w:t>
            </w:r>
          </w:p>
          <w:p w:rsidR="00D74A65" w:rsidRPr="008F5647" w:rsidRDefault="00D74A65" w:rsidP="00D74A65">
            <w:pPr>
              <w:pStyle w:val="tabletext-bullet"/>
              <w:rPr>
                <w:sz w:val="21"/>
                <w:szCs w:val="21"/>
              </w:rPr>
            </w:pPr>
            <w:r>
              <w:rPr>
                <w:sz w:val="21"/>
                <w:szCs w:val="21"/>
              </w:rPr>
              <w:t>Australian Championships</w:t>
            </w:r>
          </w:p>
        </w:tc>
        <w:tc>
          <w:tcPr>
            <w:tcW w:w="4394" w:type="dxa"/>
            <w:tcBorders>
              <w:top w:val="single" w:sz="4" w:space="0" w:color="auto"/>
              <w:left w:val="nil"/>
              <w:bottom w:val="single" w:sz="12" w:space="0" w:color="auto"/>
              <w:right w:val="nil"/>
            </w:tcBorders>
          </w:tcPr>
          <w:p w:rsidR="00D74A65" w:rsidRDefault="00D74A65" w:rsidP="00D74A65">
            <w:pPr>
              <w:pStyle w:val="tabletext-bullet"/>
              <w:rPr>
                <w:sz w:val="21"/>
                <w:szCs w:val="21"/>
              </w:rPr>
            </w:pPr>
            <w:r>
              <w:rPr>
                <w:sz w:val="21"/>
                <w:szCs w:val="21"/>
              </w:rPr>
              <w:t>No coverage in 2016–17</w:t>
            </w:r>
          </w:p>
          <w:p w:rsidR="00D74A65" w:rsidRDefault="00D74A65" w:rsidP="00D74A65">
            <w:pPr>
              <w:pStyle w:val="tabletext-bullet"/>
              <w:rPr>
                <w:sz w:val="21"/>
                <w:szCs w:val="21"/>
              </w:rPr>
            </w:pPr>
            <w:r>
              <w:rPr>
                <w:sz w:val="21"/>
                <w:szCs w:val="21"/>
              </w:rPr>
              <w:t>No coverage  in 2016–17</w:t>
            </w:r>
          </w:p>
          <w:p w:rsidR="00D74A65" w:rsidRDefault="00D74A65" w:rsidP="00D74A65">
            <w:pPr>
              <w:pStyle w:val="tabletext-bullet"/>
              <w:rPr>
                <w:sz w:val="21"/>
                <w:szCs w:val="21"/>
              </w:rPr>
            </w:pPr>
            <w:r>
              <w:rPr>
                <w:sz w:val="21"/>
                <w:szCs w:val="21"/>
              </w:rPr>
              <w:t>New in 2018–19 (no coverage in 2016–17 or 2017–18)</w:t>
            </w:r>
          </w:p>
          <w:p w:rsidR="00D74A65" w:rsidRDefault="00D74A65" w:rsidP="00D74A65">
            <w:pPr>
              <w:pStyle w:val="tabletext-bullet"/>
              <w:rPr>
                <w:sz w:val="21"/>
                <w:szCs w:val="21"/>
              </w:rPr>
            </w:pPr>
            <w:r>
              <w:rPr>
                <w:sz w:val="21"/>
                <w:szCs w:val="21"/>
              </w:rPr>
              <w:t>Live: 180%; Delayed: 500%; Total: 436%</w:t>
            </w:r>
          </w:p>
          <w:p w:rsidR="00D74A65" w:rsidRPr="008F5647" w:rsidRDefault="00D74A65" w:rsidP="00D74A65">
            <w:pPr>
              <w:pStyle w:val="tabletext-bullet"/>
              <w:rPr>
                <w:sz w:val="21"/>
                <w:szCs w:val="21"/>
              </w:rPr>
            </w:pPr>
            <w:r>
              <w:rPr>
                <w:sz w:val="21"/>
                <w:szCs w:val="21"/>
              </w:rPr>
              <w:t>Live: No change; Delayed: 160%; Total: 240%</w:t>
            </w:r>
          </w:p>
        </w:tc>
      </w:tr>
    </w:tbl>
    <w:p w:rsidR="00D74A65" w:rsidRPr="00F807D5" w:rsidRDefault="00D74A65" w:rsidP="00D74A65">
      <w:pPr>
        <w:pStyle w:val="Sourcenote"/>
        <w:rPr>
          <w:lang w:eastAsia="en-US"/>
        </w:rPr>
      </w:pPr>
      <w:r w:rsidRPr="00F807D5">
        <w:t xml:space="preserve">*Under the funding agreement, the increase in coverage is assessed against the coverage in the </w:t>
      </w:r>
      <w:r>
        <w:t>2016–17</w:t>
      </w:r>
      <w:r w:rsidRPr="00F807D5">
        <w:t xml:space="preserve"> Financial Year. The rationale for this is that many sports events are cyclic and happen every few years and competition structures change, meaning not all years will show an increase from the previous years in terms of broadcast hours. Comparing coverage against </w:t>
      </w:r>
      <w:r>
        <w:t>2016–17</w:t>
      </w:r>
      <w:r w:rsidRPr="00F807D5">
        <w:t xml:space="preserve"> Financial Year coverage more accurately shows how the grant has provided a meaningful increase from the pre-grant period.</w:t>
      </w:r>
    </w:p>
    <w:p w:rsidR="00D74A65" w:rsidRPr="00D74A65" w:rsidRDefault="00D74A65" w:rsidP="00D74A65">
      <w:pPr>
        <w:pStyle w:val="Heading3"/>
      </w:pPr>
      <w:r>
        <w:t>Sport selection</w:t>
      </w:r>
    </w:p>
    <w:p w:rsidR="00D74A65" w:rsidRDefault="00D74A65" w:rsidP="00D74A65">
      <w:pPr>
        <w:keepLines/>
        <w:widowControl w:val="0"/>
      </w:pPr>
      <w:r w:rsidRPr="00972012">
        <w:t>Fox Sports</w:t>
      </w:r>
      <w:r>
        <w:t xml:space="preserve"> in consultation with</w:t>
      </w:r>
      <w:r w:rsidRPr="00972012">
        <w:t xml:space="preserve"> the relevant sporting bodies, in accordance with the requirements of the funding agreement</w:t>
      </w:r>
      <w:r>
        <w:t>,</w:t>
      </w:r>
      <w:r w:rsidRPr="00263D01">
        <w:t xml:space="preserve"> </w:t>
      </w:r>
      <w:r>
        <w:t>will determine t</w:t>
      </w:r>
      <w:r w:rsidRPr="00972012">
        <w:t xml:space="preserve">he competitions and events that will receive enhanced coverage. </w:t>
      </w:r>
      <w:r>
        <w:t>A</w:t>
      </w:r>
      <w:r w:rsidRPr="00972012">
        <w:t xml:space="preserve"> governance team established within Fox Sports</w:t>
      </w:r>
      <w:r>
        <w:t xml:space="preserve"> will oversee,</w:t>
      </w:r>
      <w:r w:rsidRPr="00972012">
        <w:t xml:space="preserve"> review and assess the sports to be funded each year and report on performance</w:t>
      </w:r>
      <w:r>
        <w:t>.</w:t>
      </w:r>
    </w:p>
    <w:p w:rsidR="00D74A65" w:rsidRPr="00972012" w:rsidRDefault="00D74A65" w:rsidP="00D74A65">
      <w:pPr>
        <w:pStyle w:val="Heading3"/>
      </w:pPr>
      <w:r>
        <w:t>B</w:t>
      </w:r>
      <w:r w:rsidRPr="00972012">
        <w:t xml:space="preserve">enefits </w:t>
      </w:r>
      <w:r>
        <w:t xml:space="preserve">of </w:t>
      </w:r>
      <w:r>
        <w:t>the program</w:t>
      </w:r>
    </w:p>
    <w:p w:rsidR="00D74A65" w:rsidRPr="00972012" w:rsidRDefault="00D74A65" w:rsidP="00D74A65">
      <w:pPr>
        <w:widowControl w:val="0"/>
      </w:pPr>
      <w:r w:rsidRPr="00972012">
        <w:t>The increased media coverage that selected sports will receive under the program is expected to deliver a range of benefits for consumers and sports bodies alike</w:t>
      </w:r>
      <w:r>
        <w:t xml:space="preserve"> including:</w:t>
      </w:r>
    </w:p>
    <w:p w:rsidR="00D74A65" w:rsidRPr="00D74A65" w:rsidRDefault="00D74A65" w:rsidP="00D74A65">
      <w:pPr>
        <w:pStyle w:val="Bulletlevel1"/>
      </w:pPr>
      <w:r>
        <w:t>g</w:t>
      </w:r>
      <w:r w:rsidRPr="00D74A65">
        <w:t>reater media exposure will lift the profile of female athletes and produce role model</w:t>
      </w:r>
      <w:r>
        <w:t>s for the next generation</w:t>
      </w:r>
    </w:p>
    <w:p w:rsidR="00D74A65" w:rsidRPr="00D74A65" w:rsidRDefault="00D74A65" w:rsidP="00D74A65">
      <w:pPr>
        <w:pStyle w:val="Bulletlevel1"/>
      </w:pPr>
      <w:r>
        <w:t>i</w:t>
      </w:r>
      <w:r w:rsidRPr="00D74A65">
        <w:t>ncreased media coverage for sports that have a history of low or no broadcast exposure is expected to boost crowd attendance, community engagement and participation</w:t>
      </w:r>
    </w:p>
    <w:p w:rsidR="00D74A65" w:rsidRPr="00D74A65" w:rsidRDefault="00D74A65" w:rsidP="00D74A65">
      <w:pPr>
        <w:pStyle w:val="Bulletlevel1"/>
      </w:pPr>
      <w:r>
        <w:t>g</w:t>
      </w:r>
      <w:r w:rsidRPr="00D74A65">
        <w:t>reater media exposure will provide sporting bodies with opportunities to secure commercial support, sponsorships and strengthen long term financial viability.</w:t>
      </w:r>
    </w:p>
    <w:sectPr w:rsidR="00D74A65" w:rsidRPr="00D74A65" w:rsidSect="00D74A65">
      <w:type w:val="continuous"/>
      <w:pgSz w:w="11906" w:h="16838"/>
      <w:pgMar w:top="1418" w:right="1418" w:bottom="1440" w:left="1440" w:header="51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65" w:rsidRDefault="00D74A65" w:rsidP="002117E6">
      <w:pPr>
        <w:spacing w:after="0"/>
      </w:pPr>
      <w:r>
        <w:separator/>
      </w:r>
    </w:p>
  </w:endnote>
  <w:endnote w:type="continuationSeparator" w:id="0">
    <w:p w:rsidR="00D74A65" w:rsidRDefault="00D74A6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4D" w:rsidRDefault="00214C4D" w:rsidP="00214C4D">
    <w:pPr>
      <w:pStyle w:val="Footer"/>
      <w:tabs>
        <w:tab w:val="clear" w:pos="4513"/>
        <w:tab w:val="clear" w:pos="9026"/>
        <w:tab w:val="center" w:pos="4536"/>
        <w:tab w:val="right" w:pos="9498"/>
      </w:tabs>
      <w:ind w:left="-1440" w:right="-613"/>
    </w:pPr>
    <w:r>
      <w:rPr>
        <w:noProof/>
        <w:lang w:eastAsia="en-AU"/>
      </w:rPr>
      <w:drawing>
        <wp:inline distT="0" distB="0" distL="0" distR="0" wp14:anchorId="009E648E" wp14:editId="578448B1">
          <wp:extent cx="7596000" cy="400057"/>
          <wp:effectExtent l="0" t="0" r="5080" b="0"/>
          <wp:docPr id="9" name="Picture 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14C4D" w:rsidRPr="0037566A" w:rsidRDefault="00D74A65" w:rsidP="00D74A65">
    <w:pPr>
      <w:pStyle w:val="Footer"/>
      <w:tabs>
        <w:tab w:val="clear" w:pos="4513"/>
        <w:tab w:val="clear" w:pos="9026"/>
        <w:tab w:val="center" w:pos="4536"/>
        <w:tab w:val="right" w:pos="9072"/>
      </w:tabs>
      <w:ind w:right="-24"/>
      <w:rPr>
        <w:sz w:val="18"/>
        <w:szCs w:val="18"/>
      </w:rPr>
    </w:pPr>
    <w:r w:rsidRPr="00D74A65">
      <w:rPr>
        <w:sz w:val="18"/>
        <w:szCs w:val="18"/>
      </w:rPr>
      <w:t>Supporting coverage of</w:t>
    </w:r>
    <w:r w:rsidR="00214C4D">
      <w:tab/>
    </w:r>
    <w:hyperlink r:id="rId2" w:history="1">
      <w:r w:rsidR="00214C4D" w:rsidRPr="002725BE">
        <w:rPr>
          <w:rStyle w:val="Hyperlink"/>
          <w:sz w:val="18"/>
          <w:szCs w:val="18"/>
        </w:rPr>
        <w:t>www.communications.gov.au</w:t>
      </w:r>
    </w:hyperlink>
  </w:p>
  <w:p w:rsidR="00214C4D" w:rsidRPr="002117E6" w:rsidRDefault="00D74A65" w:rsidP="00D74A65">
    <w:pPr>
      <w:pStyle w:val="Footer"/>
      <w:tabs>
        <w:tab w:val="clear" w:pos="4513"/>
        <w:tab w:val="clear" w:pos="9026"/>
        <w:tab w:val="center" w:pos="4536"/>
        <w:tab w:val="right" w:pos="9072"/>
      </w:tabs>
      <w:ind w:right="-24"/>
      <w:rPr>
        <w:rStyle w:val="Hyperlink"/>
        <w:color w:val="auto"/>
        <w:sz w:val="18"/>
        <w:szCs w:val="18"/>
      </w:rPr>
    </w:pPr>
    <w:r w:rsidRPr="00D74A65">
      <w:rPr>
        <w:sz w:val="18"/>
        <w:szCs w:val="18"/>
      </w:rPr>
      <w:t>under</w:t>
    </w:r>
    <w:r w:rsidRPr="00D74A65">
      <w:rPr>
        <w:sz w:val="18"/>
        <w:szCs w:val="18"/>
      </w:rPr>
      <w:t>-represented sports</w:t>
    </w:r>
    <w:r w:rsidR="00214C4D">
      <w:rPr>
        <w:sz w:val="18"/>
        <w:szCs w:val="18"/>
      </w:rPr>
      <w:tab/>
    </w:r>
    <w:hyperlink r:id="rId3" w:history="1">
      <w:r w:rsidR="00214C4D" w:rsidRPr="0037566A">
        <w:rPr>
          <w:rStyle w:val="Hyperlink"/>
          <w:sz w:val="18"/>
          <w:szCs w:val="18"/>
        </w:rPr>
        <w:t>www.arts.gov.au</w:t>
      </w:r>
    </w:hyperlink>
    <w:r w:rsidR="00214C4D" w:rsidRPr="0037566A">
      <w:rPr>
        <w:sz w:val="18"/>
        <w:szCs w:val="18"/>
      </w:rPr>
      <w:tab/>
    </w:r>
    <w:sdt>
      <w:sdtPr>
        <w:rPr>
          <w:sz w:val="18"/>
          <w:szCs w:val="18"/>
        </w:rPr>
        <w:id w:val="-1596934501"/>
        <w:docPartObj>
          <w:docPartGallery w:val="Page Numbers (Top of Page)"/>
          <w:docPartUnique/>
        </w:docPartObj>
      </w:sdtPr>
      <w:sdtEndPr/>
      <w:sdtContent>
        <w:r w:rsidR="00214C4D" w:rsidRPr="0037566A">
          <w:rPr>
            <w:sz w:val="18"/>
            <w:szCs w:val="18"/>
          </w:rPr>
          <w:t xml:space="preserve">Page </w:t>
        </w:r>
        <w:r w:rsidR="00214C4D" w:rsidRPr="0037566A">
          <w:rPr>
            <w:bCs/>
            <w:sz w:val="18"/>
            <w:szCs w:val="18"/>
          </w:rPr>
          <w:fldChar w:fldCharType="begin"/>
        </w:r>
        <w:r w:rsidR="00214C4D" w:rsidRPr="0037566A">
          <w:rPr>
            <w:bCs/>
            <w:sz w:val="18"/>
            <w:szCs w:val="18"/>
          </w:rPr>
          <w:instrText xml:space="preserve"> PAGE </w:instrText>
        </w:r>
        <w:r w:rsidR="00214C4D" w:rsidRPr="0037566A">
          <w:rPr>
            <w:bCs/>
            <w:sz w:val="18"/>
            <w:szCs w:val="18"/>
          </w:rPr>
          <w:fldChar w:fldCharType="separate"/>
        </w:r>
        <w:r w:rsidR="002312DA">
          <w:rPr>
            <w:bCs/>
            <w:noProof/>
            <w:sz w:val="18"/>
            <w:szCs w:val="18"/>
          </w:rPr>
          <w:t>2</w:t>
        </w:r>
        <w:r w:rsidR="00214C4D" w:rsidRPr="0037566A">
          <w:rPr>
            <w:bCs/>
            <w:sz w:val="18"/>
            <w:szCs w:val="18"/>
          </w:rPr>
          <w:fldChar w:fldCharType="end"/>
        </w:r>
        <w:r w:rsidR="00214C4D" w:rsidRPr="0037566A">
          <w:rPr>
            <w:sz w:val="18"/>
            <w:szCs w:val="18"/>
          </w:rPr>
          <w:t xml:space="preserve"> of </w:t>
        </w:r>
        <w:r w:rsidR="00214C4D" w:rsidRPr="0037566A">
          <w:rPr>
            <w:bCs/>
            <w:sz w:val="18"/>
            <w:szCs w:val="18"/>
          </w:rPr>
          <w:fldChar w:fldCharType="begin"/>
        </w:r>
        <w:r w:rsidR="00214C4D" w:rsidRPr="0037566A">
          <w:rPr>
            <w:bCs/>
            <w:sz w:val="18"/>
            <w:szCs w:val="18"/>
          </w:rPr>
          <w:instrText xml:space="preserve"> NUMPAGES  </w:instrText>
        </w:r>
        <w:r w:rsidR="00214C4D" w:rsidRPr="0037566A">
          <w:rPr>
            <w:bCs/>
            <w:sz w:val="18"/>
            <w:szCs w:val="18"/>
          </w:rPr>
          <w:fldChar w:fldCharType="separate"/>
        </w:r>
        <w:r w:rsidR="002312DA">
          <w:rPr>
            <w:bCs/>
            <w:noProof/>
            <w:sz w:val="18"/>
            <w:szCs w:val="18"/>
          </w:rPr>
          <w:t>3</w:t>
        </w:r>
        <w:r w:rsidR="00214C4D" w:rsidRPr="0037566A">
          <w:rPr>
            <w:bCs/>
            <w:sz w:val="18"/>
            <w:szCs w:val="18"/>
          </w:rPr>
          <w:fldChar w:fldCharType="end"/>
        </w:r>
      </w:sdtContent>
    </w:sdt>
  </w:p>
  <w:p w:rsidR="00214C4D" w:rsidRPr="002117E6" w:rsidRDefault="00214C4D" w:rsidP="00D74A65">
    <w:pPr>
      <w:pStyle w:val="Footer"/>
      <w:tabs>
        <w:tab w:val="clear" w:pos="4513"/>
        <w:tab w:val="clear" w:pos="9026"/>
        <w:tab w:val="center" w:pos="4536"/>
        <w:tab w:val="right" w:pos="9072"/>
      </w:tabs>
      <w:ind w:right="-24"/>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ADD720B" wp14:editId="5C9679EB">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D74A65" w:rsidRPr="0037566A" w:rsidRDefault="00D74A65" w:rsidP="00D74A65">
    <w:pPr>
      <w:pStyle w:val="Footer"/>
      <w:tabs>
        <w:tab w:val="clear" w:pos="4513"/>
        <w:tab w:val="clear" w:pos="9026"/>
        <w:tab w:val="center" w:pos="4536"/>
        <w:tab w:val="right" w:pos="9050"/>
      </w:tabs>
      <w:ind w:right="-24"/>
      <w:rPr>
        <w:sz w:val="18"/>
        <w:szCs w:val="18"/>
      </w:rPr>
    </w:pPr>
    <w:r w:rsidRPr="00D74A65">
      <w:rPr>
        <w:sz w:val="18"/>
        <w:szCs w:val="18"/>
      </w:rPr>
      <w:t>Supporting coverage of</w:t>
    </w:r>
    <w:r>
      <w:tab/>
    </w:r>
    <w:hyperlink r:id="rId2" w:history="1">
      <w:r w:rsidRPr="002725BE">
        <w:rPr>
          <w:rStyle w:val="Hyperlink"/>
          <w:sz w:val="18"/>
          <w:szCs w:val="18"/>
        </w:rPr>
        <w:t>www.communications.gov.au</w:t>
      </w:r>
    </w:hyperlink>
  </w:p>
  <w:p w:rsidR="00D74A65" w:rsidRPr="002117E6" w:rsidRDefault="00D74A65" w:rsidP="00D74A65">
    <w:pPr>
      <w:pStyle w:val="Footer"/>
      <w:tabs>
        <w:tab w:val="clear" w:pos="4513"/>
        <w:tab w:val="clear" w:pos="9026"/>
        <w:tab w:val="center" w:pos="4536"/>
        <w:tab w:val="right" w:pos="9050"/>
      </w:tabs>
      <w:ind w:right="-24"/>
      <w:rPr>
        <w:rStyle w:val="Hyperlink"/>
        <w:color w:val="auto"/>
        <w:sz w:val="18"/>
        <w:szCs w:val="18"/>
      </w:rPr>
    </w:pPr>
    <w:r w:rsidRPr="00D74A65">
      <w:rPr>
        <w:sz w:val="18"/>
        <w:szCs w:val="18"/>
      </w:rPr>
      <w:t>under-represented sports</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39669963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312DA">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312DA">
          <w:rPr>
            <w:bCs/>
            <w:noProof/>
            <w:sz w:val="18"/>
            <w:szCs w:val="18"/>
          </w:rPr>
          <w:t>3</w:t>
        </w:r>
        <w:r w:rsidRPr="0037566A">
          <w:rPr>
            <w:bCs/>
            <w:sz w:val="18"/>
            <w:szCs w:val="18"/>
          </w:rPr>
          <w:fldChar w:fldCharType="end"/>
        </w:r>
      </w:sdtContent>
    </w:sdt>
  </w:p>
  <w:p w:rsidR="00D74A65" w:rsidRPr="002117E6" w:rsidRDefault="00D74A65" w:rsidP="00D74A65">
    <w:pPr>
      <w:pStyle w:val="Footer"/>
      <w:tabs>
        <w:tab w:val="clear" w:pos="4513"/>
        <w:tab w:val="clear" w:pos="9026"/>
        <w:tab w:val="center" w:pos="4536"/>
        <w:tab w:val="right" w:pos="9050"/>
      </w:tabs>
      <w:ind w:right="-24"/>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65" w:rsidRDefault="00D74A65" w:rsidP="002117E6">
      <w:pPr>
        <w:spacing w:after="0"/>
      </w:pPr>
      <w:r>
        <w:separator/>
      </w:r>
    </w:p>
  </w:footnote>
  <w:footnote w:type="continuationSeparator" w:id="0">
    <w:p w:rsidR="00D74A65" w:rsidRDefault="00D74A6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Pr="004449F2" w:rsidRDefault="00BA0A5A" w:rsidP="001D7905">
    <w:pPr>
      <w:pStyle w:val="Header"/>
      <w:tabs>
        <w:tab w:val="clear" w:pos="9026"/>
        <w:tab w:val="right" w:pos="9333"/>
      </w:tabs>
      <w:ind w:right="-46"/>
    </w:pPr>
    <w:r w:rsidRPr="004449F2">
      <w:t>Department of Communications and the Arts</w:t>
    </w:r>
    <w:r w:rsidRPr="004449F2">
      <w:tab/>
    </w:r>
    <w:r w:rsidRPr="004449F2">
      <w:tab/>
    </w:r>
    <w:r w:rsidR="00D74A65">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B3626C1E"/>
    <w:lvl w:ilvl="0" w:tplc="463CC37C">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65"/>
    <w:rsid w:val="00014967"/>
    <w:rsid w:val="00080334"/>
    <w:rsid w:val="0009773B"/>
    <w:rsid w:val="000F4AA7"/>
    <w:rsid w:val="00104081"/>
    <w:rsid w:val="00111A64"/>
    <w:rsid w:val="001471EA"/>
    <w:rsid w:val="001472FC"/>
    <w:rsid w:val="001736CC"/>
    <w:rsid w:val="00176DD5"/>
    <w:rsid w:val="00185E9F"/>
    <w:rsid w:val="0019701B"/>
    <w:rsid w:val="001A540C"/>
    <w:rsid w:val="001D7905"/>
    <w:rsid w:val="002117E6"/>
    <w:rsid w:val="00214C4D"/>
    <w:rsid w:val="00222483"/>
    <w:rsid w:val="002312DA"/>
    <w:rsid w:val="00232D2D"/>
    <w:rsid w:val="00293DD6"/>
    <w:rsid w:val="002A483C"/>
    <w:rsid w:val="002F3895"/>
    <w:rsid w:val="00327F06"/>
    <w:rsid w:val="00335334"/>
    <w:rsid w:val="00336DDD"/>
    <w:rsid w:val="00381364"/>
    <w:rsid w:val="003B5B1D"/>
    <w:rsid w:val="003F495D"/>
    <w:rsid w:val="00400E77"/>
    <w:rsid w:val="004449F2"/>
    <w:rsid w:val="00450D6E"/>
    <w:rsid w:val="004A1501"/>
    <w:rsid w:val="00544465"/>
    <w:rsid w:val="00561190"/>
    <w:rsid w:val="00565B47"/>
    <w:rsid w:val="00575A5A"/>
    <w:rsid w:val="005932D0"/>
    <w:rsid w:val="00597F9B"/>
    <w:rsid w:val="0061446D"/>
    <w:rsid w:val="00625397"/>
    <w:rsid w:val="0064138E"/>
    <w:rsid w:val="006A2F0E"/>
    <w:rsid w:val="006B3AB1"/>
    <w:rsid w:val="006F06FD"/>
    <w:rsid w:val="00705B86"/>
    <w:rsid w:val="00753BB6"/>
    <w:rsid w:val="008169A6"/>
    <w:rsid w:val="00834DE8"/>
    <w:rsid w:val="008646E6"/>
    <w:rsid w:val="00866475"/>
    <w:rsid w:val="008A4B1F"/>
    <w:rsid w:val="008D4E53"/>
    <w:rsid w:val="00910E86"/>
    <w:rsid w:val="009313D2"/>
    <w:rsid w:val="0094124E"/>
    <w:rsid w:val="009B7EF0"/>
    <w:rsid w:val="009C6013"/>
    <w:rsid w:val="009E12E4"/>
    <w:rsid w:val="00A22246"/>
    <w:rsid w:val="00A241FE"/>
    <w:rsid w:val="00A35CD0"/>
    <w:rsid w:val="00A606B1"/>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75CC"/>
    <w:rsid w:val="00D03AE2"/>
    <w:rsid w:val="00D7412D"/>
    <w:rsid w:val="00D74A65"/>
    <w:rsid w:val="00D92957"/>
    <w:rsid w:val="00DC2DFA"/>
    <w:rsid w:val="00DD5D52"/>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F685F4-29A3-4883-8442-7EAE7371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D74A65"/>
    <w:pPr>
      <w:keepNext/>
      <w:spacing w:before="240" w:after="240"/>
      <w:outlineLvl w:val="0"/>
    </w:pPr>
    <w:rPr>
      <w:rFonts w:asciiTheme="majorHAnsi" w:eastAsiaTheme="majorEastAsia" w:hAnsiTheme="majorHAnsi" w:cstheme="majorBidi"/>
      <w:b/>
      <w:color w:val="001C40"/>
      <w:sz w:val="44"/>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65"/>
    <w:rPr>
      <w:rFonts w:asciiTheme="majorHAnsi" w:eastAsiaTheme="majorEastAsia" w:hAnsiTheme="majorHAnsi" w:cstheme="majorBidi"/>
      <w:b/>
      <w:color w:val="001C40"/>
      <w:sz w:val="44"/>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customStyle="1" w:styleId="tabletext-bullet">
    <w:name w:val="table text - bullet"/>
    <w:basedOn w:val="Bulletlevel1"/>
    <w:qFormat/>
    <w:rsid w:val="00D74A65"/>
    <w:pPr>
      <w:spacing w:after="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ications\Digital%20Communications\theresas-working-files\Custom%20Office%20Templates\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546478F-A26E-460F-93FD-E4A0A8FC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FD21D44F-8AB1-4AE8-8689-4EFC268B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19</TotalTime>
  <Pages>3</Pages>
  <Words>1353</Words>
  <Characters>6373</Characters>
  <Application>Microsoft Office Word</Application>
  <DocSecurity>0</DocSecurity>
  <Lines>398</Lines>
  <Paragraphs>321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coverage of under-represented sports</dc:title>
  <dc:subject/>
  <dc:creator>Department of Communications and the Arts</dc:creator>
  <cp:keywords/>
  <dc:description>25 October 2018</dc:description>
  <cp:lastModifiedBy>Department of Communications and the Arts</cp:lastModifiedBy>
  <cp:revision>3</cp:revision>
  <dcterms:created xsi:type="dcterms:W3CDTF">2018-10-29T06:53:00Z</dcterms:created>
  <dcterms:modified xsi:type="dcterms:W3CDTF">2018-10-29T07:14:00Z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10</vt:i4>
  </property>
</Properties>
</file>