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4E" w:rsidRDefault="0094124E"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4ADD71E1" wp14:editId="4ADD71E2">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D74A65" w:rsidRDefault="00D74A65" w:rsidP="002312DA">
      <w:pPr>
        <w:pStyle w:val="Heading1"/>
        <w:keepNext w:val="0"/>
        <w:widowControl w:val="0"/>
        <w:spacing w:before="360"/>
      </w:pPr>
      <w:bookmarkStart w:id="0" w:name="_Toc512857115"/>
      <w:r>
        <w:t>Supporting coverage of under-represented sports</w:t>
      </w:r>
      <w:r w:rsidR="008624D9">
        <w:t xml:space="preserve"> </w:t>
      </w:r>
      <w:r w:rsidR="008624D9">
        <w:t>2018–19</w:t>
      </w:r>
    </w:p>
    <w:p w:rsidR="00D74A65" w:rsidRPr="00972012" w:rsidRDefault="00D74A65" w:rsidP="00D74A65">
      <w:pPr>
        <w:widowControl w:val="0"/>
      </w:pPr>
      <w:r w:rsidRPr="00972012">
        <w:t xml:space="preserve">Many sports that occupy a central place in the Australian sporting landscape struggle to secure consistent coverage in the mainstream media. The under-represented sports grant, which forms part of the Government’s Broadcasting and Content Reform Package, </w:t>
      </w:r>
      <w:r>
        <w:t>is an important step in addressing</w:t>
      </w:r>
      <w:r w:rsidRPr="00972012">
        <w:t xml:space="preserve"> this coverage imbalance</w:t>
      </w:r>
      <w:r>
        <w:t xml:space="preserve"> to</w:t>
      </w:r>
      <w:r w:rsidRPr="00972012">
        <w:t xml:space="preserve"> enabl</w:t>
      </w:r>
      <w:r>
        <w:t>e</w:t>
      </w:r>
      <w:r w:rsidRPr="00972012">
        <w:t xml:space="preserve"> sporting bodies to lift participa</w:t>
      </w:r>
      <w:r>
        <w:t>tion rates and maximise growth.</w:t>
      </w:r>
    </w:p>
    <w:p w:rsidR="00D74A65" w:rsidRPr="00972012" w:rsidRDefault="00D74A65" w:rsidP="00D74A65">
      <w:pPr>
        <w:widowControl w:val="0"/>
      </w:pPr>
      <w:r>
        <w:t xml:space="preserve">The Australian Government </w:t>
      </w:r>
      <w:r w:rsidR="00195901">
        <w:t>is</w:t>
      </w:r>
      <w:r>
        <w:t xml:space="preserve"> provid</w:t>
      </w:r>
      <w:r w:rsidR="00195901">
        <w:t>ing</w:t>
      </w:r>
      <w:r w:rsidRPr="00972012">
        <w:t xml:space="preserve"> $30 million to Fox Sports from </w:t>
      </w:r>
      <w:r>
        <w:t>2017–18</w:t>
      </w:r>
      <w:r w:rsidRPr="00972012">
        <w:t xml:space="preserve"> to </w:t>
      </w:r>
      <w:r>
        <w:t>2020–21</w:t>
      </w:r>
      <w:r w:rsidRPr="00972012">
        <w:t xml:space="preserve"> to support television and online coverage of sports that receive low or no broadcast exposure: women's sports, niche sports, and those sports that command high levels of community</w:t>
      </w:r>
      <w:r>
        <w:t xml:space="preserve"> involvement and participation.</w:t>
      </w:r>
    </w:p>
    <w:p w:rsidR="00D74A65" w:rsidRDefault="00D74A65" w:rsidP="00D74A65">
      <w:pPr>
        <w:pStyle w:val="Heading2"/>
      </w:pPr>
      <w:r>
        <w:t xml:space="preserve">Fox Sports’ deliverables in </w:t>
      </w:r>
      <w:r w:rsidR="00AE5CB5">
        <w:t>2018</w:t>
      </w:r>
      <w:r w:rsidR="00094679">
        <w:t>–</w:t>
      </w:r>
      <w:r w:rsidR="00AE5CB5">
        <w:t>19</w:t>
      </w:r>
    </w:p>
    <w:p w:rsidR="00D74A65" w:rsidRDefault="00D74A65" w:rsidP="00D74A65">
      <w:pPr>
        <w:widowControl w:val="0"/>
      </w:pPr>
      <w:r>
        <w:t xml:space="preserve">Fox Sports has provided its </w:t>
      </w:r>
      <w:r w:rsidR="00AE5CB5">
        <w:t>2018</w:t>
      </w:r>
      <w:r w:rsidR="009A1995">
        <w:t>–</w:t>
      </w:r>
      <w:r w:rsidR="00AE5CB5">
        <w:t>19</w:t>
      </w:r>
      <w:r>
        <w:t xml:space="preserve"> Performance Report to the Department of Communications and the Arts. The report outlines Fox Sports’ performance against the requirements set out in the funding agreement, including the sports that benefited from funding, breakdown of expenditure, and coverage for the selected sports.</w:t>
      </w:r>
    </w:p>
    <w:p w:rsidR="00D74A65" w:rsidRDefault="00D74A65" w:rsidP="00D74A65">
      <w:pPr>
        <w:widowControl w:val="0"/>
      </w:pPr>
      <w:r>
        <w:t>In summary, the report shows:</w:t>
      </w:r>
    </w:p>
    <w:p w:rsidR="00D74A65" w:rsidRPr="00D74A65" w:rsidRDefault="00D74A65" w:rsidP="00D74A65">
      <w:pPr>
        <w:pStyle w:val="Bulletlevel1"/>
      </w:pPr>
      <w:r>
        <w:t>mor</w:t>
      </w:r>
      <w:r w:rsidRPr="00D74A65">
        <w:t xml:space="preserve">e than </w:t>
      </w:r>
      <w:r w:rsidR="002A7D63" w:rsidRPr="002A7D63">
        <w:t>5,850 hours of content covered by the funding agreement was broadcast during the 2018</w:t>
      </w:r>
      <w:r w:rsidR="00094679">
        <w:t>–</w:t>
      </w:r>
      <w:r w:rsidR="002A7D63" w:rsidRPr="002A7D63">
        <w:t>19 financial year, including around 1,600 live hours</w:t>
      </w:r>
      <w:r w:rsidR="002A7D63">
        <w:t xml:space="preserve"> </w:t>
      </w:r>
    </w:p>
    <w:p w:rsidR="00D74A65" w:rsidRPr="00D74A65" w:rsidRDefault="00D74A65" w:rsidP="00D74A65">
      <w:pPr>
        <w:pStyle w:val="Bulletlevel1"/>
      </w:pPr>
      <w:r w:rsidRPr="00D74A65">
        <w:t xml:space="preserve">it exceeded the forecast broadcast hours in the </w:t>
      </w:r>
      <w:r w:rsidR="002A7D63">
        <w:t>2018</w:t>
      </w:r>
      <w:r w:rsidR="009A1995">
        <w:t>–</w:t>
      </w:r>
      <w:r w:rsidR="002A7D63">
        <w:t>19</w:t>
      </w:r>
      <w:r w:rsidRPr="00D74A65">
        <w:t xml:space="preserve"> Strategic Roadmap by </w:t>
      </w:r>
      <w:r w:rsidR="002A7D63">
        <w:t>78</w:t>
      </w:r>
      <w:r w:rsidRPr="00D74A65">
        <w:t xml:space="preserve"> per cent</w:t>
      </w:r>
    </w:p>
    <w:p w:rsidR="00D74A65" w:rsidRPr="00D74A65" w:rsidRDefault="00D74A65" w:rsidP="00D74A65">
      <w:pPr>
        <w:pStyle w:val="Bulletlevel1"/>
      </w:pPr>
      <w:r w:rsidRPr="00D74A65">
        <w:t xml:space="preserve">total </w:t>
      </w:r>
      <w:r w:rsidR="002A7D63" w:rsidRPr="002A7D63">
        <w:t xml:space="preserve">coverage represented a </w:t>
      </w:r>
      <w:r w:rsidR="00ED3D6C">
        <w:t>108</w:t>
      </w:r>
      <w:r w:rsidR="002A7D63" w:rsidRPr="002A7D63">
        <w:t xml:space="preserve"> per cent increase compared to the number of broadcast hours during the </w:t>
      </w:r>
      <w:r w:rsidR="00ED3D6C">
        <w:t>2016</w:t>
      </w:r>
      <w:r w:rsidR="009A1995">
        <w:t>–</w:t>
      </w:r>
      <w:r w:rsidR="00ED3D6C">
        <w:t>17</w:t>
      </w:r>
      <w:r w:rsidR="002A7D63" w:rsidRPr="002A7D63">
        <w:t xml:space="preserve"> financial year</w:t>
      </w:r>
      <w:r w:rsidR="002A7D63">
        <w:t xml:space="preserve"> </w:t>
      </w:r>
    </w:p>
    <w:p w:rsidR="00D74A65" w:rsidRPr="00D74A65" w:rsidRDefault="002A7D63" w:rsidP="00D74A65">
      <w:pPr>
        <w:pStyle w:val="Bulletlevel1"/>
      </w:pPr>
      <w:r w:rsidRPr="002A7D63">
        <w:t>43 different sport competitions benefited from funding, with 19 new programs or events receiving coverage or benefiting from grant funding</w:t>
      </w:r>
    </w:p>
    <w:p w:rsidR="00D74A65" w:rsidRDefault="00D74A65" w:rsidP="00D74A65">
      <w:pPr>
        <w:pStyle w:val="Bulletlevel1"/>
      </w:pPr>
      <w:r w:rsidRPr="00D74A65">
        <w:t>Fox Spo</w:t>
      </w:r>
      <w:r>
        <w:t>rts achieved all of its key perfor</w:t>
      </w:r>
      <w:r w:rsidR="002A7D63">
        <w:t>mance indicators for the 2018</w:t>
      </w:r>
      <w:r w:rsidR="009A1995">
        <w:t>–</w:t>
      </w:r>
      <w:r w:rsidR="002A7D63">
        <w:t>19</w:t>
      </w:r>
      <w:r>
        <w:t xml:space="preserve"> financial year.</w:t>
      </w:r>
    </w:p>
    <w:p w:rsidR="00D74A65" w:rsidRDefault="00D74A65" w:rsidP="00D74A65">
      <w:pPr>
        <w:pStyle w:val="Heading2"/>
      </w:pPr>
      <w:r>
        <w:t xml:space="preserve">Success stories in </w:t>
      </w:r>
      <w:r w:rsidR="002A7D63">
        <w:t>2018</w:t>
      </w:r>
      <w:r w:rsidR="009A1995">
        <w:t>–</w:t>
      </w:r>
      <w:r w:rsidR="002A7D63">
        <w:t>19</w:t>
      </w:r>
    </w:p>
    <w:p w:rsidR="00D74A65" w:rsidRDefault="00D74A65" w:rsidP="00D74A65">
      <w:pPr>
        <w:pStyle w:val="Bulletlevel1"/>
        <w:widowControl w:val="0"/>
        <w:numPr>
          <w:ilvl w:val="0"/>
          <w:numId w:val="0"/>
        </w:numPr>
        <w:spacing w:before="240" w:after="240"/>
        <w:contextualSpacing w:val="0"/>
      </w:pPr>
      <w:r>
        <w:t>Fox Sports has worked closely with a range of sports bodies and rights holders to establish partnerships to assist the sports beyond just improving their coverage. Some of these include:</w:t>
      </w:r>
    </w:p>
    <w:p w:rsidR="002A7D63" w:rsidRDefault="002A7D63" w:rsidP="002A7D63">
      <w:pPr>
        <w:pStyle w:val="Bulletlevel1"/>
      </w:pPr>
      <w:r>
        <w:lastRenderedPageBreak/>
        <w:t xml:space="preserve">Acquiring the rights to broadcast Softball Australia’s inaugural Asia Pacific Cup. </w:t>
      </w:r>
      <w:r w:rsidR="00195901">
        <w:t>In</w:t>
      </w:r>
      <w:r>
        <w:t xml:space="preserve"> 2019 Fox Sports expanded its partnership with Softball Australia to incorporate both the Asia Pacific Cup and a new competition, The Summer Slam</w:t>
      </w:r>
      <w:r w:rsidR="00094679">
        <w:t>—</w:t>
      </w:r>
      <w:r>
        <w:t>Fully Loaded Softball. The events have proven an important milestone as softball looks to re-join the Olympic program at the 2020 Summer Olympics. This included live broadcast of the final three days of The Summer Slam</w:t>
      </w:r>
      <w:r w:rsidR="009A1995">
        <w:t>—</w:t>
      </w:r>
      <w:r>
        <w:t>Fully Loaded Softball. Softball Australia were able to confirm commercial sponsors for the Summer Slam, ensuring commercial sustainability for the competition and the sport more broadly.</w:t>
      </w:r>
    </w:p>
    <w:p w:rsidR="00D74A65" w:rsidRDefault="002A7D63" w:rsidP="002A7D63">
      <w:pPr>
        <w:pStyle w:val="Bulletlevel1"/>
      </w:pPr>
      <w:r w:rsidRPr="002A7D63">
        <w:t xml:space="preserve">In October 2018, the WNBL announced the establishment of its first ever Parental and Pregnancy Care Policy. This was </w:t>
      </w:r>
      <w:r w:rsidR="00AB43CB">
        <w:t>assisted by</w:t>
      </w:r>
      <w:r w:rsidRPr="002A7D63">
        <w:t xml:space="preserve"> the commercial sustainability brought by the 2017</w:t>
      </w:r>
      <w:r w:rsidR="009A1995">
        <w:t>–</w:t>
      </w:r>
      <w:r w:rsidRPr="002A7D63">
        <w:t>18 broadcast deal between Fox Sports and the WNBL.</w:t>
      </w:r>
    </w:p>
    <w:p w:rsidR="00D74A65" w:rsidRDefault="002A7D63" w:rsidP="00E35660">
      <w:pPr>
        <w:pStyle w:val="Bulletlevel1"/>
      </w:pPr>
      <w:r>
        <w:t>Fox Sports delivered increased coverage of the WBBL during the 2018</w:t>
      </w:r>
      <w:r w:rsidR="00094679">
        <w:t>–</w:t>
      </w:r>
      <w:r>
        <w:t>19 season, bringing more female hero's into homes across Australia. Over the same time period, Cricket Australia saw total female participation reach new heights hitting 498K, up 26% from the 2017</w:t>
      </w:r>
      <w:r w:rsidR="00094679">
        <w:t>–</w:t>
      </w:r>
      <w:r>
        <w:t>18 season with the addition of 104,000 new players. A total of 873 new female teams were added nationally.</w:t>
      </w:r>
    </w:p>
    <w:p w:rsidR="00D74A65" w:rsidRDefault="002A7D63" w:rsidP="00F90F51">
      <w:pPr>
        <w:pStyle w:val="Bulletlevel1"/>
      </w:pPr>
      <w:r>
        <w:t>During the 2018</w:t>
      </w:r>
      <w:r w:rsidR="00094679">
        <w:t>–</w:t>
      </w:r>
      <w:r>
        <w:t xml:space="preserve">19 season, </w:t>
      </w:r>
      <w:r w:rsidR="000D6AD4">
        <w:t xml:space="preserve">Fox Sports </w:t>
      </w:r>
      <w:r>
        <w:t xml:space="preserve">broadcasted </w:t>
      </w:r>
      <w:r w:rsidR="000D6AD4">
        <w:t>or streamed coverage of every W </w:t>
      </w:r>
      <w:r>
        <w:t>League game</w:t>
      </w:r>
      <w:r w:rsidR="00094679">
        <w:t>—</w:t>
      </w:r>
      <w:r>
        <w:t>a first for the league.</w:t>
      </w:r>
      <w:r w:rsidR="000D6AD4">
        <w:t xml:space="preserve"> </w:t>
      </w:r>
      <w:r>
        <w:t>This drove a significant increase in value for the W-League’s sponsors, strengthening the commercial sustainability of the entire league. As a result the FFA was able to move ahead with its announcement of pay parity for its women footballers, bringing them in line with the men playing in the A-League.</w:t>
      </w:r>
    </w:p>
    <w:p w:rsidR="00D74A65" w:rsidRPr="00972012" w:rsidRDefault="00D74A65" w:rsidP="00D74A65">
      <w:pPr>
        <w:pStyle w:val="Heading2"/>
      </w:pPr>
      <w:r>
        <w:t>S</w:t>
      </w:r>
      <w:r w:rsidRPr="00972012">
        <w:t xml:space="preserve">ports supported in </w:t>
      </w:r>
      <w:r w:rsidR="000D6AD4">
        <w:t>2019</w:t>
      </w:r>
      <w:r w:rsidR="00094679">
        <w:t>–</w:t>
      </w:r>
      <w:r w:rsidR="000D6AD4">
        <w:t>20</w:t>
      </w:r>
    </w:p>
    <w:p w:rsidR="00D74A65" w:rsidRPr="00972012" w:rsidRDefault="000E3403" w:rsidP="00D74A65">
      <w:pPr>
        <w:widowControl w:val="0"/>
      </w:pPr>
      <w:r>
        <w:t>In 2019</w:t>
      </w:r>
      <w:r w:rsidR="00094679">
        <w:t>–</w:t>
      </w:r>
      <w:r>
        <w:t xml:space="preserve">20 it is expected that </w:t>
      </w:r>
      <w:r w:rsidR="00D74A65" w:rsidRPr="00972012">
        <w:t xml:space="preserve">Fox Sports will broadcast </w:t>
      </w:r>
      <w:r w:rsidR="00B70BA7">
        <w:t xml:space="preserve">at least </w:t>
      </w:r>
      <w:r w:rsidR="00D74A65" w:rsidRPr="00972012">
        <w:t>1,</w:t>
      </w:r>
      <w:r w:rsidR="00B70BA7">
        <w:t>580</w:t>
      </w:r>
      <w:r w:rsidR="00D74A65" w:rsidRPr="00972012">
        <w:t xml:space="preserve"> hours of live coverage, and </w:t>
      </w:r>
      <w:r w:rsidR="00D74A65">
        <w:t>around</w:t>
      </w:r>
      <w:r w:rsidR="00D74A65" w:rsidRPr="00972012">
        <w:t xml:space="preserve"> </w:t>
      </w:r>
      <w:r w:rsidR="00B70BA7">
        <w:t>4,600</w:t>
      </w:r>
      <w:r w:rsidR="00D74A65" w:rsidRPr="00972012">
        <w:t xml:space="preserve"> hours of coverage in total, of women’s</w:t>
      </w:r>
      <w:r w:rsidR="00D74A65">
        <w:t>,</w:t>
      </w:r>
      <w:r w:rsidR="00D74A65" w:rsidRPr="00972012">
        <w:t xml:space="preserve"> niche and emerging sports.</w:t>
      </w:r>
    </w:p>
    <w:p w:rsidR="00D74A65" w:rsidRPr="00972012" w:rsidRDefault="00D74A65" w:rsidP="00D74A65">
      <w:pPr>
        <w:widowControl w:val="0"/>
      </w:pPr>
      <w:r w:rsidRPr="00972012">
        <w:t xml:space="preserve">Details of the </w:t>
      </w:r>
      <w:r>
        <w:t>sports</w:t>
      </w:r>
      <w:r w:rsidRPr="00972012">
        <w:t xml:space="preserve"> that will be supported through the grant in </w:t>
      </w:r>
      <w:r w:rsidR="000D6AD4">
        <w:t>2019</w:t>
      </w:r>
      <w:r w:rsidR="00094679">
        <w:t>–</w:t>
      </w:r>
      <w:r w:rsidR="000D6AD4">
        <w:t>20</w:t>
      </w:r>
      <w:r>
        <w:t>:</w:t>
      </w:r>
      <w:r w:rsidR="000306B3" w:rsidRPr="000306B3">
        <w:t xml:space="preserve"> </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ports supported in 2018–19."/>
      </w:tblPr>
      <w:tblGrid>
        <w:gridCol w:w="1418"/>
        <w:gridCol w:w="3544"/>
        <w:gridCol w:w="4394"/>
      </w:tblGrid>
      <w:tr w:rsidR="002117E6" w:rsidTr="009A1995">
        <w:trPr>
          <w:cantSplit/>
          <w:trHeight w:val="16"/>
          <w:tblHeader/>
        </w:trPr>
        <w:tc>
          <w:tcPr>
            <w:tcW w:w="1418" w:type="dxa"/>
            <w:tcBorders>
              <w:top w:val="nil"/>
              <w:left w:val="nil"/>
              <w:bottom w:val="thickThinLargeGap" w:sz="24" w:space="0" w:color="auto"/>
              <w:right w:val="nil"/>
            </w:tcBorders>
            <w:shd w:val="clear" w:color="auto" w:fill="E4E4E4"/>
          </w:tcPr>
          <w:bookmarkEnd w:id="0"/>
          <w:p w:rsidR="002117E6" w:rsidRDefault="00D74A65" w:rsidP="00705B86">
            <w:pPr>
              <w:pStyle w:val="Tablerowcolumnheading"/>
            </w:pPr>
            <w:r>
              <w:t>Sport</w:t>
            </w:r>
          </w:p>
        </w:tc>
        <w:tc>
          <w:tcPr>
            <w:tcW w:w="3544" w:type="dxa"/>
            <w:tcBorders>
              <w:top w:val="nil"/>
              <w:left w:val="nil"/>
              <w:bottom w:val="thickThinLargeGap" w:sz="24" w:space="0" w:color="auto"/>
              <w:right w:val="nil"/>
            </w:tcBorders>
            <w:shd w:val="clear" w:color="auto" w:fill="E4E4E4"/>
          </w:tcPr>
          <w:p w:rsidR="002117E6" w:rsidRDefault="00D74A65" w:rsidP="00705B86">
            <w:pPr>
              <w:pStyle w:val="Tablerowcolumnheading"/>
            </w:pPr>
            <w:r>
              <w:t>Competition</w:t>
            </w:r>
          </w:p>
        </w:tc>
        <w:tc>
          <w:tcPr>
            <w:tcW w:w="4394" w:type="dxa"/>
            <w:tcBorders>
              <w:top w:val="nil"/>
              <w:left w:val="nil"/>
              <w:bottom w:val="thickThinLargeGap" w:sz="24" w:space="0" w:color="auto"/>
              <w:right w:val="nil"/>
            </w:tcBorders>
            <w:shd w:val="clear" w:color="auto" w:fill="E4E4E4"/>
          </w:tcPr>
          <w:p w:rsidR="002117E6" w:rsidRDefault="00D74A65" w:rsidP="000D6AD4">
            <w:pPr>
              <w:pStyle w:val="Tablerowcolumnheading"/>
            </w:pPr>
            <w:r>
              <w:t>Anticipated coverage</w:t>
            </w:r>
            <w:r w:rsidR="00617A0F">
              <w:t xml:space="preserve"> increase</w:t>
            </w:r>
            <w:r>
              <w:t xml:space="preserve"> in 201</w:t>
            </w:r>
            <w:r w:rsidR="000D6AD4">
              <w:t>9–20</w:t>
            </w:r>
            <w:r>
              <w:t>*</w:t>
            </w:r>
          </w:p>
        </w:tc>
      </w:tr>
      <w:tr w:rsidR="000D6AD4" w:rsidTr="0092242A">
        <w:trPr>
          <w:cantSplit/>
          <w:trHeight w:val="18"/>
        </w:trPr>
        <w:tc>
          <w:tcPr>
            <w:tcW w:w="1418" w:type="dxa"/>
            <w:tcBorders>
              <w:top w:val="thickThinLargeGap" w:sz="24" w:space="0" w:color="auto"/>
              <w:left w:val="nil"/>
              <w:bottom w:val="single" w:sz="4" w:space="0" w:color="auto"/>
              <w:right w:val="nil"/>
            </w:tcBorders>
          </w:tcPr>
          <w:p w:rsidR="000D6AD4" w:rsidRPr="0092242A" w:rsidRDefault="000D6AD4" w:rsidP="00D74A65">
            <w:pPr>
              <w:pStyle w:val="Tabletext"/>
            </w:pPr>
            <w:r w:rsidRPr="0092242A">
              <w:t>AFL</w:t>
            </w:r>
          </w:p>
        </w:tc>
        <w:tc>
          <w:tcPr>
            <w:tcW w:w="3544" w:type="dxa"/>
            <w:tcBorders>
              <w:top w:val="thickThinLargeGap" w:sz="24" w:space="0" w:color="auto"/>
              <w:left w:val="nil"/>
              <w:bottom w:val="single" w:sz="4" w:space="0" w:color="auto"/>
              <w:right w:val="nil"/>
            </w:tcBorders>
          </w:tcPr>
          <w:p w:rsidR="000D6AD4" w:rsidRPr="0092242A" w:rsidRDefault="000D6AD4" w:rsidP="00D74A65">
            <w:pPr>
              <w:pStyle w:val="tabletext-bullet"/>
            </w:pPr>
            <w:r w:rsidRPr="0092242A">
              <w:t>AFLW</w:t>
            </w:r>
          </w:p>
        </w:tc>
        <w:tc>
          <w:tcPr>
            <w:tcW w:w="4394" w:type="dxa"/>
            <w:tcBorders>
              <w:top w:val="thickThinLargeGap" w:sz="24" w:space="0" w:color="auto"/>
              <w:left w:val="nil"/>
              <w:bottom w:val="single" w:sz="4" w:space="0" w:color="auto"/>
              <w:right w:val="nil"/>
            </w:tcBorders>
          </w:tcPr>
          <w:p w:rsidR="000D6AD4" w:rsidRDefault="000306B3" w:rsidP="00D74A65">
            <w:pPr>
              <w:pStyle w:val="tabletext-bullet"/>
            </w:pPr>
            <w:r>
              <w:t>15%</w:t>
            </w:r>
          </w:p>
        </w:tc>
      </w:tr>
      <w:tr w:rsidR="00D74A65" w:rsidTr="009A199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Football</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pPr>
            <w:r w:rsidRPr="0092242A">
              <w:t>W-League</w:t>
            </w:r>
          </w:p>
          <w:p w:rsidR="00D74A65" w:rsidRPr="0092242A" w:rsidRDefault="00D74A65" w:rsidP="00D74A65">
            <w:pPr>
              <w:pStyle w:val="tabletext-bullet"/>
            </w:pPr>
            <w:r w:rsidRPr="0092242A">
              <w:t>FFA Cup</w:t>
            </w:r>
          </w:p>
          <w:p w:rsidR="00D74A65" w:rsidRPr="0092242A" w:rsidRDefault="00D74A65" w:rsidP="00D74A65">
            <w:pPr>
              <w:pStyle w:val="tabletext-bullet"/>
            </w:pPr>
            <w:r w:rsidRPr="0092242A">
              <w:t>Matildas</w:t>
            </w:r>
          </w:p>
        </w:tc>
        <w:tc>
          <w:tcPr>
            <w:tcW w:w="4394" w:type="dxa"/>
            <w:tcBorders>
              <w:top w:val="single" w:sz="4" w:space="0" w:color="auto"/>
              <w:left w:val="nil"/>
              <w:bottom w:val="single" w:sz="4" w:space="0" w:color="auto"/>
              <w:right w:val="nil"/>
            </w:tcBorders>
          </w:tcPr>
          <w:p w:rsidR="000306B3" w:rsidRDefault="000306B3" w:rsidP="00D74A65">
            <w:pPr>
              <w:pStyle w:val="tabletext-bullet"/>
            </w:pPr>
            <w:r>
              <w:t>-23%</w:t>
            </w:r>
          </w:p>
          <w:p w:rsidR="00D74A65" w:rsidRDefault="000306B3" w:rsidP="00D74A65">
            <w:pPr>
              <w:pStyle w:val="tabletext-bullet"/>
            </w:pPr>
            <w:r>
              <w:t>59%</w:t>
            </w:r>
          </w:p>
          <w:p w:rsidR="00D74A65" w:rsidRPr="008F5647" w:rsidRDefault="000306B3" w:rsidP="00D74A65">
            <w:pPr>
              <w:pStyle w:val="tabletext-bullet"/>
            </w:pPr>
            <w:r>
              <w:t>-36%</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Cricket</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pPr>
            <w:r w:rsidRPr="0092242A">
              <w:t>WBBL</w:t>
            </w:r>
          </w:p>
          <w:p w:rsidR="00D74A65" w:rsidRPr="0092242A" w:rsidRDefault="00D74A65" w:rsidP="00D74A65">
            <w:pPr>
              <w:pStyle w:val="tabletext-bullet"/>
            </w:pPr>
            <w:r w:rsidRPr="0092242A">
              <w:t>Australian Women’s Cricket Team</w:t>
            </w:r>
          </w:p>
          <w:p w:rsidR="00D74A65" w:rsidRPr="0092242A" w:rsidRDefault="00D74A65" w:rsidP="00D74A65">
            <w:pPr>
              <w:pStyle w:val="tabletext-bullet"/>
            </w:pPr>
            <w:r w:rsidRPr="0092242A">
              <w:t>ICC Women’s World Twenty20</w:t>
            </w:r>
          </w:p>
        </w:tc>
        <w:tc>
          <w:tcPr>
            <w:tcW w:w="4394" w:type="dxa"/>
            <w:tcBorders>
              <w:top w:val="single" w:sz="4" w:space="0" w:color="auto"/>
              <w:left w:val="nil"/>
              <w:bottom w:val="single" w:sz="4" w:space="0" w:color="auto"/>
              <w:right w:val="nil"/>
            </w:tcBorders>
          </w:tcPr>
          <w:p w:rsidR="007E1B56" w:rsidRPr="007E1B56" w:rsidRDefault="007E1B56" w:rsidP="00D74A65">
            <w:pPr>
              <w:pStyle w:val="tabletext-bullet"/>
            </w:pPr>
            <w:r w:rsidRPr="007E1B56">
              <w:rPr>
                <w:sz w:val="21"/>
                <w:szCs w:val="21"/>
              </w:rPr>
              <w:t>No coverage in 2016–17</w:t>
            </w:r>
          </w:p>
          <w:p w:rsidR="00B70BA7" w:rsidRPr="00B70BA7" w:rsidRDefault="00B70BA7" w:rsidP="00ED3D6C">
            <w:pPr>
              <w:pStyle w:val="tabletext-bullet"/>
            </w:pPr>
            <w:r w:rsidRPr="007E1B56">
              <w:rPr>
                <w:sz w:val="21"/>
                <w:szCs w:val="21"/>
              </w:rPr>
              <w:t>No coverage in 2016–17</w:t>
            </w:r>
          </w:p>
          <w:p w:rsidR="00D74A65" w:rsidRPr="007E1B56" w:rsidRDefault="00ED3D6C" w:rsidP="00ED3D6C">
            <w:pPr>
              <w:pStyle w:val="tabletext-bullet"/>
            </w:pPr>
            <w:r w:rsidRPr="007E1B56">
              <w:rPr>
                <w:sz w:val="21"/>
                <w:szCs w:val="21"/>
              </w:rPr>
              <w:t>No coverage in 2016–17</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 xml:space="preserve">Rugby Union </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pPr>
            <w:r w:rsidRPr="0092242A">
              <w:t>Super W</w:t>
            </w:r>
          </w:p>
          <w:p w:rsidR="00D74A65" w:rsidRPr="0092242A" w:rsidRDefault="00D74A65" w:rsidP="004E23EF">
            <w:pPr>
              <w:pStyle w:val="tabletext-bullet"/>
            </w:pPr>
            <w:r w:rsidRPr="0092242A">
              <w:t>Rugby Sevens</w:t>
            </w:r>
            <w:r w:rsidR="00094679">
              <w:t>—</w:t>
            </w:r>
            <w:r w:rsidRPr="0092242A">
              <w:t>Men’s</w:t>
            </w:r>
            <w:r w:rsidR="004E23EF" w:rsidRPr="0092242A">
              <w:t xml:space="preserve"> and Women’s</w:t>
            </w:r>
          </w:p>
          <w:p w:rsidR="00B90471" w:rsidRPr="0092242A" w:rsidRDefault="00B90471" w:rsidP="004E23EF">
            <w:pPr>
              <w:pStyle w:val="tabletext-bullet"/>
            </w:pPr>
            <w:r w:rsidRPr="0092242A">
              <w:t>Wallaroos</w:t>
            </w:r>
          </w:p>
        </w:tc>
        <w:tc>
          <w:tcPr>
            <w:tcW w:w="4394" w:type="dxa"/>
            <w:tcBorders>
              <w:top w:val="single" w:sz="4" w:space="0" w:color="auto"/>
              <w:left w:val="nil"/>
              <w:bottom w:val="single" w:sz="4" w:space="0" w:color="auto"/>
              <w:right w:val="nil"/>
            </w:tcBorders>
          </w:tcPr>
          <w:p w:rsidR="00D74A65" w:rsidRDefault="00D74A65" w:rsidP="00D74A65">
            <w:pPr>
              <w:pStyle w:val="tabletext-bullet"/>
              <w:rPr>
                <w:sz w:val="21"/>
                <w:szCs w:val="21"/>
              </w:rPr>
            </w:pPr>
            <w:r>
              <w:rPr>
                <w:sz w:val="21"/>
                <w:szCs w:val="21"/>
              </w:rPr>
              <w:t>No coverage in 2016–17</w:t>
            </w:r>
          </w:p>
          <w:p w:rsidR="00D74A65" w:rsidRDefault="004E23EF" w:rsidP="00D74A65">
            <w:pPr>
              <w:pStyle w:val="tabletext-bullet"/>
              <w:rPr>
                <w:sz w:val="21"/>
                <w:szCs w:val="21"/>
              </w:rPr>
            </w:pPr>
            <w:r>
              <w:rPr>
                <w:sz w:val="21"/>
                <w:szCs w:val="21"/>
              </w:rPr>
              <w:t>-21%</w:t>
            </w:r>
          </w:p>
          <w:p w:rsidR="00B70BA7" w:rsidRDefault="00B70BA7" w:rsidP="00B70BA7">
            <w:pPr>
              <w:pStyle w:val="tabletext-bullet"/>
              <w:numPr>
                <w:ilvl w:val="0"/>
                <w:numId w:val="0"/>
              </w:numPr>
              <w:rPr>
                <w:sz w:val="21"/>
                <w:szCs w:val="21"/>
              </w:rPr>
            </w:pPr>
          </w:p>
          <w:p w:rsidR="00B90471" w:rsidRPr="005D49FF" w:rsidRDefault="00B90471" w:rsidP="00D74A65">
            <w:pPr>
              <w:pStyle w:val="tabletext-bullet"/>
              <w:rPr>
                <w:sz w:val="21"/>
                <w:szCs w:val="21"/>
              </w:rPr>
            </w:pPr>
            <w:r>
              <w:rPr>
                <w:sz w:val="21"/>
                <w:szCs w:val="21"/>
              </w:rPr>
              <w:t>No coverage in 2016–17</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 xml:space="preserve">Rugby League </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pPr>
            <w:r w:rsidRPr="0092242A">
              <w:t>Women’s Tests and State of Origin</w:t>
            </w:r>
          </w:p>
          <w:p w:rsidR="0092242A" w:rsidRPr="0092242A" w:rsidRDefault="0092242A" w:rsidP="00D74A65">
            <w:pPr>
              <w:pStyle w:val="tabletext-bullet"/>
            </w:pPr>
            <w:r w:rsidRPr="0092242A">
              <w:t>NRL Touch Premiership</w:t>
            </w:r>
          </w:p>
          <w:p w:rsidR="00D74A65" w:rsidRPr="0092242A" w:rsidRDefault="00D74A65" w:rsidP="00D74A65">
            <w:pPr>
              <w:pStyle w:val="tabletext-bullet"/>
            </w:pPr>
            <w:r w:rsidRPr="0092242A">
              <w:t>League Life</w:t>
            </w:r>
          </w:p>
        </w:tc>
        <w:tc>
          <w:tcPr>
            <w:tcW w:w="4394" w:type="dxa"/>
            <w:tcBorders>
              <w:top w:val="single" w:sz="4" w:space="0" w:color="auto"/>
              <w:left w:val="nil"/>
              <w:bottom w:val="single" w:sz="4" w:space="0" w:color="auto"/>
              <w:right w:val="nil"/>
            </w:tcBorders>
          </w:tcPr>
          <w:p w:rsidR="00D74A65" w:rsidRPr="000E3ED7" w:rsidRDefault="004E23EF" w:rsidP="00D74A65">
            <w:pPr>
              <w:pStyle w:val="tabletext-bullet"/>
              <w:rPr>
                <w:sz w:val="21"/>
                <w:szCs w:val="21"/>
              </w:rPr>
            </w:pPr>
            <w:r>
              <w:rPr>
                <w:sz w:val="21"/>
                <w:szCs w:val="21"/>
              </w:rPr>
              <w:t>2020%</w:t>
            </w:r>
          </w:p>
          <w:p w:rsidR="00B90471" w:rsidRDefault="00B90471" w:rsidP="00B90471">
            <w:pPr>
              <w:pStyle w:val="tabletext-bullet"/>
              <w:numPr>
                <w:ilvl w:val="0"/>
                <w:numId w:val="0"/>
              </w:numPr>
              <w:ind w:left="284"/>
              <w:rPr>
                <w:sz w:val="21"/>
                <w:szCs w:val="21"/>
              </w:rPr>
            </w:pPr>
          </w:p>
          <w:p w:rsidR="0092242A" w:rsidRPr="0092242A" w:rsidRDefault="0092242A" w:rsidP="0092242A">
            <w:pPr>
              <w:pStyle w:val="tabletext-bullet"/>
              <w:rPr>
                <w:sz w:val="21"/>
                <w:szCs w:val="21"/>
              </w:rPr>
            </w:pPr>
            <w:r>
              <w:rPr>
                <w:sz w:val="21"/>
                <w:szCs w:val="21"/>
              </w:rPr>
              <w:t>No coverage in 2016–17</w:t>
            </w:r>
          </w:p>
          <w:p w:rsidR="00D74A65" w:rsidRPr="008471D0" w:rsidRDefault="00B70BA7" w:rsidP="00A14007">
            <w:pPr>
              <w:pStyle w:val="tabletext-bullet"/>
              <w:rPr>
                <w:sz w:val="21"/>
                <w:szCs w:val="21"/>
              </w:rPr>
            </w:pPr>
            <w:r>
              <w:rPr>
                <w:sz w:val="21"/>
                <w:szCs w:val="21"/>
              </w:rPr>
              <w:t>No coverage in 2016–17, n</w:t>
            </w:r>
            <w:r w:rsidR="00B90471">
              <w:rPr>
                <w:sz w:val="21"/>
                <w:szCs w:val="21"/>
              </w:rPr>
              <w:t xml:space="preserve">ew </w:t>
            </w:r>
            <w:r w:rsidR="00A14007">
              <w:rPr>
                <w:sz w:val="21"/>
                <w:szCs w:val="21"/>
              </w:rPr>
              <w:t>in 2019</w:t>
            </w:r>
            <w:r w:rsidR="00094679">
              <w:t>–</w:t>
            </w:r>
            <w:r w:rsidR="00A14007">
              <w:rPr>
                <w:sz w:val="21"/>
                <w:szCs w:val="21"/>
              </w:rPr>
              <w:t>20</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Lawn Bowls</w:t>
            </w:r>
          </w:p>
        </w:tc>
        <w:tc>
          <w:tcPr>
            <w:tcW w:w="3544" w:type="dxa"/>
            <w:tcBorders>
              <w:top w:val="single" w:sz="4" w:space="0" w:color="auto"/>
              <w:left w:val="nil"/>
              <w:bottom w:val="single" w:sz="4" w:space="0" w:color="auto"/>
              <w:right w:val="nil"/>
            </w:tcBorders>
          </w:tcPr>
          <w:p w:rsidR="00D74A65" w:rsidRPr="0092242A" w:rsidRDefault="00B90471" w:rsidP="00D74A65">
            <w:pPr>
              <w:pStyle w:val="tabletext-bullet"/>
              <w:rPr>
                <w:sz w:val="21"/>
                <w:szCs w:val="21"/>
              </w:rPr>
            </w:pPr>
            <w:r w:rsidRPr="0092242A">
              <w:rPr>
                <w:sz w:val="21"/>
                <w:szCs w:val="21"/>
              </w:rPr>
              <w:t>Lawn Bowls</w:t>
            </w:r>
          </w:p>
        </w:tc>
        <w:tc>
          <w:tcPr>
            <w:tcW w:w="4394" w:type="dxa"/>
            <w:tcBorders>
              <w:top w:val="single" w:sz="4" w:space="0" w:color="auto"/>
              <w:left w:val="nil"/>
              <w:bottom w:val="single" w:sz="4" w:space="0" w:color="auto"/>
              <w:right w:val="nil"/>
            </w:tcBorders>
          </w:tcPr>
          <w:p w:rsidR="00D74A65" w:rsidRPr="008F5647" w:rsidRDefault="00B90471" w:rsidP="00D74A65">
            <w:pPr>
              <w:pStyle w:val="tabletext-bullet"/>
              <w:rPr>
                <w:sz w:val="21"/>
                <w:szCs w:val="21"/>
              </w:rPr>
            </w:pPr>
            <w:r>
              <w:rPr>
                <w:sz w:val="21"/>
                <w:szCs w:val="21"/>
              </w:rPr>
              <w:t>23%</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Surfing</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rPr>
                <w:sz w:val="21"/>
                <w:szCs w:val="21"/>
              </w:rPr>
            </w:pPr>
            <w:r w:rsidRPr="0092242A">
              <w:rPr>
                <w:sz w:val="21"/>
                <w:szCs w:val="21"/>
              </w:rPr>
              <w:t>World Surfing League</w:t>
            </w:r>
            <w:r w:rsidR="00094679">
              <w:t>–</w:t>
            </w:r>
            <w:r w:rsidRPr="0092242A">
              <w:rPr>
                <w:sz w:val="21"/>
                <w:szCs w:val="21"/>
              </w:rPr>
              <w:t>Men’s and Women’s</w:t>
            </w:r>
          </w:p>
          <w:p w:rsidR="00D74A65" w:rsidRPr="0092242A" w:rsidRDefault="00D74A65" w:rsidP="00D74A65">
            <w:pPr>
              <w:pStyle w:val="tabletext-bullet"/>
              <w:rPr>
                <w:sz w:val="21"/>
                <w:szCs w:val="21"/>
              </w:rPr>
            </w:pPr>
            <w:r w:rsidRPr="0092242A">
              <w:rPr>
                <w:sz w:val="21"/>
                <w:szCs w:val="21"/>
              </w:rPr>
              <w:t xml:space="preserve">Australian </w:t>
            </w:r>
            <w:proofErr w:type="spellStart"/>
            <w:r w:rsidRPr="0092242A">
              <w:rPr>
                <w:sz w:val="21"/>
                <w:szCs w:val="21"/>
              </w:rPr>
              <w:t>Boardriders</w:t>
            </w:r>
            <w:proofErr w:type="spellEnd"/>
            <w:r w:rsidRPr="0092242A">
              <w:rPr>
                <w:sz w:val="21"/>
                <w:szCs w:val="21"/>
              </w:rPr>
              <w:t xml:space="preserve"> Battle</w:t>
            </w:r>
          </w:p>
          <w:p w:rsidR="00D74A65" w:rsidRPr="0092242A" w:rsidRDefault="00D74A65" w:rsidP="00D74A65">
            <w:pPr>
              <w:pStyle w:val="tabletext-bullet"/>
              <w:rPr>
                <w:sz w:val="21"/>
                <w:szCs w:val="21"/>
              </w:rPr>
            </w:pPr>
            <w:r w:rsidRPr="0092242A">
              <w:rPr>
                <w:sz w:val="21"/>
                <w:szCs w:val="21"/>
              </w:rPr>
              <w:t>mySURF.TV / Australian Surf Content</w:t>
            </w:r>
          </w:p>
        </w:tc>
        <w:tc>
          <w:tcPr>
            <w:tcW w:w="4394" w:type="dxa"/>
            <w:tcBorders>
              <w:top w:val="single" w:sz="4" w:space="0" w:color="auto"/>
              <w:left w:val="nil"/>
              <w:bottom w:val="single" w:sz="4" w:space="0" w:color="auto"/>
              <w:right w:val="nil"/>
            </w:tcBorders>
          </w:tcPr>
          <w:p w:rsidR="00D74A65" w:rsidRDefault="00A14007" w:rsidP="00D74A65">
            <w:pPr>
              <w:pStyle w:val="tabletext-bullet"/>
              <w:rPr>
                <w:sz w:val="21"/>
                <w:szCs w:val="21"/>
              </w:rPr>
            </w:pPr>
            <w:r>
              <w:rPr>
                <w:sz w:val="21"/>
                <w:szCs w:val="21"/>
              </w:rPr>
              <w:t>-39%</w:t>
            </w:r>
          </w:p>
          <w:p w:rsidR="00A14007" w:rsidRDefault="00A14007" w:rsidP="00A14007">
            <w:pPr>
              <w:pStyle w:val="tabletext-bullet"/>
              <w:numPr>
                <w:ilvl w:val="0"/>
                <w:numId w:val="0"/>
              </w:numPr>
              <w:ind w:left="284"/>
              <w:rPr>
                <w:sz w:val="21"/>
                <w:szCs w:val="21"/>
              </w:rPr>
            </w:pPr>
          </w:p>
          <w:p w:rsidR="00D74A65" w:rsidRDefault="00A14007" w:rsidP="00D74A65">
            <w:pPr>
              <w:pStyle w:val="tabletext-bullet"/>
              <w:rPr>
                <w:sz w:val="21"/>
                <w:szCs w:val="21"/>
              </w:rPr>
            </w:pPr>
            <w:r>
              <w:rPr>
                <w:sz w:val="21"/>
                <w:szCs w:val="21"/>
              </w:rPr>
              <w:t>-32%</w:t>
            </w:r>
          </w:p>
          <w:p w:rsidR="00D74A65" w:rsidRPr="00CB55D3" w:rsidRDefault="00D74A65" w:rsidP="00A14007">
            <w:pPr>
              <w:pStyle w:val="tabletext-bullet"/>
              <w:rPr>
                <w:sz w:val="21"/>
                <w:szCs w:val="21"/>
              </w:rPr>
            </w:pPr>
            <w:r>
              <w:rPr>
                <w:sz w:val="21"/>
                <w:szCs w:val="21"/>
              </w:rPr>
              <w:t>No coverage in 2016–17</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lastRenderedPageBreak/>
              <w:t>Life Saving</w:t>
            </w:r>
          </w:p>
        </w:tc>
        <w:tc>
          <w:tcPr>
            <w:tcW w:w="3544" w:type="dxa"/>
            <w:tcBorders>
              <w:top w:val="single" w:sz="4" w:space="0" w:color="auto"/>
              <w:left w:val="nil"/>
              <w:bottom w:val="single" w:sz="4" w:space="0" w:color="auto"/>
              <w:right w:val="nil"/>
            </w:tcBorders>
          </w:tcPr>
          <w:p w:rsidR="00D74A65" w:rsidRPr="0092242A" w:rsidRDefault="00A14007" w:rsidP="00D74A65">
            <w:pPr>
              <w:pStyle w:val="tabletext-bullet"/>
              <w:rPr>
                <w:sz w:val="21"/>
                <w:szCs w:val="21"/>
              </w:rPr>
            </w:pPr>
            <w:r w:rsidRPr="0092242A">
              <w:rPr>
                <w:sz w:val="21"/>
                <w:szCs w:val="21"/>
              </w:rPr>
              <w:t>Iron Series &amp; Super Surf Teams League</w:t>
            </w:r>
          </w:p>
        </w:tc>
        <w:tc>
          <w:tcPr>
            <w:tcW w:w="4394" w:type="dxa"/>
            <w:tcBorders>
              <w:top w:val="single" w:sz="4" w:space="0" w:color="auto"/>
              <w:left w:val="nil"/>
              <w:bottom w:val="single" w:sz="4" w:space="0" w:color="auto"/>
              <w:right w:val="nil"/>
            </w:tcBorders>
          </w:tcPr>
          <w:p w:rsidR="00D74A65" w:rsidRPr="008F5647" w:rsidRDefault="00ED3D6C" w:rsidP="00D74A65">
            <w:pPr>
              <w:pStyle w:val="tabletext-bullet"/>
              <w:rPr>
                <w:sz w:val="21"/>
                <w:szCs w:val="21"/>
              </w:rPr>
            </w:pPr>
            <w:r>
              <w:rPr>
                <w:sz w:val="21"/>
                <w:szCs w:val="21"/>
              </w:rPr>
              <w:t xml:space="preserve">New </w:t>
            </w:r>
            <w:r w:rsidR="00B70BA7">
              <w:rPr>
                <w:sz w:val="21"/>
                <w:szCs w:val="21"/>
              </w:rPr>
              <w:t xml:space="preserve">format </w:t>
            </w:r>
            <w:r>
              <w:rPr>
                <w:sz w:val="21"/>
                <w:szCs w:val="21"/>
              </w:rPr>
              <w:t>in 2019</w:t>
            </w:r>
            <w:r w:rsidR="00094679">
              <w:t>–</w:t>
            </w:r>
            <w:r>
              <w:rPr>
                <w:sz w:val="21"/>
                <w:szCs w:val="21"/>
              </w:rPr>
              <w:t>20</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Basketball</w:t>
            </w:r>
          </w:p>
        </w:tc>
        <w:tc>
          <w:tcPr>
            <w:tcW w:w="3544" w:type="dxa"/>
            <w:tcBorders>
              <w:top w:val="single" w:sz="4" w:space="0" w:color="auto"/>
              <w:left w:val="nil"/>
              <w:bottom w:val="single" w:sz="4" w:space="0" w:color="auto"/>
              <w:right w:val="nil"/>
            </w:tcBorders>
          </w:tcPr>
          <w:p w:rsidR="00D74A65" w:rsidRPr="0092242A" w:rsidRDefault="00D74A65" w:rsidP="00D74A65">
            <w:pPr>
              <w:pStyle w:val="tabletext-bullet"/>
              <w:rPr>
                <w:sz w:val="21"/>
                <w:szCs w:val="21"/>
              </w:rPr>
            </w:pPr>
            <w:r w:rsidRPr="0092242A">
              <w:rPr>
                <w:sz w:val="21"/>
                <w:szCs w:val="21"/>
              </w:rPr>
              <w:t>WNBL</w:t>
            </w:r>
          </w:p>
          <w:p w:rsidR="00D74A65" w:rsidRPr="0092242A" w:rsidRDefault="00A14007" w:rsidP="00D74A65">
            <w:pPr>
              <w:pStyle w:val="tabletext-bullet"/>
              <w:rPr>
                <w:sz w:val="21"/>
                <w:szCs w:val="21"/>
              </w:rPr>
            </w:pPr>
            <w:r w:rsidRPr="0092242A">
              <w:rPr>
                <w:sz w:val="21"/>
                <w:szCs w:val="21"/>
              </w:rPr>
              <w:t>FIBA Basketball World Cup</w:t>
            </w:r>
          </w:p>
          <w:p w:rsidR="00D74A65" w:rsidRPr="0092242A" w:rsidRDefault="00A14007" w:rsidP="00D74A65">
            <w:pPr>
              <w:pStyle w:val="tabletext-bullet"/>
              <w:rPr>
                <w:sz w:val="21"/>
                <w:szCs w:val="21"/>
              </w:rPr>
            </w:pPr>
            <w:r w:rsidRPr="0092242A">
              <w:rPr>
                <w:sz w:val="21"/>
                <w:szCs w:val="21"/>
              </w:rPr>
              <w:t>FIBA Women's Asia Cup</w:t>
            </w:r>
          </w:p>
          <w:p w:rsidR="00A14007" w:rsidRPr="0092242A" w:rsidRDefault="00A14007" w:rsidP="00D74A65">
            <w:pPr>
              <w:pStyle w:val="tabletext-bullet"/>
              <w:rPr>
                <w:sz w:val="21"/>
                <w:szCs w:val="21"/>
              </w:rPr>
            </w:pPr>
            <w:r w:rsidRPr="0092242A">
              <w:rPr>
                <w:sz w:val="21"/>
                <w:szCs w:val="21"/>
              </w:rPr>
              <w:t>FIBA Continental Cup Qualifiers (Asia)</w:t>
            </w:r>
          </w:p>
        </w:tc>
        <w:tc>
          <w:tcPr>
            <w:tcW w:w="4394" w:type="dxa"/>
            <w:tcBorders>
              <w:top w:val="single" w:sz="4" w:space="0" w:color="auto"/>
              <w:left w:val="nil"/>
              <w:bottom w:val="single" w:sz="4" w:space="0" w:color="auto"/>
              <w:right w:val="nil"/>
            </w:tcBorders>
          </w:tcPr>
          <w:p w:rsidR="00D74A65" w:rsidRPr="006034BB" w:rsidRDefault="00D74A65" w:rsidP="00D74A65">
            <w:pPr>
              <w:pStyle w:val="tabletext-bullet"/>
              <w:rPr>
                <w:sz w:val="21"/>
                <w:szCs w:val="21"/>
              </w:rPr>
            </w:pPr>
            <w:r>
              <w:rPr>
                <w:sz w:val="21"/>
                <w:szCs w:val="21"/>
              </w:rPr>
              <w:t>No coverage in 2016–17</w:t>
            </w:r>
          </w:p>
          <w:p w:rsidR="00D74A65" w:rsidRPr="00A44365" w:rsidRDefault="00D74A65" w:rsidP="00D74A65">
            <w:pPr>
              <w:pStyle w:val="tabletext-bullet"/>
              <w:rPr>
                <w:sz w:val="21"/>
                <w:szCs w:val="21"/>
              </w:rPr>
            </w:pPr>
            <w:r>
              <w:rPr>
                <w:sz w:val="21"/>
                <w:szCs w:val="21"/>
              </w:rPr>
              <w:t>Qua</w:t>
            </w:r>
            <w:r w:rsidR="00A14007">
              <w:rPr>
                <w:sz w:val="21"/>
                <w:szCs w:val="21"/>
              </w:rPr>
              <w:t>drennial event last held 2015</w:t>
            </w:r>
            <w:r w:rsidR="00094679">
              <w:t>–</w:t>
            </w:r>
            <w:r w:rsidR="00A14007">
              <w:rPr>
                <w:sz w:val="21"/>
                <w:szCs w:val="21"/>
              </w:rPr>
              <w:t>16</w:t>
            </w:r>
            <w:r>
              <w:rPr>
                <w:sz w:val="21"/>
                <w:szCs w:val="21"/>
              </w:rPr>
              <w:t xml:space="preserve"> </w:t>
            </w:r>
          </w:p>
          <w:p w:rsidR="00D74A65" w:rsidRDefault="00D74A65" w:rsidP="00A14007">
            <w:pPr>
              <w:pStyle w:val="tabletext-bullet"/>
              <w:rPr>
                <w:sz w:val="21"/>
                <w:szCs w:val="21"/>
              </w:rPr>
            </w:pPr>
            <w:r>
              <w:rPr>
                <w:sz w:val="21"/>
                <w:szCs w:val="21"/>
              </w:rPr>
              <w:t xml:space="preserve">Quadrennial event last held </w:t>
            </w:r>
            <w:r w:rsidR="00A14007">
              <w:rPr>
                <w:sz w:val="21"/>
                <w:szCs w:val="21"/>
              </w:rPr>
              <w:t>2015</w:t>
            </w:r>
            <w:r w:rsidR="00094679">
              <w:t>–</w:t>
            </w:r>
            <w:r w:rsidR="00A14007">
              <w:rPr>
                <w:sz w:val="21"/>
                <w:szCs w:val="21"/>
              </w:rPr>
              <w:t>16</w:t>
            </w:r>
          </w:p>
          <w:p w:rsidR="00A14007" w:rsidRPr="00793E95" w:rsidRDefault="00A14007" w:rsidP="00A14007">
            <w:pPr>
              <w:pStyle w:val="tabletext-bullet"/>
              <w:rPr>
                <w:sz w:val="21"/>
                <w:szCs w:val="21"/>
              </w:rPr>
            </w:pPr>
            <w:r>
              <w:rPr>
                <w:sz w:val="21"/>
                <w:szCs w:val="21"/>
              </w:rPr>
              <w:t>Quadrennial event last held 2015</w:t>
            </w:r>
            <w:r w:rsidR="00094679">
              <w:t>–</w:t>
            </w:r>
            <w:r>
              <w:rPr>
                <w:sz w:val="21"/>
                <w:szCs w:val="21"/>
              </w:rPr>
              <w:t>16</w:t>
            </w:r>
          </w:p>
        </w:tc>
      </w:tr>
      <w:tr w:rsidR="0092242A" w:rsidTr="00D74A65">
        <w:trPr>
          <w:cantSplit/>
        </w:trPr>
        <w:tc>
          <w:tcPr>
            <w:tcW w:w="1418" w:type="dxa"/>
            <w:tcBorders>
              <w:top w:val="single" w:sz="4" w:space="0" w:color="auto"/>
              <w:left w:val="nil"/>
              <w:bottom w:val="single" w:sz="4" w:space="0" w:color="auto"/>
              <w:right w:val="nil"/>
            </w:tcBorders>
          </w:tcPr>
          <w:p w:rsidR="0092242A" w:rsidRPr="0092242A" w:rsidRDefault="0092242A" w:rsidP="00D74A65">
            <w:pPr>
              <w:pStyle w:val="Tabletext"/>
            </w:pPr>
            <w:r w:rsidRPr="0092242A">
              <w:t>Baseball</w:t>
            </w:r>
          </w:p>
        </w:tc>
        <w:tc>
          <w:tcPr>
            <w:tcW w:w="3544" w:type="dxa"/>
            <w:tcBorders>
              <w:top w:val="single" w:sz="4" w:space="0" w:color="auto"/>
              <w:left w:val="nil"/>
              <w:bottom w:val="single" w:sz="4" w:space="0" w:color="auto"/>
              <w:right w:val="nil"/>
            </w:tcBorders>
          </w:tcPr>
          <w:p w:rsidR="0092242A" w:rsidRPr="0092242A" w:rsidRDefault="0092242A" w:rsidP="00D74A65">
            <w:pPr>
              <w:pStyle w:val="tabletext-bullet"/>
              <w:rPr>
                <w:sz w:val="21"/>
                <w:szCs w:val="21"/>
              </w:rPr>
            </w:pPr>
            <w:r w:rsidRPr="0092242A">
              <w:rPr>
                <w:sz w:val="21"/>
                <w:szCs w:val="21"/>
              </w:rPr>
              <w:t>Australian Baseball League</w:t>
            </w:r>
          </w:p>
        </w:tc>
        <w:tc>
          <w:tcPr>
            <w:tcW w:w="4394" w:type="dxa"/>
            <w:tcBorders>
              <w:top w:val="single" w:sz="4" w:space="0" w:color="auto"/>
              <w:left w:val="nil"/>
              <w:bottom w:val="single" w:sz="4" w:space="0" w:color="auto"/>
              <w:right w:val="nil"/>
            </w:tcBorders>
          </w:tcPr>
          <w:p w:rsidR="0092242A" w:rsidRPr="0092242A" w:rsidRDefault="0092242A" w:rsidP="0092242A">
            <w:pPr>
              <w:pStyle w:val="tabletext-bullet"/>
              <w:rPr>
                <w:sz w:val="21"/>
                <w:szCs w:val="21"/>
              </w:rPr>
            </w:pPr>
            <w:r>
              <w:rPr>
                <w:sz w:val="21"/>
                <w:szCs w:val="21"/>
              </w:rPr>
              <w:t>No coverage in 2016–17</w:t>
            </w:r>
          </w:p>
        </w:tc>
      </w:tr>
      <w:tr w:rsidR="0092242A" w:rsidTr="00D74A65">
        <w:trPr>
          <w:cantSplit/>
        </w:trPr>
        <w:tc>
          <w:tcPr>
            <w:tcW w:w="1418" w:type="dxa"/>
            <w:tcBorders>
              <w:top w:val="single" w:sz="4" w:space="0" w:color="auto"/>
              <w:left w:val="nil"/>
              <w:bottom w:val="single" w:sz="4" w:space="0" w:color="auto"/>
              <w:right w:val="nil"/>
            </w:tcBorders>
          </w:tcPr>
          <w:p w:rsidR="0092242A" w:rsidRPr="0092242A" w:rsidRDefault="0092242A" w:rsidP="00D74A65">
            <w:pPr>
              <w:pStyle w:val="Tabletext"/>
            </w:pPr>
            <w:r w:rsidRPr="0092242A">
              <w:t>Softball</w:t>
            </w:r>
          </w:p>
        </w:tc>
        <w:tc>
          <w:tcPr>
            <w:tcW w:w="3544" w:type="dxa"/>
            <w:tcBorders>
              <w:top w:val="single" w:sz="4" w:space="0" w:color="auto"/>
              <w:left w:val="nil"/>
              <w:bottom w:val="single" w:sz="4" w:space="0" w:color="auto"/>
              <w:right w:val="nil"/>
            </w:tcBorders>
          </w:tcPr>
          <w:p w:rsidR="0092242A" w:rsidRPr="0092242A" w:rsidRDefault="0092242A" w:rsidP="00D74A65">
            <w:pPr>
              <w:pStyle w:val="tabletext-bullet"/>
              <w:rPr>
                <w:sz w:val="21"/>
                <w:szCs w:val="21"/>
              </w:rPr>
            </w:pPr>
            <w:r w:rsidRPr="0092242A">
              <w:rPr>
                <w:sz w:val="21"/>
                <w:szCs w:val="21"/>
              </w:rPr>
              <w:t>Asia Pacific Cup</w:t>
            </w:r>
          </w:p>
          <w:p w:rsidR="0092242A" w:rsidRPr="0092242A" w:rsidRDefault="0092242A" w:rsidP="00094679">
            <w:pPr>
              <w:pStyle w:val="tabletext-bullet"/>
              <w:rPr>
                <w:sz w:val="21"/>
                <w:szCs w:val="21"/>
              </w:rPr>
            </w:pPr>
            <w:r w:rsidRPr="0092242A">
              <w:rPr>
                <w:sz w:val="21"/>
                <w:szCs w:val="21"/>
              </w:rPr>
              <w:t>The Summer Slam</w:t>
            </w:r>
            <w:r w:rsidR="00094679">
              <w:rPr>
                <w:sz w:val="21"/>
                <w:szCs w:val="21"/>
              </w:rPr>
              <w:t>—</w:t>
            </w:r>
            <w:r w:rsidRPr="0092242A">
              <w:rPr>
                <w:sz w:val="21"/>
                <w:szCs w:val="21"/>
              </w:rPr>
              <w:t>Fully Loaded Softball</w:t>
            </w:r>
          </w:p>
        </w:tc>
        <w:tc>
          <w:tcPr>
            <w:tcW w:w="4394" w:type="dxa"/>
            <w:tcBorders>
              <w:top w:val="single" w:sz="4" w:space="0" w:color="auto"/>
              <w:left w:val="nil"/>
              <w:bottom w:val="single" w:sz="4" w:space="0" w:color="auto"/>
              <w:right w:val="nil"/>
            </w:tcBorders>
          </w:tcPr>
          <w:p w:rsidR="0092242A" w:rsidRDefault="0092242A" w:rsidP="00D74A65">
            <w:pPr>
              <w:pStyle w:val="tabletext-bullet"/>
              <w:rPr>
                <w:sz w:val="21"/>
                <w:szCs w:val="21"/>
              </w:rPr>
            </w:pPr>
            <w:r>
              <w:rPr>
                <w:sz w:val="21"/>
                <w:szCs w:val="21"/>
              </w:rPr>
              <w:t>No coverage in 2016–17</w:t>
            </w:r>
          </w:p>
          <w:p w:rsidR="0092242A" w:rsidRDefault="0092242A" w:rsidP="00D74A65">
            <w:pPr>
              <w:pStyle w:val="tabletext-bullet"/>
              <w:rPr>
                <w:sz w:val="21"/>
                <w:szCs w:val="21"/>
              </w:rPr>
            </w:pPr>
            <w:r>
              <w:rPr>
                <w:sz w:val="21"/>
                <w:szCs w:val="21"/>
              </w:rPr>
              <w:t>No coverage in 2016–17</w:t>
            </w:r>
          </w:p>
        </w:tc>
      </w:tr>
      <w:tr w:rsidR="00D74A65" w:rsidTr="00D74A65">
        <w:trPr>
          <w:cantSplit/>
        </w:trPr>
        <w:tc>
          <w:tcPr>
            <w:tcW w:w="1418" w:type="dxa"/>
            <w:tcBorders>
              <w:top w:val="single" w:sz="4" w:space="0" w:color="auto"/>
              <w:left w:val="nil"/>
              <w:bottom w:val="single" w:sz="4" w:space="0" w:color="auto"/>
              <w:right w:val="nil"/>
            </w:tcBorders>
          </w:tcPr>
          <w:p w:rsidR="00D74A65" w:rsidRPr="0092242A" w:rsidRDefault="00D74A65" w:rsidP="00D74A65">
            <w:pPr>
              <w:pStyle w:val="Tabletext"/>
            </w:pPr>
            <w:r w:rsidRPr="0092242A">
              <w:t>Hockey</w:t>
            </w:r>
          </w:p>
        </w:tc>
        <w:tc>
          <w:tcPr>
            <w:tcW w:w="3544" w:type="dxa"/>
            <w:tcBorders>
              <w:top w:val="single" w:sz="4" w:space="0" w:color="auto"/>
              <w:left w:val="nil"/>
              <w:bottom w:val="single" w:sz="4" w:space="0" w:color="auto"/>
              <w:right w:val="nil"/>
            </w:tcBorders>
          </w:tcPr>
          <w:p w:rsidR="00D74A65" w:rsidRPr="0092242A" w:rsidRDefault="00A14007" w:rsidP="00D74A65">
            <w:pPr>
              <w:pStyle w:val="tabletext-bullet"/>
              <w:rPr>
                <w:sz w:val="21"/>
                <w:szCs w:val="21"/>
              </w:rPr>
            </w:pPr>
            <w:r w:rsidRPr="0092242A">
              <w:rPr>
                <w:sz w:val="21"/>
                <w:szCs w:val="21"/>
              </w:rPr>
              <w:t>Hockey One League</w:t>
            </w:r>
            <w:r w:rsidR="00094679">
              <w:rPr>
                <w:sz w:val="21"/>
                <w:szCs w:val="21"/>
              </w:rPr>
              <w:t>—</w:t>
            </w:r>
            <w:r w:rsidRPr="0092242A">
              <w:rPr>
                <w:sz w:val="21"/>
                <w:szCs w:val="21"/>
              </w:rPr>
              <w:t>Men</w:t>
            </w:r>
            <w:r w:rsidR="0092242A">
              <w:rPr>
                <w:sz w:val="21"/>
                <w:szCs w:val="21"/>
              </w:rPr>
              <w:t>’s &amp; Women’s</w:t>
            </w:r>
          </w:p>
          <w:p w:rsidR="00D74A65" w:rsidRPr="0092242A" w:rsidRDefault="00D74A65" w:rsidP="00094679">
            <w:pPr>
              <w:pStyle w:val="tabletext-bullet"/>
              <w:rPr>
                <w:sz w:val="21"/>
                <w:szCs w:val="21"/>
              </w:rPr>
            </w:pPr>
            <w:r w:rsidRPr="0092242A">
              <w:rPr>
                <w:sz w:val="21"/>
                <w:szCs w:val="21"/>
              </w:rPr>
              <w:t>FIH Hockey Pro-League</w:t>
            </w:r>
            <w:r w:rsidR="00094679">
              <w:rPr>
                <w:sz w:val="21"/>
                <w:szCs w:val="21"/>
              </w:rPr>
              <w:t>—</w:t>
            </w:r>
            <w:r w:rsidRPr="0092242A">
              <w:rPr>
                <w:sz w:val="21"/>
                <w:szCs w:val="21"/>
              </w:rPr>
              <w:t>Men</w:t>
            </w:r>
            <w:r w:rsidR="0092242A">
              <w:rPr>
                <w:sz w:val="21"/>
                <w:szCs w:val="21"/>
              </w:rPr>
              <w:t>’s &amp; Women’s</w:t>
            </w:r>
          </w:p>
        </w:tc>
        <w:tc>
          <w:tcPr>
            <w:tcW w:w="4394" w:type="dxa"/>
            <w:tcBorders>
              <w:top w:val="single" w:sz="4" w:space="0" w:color="auto"/>
              <w:left w:val="nil"/>
              <w:bottom w:val="single" w:sz="4" w:space="0" w:color="auto"/>
              <w:right w:val="nil"/>
            </w:tcBorders>
          </w:tcPr>
          <w:p w:rsidR="00A14007" w:rsidRPr="0092242A" w:rsidRDefault="0092242A" w:rsidP="0092242A">
            <w:pPr>
              <w:pStyle w:val="tabletext-bullet"/>
              <w:rPr>
                <w:sz w:val="21"/>
                <w:szCs w:val="21"/>
              </w:rPr>
            </w:pPr>
            <w:r>
              <w:rPr>
                <w:sz w:val="21"/>
                <w:szCs w:val="21"/>
              </w:rPr>
              <w:t>No coverage in 2016–17, n</w:t>
            </w:r>
            <w:r w:rsidR="00A14007" w:rsidRPr="0092242A">
              <w:rPr>
                <w:sz w:val="21"/>
                <w:szCs w:val="21"/>
              </w:rPr>
              <w:t>ew in 2019</w:t>
            </w:r>
            <w:r w:rsidR="00094679">
              <w:t>–</w:t>
            </w:r>
            <w:r w:rsidR="00A14007" w:rsidRPr="0092242A">
              <w:rPr>
                <w:sz w:val="21"/>
                <w:szCs w:val="21"/>
              </w:rPr>
              <w:t>20</w:t>
            </w:r>
          </w:p>
          <w:p w:rsidR="0092242A" w:rsidRDefault="0092242A" w:rsidP="0092242A">
            <w:pPr>
              <w:pStyle w:val="tabletext-bullet"/>
              <w:numPr>
                <w:ilvl w:val="0"/>
                <w:numId w:val="0"/>
              </w:numPr>
              <w:ind w:left="284"/>
              <w:rPr>
                <w:sz w:val="21"/>
                <w:szCs w:val="21"/>
              </w:rPr>
            </w:pPr>
          </w:p>
          <w:p w:rsidR="00A14007" w:rsidRDefault="00A14007" w:rsidP="00D74A65">
            <w:pPr>
              <w:pStyle w:val="tabletext-bullet"/>
              <w:rPr>
                <w:sz w:val="21"/>
                <w:szCs w:val="21"/>
              </w:rPr>
            </w:pPr>
            <w:r>
              <w:rPr>
                <w:sz w:val="21"/>
                <w:szCs w:val="21"/>
              </w:rPr>
              <w:t>No coverage in 2016–17</w:t>
            </w:r>
          </w:p>
          <w:p w:rsidR="0092242A" w:rsidRPr="008F5647" w:rsidRDefault="0092242A" w:rsidP="0092242A">
            <w:pPr>
              <w:pStyle w:val="tabletext-bullet"/>
              <w:numPr>
                <w:ilvl w:val="0"/>
                <w:numId w:val="0"/>
              </w:numPr>
              <w:ind w:left="284"/>
              <w:rPr>
                <w:sz w:val="21"/>
                <w:szCs w:val="21"/>
              </w:rPr>
            </w:pPr>
          </w:p>
        </w:tc>
      </w:tr>
      <w:tr w:rsidR="00D74A65" w:rsidTr="00D74A65">
        <w:trPr>
          <w:cantSplit/>
        </w:trPr>
        <w:tc>
          <w:tcPr>
            <w:tcW w:w="1418" w:type="dxa"/>
            <w:tcBorders>
              <w:top w:val="single" w:sz="4" w:space="0" w:color="auto"/>
              <w:left w:val="nil"/>
              <w:bottom w:val="single" w:sz="12" w:space="0" w:color="auto"/>
              <w:right w:val="nil"/>
            </w:tcBorders>
          </w:tcPr>
          <w:p w:rsidR="00D74A65" w:rsidRPr="0092242A" w:rsidRDefault="00D74A65" w:rsidP="00D74A65">
            <w:pPr>
              <w:pStyle w:val="Tabletext"/>
            </w:pPr>
            <w:r w:rsidRPr="0092242A">
              <w:t>Gymnastics</w:t>
            </w:r>
          </w:p>
        </w:tc>
        <w:tc>
          <w:tcPr>
            <w:tcW w:w="3544" w:type="dxa"/>
            <w:tcBorders>
              <w:top w:val="single" w:sz="4" w:space="0" w:color="auto"/>
              <w:left w:val="nil"/>
              <w:bottom w:val="single" w:sz="12" w:space="0" w:color="auto"/>
              <w:right w:val="nil"/>
            </w:tcBorders>
          </w:tcPr>
          <w:p w:rsidR="00D74A65" w:rsidRPr="0092242A" w:rsidRDefault="00D74A65" w:rsidP="00D74A65">
            <w:pPr>
              <w:pStyle w:val="tabletext-bullet"/>
              <w:rPr>
                <w:sz w:val="21"/>
                <w:szCs w:val="21"/>
              </w:rPr>
            </w:pPr>
            <w:r w:rsidRPr="0092242A">
              <w:rPr>
                <w:sz w:val="21"/>
                <w:szCs w:val="21"/>
              </w:rPr>
              <w:t>Rhythmic Gymnastics World Championships</w:t>
            </w:r>
          </w:p>
          <w:p w:rsidR="00D74A65" w:rsidRPr="0092242A" w:rsidRDefault="00D74A65" w:rsidP="00D74A65">
            <w:pPr>
              <w:pStyle w:val="tabletext-bullet"/>
              <w:rPr>
                <w:sz w:val="21"/>
                <w:szCs w:val="21"/>
              </w:rPr>
            </w:pPr>
            <w:r w:rsidRPr="0092242A">
              <w:rPr>
                <w:sz w:val="21"/>
                <w:szCs w:val="21"/>
              </w:rPr>
              <w:t>Artistic Gymnastics World Championships</w:t>
            </w:r>
          </w:p>
          <w:p w:rsidR="00D74A65" w:rsidRPr="0092242A" w:rsidRDefault="00D74A65" w:rsidP="00D74A65">
            <w:pPr>
              <w:pStyle w:val="tabletext-bullet"/>
              <w:rPr>
                <w:sz w:val="21"/>
                <w:szCs w:val="21"/>
              </w:rPr>
            </w:pPr>
            <w:r w:rsidRPr="0092242A">
              <w:rPr>
                <w:sz w:val="21"/>
                <w:szCs w:val="21"/>
              </w:rPr>
              <w:t>Trampoline / Tumbling Gymnastics World Championships</w:t>
            </w:r>
          </w:p>
          <w:p w:rsidR="00D74A65" w:rsidRPr="0092242A" w:rsidRDefault="00D74A65" w:rsidP="00D74A65">
            <w:pPr>
              <w:pStyle w:val="tabletext-bullet"/>
              <w:rPr>
                <w:sz w:val="21"/>
                <w:szCs w:val="21"/>
              </w:rPr>
            </w:pPr>
            <w:r w:rsidRPr="0092242A">
              <w:rPr>
                <w:sz w:val="21"/>
                <w:szCs w:val="21"/>
              </w:rPr>
              <w:t>Apparatus World Cup</w:t>
            </w:r>
          </w:p>
          <w:p w:rsidR="00A14007" w:rsidRPr="0092242A" w:rsidRDefault="00A14007" w:rsidP="00A14007">
            <w:pPr>
              <w:pStyle w:val="tabletext-bullet"/>
              <w:rPr>
                <w:sz w:val="21"/>
                <w:szCs w:val="21"/>
              </w:rPr>
            </w:pPr>
            <w:r w:rsidRPr="0092242A">
              <w:rPr>
                <w:sz w:val="21"/>
                <w:szCs w:val="21"/>
              </w:rPr>
              <w:t>Acrobatics Gymnastics World Championships</w:t>
            </w:r>
          </w:p>
          <w:p w:rsidR="00A14007" w:rsidRPr="0092242A" w:rsidRDefault="00A14007" w:rsidP="00D74A65">
            <w:pPr>
              <w:pStyle w:val="tabletext-bullet"/>
              <w:rPr>
                <w:sz w:val="21"/>
                <w:szCs w:val="21"/>
              </w:rPr>
            </w:pPr>
            <w:r w:rsidRPr="0092242A">
              <w:rPr>
                <w:rFonts w:ascii="Calibri" w:hAnsi="Calibri" w:cs="Calibri"/>
                <w:color w:val="000000"/>
              </w:rPr>
              <w:t>Aerobics Gymnastics World Championships</w:t>
            </w:r>
          </w:p>
          <w:p w:rsidR="00D74A65" w:rsidRPr="0092242A" w:rsidRDefault="00D74A65" w:rsidP="00D74A65">
            <w:pPr>
              <w:pStyle w:val="tabletext-bullet"/>
              <w:rPr>
                <w:sz w:val="21"/>
                <w:szCs w:val="21"/>
              </w:rPr>
            </w:pPr>
            <w:r w:rsidRPr="0092242A">
              <w:rPr>
                <w:sz w:val="21"/>
                <w:szCs w:val="21"/>
              </w:rPr>
              <w:t>Australian Championships</w:t>
            </w:r>
          </w:p>
        </w:tc>
        <w:tc>
          <w:tcPr>
            <w:tcW w:w="4394" w:type="dxa"/>
            <w:tcBorders>
              <w:top w:val="single" w:sz="4" w:space="0" w:color="auto"/>
              <w:left w:val="nil"/>
              <w:bottom w:val="single" w:sz="12" w:space="0" w:color="auto"/>
              <w:right w:val="nil"/>
            </w:tcBorders>
          </w:tcPr>
          <w:p w:rsidR="00D74A65" w:rsidRPr="008F5647" w:rsidRDefault="00D74A65" w:rsidP="00195901">
            <w:pPr>
              <w:pStyle w:val="tabletext-bullet"/>
              <w:rPr>
                <w:sz w:val="21"/>
                <w:szCs w:val="21"/>
              </w:rPr>
            </w:pPr>
            <w:r>
              <w:rPr>
                <w:sz w:val="21"/>
                <w:szCs w:val="21"/>
              </w:rPr>
              <w:t>No coverage in 2016–17</w:t>
            </w:r>
            <w:r w:rsidR="00A14007">
              <w:rPr>
                <w:sz w:val="21"/>
                <w:szCs w:val="21"/>
              </w:rPr>
              <w:t xml:space="preserve"> for all competitions</w:t>
            </w:r>
          </w:p>
        </w:tc>
      </w:tr>
    </w:tbl>
    <w:p w:rsidR="00D74A65" w:rsidRPr="00F807D5" w:rsidRDefault="00D74A65" w:rsidP="00D74A65">
      <w:pPr>
        <w:pStyle w:val="Sourcenote"/>
        <w:rPr>
          <w:lang w:eastAsia="en-US"/>
        </w:rPr>
      </w:pPr>
      <w:r w:rsidRPr="00DC6B83">
        <w:t>*Under the funding agreement, the increase in coverage is assessed against the coverage in the 2016–17 Financial Year. The rationale for this is that many sports events are cyclic and happen every few years and competition structures change, meaning not all years wil</w:t>
      </w:r>
      <w:bookmarkStart w:id="1" w:name="_GoBack"/>
      <w:bookmarkEnd w:id="1"/>
      <w:r w:rsidRPr="00DC6B83">
        <w:t>l show an increase from the previous years in terms of broadcast hours. Comparing coverage against 2016–17 Financial Year coverage more accurately shows how</w:t>
      </w:r>
      <w:r w:rsidRPr="00F807D5">
        <w:t xml:space="preserve"> the grant has provided a meaningful increase from the pre-grant period.</w:t>
      </w:r>
    </w:p>
    <w:p w:rsidR="00D74A65" w:rsidRPr="00D74A65" w:rsidRDefault="00D74A65" w:rsidP="00D74A65">
      <w:pPr>
        <w:pStyle w:val="Heading3"/>
      </w:pPr>
      <w:r>
        <w:t>Sport selection</w:t>
      </w:r>
    </w:p>
    <w:p w:rsidR="00D74A65" w:rsidRDefault="00D74A65" w:rsidP="00D74A65">
      <w:pPr>
        <w:keepLines/>
        <w:widowControl w:val="0"/>
      </w:pPr>
      <w:r w:rsidRPr="00972012">
        <w:t>Fox Sports</w:t>
      </w:r>
      <w:r>
        <w:t xml:space="preserve"> in consultation with</w:t>
      </w:r>
      <w:r w:rsidRPr="00972012">
        <w:t xml:space="preserve"> the relevant sporting bodies, in accordance with the requirements of the funding agreement</w:t>
      </w:r>
      <w:r>
        <w:t>,</w:t>
      </w:r>
      <w:r w:rsidRPr="00263D01">
        <w:t xml:space="preserve"> </w:t>
      </w:r>
      <w:r>
        <w:t>will determine t</w:t>
      </w:r>
      <w:r w:rsidRPr="00972012">
        <w:t xml:space="preserve">he competitions and events that will receive enhanced coverage. </w:t>
      </w:r>
      <w:r>
        <w:t>A</w:t>
      </w:r>
      <w:r w:rsidRPr="00972012">
        <w:t xml:space="preserve"> governance team established within Fox Sports</w:t>
      </w:r>
      <w:r>
        <w:t xml:space="preserve"> will oversee,</w:t>
      </w:r>
      <w:r w:rsidRPr="00972012">
        <w:t xml:space="preserve"> review and assess the sports to be funded each year and report on performance</w:t>
      </w:r>
      <w:r>
        <w:t>.</w:t>
      </w:r>
    </w:p>
    <w:p w:rsidR="00D74A65" w:rsidRPr="00972012" w:rsidRDefault="00D74A65" w:rsidP="00D74A65">
      <w:pPr>
        <w:pStyle w:val="Heading3"/>
      </w:pPr>
      <w:r>
        <w:t>B</w:t>
      </w:r>
      <w:r w:rsidRPr="00972012">
        <w:t xml:space="preserve">enefits </w:t>
      </w:r>
      <w:r>
        <w:t>of the program</w:t>
      </w:r>
    </w:p>
    <w:p w:rsidR="00D74A65" w:rsidRPr="00972012" w:rsidRDefault="00D74A65" w:rsidP="00813410">
      <w:pPr>
        <w:widowControl w:val="0"/>
        <w:spacing w:after="120"/>
      </w:pPr>
      <w:r w:rsidRPr="00972012">
        <w:t>The increased media coverage that selected sports will receive under the program is expected to deliver a range of benefits for consumers and sports bodies alike</w:t>
      </w:r>
      <w:r>
        <w:t xml:space="preserve"> including:</w:t>
      </w:r>
    </w:p>
    <w:p w:rsidR="00D74A65" w:rsidRPr="00D74A65" w:rsidRDefault="00D74A65" w:rsidP="00D74A65">
      <w:pPr>
        <w:pStyle w:val="Bulletlevel1"/>
      </w:pPr>
      <w:r>
        <w:t>g</w:t>
      </w:r>
      <w:r w:rsidRPr="00D74A65">
        <w:t>reater media exposure will lift the profile of female athletes and produce role model</w:t>
      </w:r>
      <w:r>
        <w:t>s for the next generation</w:t>
      </w:r>
    </w:p>
    <w:p w:rsidR="00D74A65" w:rsidRPr="00D74A65" w:rsidRDefault="00D74A65" w:rsidP="00D74A65">
      <w:pPr>
        <w:pStyle w:val="Bulletlevel1"/>
      </w:pPr>
      <w:r>
        <w:t>i</w:t>
      </w:r>
      <w:r w:rsidRPr="00D74A65">
        <w:t>ncreased media coverage for sports that have a history of low or no broadcast exposure is expected to boost crowd attendance, community engagement and participation</w:t>
      </w:r>
    </w:p>
    <w:p w:rsidR="00D74A65" w:rsidRPr="00D74A65" w:rsidRDefault="00D74A65" w:rsidP="00D74A65">
      <w:pPr>
        <w:pStyle w:val="Bulletlevel1"/>
      </w:pPr>
      <w:r>
        <w:t>g</w:t>
      </w:r>
      <w:r w:rsidRPr="00D74A65">
        <w:t>reater media exposure will provide sporting bodies with opportunities to secure commercial support, sponsorships and strengthen long term financial viability.</w:t>
      </w:r>
    </w:p>
    <w:sectPr w:rsidR="00D74A65" w:rsidRPr="00D74A65" w:rsidSect="00D74A65">
      <w:type w:val="continuous"/>
      <w:pgSz w:w="11906" w:h="16838"/>
      <w:pgMar w:top="1418" w:right="1418" w:bottom="1440" w:left="144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58" w:rsidRDefault="00837B58" w:rsidP="002117E6">
      <w:pPr>
        <w:spacing w:after="0"/>
      </w:pPr>
      <w:r>
        <w:separator/>
      </w:r>
    </w:p>
  </w:endnote>
  <w:endnote w:type="continuationSeparator" w:id="0">
    <w:p w:rsidR="00837B58" w:rsidRDefault="00837B58"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4D" w:rsidRDefault="00214C4D" w:rsidP="00214C4D">
    <w:pPr>
      <w:pStyle w:val="Footer"/>
      <w:tabs>
        <w:tab w:val="clear" w:pos="4513"/>
        <w:tab w:val="clear" w:pos="9026"/>
        <w:tab w:val="center" w:pos="4536"/>
        <w:tab w:val="right" w:pos="9498"/>
      </w:tabs>
      <w:ind w:left="-1440" w:right="-613"/>
    </w:pPr>
    <w:r>
      <w:rPr>
        <w:noProof/>
        <w:lang w:eastAsia="en-AU"/>
      </w:rPr>
      <w:drawing>
        <wp:inline distT="0" distB="0" distL="0" distR="0" wp14:anchorId="009E648E" wp14:editId="578448B1">
          <wp:extent cx="7596000" cy="400057"/>
          <wp:effectExtent l="0" t="0" r="5080" b="0"/>
          <wp:docPr id="9" name="Picture 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8624D9" w:rsidRPr="0037566A" w:rsidRDefault="008624D9" w:rsidP="008624D9">
    <w:pPr>
      <w:pStyle w:val="Footer"/>
      <w:tabs>
        <w:tab w:val="clear" w:pos="4513"/>
        <w:tab w:val="clear" w:pos="9026"/>
        <w:tab w:val="center" w:pos="4536"/>
        <w:tab w:val="right" w:pos="9050"/>
      </w:tabs>
      <w:ind w:right="-24"/>
      <w:rPr>
        <w:sz w:val="18"/>
        <w:szCs w:val="18"/>
      </w:rPr>
    </w:pPr>
    <w:r w:rsidRPr="00D74A65">
      <w:rPr>
        <w:sz w:val="18"/>
        <w:szCs w:val="18"/>
      </w:rPr>
      <w:t>Supporting coverage of</w:t>
    </w:r>
    <w:r>
      <w:tab/>
    </w:r>
    <w:hyperlink r:id="rId2" w:history="1">
      <w:r w:rsidRPr="002725BE">
        <w:rPr>
          <w:rStyle w:val="Hyperlink"/>
          <w:sz w:val="18"/>
          <w:szCs w:val="18"/>
        </w:rPr>
        <w:t>www.communications.gov.au</w:t>
      </w:r>
    </w:hyperlink>
  </w:p>
  <w:p w:rsidR="008624D9" w:rsidRPr="002117E6" w:rsidRDefault="008624D9" w:rsidP="008624D9">
    <w:pPr>
      <w:pStyle w:val="Footer"/>
      <w:tabs>
        <w:tab w:val="clear" w:pos="4513"/>
        <w:tab w:val="clear" w:pos="9026"/>
        <w:tab w:val="center" w:pos="4536"/>
        <w:tab w:val="right" w:pos="9050"/>
      </w:tabs>
      <w:ind w:right="-24"/>
      <w:rPr>
        <w:rStyle w:val="Hyperlink"/>
        <w:color w:val="auto"/>
        <w:sz w:val="18"/>
        <w:szCs w:val="18"/>
      </w:rPr>
    </w:pPr>
    <w:proofErr w:type="gramStart"/>
    <w:r w:rsidRPr="008624D9">
      <w:rPr>
        <w:sz w:val="18"/>
        <w:szCs w:val="18"/>
      </w:rPr>
      <w:t>under-represented</w:t>
    </w:r>
    <w:proofErr w:type="gramEnd"/>
    <w:r w:rsidRPr="008624D9">
      <w:rPr>
        <w:sz w:val="18"/>
        <w:szCs w:val="18"/>
      </w:rPr>
      <w:t xml:space="preserve"> sports 2018–19</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996674973"/>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C6B83">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C6B83">
          <w:rPr>
            <w:bCs/>
            <w:noProof/>
            <w:sz w:val="18"/>
            <w:szCs w:val="18"/>
          </w:rPr>
          <w:t>3</w:t>
        </w:r>
        <w:r w:rsidRPr="0037566A">
          <w:rPr>
            <w:bCs/>
            <w:sz w:val="18"/>
            <w:szCs w:val="18"/>
          </w:rPr>
          <w:fldChar w:fldCharType="end"/>
        </w:r>
      </w:sdtContent>
    </w:sdt>
  </w:p>
  <w:p w:rsidR="008624D9" w:rsidRPr="002117E6" w:rsidRDefault="008624D9" w:rsidP="008624D9">
    <w:pPr>
      <w:pStyle w:val="Footer"/>
      <w:tabs>
        <w:tab w:val="clear" w:pos="4513"/>
        <w:tab w:val="clear" w:pos="9026"/>
        <w:tab w:val="center" w:pos="4536"/>
        <w:tab w:val="right" w:pos="9050"/>
      </w:tabs>
      <w:ind w:right="-24"/>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ADD720B" wp14:editId="5C9679EB">
          <wp:extent cx="7596000" cy="400057"/>
          <wp:effectExtent l="0" t="0" r="5080" b="0"/>
          <wp:docPr id="69" name="Picture 69"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D74A65" w:rsidRPr="0037566A" w:rsidRDefault="00D74A65" w:rsidP="00D74A65">
    <w:pPr>
      <w:pStyle w:val="Footer"/>
      <w:tabs>
        <w:tab w:val="clear" w:pos="4513"/>
        <w:tab w:val="clear" w:pos="9026"/>
        <w:tab w:val="center" w:pos="4536"/>
        <w:tab w:val="right" w:pos="9050"/>
      </w:tabs>
      <w:ind w:right="-24"/>
      <w:rPr>
        <w:sz w:val="18"/>
        <w:szCs w:val="18"/>
      </w:rPr>
    </w:pPr>
    <w:r w:rsidRPr="00D74A65">
      <w:rPr>
        <w:sz w:val="18"/>
        <w:szCs w:val="18"/>
      </w:rPr>
      <w:t>Supporting coverage of</w:t>
    </w:r>
    <w:r>
      <w:tab/>
    </w:r>
    <w:hyperlink r:id="rId2" w:history="1">
      <w:r w:rsidRPr="002725BE">
        <w:rPr>
          <w:rStyle w:val="Hyperlink"/>
          <w:sz w:val="18"/>
          <w:szCs w:val="18"/>
        </w:rPr>
        <w:t>www.communications.gov.au</w:t>
      </w:r>
    </w:hyperlink>
  </w:p>
  <w:p w:rsidR="00D74A65" w:rsidRPr="002117E6" w:rsidRDefault="008624D9" w:rsidP="00D74A65">
    <w:pPr>
      <w:pStyle w:val="Footer"/>
      <w:tabs>
        <w:tab w:val="clear" w:pos="4513"/>
        <w:tab w:val="clear" w:pos="9026"/>
        <w:tab w:val="center" w:pos="4536"/>
        <w:tab w:val="right" w:pos="9050"/>
      </w:tabs>
      <w:ind w:right="-24"/>
      <w:rPr>
        <w:rStyle w:val="Hyperlink"/>
        <w:color w:val="auto"/>
        <w:sz w:val="18"/>
        <w:szCs w:val="18"/>
      </w:rPr>
    </w:pPr>
    <w:proofErr w:type="gramStart"/>
    <w:r w:rsidRPr="008624D9">
      <w:rPr>
        <w:sz w:val="18"/>
        <w:szCs w:val="18"/>
      </w:rPr>
      <w:t>under-represented</w:t>
    </w:r>
    <w:proofErr w:type="gramEnd"/>
    <w:r w:rsidRPr="008624D9">
      <w:rPr>
        <w:sz w:val="18"/>
        <w:szCs w:val="18"/>
      </w:rPr>
      <w:t xml:space="preserve"> sports 2018–19</w:t>
    </w:r>
    <w:r w:rsidR="00D74A65">
      <w:rPr>
        <w:sz w:val="18"/>
        <w:szCs w:val="18"/>
      </w:rPr>
      <w:tab/>
    </w:r>
    <w:hyperlink r:id="rId3" w:history="1">
      <w:r w:rsidR="00D74A65" w:rsidRPr="0037566A">
        <w:rPr>
          <w:rStyle w:val="Hyperlink"/>
          <w:sz w:val="18"/>
          <w:szCs w:val="18"/>
        </w:rPr>
        <w:t>www.arts.gov.au</w:t>
      </w:r>
    </w:hyperlink>
    <w:r w:rsidR="00D74A65" w:rsidRPr="0037566A">
      <w:rPr>
        <w:sz w:val="18"/>
        <w:szCs w:val="18"/>
      </w:rPr>
      <w:tab/>
    </w:r>
    <w:sdt>
      <w:sdtPr>
        <w:rPr>
          <w:sz w:val="18"/>
          <w:szCs w:val="18"/>
        </w:rPr>
        <w:id w:val="1396699634"/>
        <w:docPartObj>
          <w:docPartGallery w:val="Page Numbers (Top of Page)"/>
          <w:docPartUnique/>
        </w:docPartObj>
      </w:sdtPr>
      <w:sdtEndPr/>
      <w:sdtContent>
        <w:r w:rsidR="00D74A65" w:rsidRPr="0037566A">
          <w:rPr>
            <w:sz w:val="18"/>
            <w:szCs w:val="18"/>
          </w:rPr>
          <w:t xml:space="preserve">Page </w:t>
        </w:r>
        <w:r w:rsidR="00D74A65" w:rsidRPr="0037566A">
          <w:rPr>
            <w:bCs/>
            <w:sz w:val="18"/>
            <w:szCs w:val="18"/>
          </w:rPr>
          <w:fldChar w:fldCharType="begin"/>
        </w:r>
        <w:r w:rsidR="00D74A65" w:rsidRPr="0037566A">
          <w:rPr>
            <w:bCs/>
            <w:sz w:val="18"/>
            <w:szCs w:val="18"/>
          </w:rPr>
          <w:instrText xml:space="preserve"> PAGE </w:instrText>
        </w:r>
        <w:r w:rsidR="00D74A65" w:rsidRPr="0037566A">
          <w:rPr>
            <w:bCs/>
            <w:sz w:val="18"/>
            <w:szCs w:val="18"/>
          </w:rPr>
          <w:fldChar w:fldCharType="separate"/>
        </w:r>
        <w:r>
          <w:rPr>
            <w:bCs/>
            <w:noProof/>
            <w:sz w:val="18"/>
            <w:szCs w:val="18"/>
          </w:rPr>
          <w:t>1</w:t>
        </w:r>
        <w:r w:rsidR="00D74A65" w:rsidRPr="0037566A">
          <w:rPr>
            <w:bCs/>
            <w:sz w:val="18"/>
            <w:szCs w:val="18"/>
          </w:rPr>
          <w:fldChar w:fldCharType="end"/>
        </w:r>
        <w:r w:rsidR="00D74A65" w:rsidRPr="0037566A">
          <w:rPr>
            <w:sz w:val="18"/>
            <w:szCs w:val="18"/>
          </w:rPr>
          <w:t xml:space="preserve"> of </w:t>
        </w:r>
        <w:r w:rsidR="00D74A65" w:rsidRPr="0037566A">
          <w:rPr>
            <w:bCs/>
            <w:sz w:val="18"/>
            <w:szCs w:val="18"/>
          </w:rPr>
          <w:fldChar w:fldCharType="begin"/>
        </w:r>
        <w:r w:rsidR="00D74A65" w:rsidRPr="0037566A">
          <w:rPr>
            <w:bCs/>
            <w:sz w:val="18"/>
            <w:szCs w:val="18"/>
          </w:rPr>
          <w:instrText xml:space="preserve"> NUMPAGES  </w:instrText>
        </w:r>
        <w:r w:rsidR="00D74A65" w:rsidRPr="0037566A">
          <w:rPr>
            <w:bCs/>
            <w:sz w:val="18"/>
            <w:szCs w:val="18"/>
          </w:rPr>
          <w:fldChar w:fldCharType="separate"/>
        </w:r>
        <w:r>
          <w:rPr>
            <w:bCs/>
            <w:noProof/>
            <w:sz w:val="18"/>
            <w:szCs w:val="18"/>
          </w:rPr>
          <w:t>3</w:t>
        </w:r>
        <w:r w:rsidR="00D74A65" w:rsidRPr="0037566A">
          <w:rPr>
            <w:bCs/>
            <w:sz w:val="18"/>
            <w:szCs w:val="18"/>
          </w:rPr>
          <w:fldChar w:fldCharType="end"/>
        </w:r>
      </w:sdtContent>
    </w:sdt>
  </w:p>
  <w:p w:rsidR="00D74A65" w:rsidRPr="002117E6" w:rsidRDefault="00D74A65" w:rsidP="00D74A65">
    <w:pPr>
      <w:pStyle w:val="Footer"/>
      <w:tabs>
        <w:tab w:val="clear" w:pos="4513"/>
        <w:tab w:val="clear" w:pos="9026"/>
        <w:tab w:val="center" w:pos="4536"/>
        <w:tab w:val="right" w:pos="9050"/>
      </w:tabs>
      <w:ind w:right="-24"/>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58" w:rsidRDefault="00837B58" w:rsidP="002117E6">
      <w:pPr>
        <w:spacing w:after="0"/>
      </w:pPr>
      <w:r>
        <w:separator/>
      </w:r>
    </w:p>
  </w:footnote>
  <w:footnote w:type="continuationSeparator" w:id="0">
    <w:p w:rsidR="00837B58" w:rsidRDefault="00837B58"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A" w:rsidRPr="004449F2" w:rsidRDefault="00BA0A5A" w:rsidP="001D7905">
    <w:pPr>
      <w:pStyle w:val="Header"/>
      <w:tabs>
        <w:tab w:val="clear" w:pos="9026"/>
        <w:tab w:val="right" w:pos="9333"/>
      </w:tabs>
      <w:ind w:right="-46"/>
    </w:pPr>
    <w:r w:rsidRPr="004449F2">
      <w:t>Department of Communications and the Arts</w:t>
    </w:r>
    <w:r w:rsidRPr="004449F2">
      <w:tab/>
    </w:r>
    <w:r w:rsidRPr="004449F2">
      <w:tab/>
    </w:r>
    <w:r w:rsidR="001B0C50">
      <w:t>October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B3626C1E"/>
    <w:lvl w:ilvl="0" w:tplc="463CC37C">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65"/>
    <w:rsid w:val="00014967"/>
    <w:rsid w:val="000306B3"/>
    <w:rsid w:val="00080334"/>
    <w:rsid w:val="00094679"/>
    <w:rsid w:val="0009773B"/>
    <w:rsid w:val="000D6AD4"/>
    <w:rsid w:val="000E3403"/>
    <w:rsid w:val="000F4AA7"/>
    <w:rsid w:val="00104081"/>
    <w:rsid w:val="00111A64"/>
    <w:rsid w:val="00113472"/>
    <w:rsid w:val="001275AA"/>
    <w:rsid w:val="001471EA"/>
    <w:rsid w:val="001472FC"/>
    <w:rsid w:val="001736CC"/>
    <w:rsid w:val="00176DD5"/>
    <w:rsid w:val="00185E9F"/>
    <w:rsid w:val="00195901"/>
    <w:rsid w:val="0019701B"/>
    <w:rsid w:val="001A540C"/>
    <w:rsid w:val="001B0C50"/>
    <w:rsid w:val="001D7905"/>
    <w:rsid w:val="00207DD6"/>
    <w:rsid w:val="002117E6"/>
    <w:rsid w:val="00214C4D"/>
    <w:rsid w:val="00222483"/>
    <w:rsid w:val="002312DA"/>
    <w:rsid w:val="00232D2D"/>
    <w:rsid w:val="00293DD6"/>
    <w:rsid w:val="002A483C"/>
    <w:rsid w:val="002A7D63"/>
    <w:rsid w:val="002F3895"/>
    <w:rsid w:val="00327F06"/>
    <w:rsid w:val="00335334"/>
    <w:rsid w:val="00336DDD"/>
    <w:rsid w:val="00381364"/>
    <w:rsid w:val="003A76F1"/>
    <w:rsid w:val="003B5B1D"/>
    <w:rsid w:val="003F495D"/>
    <w:rsid w:val="00400E77"/>
    <w:rsid w:val="004449F2"/>
    <w:rsid w:val="00450D6E"/>
    <w:rsid w:val="004A1501"/>
    <w:rsid w:val="004E23EF"/>
    <w:rsid w:val="004F24BB"/>
    <w:rsid w:val="00544465"/>
    <w:rsid w:val="00561190"/>
    <w:rsid w:val="00565B47"/>
    <w:rsid w:val="0057354E"/>
    <w:rsid w:val="00575A5A"/>
    <w:rsid w:val="005932D0"/>
    <w:rsid w:val="00597F9B"/>
    <w:rsid w:val="0061446D"/>
    <w:rsid w:val="00617A0F"/>
    <w:rsid w:val="00625397"/>
    <w:rsid w:val="0064138E"/>
    <w:rsid w:val="00663FF2"/>
    <w:rsid w:val="006A2F0E"/>
    <w:rsid w:val="006B3AB1"/>
    <w:rsid w:val="006F06FD"/>
    <w:rsid w:val="00705B86"/>
    <w:rsid w:val="00753BB6"/>
    <w:rsid w:val="007E1B56"/>
    <w:rsid w:val="00813410"/>
    <w:rsid w:val="008169A6"/>
    <w:rsid w:val="00834DE8"/>
    <w:rsid w:val="00837B58"/>
    <w:rsid w:val="008624D9"/>
    <w:rsid w:val="008646E6"/>
    <w:rsid w:val="00866475"/>
    <w:rsid w:val="008A4B1F"/>
    <w:rsid w:val="008D4E53"/>
    <w:rsid w:val="00910E86"/>
    <w:rsid w:val="0092242A"/>
    <w:rsid w:val="009313D2"/>
    <w:rsid w:val="0094124E"/>
    <w:rsid w:val="009A1995"/>
    <w:rsid w:val="009B7A7A"/>
    <w:rsid w:val="009B7EF0"/>
    <w:rsid w:val="009C6013"/>
    <w:rsid w:val="009E12E4"/>
    <w:rsid w:val="00A14007"/>
    <w:rsid w:val="00A22246"/>
    <w:rsid w:val="00A241FE"/>
    <w:rsid w:val="00A35CD0"/>
    <w:rsid w:val="00A606B1"/>
    <w:rsid w:val="00AB43CB"/>
    <w:rsid w:val="00AE4F02"/>
    <w:rsid w:val="00AE5CB5"/>
    <w:rsid w:val="00B049A4"/>
    <w:rsid w:val="00B1045C"/>
    <w:rsid w:val="00B43C56"/>
    <w:rsid w:val="00B455E0"/>
    <w:rsid w:val="00B55747"/>
    <w:rsid w:val="00B63E45"/>
    <w:rsid w:val="00B70BA7"/>
    <w:rsid w:val="00B90471"/>
    <w:rsid w:val="00BA0A5A"/>
    <w:rsid w:val="00BC329E"/>
    <w:rsid w:val="00BC7A00"/>
    <w:rsid w:val="00BC7D72"/>
    <w:rsid w:val="00BE7E66"/>
    <w:rsid w:val="00C16794"/>
    <w:rsid w:val="00C240E2"/>
    <w:rsid w:val="00C836F5"/>
    <w:rsid w:val="00CA31DF"/>
    <w:rsid w:val="00CC75CC"/>
    <w:rsid w:val="00D03AE2"/>
    <w:rsid w:val="00D64B93"/>
    <w:rsid w:val="00D7412D"/>
    <w:rsid w:val="00D74A65"/>
    <w:rsid w:val="00D92957"/>
    <w:rsid w:val="00DC2DFA"/>
    <w:rsid w:val="00DC6B83"/>
    <w:rsid w:val="00DD5D52"/>
    <w:rsid w:val="00E97404"/>
    <w:rsid w:val="00EA2F26"/>
    <w:rsid w:val="00EA5BA4"/>
    <w:rsid w:val="00EA6D34"/>
    <w:rsid w:val="00EB40A5"/>
    <w:rsid w:val="00ED3D6C"/>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C588A"/>
  <w15:chartTrackingRefBased/>
  <w15:docId w15:val="{06F685F4-29A3-4883-8442-7EAE7371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D74A65"/>
    <w:pPr>
      <w:keepNext/>
      <w:spacing w:before="240" w:after="240"/>
      <w:outlineLvl w:val="0"/>
    </w:pPr>
    <w:rPr>
      <w:rFonts w:asciiTheme="majorHAnsi" w:eastAsiaTheme="majorEastAsia" w:hAnsiTheme="majorHAnsi" w:cstheme="majorBidi"/>
      <w:b/>
      <w:color w:val="001C40"/>
      <w:sz w:val="44"/>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A65"/>
    <w:rPr>
      <w:rFonts w:asciiTheme="majorHAnsi" w:eastAsiaTheme="majorEastAsia" w:hAnsiTheme="majorHAnsi" w:cstheme="majorBidi"/>
      <w:b/>
      <w:color w:val="001C40"/>
      <w:sz w:val="44"/>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customStyle="1" w:styleId="tabletext-bullet">
    <w:name w:val="table text - bullet"/>
    <w:basedOn w:val="Bulletlevel1"/>
    <w:qFormat/>
    <w:rsid w:val="00D74A65"/>
    <w:pPr>
      <w:spacing w:after="0"/>
      <w:ind w:left="284" w:hanging="284"/>
    </w:pPr>
  </w:style>
  <w:style w:type="paragraph" w:styleId="BalloonText">
    <w:name w:val="Balloon Text"/>
    <w:basedOn w:val="Normal"/>
    <w:link w:val="BalloonTextChar"/>
    <w:uiPriority w:val="99"/>
    <w:semiHidden/>
    <w:unhideWhenUsed/>
    <w:rsid w:val="003A76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7843">
      <w:bodyDiv w:val="1"/>
      <w:marLeft w:val="0"/>
      <w:marRight w:val="0"/>
      <w:marTop w:val="0"/>
      <w:marBottom w:val="0"/>
      <w:divBdr>
        <w:top w:val="none" w:sz="0" w:space="0" w:color="auto"/>
        <w:left w:val="none" w:sz="0" w:space="0" w:color="auto"/>
        <w:bottom w:val="none" w:sz="0" w:space="0" w:color="auto"/>
        <w:right w:val="none" w:sz="0" w:space="0" w:color="auto"/>
      </w:divBdr>
    </w:div>
    <w:div w:id="549073492">
      <w:bodyDiv w:val="1"/>
      <w:marLeft w:val="0"/>
      <w:marRight w:val="0"/>
      <w:marTop w:val="0"/>
      <w:marBottom w:val="0"/>
      <w:divBdr>
        <w:top w:val="none" w:sz="0" w:space="0" w:color="auto"/>
        <w:left w:val="none" w:sz="0" w:space="0" w:color="auto"/>
        <w:bottom w:val="none" w:sz="0" w:space="0" w:color="auto"/>
        <w:right w:val="none" w:sz="0" w:space="0" w:color="auto"/>
      </w:divBdr>
    </w:div>
    <w:div w:id="17474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2546478F-A26E-460F-93FD-E4A0A8FC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BA3C87-FDB5-41F5-948E-B0523CEB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Supporting coverage of under-represented sports</vt:lpstr>
    </vt:vector>
  </TitlesOfParts>
  <Company>Department of Communications and the Arts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coverage of under-represented sports 2018–19</dc:title>
  <dc:subject/>
  <dc:creator>Department of Communications and the Arts</dc:creator>
  <cp:keywords/>
  <dc:description>25 October 2018</dc:description>
  <cp:lastModifiedBy>Hall, Theresa</cp:lastModifiedBy>
  <cp:revision>4</cp:revision>
  <cp:lastPrinted>2019-10-17T02:50:00Z</cp:lastPrinted>
  <dcterms:created xsi:type="dcterms:W3CDTF">2020-11-10T00:19:00Z</dcterms:created>
  <dcterms:modified xsi:type="dcterms:W3CDTF">2020-11-10T00:25:00Z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10</vt:i4>
  </property>
</Properties>
</file>