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5C15B" w14:textId="77777777" w:rsidR="008B78AC" w:rsidRDefault="00D44EFC" w:rsidP="00D44EFC">
      <w:pPr>
        <w:jc w:val="right"/>
        <w:rPr>
          <w:rFonts w:cs="Arial"/>
          <w:color w:val="0070C0"/>
          <w:sz w:val="26"/>
          <w:szCs w:val="20"/>
        </w:rPr>
        <w:sectPr w:rsidR="008B78AC" w:rsidSect="008B78AC">
          <w:headerReference w:type="default" r:id="rId11"/>
          <w:footerReference w:type="default" r:id="rId12"/>
          <w:headerReference w:type="first" r:id="rId13"/>
          <w:footerReference w:type="first" r:id="rId14"/>
          <w:pgSz w:w="11900" w:h="16840"/>
          <w:pgMar w:top="567" w:right="1977" w:bottom="851" w:left="1361" w:header="567" w:footer="567" w:gutter="0"/>
          <w:cols w:space="708"/>
          <w:docGrid w:linePitch="360"/>
        </w:sectPr>
      </w:pPr>
      <w:r w:rsidRPr="008127F8">
        <w:rPr>
          <w:noProof/>
          <w:lang w:val="en-AU" w:eastAsia="zh-TW" w:bidi="hi-IN"/>
        </w:rPr>
        <w:drawing>
          <wp:inline distT="0" distB="0" distL="0" distR="0" wp14:anchorId="7B9129CC" wp14:editId="0AFD7644">
            <wp:extent cx="1266671" cy="515113"/>
            <wp:effectExtent l="0" t="0" r="0" b="0"/>
            <wp:docPr id="1" name="Picture 0" descr="Logo: Telstra.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BO0008_Memo__Logo.png"/>
                    <pic:cNvPicPr/>
                  </pic:nvPicPr>
                  <pic:blipFill>
                    <a:blip r:embed="rId15"/>
                    <a:stretch>
                      <a:fillRect/>
                    </a:stretch>
                  </pic:blipFill>
                  <pic:spPr>
                    <a:xfrm>
                      <a:off x="0" y="0"/>
                      <a:ext cx="1266671" cy="515113"/>
                    </a:xfrm>
                    <a:prstGeom prst="rect">
                      <a:avLst/>
                    </a:prstGeom>
                  </pic:spPr>
                </pic:pic>
              </a:graphicData>
            </a:graphic>
          </wp:inline>
        </w:drawing>
      </w:r>
    </w:p>
    <w:p w14:paraId="50B79224" w14:textId="3A821D2B" w:rsidR="00D44EFC" w:rsidRDefault="00D44EFC" w:rsidP="00D44EFC">
      <w:pPr>
        <w:jc w:val="right"/>
        <w:rPr>
          <w:rFonts w:cs="Arial"/>
          <w:color w:val="0070C0"/>
          <w:sz w:val="26"/>
          <w:szCs w:val="20"/>
        </w:rPr>
      </w:pPr>
    </w:p>
    <w:p w14:paraId="2EA2888B" w14:textId="77777777" w:rsidR="00827FA8" w:rsidRPr="00E32C18" w:rsidRDefault="00827FA8" w:rsidP="008B78AC">
      <w:pPr>
        <w:pStyle w:val="Title"/>
        <w:widowControl w:val="0"/>
        <w:spacing w:before="4000" w:after="100" w:afterAutospacing="1" w:line="240" w:lineRule="auto"/>
        <w:rPr>
          <w:rFonts w:cs="Arial"/>
          <w:color w:val="0070C0"/>
          <w:sz w:val="26"/>
          <w:szCs w:val="20"/>
        </w:rPr>
      </w:pPr>
      <w:r w:rsidRPr="00E32C18">
        <w:rPr>
          <w:rFonts w:cs="Arial"/>
          <w:color w:val="0070C0"/>
          <w:sz w:val="26"/>
          <w:szCs w:val="20"/>
        </w:rPr>
        <w:t>TELSTRA CORPORATION LIMITED</w:t>
      </w:r>
    </w:p>
    <w:p w14:paraId="4BCDEFAD" w14:textId="77777777" w:rsidR="004C6AAF" w:rsidRDefault="00827FA8" w:rsidP="00827FA8">
      <w:pPr>
        <w:widowControl w:val="0"/>
        <w:spacing w:before="100" w:beforeAutospacing="1" w:after="100" w:afterAutospacing="1" w:line="240" w:lineRule="auto"/>
        <w:rPr>
          <w:rFonts w:cs="Arial"/>
          <w:b/>
          <w:bCs/>
          <w:kern w:val="28"/>
          <w:sz w:val="26"/>
          <w:szCs w:val="20"/>
        </w:rPr>
      </w:pPr>
      <w:r>
        <w:rPr>
          <w:rFonts w:cs="Arial"/>
          <w:b/>
          <w:bCs/>
          <w:kern w:val="28"/>
          <w:sz w:val="26"/>
          <w:szCs w:val="20"/>
        </w:rPr>
        <w:t>Review of the Part XIB telecommunications anti-competitive conduct provisions</w:t>
      </w:r>
    </w:p>
    <w:p w14:paraId="2C5D0C72" w14:textId="2E885946" w:rsidR="00827FA8" w:rsidRPr="000D2171" w:rsidRDefault="00827FA8" w:rsidP="00827FA8">
      <w:pPr>
        <w:widowControl w:val="0"/>
        <w:spacing w:before="100" w:beforeAutospacing="1" w:after="100" w:afterAutospacing="1" w:line="240" w:lineRule="auto"/>
        <w:rPr>
          <w:rFonts w:cs="Arial"/>
          <w:b/>
          <w:bCs/>
          <w:kern w:val="28"/>
          <w:sz w:val="26"/>
          <w:szCs w:val="20"/>
        </w:rPr>
      </w:pPr>
      <w:r w:rsidRPr="006F47CF">
        <w:rPr>
          <w:rFonts w:cs="Arial"/>
          <w:bCs/>
          <w:kern w:val="28"/>
          <w:sz w:val="24"/>
          <w:szCs w:val="20"/>
        </w:rPr>
        <w:t xml:space="preserve">Response to </w:t>
      </w:r>
      <w:r>
        <w:rPr>
          <w:rFonts w:cs="Arial"/>
          <w:bCs/>
          <w:kern w:val="28"/>
          <w:sz w:val="24"/>
          <w:szCs w:val="20"/>
        </w:rPr>
        <w:t xml:space="preserve">Discussion Paper </w:t>
      </w:r>
    </w:p>
    <w:p w14:paraId="08B343FD" w14:textId="77777777" w:rsidR="00827FA8" w:rsidRDefault="00827FA8" w:rsidP="00827FA8">
      <w:pPr>
        <w:widowControl w:val="0"/>
        <w:spacing w:before="100" w:beforeAutospacing="1" w:after="100" w:afterAutospacing="1" w:line="240" w:lineRule="auto"/>
        <w:rPr>
          <w:rFonts w:cs="Arial"/>
          <w:sz w:val="24"/>
          <w:szCs w:val="20"/>
        </w:rPr>
      </w:pPr>
      <w:r>
        <w:rPr>
          <w:rFonts w:cs="Arial"/>
          <w:sz w:val="26"/>
          <w:szCs w:val="20"/>
        </w:rPr>
        <w:br/>
      </w:r>
      <w:r>
        <w:rPr>
          <w:rFonts w:cs="Arial"/>
          <w:sz w:val="24"/>
          <w:szCs w:val="20"/>
        </w:rPr>
        <w:t>30 September 2016</w:t>
      </w:r>
    </w:p>
    <w:p w14:paraId="4F0B0241" w14:textId="4752ACB0" w:rsidR="00827FA8" w:rsidRDefault="00827FA8" w:rsidP="00827FA8">
      <w:pPr>
        <w:widowControl w:val="0"/>
        <w:spacing w:before="100" w:beforeAutospacing="1" w:after="100" w:afterAutospacing="1" w:line="240" w:lineRule="auto"/>
        <w:rPr>
          <w:rFonts w:cs="Arial"/>
          <w:b/>
          <w:color w:val="0065C6"/>
          <w:szCs w:val="20"/>
        </w:rPr>
      </w:pPr>
      <w:r>
        <w:br w:type="page"/>
      </w:r>
      <w:bookmarkStart w:id="1" w:name="_Toc341770494"/>
      <w:bookmarkStart w:id="2" w:name="_Toc392662854"/>
    </w:p>
    <w:p w14:paraId="746262AF" w14:textId="77777777" w:rsidR="00827FA8" w:rsidRPr="0063669F" w:rsidRDefault="00827FA8" w:rsidP="00827FA8">
      <w:pPr>
        <w:pStyle w:val="Heading"/>
        <w:keepNext w:val="0"/>
        <w:widowControl w:val="0"/>
        <w:numPr>
          <w:ilvl w:val="0"/>
          <w:numId w:val="0"/>
        </w:numPr>
        <w:rPr>
          <w:sz w:val="26"/>
        </w:rPr>
      </w:pPr>
      <w:bookmarkStart w:id="3" w:name="_Toc461793181"/>
      <w:bookmarkEnd w:id="1"/>
      <w:bookmarkEnd w:id="2"/>
      <w:r w:rsidRPr="0063669F">
        <w:lastRenderedPageBreak/>
        <w:t>Executive Summary</w:t>
      </w:r>
      <w:bookmarkEnd w:id="3"/>
    </w:p>
    <w:p w14:paraId="7D70C310" w14:textId="77777777" w:rsidR="00827FA8" w:rsidRDefault="00827FA8" w:rsidP="00827FA8">
      <w:pPr>
        <w:pStyle w:val="BodyText"/>
        <w:widowControl w:val="0"/>
        <w:tabs>
          <w:tab w:val="left" w:pos="567"/>
        </w:tabs>
        <w:spacing w:line="240" w:lineRule="auto"/>
      </w:pPr>
      <w:r>
        <w:t xml:space="preserve">Telstra welcomes the opportunity to respond to the discussion paper published by the Department of Communications and the Arts in its review of the Part XIB telecommunications anti-competitive conduct provisions. </w:t>
      </w:r>
    </w:p>
    <w:p w14:paraId="69F847CD" w14:textId="601AB00D" w:rsidR="00827FA8" w:rsidRDefault="00827FA8" w:rsidP="00827FA8">
      <w:pPr>
        <w:pStyle w:val="BodyText"/>
        <w:widowControl w:val="0"/>
        <w:tabs>
          <w:tab w:val="left" w:pos="567"/>
        </w:tabs>
        <w:spacing w:line="240" w:lineRule="auto"/>
      </w:pPr>
      <w:r w:rsidRPr="005F3DDC">
        <w:t xml:space="preserve">Telstra supports regulation that promotes </w:t>
      </w:r>
      <w:r w:rsidR="004357EF">
        <w:t xml:space="preserve">competition and </w:t>
      </w:r>
      <w:r w:rsidRPr="005F3DDC">
        <w:t>investment, increases productivity and boosts Australia’s international competitiveness</w:t>
      </w:r>
      <w:r>
        <w:t xml:space="preserve">. </w:t>
      </w:r>
      <w:r w:rsidRPr="005F3DDC">
        <w:t xml:space="preserve">Competition in markets is key to improving the economic welfare of Australians. In the telecommunications market, </w:t>
      </w:r>
      <w:r w:rsidR="00917114">
        <w:t>competition spur</w:t>
      </w:r>
      <w:r w:rsidR="00AE1772">
        <w:t>s</w:t>
      </w:r>
      <w:r w:rsidR="00917114">
        <w:t xml:space="preserve"> carriers and carriage service providers </w:t>
      </w:r>
      <w:r w:rsidR="00917114" w:rsidRPr="0017271B">
        <w:t>(</w:t>
      </w:r>
      <w:r w:rsidR="00917114" w:rsidRPr="009747A4">
        <w:rPr>
          <w:b/>
        </w:rPr>
        <w:t>CSPs</w:t>
      </w:r>
      <w:r w:rsidR="00917114">
        <w:t xml:space="preserve">) </w:t>
      </w:r>
      <w:r w:rsidRPr="005F3DDC">
        <w:t>to invest billions</w:t>
      </w:r>
      <w:r w:rsidR="00917114">
        <w:t xml:space="preserve"> of dollars</w:t>
      </w:r>
      <w:r w:rsidRPr="005F3DDC">
        <w:t xml:space="preserve"> </w:t>
      </w:r>
      <w:r w:rsidR="00917114">
        <w:t xml:space="preserve">in networks </w:t>
      </w:r>
      <w:r w:rsidRPr="005F3DDC">
        <w:t xml:space="preserve">and innovation to provide customers with high quality services that meet their </w:t>
      </w:r>
      <w:r>
        <w:t xml:space="preserve">evolving </w:t>
      </w:r>
      <w:r w:rsidRPr="005F3DDC">
        <w:t xml:space="preserve">needs. </w:t>
      </w:r>
    </w:p>
    <w:p w14:paraId="74E78193" w14:textId="26165AF1" w:rsidR="00917114" w:rsidRDefault="00917114" w:rsidP="00917114">
      <w:pPr>
        <w:pStyle w:val="BodyText"/>
        <w:widowControl w:val="0"/>
      </w:pPr>
      <w:r>
        <w:t xml:space="preserve">Telstra considers that </w:t>
      </w:r>
      <w:r w:rsidR="00AE1772">
        <w:t xml:space="preserve">if the proposed amendments to section 46 are made, </w:t>
      </w:r>
      <w:r>
        <w:t>the competition rule and competition notice regime in Divisions 2 and 3 (and associated provisions in Divisions 7-10) of Part XIB</w:t>
      </w:r>
      <w:r w:rsidR="00E814A1">
        <w:t>,</w:t>
      </w:r>
      <w:r>
        <w:t xml:space="preserve"> </w:t>
      </w:r>
      <w:r w:rsidR="00143C6A">
        <w:t xml:space="preserve">will distort competition to the detriment of consumers and should </w:t>
      </w:r>
      <w:r w:rsidR="001F6986">
        <w:t xml:space="preserve">be </w:t>
      </w:r>
      <w:r>
        <w:t xml:space="preserve">repealed as soon as possible. </w:t>
      </w:r>
    </w:p>
    <w:p w14:paraId="7062D923" w14:textId="0E0CAEDC" w:rsidR="00827FA8" w:rsidRDefault="00827FA8" w:rsidP="00827FA8">
      <w:pPr>
        <w:pStyle w:val="BodyText"/>
      </w:pPr>
      <w:r>
        <w:t xml:space="preserve">The competition </w:t>
      </w:r>
      <w:r w:rsidR="00917114">
        <w:t xml:space="preserve">rule and competition </w:t>
      </w:r>
      <w:r>
        <w:t xml:space="preserve">notice </w:t>
      </w:r>
      <w:r w:rsidRPr="00A93FDE">
        <w:t xml:space="preserve">regime </w:t>
      </w:r>
      <w:r w:rsidR="00143C6A">
        <w:t xml:space="preserve">in Part XIB </w:t>
      </w:r>
      <w:r>
        <w:t xml:space="preserve">is already extremely </w:t>
      </w:r>
      <w:r w:rsidRPr="00A93FDE">
        <w:t>onerous</w:t>
      </w:r>
      <w:r>
        <w:t xml:space="preserve"> for </w:t>
      </w:r>
      <w:r w:rsidRPr="0017271B">
        <w:t>carrier</w:t>
      </w:r>
      <w:r w:rsidR="00143C6A">
        <w:t>s and CSPs</w:t>
      </w:r>
      <w:r w:rsidRPr="0017271B">
        <w:t xml:space="preserve"> </w:t>
      </w:r>
      <w:r w:rsidRPr="00A93FDE">
        <w:t xml:space="preserve">with a reversed </w:t>
      </w:r>
      <w:r w:rsidR="006E2191">
        <w:t>onus</w:t>
      </w:r>
      <w:r w:rsidRPr="00A93FDE">
        <w:t xml:space="preserve"> of proof in subsequent court proceedings</w:t>
      </w:r>
      <w:r>
        <w:t xml:space="preserve"> </w:t>
      </w:r>
      <w:r w:rsidRPr="00A93FDE">
        <w:t xml:space="preserve">and </w:t>
      </w:r>
      <w:r>
        <w:t xml:space="preserve">potential </w:t>
      </w:r>
      <w:r w:rsidRPr="00A93FDE">
        <w:t>penalties for a</w:t>
      </w:r>
      <w:r>
        <w:t xml:space="preserve"> beach of a competition notice well </w:t>
      </w:r>
      <w:r w:rsidRPr="00A93FDE">
        <w:t xml:space="preserve">beyond those typically levied in respect of equivalent Part IV breaches. </w:t>
      </w:r>
      <w:r w:rsidRPr="006F67A1">
        <w:t xml:space="preserve">Telstra is not aware of any jurisdiction in the world where telecommunication providers are subject to a specific </w:t>
      </w:r>
      <w:r>
        <w:t xml:space="preserve">misuse of market power </w:t>
      </w:r>
      <w:r w:rsidRPr="006F67A1">
        <w:t>rule with a reversed onus of proof in subsequent court proceedings.</w:t>
      </w:r>
      <w:r w:rsidR="00143C6A">
        <w:t xml:space="preserve"> </w:t>
      </w:r>
      <w:r w:rsidR="001750C3">
        <w:t xml:space="preserve"> Retaining the competition rule and competition notice regimes would make Australia an outlier in terms of competition regulation. </w:t>
      </w:r>
    </w:p>
    <w:p w14:paraId="1B3113EB" w14:textId="0F91F9AB" w:rsidR="00827FA8" w:rsidRDefault="00827FA8" w:rsidP="00827FA8">
      <w:pPr>
        <w:pStyle w:val="BodyText"/>
      </w:pPr>
      <w:r>
        <w:t xml:space="preserve">If the proposed section 46 amendments are made, Part XIB will become even more onerous, because the </w:t>
      </w:r>
      <w:r w:rsidRPr="00105DB0">
        <w:t>removal of the ‘take advantage’ element in the current section</w:t>
      </w:r>
      <w:r>
        <w:t xml:space="preserve"> 46 test</w:t>
      </w:r>
      <w:r w:rsidRPr="00105DB0">
        <w:t xml:space="preserve"> </w:t>
      </w:r>
      <w:r>
        <w:t xml:space="preserve">will create a lower threshold test and there is significant </w:t>
      </w:r>
      <w:r w:rsidRPr="00105DB0">
        <w:t>uncertainty associated with the</w:t>
      </w:r>
      <w:r>
        <w:t xml:space="preserve"> implementation of the new competition test</w:t>
      </w:r>
      <w:r w:rsidR="00E248A1">
        <w:t xml:space="preserve"> as it applies to unilateral conduct</w:t>
      </w:r>
      <w:r>
        <w:t xml:space="preserve">. </w:t>
      </w:r>
      <w:r w:rsidR="001750C3">
        <w:t xml:space="preserve">Because the new section 46 will flow through to Part XIB, </w:t>
      </w:r>
      <w:r w:rsidR="00E814A1">
        <w:t>c</w:t>
      </w:r>
      <w:r>
        <w:t>arriers and CSPs</w:t>
      </w:r>
      <w:r w:rsidRPr="000D2171">
        <w:t xml:space="preserve"> should not face the compounding risk </w:t>
      </w:r>
      <w:r w:rsidR="001750C3">
        <w:t xml:space="preserve">brought about by changing section 46 </w:t>
      </w:r>
      <w:r w:rsidRPr="000D2171">
        <w:t xml:space="preserve">and </w:t>
      </w:r>
      <w:r w:rsidR="001750C3">
        <w:t xml:space="preserve">then </w:t>
      </w:r>
      <w:r w:rsidRPr="000D2171">
        <w:t xml:space="preserve">be obliged to discharge the onus of proof in court and face the threat of </w:t>
      </w:r>
      <w:r>
        <w:t>disproportionate</w:t>
      </w:r>
      <w:r w:rsidRPr="000D2171">
        <w:t xml:space="preserve"> fines</w:t>
      </w:r>
      <w:r>
        <w:t xml:space="preserve"> under Part XIB</w:t>
      </w:r>
      <w:r w:rsidRPr="000D2171">
        <w:t xml:space="preserve">. The compounding uncertainty and risk that this creates will impact </w:t>
      </w:r>
      <w:r>
        <w:t>carriers’ and CSPs’</w:t>
      </w:r>
      <w:r w:rsidRPr="000D2171">
        <w:t xml:space="preserve"> decision</w:t>
      </w:r>
      <w:r w:rsidR="00E814A1">
        <w:t>-</w:t>
      </w:r>
      <w:r w:rsidRPr="000D2171">
        <w:t>making</w:t>
      </w:r>
      <w:r>
        <w:t xml:space="preserve">. </w:t>
      </w:r>
      <w:r w:rsidR="00143C6A">
        <w:t>C</w:t>
      </w:r>
      <w:r>
        <w:t>arriers and CSPs</w:t>
      </w:r>
      <w:r w:rsidRPr="005F3DDC">
        <w:t xml:space="preserve"> </w:t>
      </w:r>
      <w:r>
        <w:t>are more likely to</w:t>
      </w:r>
      <w:r w:rsidRPr="005F3DDC">
        <w:t xml:space="preserve"> adopt low</w:t>
      </w:r>
      <w:r w:rsidR="00143C6A">
        <w:t>er</w:t>
      </w:r>
      <w:r w:rsidRPr="005F3DDC">
        <w:t>-risk strategies</w:t>
      </w:r>
      <w:r w:rsidR="00935653">
        <w:t xml:space="preserve">, </w:t>
      </w:r>
      <w:r w:rsidR="00E814A1">
        <w:t xml:space="preserve">resulting in </w:t>
      </w:r>
      <w:r>
        <w:t>adverse impact</w:t>
      </w:r>
      <w:r w:rsidR="00935653">
        <w:t>s</w:t>
      </w:r>
      <w:r>
        <w:t xml:space="preserve"> on competition and consumers. </w:t>
      </w:r>
      <w:r w:rsidRPr="005F3DDC">
        <w:t xml:space="preserve"> </w:t>
      </w:r>
    </w:p>
    <w:p w14:paraId="44D5F01E" w14:textId="77777777" w:rsidR="00827FA8" w:rsidRPr="009747A4" w:rsidRDefault="00935653" w:rsidP="004C2DDB">
      <w:pPr>
        <w:pStyle w:val="BodyText"/>
        <w:rPr>
          <w:rFonts w:hint="eastAsia"/>
        </w:rPr>
      </w:pPr>
      <w:r>
        <w:t xml:space="preserve">The </w:t>
      </w:r>
      <w:r w:rsidR="00827FA8">
        <w:t xml:space="preserve">competition </w:t>
      </w:r>
      <w:r>
        <w:t xml:space="preserve">rule and </w:t>
      </w:r>
      <w:r w:rsidR="00F127E0">
        <w:t xml:space="preserve">competition </w:t>
      </w:r>
      <w:r w:rsidR="00827FA8">
        <w:t>notice</w:t>
      </w:r>
      <w:r w:rsidR="001F6986">
        <w:t xml:space="preserve"> regime will</w:t>
      </w:r>
      <w:r>
        <w:t xml:space="preserve"> also </w:t>
      </w:r>
      <w:r w:rsidR="00827FA8">
        <w:t xml:space="preserve">no longer </w:t>
      </w:r>
      <w:r w:rsidR="001F6986">
        <w:t xml:space="preserve">be </w:t>
      </w:r>
      <w:r>
        <w:t>necessary</w:t>
      </w:r>
      <w:r w:rsidR="00827FA8">
        <w:t xml:space="preserve"> for addressing competition concerns in the telecommunications market</w:t>
      </w:r>
      <w:r w:rsidR="00827FA8" w:rsidRPr="00FF781B">
        <w:t xml:space="preserve"> given that:</w:t>
      </w:r>
    </w:p>
    <w:p w14:paraId="5E698F41" w14:textId="77777777" w:rsidR="001F6986" w:rsidRDefault="001F6986" w:rsidP="004C2DDB">
      <w:pPr>
        <w:pStyle w:val="BodyText"/>
        <w:numPr>
          <w:ilvl w:val="0"/>
          <w:numId w:val="23"/>
        </w:numPr>
        <w:ind w:hanging="720"/>
        <w:rPr>
          <w:b/>
          <w:bCs/>
        </w:rPr>
      </w:pPr>
      <w:r>
        <w:t>The new section 46 test will be in place, with its significantly lower enforcement threshold.</w:t>
      </w:r>
    </w:p>
    <w:p w14:paraId="12A9A115" w14:textId="542A8823" w:rsidR="001750C3" w:rsidRDefault="00827FA8" w:rsidP="004C2DDB">
      <w:pPr>
        <w:pStyle w:val="BodyText"/>
        <w:numPr>
          <w:ilvl w:val="0"/>
          <w:numId w:val="23"/>
        </w:numPr>
        <w:ind w:hanging="720"/>
        <w:rPr>
          <w:b/>
          <w:bCs/>
        </w:rPr>
      </w:pPr>
      <w:r w:rsidRPr="0017271B">
        <w:t xml:space="preserve">Part XIB was introduced </w:t>
      </w:r>
      <w:r w:rsidR="00E248A1">
        <w:t xml:space="preserve">nearly </w:t>
      </w:r>
      <w:r w:rsidRPr="0017271B">
        <w:t xml:space="preserve">twenty years ago to address specific competition concerns in an industry transitioning to an open and competitive market. These concerns no longer </w:t>
      </w:r>
      <w:proofErr w:type="spellStart"/>
      <w:r w:rsidRPr="0017271B">
        <w:t>characterise</w:t>
      </w:r>
      <w:proofErr w:type="spellEnd"/>
      <w:r w:rsidRPr="0017271B">
        <w:t xml:space="preserve"> the industry</w:t>
      </w:r>
      <w:r w:rsidR="00AE1772">
        <w:t>, which now has</w:t>
      </w:r>
      <w:r w:rsidR="00AE1772" w:rsidRPr="0017271B">
        <w:t xml:space="preserve"> highly competitive market players, a wide range of new products and services that compete with legacy-based services</w:t>
      </w:r>
      <w:r w:rsidR="00AE1772">
        <w:t>. T</w:t>
      </w:r>
      <w:r w:rsidRPr="0017271B">
        <w:t xml:space="preserve">here is no longer a justification for subjecting carriers and </w:t>
      </w:r>
      <w:r>
        <w:t>CSPs</w:t>
      </w:r>
      <w:r w:rsidRPr="0017271B">
        <w:t xml:space="preserve"> to this telecommunication</w:t>
      </w:r>
      <w:r w:rsidR="004C2DDB">
        <w:t>s-specific enforcement regime.</w:t>
      </w:r>
    </w:p>
    <w:p w14:paraId="10956EC2" w14:textId="77777777" w:rsidR="00827FA8" w:rsidRPr="0017271B" w:rsidRDefault="00827FA8" w:rsidP="004C2DDB">
      <w:pPr>
        <w:pStyle w:val="BodyText"/>
        <w:numPr>
          <w:ilvl w:val="0"/>
          <w:numId w:val="23"/>
        </w:numPr>
        <w:ind w:hanging="720"/>
        <w:rPr>
          <w:b/>
          <w:bCs/>
        </w:rPr>
      </w:pPr>
      <w:r w:rsidRPr="0017271B">
        <w:t>The industry is undergoing further significant change with the rollout of the NBN</w:t>
      </w:r>
      <w:r>
        <w:t>, which creates a wholesale-only provider of fixed line services, subject to a legislated non-discrimination obligation</w:t>
      </w:r>
      <w:r w:rsidRPr="0017271B">
        <w:t xml:space="preserve">. </w:t>
      </w:r>
      <w:r w:rsidR="001750C3" w:rsidRPr="0017271B">
        <w:t xml:space="preserve">Telstra </w:t>
      </w:r>
      <w:r w:rsidR="001750C3">
        <w:t xml:space="preserve">has committed </w:t>
      </w:r>
      <w:r w:rsidR="001750C3" w:rsidRPr="0017271B">
        <w:t>to structurally separate</w:t>
      </w:r>
      <w:r w:rsidR="00AE1772">
        <w:t>, with interim</w:t>
      </w:r>
      <w:r w:rsidR="001750C3">
        <w:t xml:space="preserve"> equivalence and transparency measures negotiated with and accepted by the ACCC.</w:t>
      </w:r>
    </w:p>
    <w:p w14:paraId="4FC6D0EE" w14:textId="1379401D" w:rsidR="00827FA8" w:rsidRPr="00A93FDE" w:rsidRDefault="00827FA8" w:rsidP="004C2DDB">
      <w:pPr>
        <w:pStyle w:val="BodyText"/>
        <w:numPr>
          <w:ilvl w:val="0"/>
          <w:numId w:val="23"/>
        </w:numPr>
        <w:ind w:hanging="720"/>
        <w:rPr>
          <w:b/>
          <w:bCs/>
        </w:rPr>
      </w:pPr>
      <w:r>
        <w:t>The</w:t>
      </w:r>
      <w:r w:rsidRPr="00A93FDE">
        <w:t xml:space="preserve"> ACCC has many regulatory tools other than Part XIB to promote competition in the communications sector, including Part XIC access determinations, binding rules of conduct (BROCs), and Telstra’s structural separation undertaking (SSU) and migration plan</w:t>
      </w:r>
      <w:r w:rsidR="00787A9D">
        <w:t xml:space="preserve"> (</w:t>
      </w:r>
      <w:r w:rsidR="00787A9D" w:rsidRPr="00787A9D">
        <w:t>MP</w:t>
      </w:r>
      <w:r w:rsidR="00787A9D">
        <w:t>)</w:t>
      </w:r>
      <w:r w:rsidRPr="00A93FDE">
        <w:t xml:space="preserve">. In fact, it has shown a strong preference to </w:t>
      </w:r>
      <w:r w:rsidR="006324A6" w:rsidRPr="00A93FDE">
        <w:t>us</w:t>
      </w:r>
      <w:r w:rsidR="006324A6">
        <w:t>e</w:t>
      </w:r>
      <w:r w:rsidR="006324A6" w:rsidRPr="00A93FDE">
        <w:t xml:space="preserve"> </w:t>
      </w:r>
      <w:r w:rsidRPr="00A93FDE">
        <w:t xml:space="preserve">these rather than competition notices, the last of which </w:t>
      </w:r>
      <w:r w:rsidR="004C2DDB">
        <w:t>was issued over ten years ago.</w:t>
      </w:r>
    </w:p>
    <w:p w14:paraId="194A2D1B" w14:textId="6E23D901" w:rsidR="00827FA8" w:rsidRDefault="00827FA8" w:rsidP="00F46A6F">
      <w:pPr>
        <w:pStyle w:val="BodyText"/>
        <w:rPr>
          <w:rFonts w:cs="Arial" w:hint="eastAsia"/>
          <w:color w:val="0065C6"/>
        </w:rPr>
      </w:pPr>
      <w:r>
        <w:t>If the government retains Divisions 2 and 3 and associated sections in Divisions 7-10</w:t>
      </w:r>
      <w:r w:rsidRPr="00B72740">
        <w:t xml:space="preserve"> </w:t>
      </w:r>
      <w:r>
        <w:t xml:space="preserve">of Part XIB, it will be important to ensure at the very least that the </w:t>
      </w:r>
      <w:r w:rsidR="00967BCF">
        <w:t>separate telecommunications</w:t>
      </w:r>
      <w:r w:rsidR="00E814A1">
        <w:t>-</w:t>
      </w:r>
      <w:r w:rsidR="00967BCF">
        <w:t xml:space="preserve">specific anti-competitive conduct </w:t>
      </w:r>
      <w:r w:rsidR="00A829FC">
        <w:t>test</w:t>
      </w:r>
      <w:r w:rsidR="00967BCF">
        <w:t xml:space="preserve"> in section 151AJ(2) and the </w:t>
      </w:r>
      <w:r>
        <w:t xml:space="preserve">reversed onus of proof in section 151AN </w:t>
      </w:r>
      <w:r w:rsidR="00A829FC">
        <w:t>are</w:t>
      </w:r>
      <w:r>
        <w:t xml:space="preserve"> </w:t>
      </w:r>
      <w:proofErr w:type="gramStart"/>
      <w:r>
        <w:t>repealed</w:t>
      </w:r>
      <w:proofErr w:type="gramEnd"/>
      <w:r>
        <w:t>.</w:t>
      </w:r>
      <w:r w:rsidR="00967BCF">
        <w:t xml:space="preserve"> As the Harper </w:t>
      </w:r>
      <w:r w:rsidR="00A829FC">
        <w:t xml:space="preserve">Review </w:t>
      </w:r>
      <w:proofErr w:type="spellStart"/>
      <w:r w:rsidR="00967BCF">
        <w:t>recognised</w:t>
      </w:r>
      <w:proofErr w:type="spellEnd"/>
      <w:r w:rsidR="00967BCF">
        <w:t xml:space="preserve">, the proposed new section 46 test obviates </w:t>
      </w:r>
      <w:r w:rsidR="00A829FC">
        <w:t>the</w:t>
      </w:r>
      <w:r w:rsidR="00967BCF">
        <w:t xml:space="preserve"> need for </w:t>
      </w:r>
      <w:r w:rsidR="00A829FC">
        <w:t>the competition rule in P</w:t>
      </w:r>
      <w:r w:rsidR="00967BCF">
        <w:t>art XIB, and t</w:t>
      </w:r>
      <w:r w:rsidRPr="003155C4">
        <w:t>here is no current justification for retaining th</w:t>
      </w:r>
      <w:r w:rsidR="00967BCF">
        <w:t>e reversed onus of proof</w:t>
      </w:r>
      <w:r w:rsidRPr="003155C4">
        <w:t xml:space="preserve"> provision which is contrary to general principles of civil law and</w:t>
      </w:r>
      <w:r>
        <w:t xml:space="preserve">, given that carriers and CSPs do not have the benefit of the ACCC’s investigative powers, </w:t>
      </w:r>
      <w:r w:rsidRPr="003155C4">
        <w:t xml:space="preserve">will create a near insurmountable hurdle for carriers and </w:t>
      </w:r>
      <w:r>
        <w:t>CSPs</w:t>
      </w:r>
      <w:r w:rsidRPr="003155C4">
        <w:t xml:space="preserve"> in any court proceedings under the proposed new section 46 test.</w:t>
      </w:r>
      <w:r>
        <w:rPr>
          <w:rFonts w:cs="Arial"/>
          <w:color w:val="0065C6"/>
        </w:rPr>
        <w:br w:type="page"/>
      </w:r>
    </w:p>
    <w:p w14:paraId="4DB114D6" w14:textId="77777777" w:rsidR="00827FA8" w:rsidRPr="00802DB7" w:rsidDel="009747A4" w:rsidRDefault="00827FA8" w:rsidP="00F127E0">
      <w:pPr>
        <w:pStyle w:val="Heading1"/>
        <w:tabs>
          <w:tab w:val="clear" w:pos="567"/>
          <w:tab w:val="num" w:pos="1134"/>
        </w:tabs>
      </w:pPr>
      <w:r w:rsidDel="009747A4">
        <w:t xml:space="preserve">The </w:t>
      </w:r>
      <w:r w:rsidR="00DA317D">
        <w:t>lower threshold</w:t>
      </w:r>
      <w:r w:rsidR="00B46603">
        <w:t>s</w:t>
      </w:r>
      <w:r w:rsidR="00DA317D">
        <w:t xml:space="preserve"> for section 46 </w:t>
      </w:r>
      <w:r w:rsidR="00B46603">
        <w:t xml:space="preserve">and </w:t>
      </w:r>
      <w:r w:rsidDel="009747A4">
        <w:t xml:space="preserve">onerous </w:t>
      </w:r>
      <w:r w:rsidR="00B46603">
        <w:t xml:space="preserve">Part XIB </w:t>
      </w:r>
      <w:r w:rsidDel="009747A4">
        <w:t>enforcement mechanisms will</w:t>
      </w:r>
      <w:r w:rsidRPr="00802DB7" w:rsidDel="009747A4">
        <w:t xml:space="preserve"> harm competition and consumers</w:t>
      </w:r>
    </w:p>
    <w:p w14:paraId="1D794025" w14:textId="6CF7A10C" w:rsidR="005D3009" w:rsidRPr="00034149" w:rsidRDefault="005D3009" w:rsidP="00F46A6F">
      <w:pPr>
        <w:pStyle w:val="BodyText"/>
        <w:ind w:left="567"/>
        <w:rPr>
          <w:b/>
          <w:bCs/>
        </w:rPr>
      </w:pPr>
      <w:r>
        <w:t>As expressly</w:t>
      </w:r>
      <w:r w:rsidRPr="00545759" w:rsidDel="009747A4">
        <w:t xml:space="preserve"> </w:t>
      </w:r>
      <w:proofErr w:type="spellStart"/>
      <w:r w:rsidRPr="00545759" w:rsidDel="009747A4">
        <w:t>recognised</w:t>
      </w:r>
      <w:proofErr w:type="spellEnd"/>
      <w:r w:rsidRPr="00545759" w:rsidDel="009747A4">
        <w:t xml:space="preserve"> in the final Harper Rev</w:t>
      </w:r>
      <w:r w:rsidDel="009747A4">
        <w:t>iew report</w:t>
      </w:r>
      <w:r>
        <w:t>,</w:t>
      </w:r>
      <w:r w:rsidDel="009747A4">
        <w:rPr>
          <w:rStyle w:val="FootnoteReference"/>
        </w:rPr>
        <w:footnoteReference w:id="1"/>
      </w:r>
      <w:r w:rsidRPr="00B46603" w:rsidDel="009747A4">
        <w:t xml:space="preserve"> </w:t>
      </w:r>
      <w:r>
        <w:t xml:space="preserve">the </w:t>
      </w:r>
      <w:r w:rsidRPr="00545759" w:rsidDel="009747A4">
        <w:t xml:space="preserve">section 46 </w:t>
      </w:r>
      <w:r>
        <w:t xml:space="preserve">amendments </w:t>
      </w:r>
      <w:r w:rsidRPr="00545759" w:rsidDel="009747A4">
        <w:t xml:space="preserve">obviate any need for the </w:t>
      </w:r>
      <w:r w:rsidDel="009747A4">
        <w:t>competition rule</w:t>
      </w:r>
      <w:r w:rsidRPr="00545759" w:rsidDel="009747A4">
        <w:t xml:space="preserve"> in Part XIB.</w:t>
      </w:r>
    </w:p>
    <w:p w14:paraId="4F9E7C38" w14:textId="77777777" w:rsidR="005D3009" w:rsidRDefault="005D3009" w:rsidP="00F46A6F">
      <w:pPr>
        <w:pStyle w:val="BodyText"/>
        <w:ind w:left="567"/>
        <w:rPr>
          <w:b/>
          <w:bCs/>
        </w:rPr>
      </w:pPr>
      <w:r>
        <w:t>T</w:t>
      </w:r>
      <w:r w:rsidR="00B46603">
        <w:t xml:space="preserve">he proposed section 46 amendments </w:t>
      </w:r>
      <w:r w:rsidR="00B46603" w:rsidDel="009747A4">
        <w:t>introduce an</w:t>
      </w:r>
      <w:r w:rsidR="00B46603" w:rsidRPr="005F3DDC" w:rsidDel="009747A4">
        <w:t xml:space="preserve"> ‘effects’ test </w:t>
      </w:r>
      <w:r w:rsidR="00B46603">
        <w:t xml:space="preserve">and </w:t>
      </w:r>
      <w:r w:rsidR="00B46603" w:rsidDel="009747A4">
        <w:t>remove</w:t>
      </w:r>
      <w:r w:rsidR="00B46603" w:rsidRPr="005F3DDC" w:rsidDel="009747A4">
        <w:t xml:space="preserve"> the ‘tak</w:t>
      </w:r>
      <w:r w:rsidR="00B46603" w:rsidDel="009747A4">
        <w:t>ing</w:t>
      </w:r>
      <w:r w:rsidR="00B46603" w:rsidRPr="005F3DDC" w:rsidDel="009747A4">
        <w:t xml:space="preserve"> advantage’ </w:t>
      </w:r>
      <w:r w:rsidR="00B46603">
        <w:t xml:space="preserve">test, resulting in a lower threshold </w:t>
      </w:r>
      <w:r w:rsidR="00B46603" w:rsidRPr="00B46603" w:rsidDel="009747A4">
        <w:rPr>
          <w:rFonts w:cs="Times New Roman"/>
        </w:rPr>
        <w:t xml:space="preserve"> </w:t>
      </w:r>
      <w:r w:rsidR="00B46603" w:rsidRPr="00545759" w:rsidDel="009747A4">
        <w:rPr>
          <w:rFonts w:cs="Times New Roman"/>
        </w:rPr>
        <w:t>for establishing a</w:t>
      </w:r>
      <w:r w:rsidR="00B46603">
        <w:rPr>
          <w:rFonts w:cs="Times New Roman"/>
        </w:rPr>
        <w:t xml:space="preserve"> </w:t>
      </w:r>
      <w:r w:rsidR="00B46603" w:rsidRPr="00545759" w:rsidDel="009747A4">
        <w:rPr>
          <w:rFonts w:cs="Times New Roman"/>
        </w:rPr>
        <w:t>misuse of market power under section 46</w:t>
      </w:r>
      <w:r>
        <w:rPr>
          <w:rFonts w:cs="Times New Roman"/>
        </w:rPr>
        <w:t>.</w:t>
      </w:r>
    </w:p>
    <w:p w14:paraId="0E1053B4" w14:textId="1CCADC77" w:rsidR="005D3009" w:rsidRDefault="005D3009" w:rsidP="00F46A6F">
      <w:pPr>
        <w:pStyle w:val="BodyText"/>
        <w:ind w:left="567"/>
        <w:rPr>
          <w:b/>
          <w:bCs/>
        </w:rPr>
      </w:pPr>
      <w:r>
        <w:t>T</w:t>
      </w:r>
      <w:r w:rsidR="00B46603" w:rsidRPr="008E6260">
        <w:t xml:space="preserve">he </w:t>
      </w:r>
      <w:r w:rsidR="00B46603">
        <w:t xml:space="preserve">lower thresholds in the </w:t>
      </w:r>
      <w:r w:rsidR="00B46603" w:rsidRPr="008E6260">
        <w:t xml:space="preserve">new section 46 </w:t>
      </w:r>
      <w:r w:rsidR="00F127E0">
        <w:t xml:space="preserve">would </w:t>
      </w:r>
      <w:r w:rsidR="00B46603">
        <w:t>act in conjunction with</w:t>
      </w:r>
      <w:r w:rsidR="00B46603" w:rsidRPr="008E6260">
        <w:t xml:space="preserve"> the onerous enforcement powers in Part XIB</w:t>
      </w:r>
      <w:r w:rsidR="00F46A6F">
        <w:t>. In particular,</w:t>
      </w:r>
    </w:p>
    <w:p w14:paraId="2367CE53" w14:textId="230170AB" w:rsidR="005D3009" w:rsidRDefault="0072529E" w:rsidP="00F46A6F">
      <w:pPr>
        <w:pStyle w:val="BodyText"/>
        <w:numPr>
          <w:ilvl w:val="0"/>
          <w:numId w:val="14"/>
        </w:numPr>
        <w:tabs>
          <w:tab w:val="clear" w:pos="737"/>
          <w:tab w:val="num" w:pos="1276"/>
        </w:tabs>
        <w:ind w:left="1276" w:hanging="709"/>
        <w:rPr>
          <w:b/>
          <w:bCs/>
        </w:rPr>
      </w:pPr>
      <w:r>
        <w:t>T</w:t>
      </w:r>
      <w:r w:rsidR="00827FA8" w:rsidDel="009747A4">
        <w:t>he</w:t>
      </w:r>
      <w:r>
        <w:t>re are severe</w:t>
      </w:r>
      <w:r w:rsidR="00827FA8" w:rsidDel="009747A4">
        <w:t xml:space="preserve"> p</w:t>
      </w:r>
      <w:r w:rsidR="00827FA8" w:rsidRPr="006F67A1" w:rsidDel="009747A4">
        <w:t xml:space="preserve">ecuniary penalties </w:t>
      </w:r>
      <w:r>
        <w:t>under Part XIB for breaches of s</w:t>
      </w:r>
      <w:r w:rsidR="00AE1772">
        <w:t xml:space="preserve">ection </w:t>
      </w:r>
      <w:r>
        <w:t xml:space="preserve">46 that are </w:t>
      </w:r>
      <w:r w:rsidRPr="006F67A1" w:rsidDel="009747A4">
        <w:t xml:space="preserve">disproportionate to the penalties for </w:t>
      </w:r>
      <w:r>
        <w:t>other sector</w:t>
      </w:r>
      <w:r w:rsidR="00F127E0">
        <w:t>s</w:t>
      </w:r>
      <w:r>
        <w:t xml:space="preserve"> under </w:t>
      </w:r>
      <w:r w:rsidRPr="006F67A1" w:rsidDel="009747A4">
        <w:t>the proposed section 46</w:t>
      </w:r>
      <w:r>
        <w:t xml:space="preserve"> – p</w:t>
      </w:r>
      <w:r w:rsidR="00827FA8" w:rsidRPr="006F67A1" w:rsidDel="009747A4">
        <w:t>enalties for a contravention of a competition notice start at $10 million and increases by $1 million per day for 21 days</w:t>
      </w:r>
      <w:r w:rsidR="00AE1772">
        <w:t>,</w:t>
      </w:r>
      <w:r w:rsidR="00827FA8" w:rsidRPr="006F67A1" w:rsidDel="009747A4">
        <w:t xml:space="preserve"> increas</w:t>
      </w:r>
      <w:r w:rsidR="00AE1772">
        <w:t>ing</w:t>
      </w:r>
      <w:r w:rsidR="00827FA8" w:rsidRPr="006F67A1" w:rsidDel="009747A4">
        <w:t xml:space="preserve"> to $31 million and $3 million per day thereafter. </w:t>
      </w:r>
      <w:r w:rsidR="00AE1772">
        <w:t>A</w:t>
      </w:r>
      <w:r w:rsidR="00827FA8" w:rsidRPr="006F67A1" w:rsidDel="009747A4">
        <w:t>fter 100 days, the potential penalties accruing to the defendant would amount to $268m.</w:t>
      </w:r>
    </w:p>
    <w:p w14:paraId="74A01732" w14:textId="686C3734" w:rsidR="00F46A6F" w:rsidRDefault="0072529E" w:rsidP="00F46A6F">
      <w:pPr>
        <w:pStyle w:val="BodyText"/>
        <w:numPr>
          <w:ilvl w:val="0"/>
          <w:numId w:val="14"/>
        </w:numPr>
        <w:tabs>
          <w:tab w:val="clear" w:pos="737"/>
          <w:tab w:val="num" w:pos="1276"/>
        </w:tabs>
        <w:ind w:left="1276" w:hanging="709"/>
        <w:rPr>
          <w:b/>
          <w:bCs/>
        </w:rPr>
      </w:pPr>
      <w:r w:rsidRPr="00F46A6F">
        <w:t>B</w:t>
      </w:r>
      <w:r w:rsidR="005D3009" w:rsidRPr="00F46A6F" w:rsidDel="009747A4">
        <w:t>y issuing a Part B Competition Notice</w:t>
      </w:r>
      <w:r w:rsidRPr="00F46A6F">
        <w:t xml:space="preserve"> in relation to s46 conduct</w:t>
      </w:r>
      <w:r w:rsidR="005D3009" w:rsidRPr="00F46A6F" w:rsidDel="009747A4">
        <w:t>, the ACCC can reverse the onus of proof in subsequent court proceedings</w:t>
      </w:r>
      <w:r w:rsidRPr="00F46A6F">
        <w:t>, so that</w:t>
      </w:r>
      <w:r w:rsidR="005D3009" w:rsidRPr="00F46A6F" w:rsidDel="009747A4">
        <w:t xml:space="preserve"> </w:t>
      </w:r>
      <w:r w:rsidRPr="00F46A6F">
        <w:t xml:space="preserve">Carriers and CSPs </w:t>
      </w:r>
      <w:r w:rsidRPr="00F46A6F" w:rsidDel="009747A4">
        <w:t>bear the onus of satisfying a court that t</w:t>
      </w:r>
      <w:r w:rsidRPr="00F46A6F">
        <w:t>here is no substantial lessening of</w:t>
      </w:r>
      <w:r w:rsidRPr="00F46A6F" w:rsidDel="009747A4">
        <w:t xml:space="preserve"> competition – </w:t>
      </w:r>
      <w:r w:rsidR="00AE1772" w:rsidRPr="00F46A6F">
        <w:t>an almost impossible task</w:t>
      </w:r>
      <w:r w:rsidRPr="00F46A6F" w:rsidDel="009747A4">
        <w:t xml:space="preserve"> for a party that does not have the powers to conduct market inquiries or compel competitors to provide information in order to prove that there is no substantial effect on competition. </w:t>
      </w:r>
      <w:r w:rsidR="003D2F0F" w:rsidRPr="00F46A6F">
        <w:t>The reversed onus of proof may also be relied upon by private parties seeking an injunction under section 151AC.</w:t>
      </w:r>
    </w:p>
    <w:p w14:paraId="520C3045" w14:textId="78A532F0" w:rsidR="005D3009" w:rsidRPr="00F46A6F" w:rsidRDefault="005D3009" w:rsidP="00F46A6F">
      <w:pPr>
        <w:pStyle w:val="BodyText"/>
        <w:ind w:left="567"/>
      </w:pPr>
      <w:r w:rsidRPr="00F46A6F" w:rsidDel="009747A4">
        <w:t xml:space="preserve">Even in the absence of the proposed </w:t>
      </w:r>
      <w:r w:rsidRPr="00F46A6F">
        <w:t xml:space="preserve">section 46 </w:t>
      </w:r>
      <w:r w:rsidRPr="00F46A6F" w:rsidDel="009747A4">
        <w:t>amendments</w:t>
      </w:r>
      <w:r w:rsidR="00A829FC" w:rsidRPr="00F46A6F">
        <w:t xml:space="preserve"> the</w:t>
      </w:r>
      <w:r w:rsidRPr="00F46A6F" w:rsidDel="009747A4">
        <w:t xml:space="preserve"> </w:t>
      </w:r>
      <w:r w:rsidR="0072529E" w:rsidRPr="00F46A6F">
        <w:t xml:space="preserve">Part XIB </w:t>
      </w:r>
      <w:r w:rsidRPr="00F46A6F" w:rsidDel="009747A4">
        <w:t>powers are unique and onerous, and go well beyond what is necessary to regulate and prosecute anti-competitive conduct.</w:t>
      </w:r>
      <w:r w:rsidR="0072529E" w:rsidRPr="00F46A6F" w:rsidDel="009747A4">
        <w:t xml:space="preserve"> It is generally </w:t>
      </w:r>
      <w:proofErr w:type="spellStart"/>
      <w:r w:rsidR="0072529E" w:rsidRPr="00F46A6F" w:rsidDel="009747A4">
        <w:t>recognised</w:t>
      </w:r>
      <w:proofErr w:type="spellEnd"/>
      <w:r w:rsidR="0072529E" w:rsidRPr="00F46A6F" w:rsidDel="009747A4">
        <w:t xml:space="preserve"> that the person seeking the benefit of the law bears the burden of persuading the court that it should exercise its authority</w:t>
      </w:r>
      <w:r w:rsidR="0072529E" w:rsidRPr="00F46A6F">
        <w:t>.</w:t>
      </w:r>
      <w:r w:rsidR="0072529E" w:rsidRPr="00F46A6F" w:rsidDel="009747A4">
        <w:t xml:space="preserve"> The ACCC</w:t>
      </w:r>
      <w:r w:rsidR="003D2F0F" w:rsidRPr="00F46A6F">
        <w:t>, or any private party,</w:t>
      </w:r>
      <w:r w:rsidR="0072529E" w:rsidRPr="00F46A6F" w:rsidDel="009747A4">
        <w:t xml:space="preserve"> should bear the onus of proof to establish any party is acting unlawfully, particularly when the relevant test </w:t>
      </w:r>
      <w:r w:rsidR="0072529E" w:rsidRPr="00F46A6F">
        <w:t xml:space="preserve">will no longer require consideration of ‘taking advantage’ but will </w:t>
      </w:r>
      <w:r w:rsidR="0072529E" w:rsidRPr="00F46A6F" w:rsidDel="009747A4">
        <w:t xml:space="preserve">require an assessment of the effect on </w:t>
      </w:r>
      <w:r w:rsidR="0072529E" w:rsidRPr="00F46A6F">
        <w:t>competition</w:t>
      </w:r>
      <w:r w:rsidR="0072529E" w:rsidRPr="00F46A6F" w:rsidDel="009747A4">
        <w:t xml:space="preserve">, which the ACCC is in a better position to do than any single market participant. Telstra is not aware of any jurisdiction in the world where telecommunication providers are subject to a specific misuse of market power rule with a reversed onus of proof in subsequent court proceedings. </w:t>
      </w:r>
    </w:p>
    <w:p w14:paraId="38A49FEF" w14:textId="77777777" w:rsidR="00827FA8" w:rsidRDefault="0072529E" w:rsidP="00F46A6F">
      <w:pPr>
        <w:pStyle w:val="BodyText"/>
        <w:ind w:left="567"/>
        <w:rPr>
          <w:b/>
          <w:bCs/>
        </w:rPr>
      </w:pPr>
      <w:r>
        <w:t>Th</w:t>
      </w:r>
      <w:r w:rsidR="005D3009">
        <w:t>e lower thresholds</w:t>
      </w:r>
      <w:r>
        <w:t>, and additional</w:t>
      </w:r>
      <w:r w:rsidR="005D3009">
        <w:t xml:space="preserve"> </w:t>
      </w:r>
      <w:r w:rsidRPr="005F3DDC" w:rsidDel="009747A4">
        <w:t xml:space="preserve">complexity </w:t>
      </w:r>
      <w:r w:rsidDel="009747A4">
        <w:t xml:space="preserve">and </w:t>
      </w:r>
      <w:r w:rsidRPr="005F3DDC" w:rsidDel="009747A4">
        <w:t>uncertainty</w:t>
      </w:r>
      <w:r>
        <w:t xml:space="preserve"> associated with</w:t>
      </w:r>
      <w:r w:rsidRPr="005F3DDC" w:rsidDel="009747A4">
        <w:t xml:space="preserve"> </w:t>
      </w:r>
      <w:r w:rsidR="005D3009">
        <w:t xml:space="preserve">the proposed </w:t>
      </w:r>
      <w:r>
        <w:t xml:space="preserve">amendments to </w:t>
      </w:r>
      <w:r w:rsidR="00827FA8" w:rsidRPr="002A1BCA" w:rsidDel="009747A4">
        <w:t>s</w:t>
      </w:r>
      <w:r w:rsidR="00827FA8" w:rsidDel="009747A4">
        <w:t>ection</w:t>
      </w:r>
      <w:r w:rsidR="00827FA8" w:rsidRPr="002A1BCA" w:rsidDel="009747A4">
        <w:t xml:space="preserve"> 46</w:t>
      </w:r>
      <w:r w:rsidR="005D3009">
        <w:t>,</w:t>
      </w:r>
      <w:r w:rsidR="00827FA8" w:rsidRPr="002A1BCA" w:rsidDel="009747A4">
        <w:t xml:space="preserve"> combined with the </w:t>
      </w:r>
      <w:r w:rsidR="005D3009">
        <w:t xml:space="preserve">extreme potential penalties and the </w:t>
      </w:r>
      <w:r w:rsidR="00827FA8" w:rsidRPr="002A1BCA" w:rsidDel="009747A4">
        <w:t xml:space="preserve">reversal of the onus of proof </w:t>
      </w:r>
      <w:r>
        <w:t xml:space="preserve">under Part XIB </w:t>
      </w:r>
      <w:r w:rsidR="00827FA8" w:rsidRPr="002A1BCA" w:rsidDel="009747A4">
        <w:t xml:space="preserve">will make it </w:t>
      </w:r>
      <w:r w:rsidR="00827FA8" w:rsidDel="009747A4">
        <w:t xml:space="preserve">extremely difficult – if not near impossible – </w:t>
      </w:r>
      <w:r w:rsidR="00827FA8" w:rsidRPr="002A1BCA" w:rsidDel="009747A4">
        <w:t xml:space="preserve">for </w:t>
      </w:r>
      <w:r>
        <w:t>Carriers and CSPs</w:t>
      </w:r>
      <w:r w:rsidRPr="002A1BCA" w:rsidDel="009747A4">
        <w:t xml:space="preserve"> </w:t>
      </w:r>
      <w:r w:rsidR="00827FA8" w:rsidRPr="002A1BCA" w:rsidDel="009747A4">
        <w:t xml:space="preserve">to defend an allegation of anti-competitive conduct. </w:t>
      </w:r>
      <w:r w:rsidR="0098417F">
        <w:t xml:space="preserve">Facing such a challenge and </w:t>
      </w:r>
      <w:r w:rsidR="00B243EE">
        <w:t xml:space="preserve">significant </w:t>
      </w:r>
      <w:r w:rsidR="0098417F">
        <w:t>un</w:t>
      </w:r>
      <w:r w:rsidR="00827FA8" w:rsidRPr="005F3DDC" w:rsidDel="009747A4">
        <w:t>certainty</w:t>
      </w:r>
      <w:r w:rsidR="0098417F">
        <w:t>,</w:t>
      </w:r>
      <w:r w:rsidR="00827FA8" w:rsidRPr="005F3DDC" w:rsidDel="009747A4">
        <w:t xml:space="preserve"> </w:t>
      </w:r>
      <w:r w:rsidR="0098417F">
        <w:t xml:space="preserve">Carriers and CSPs </w:t>
      </w:r>
      <w:r w:rsidR="00827FA8" w:rsidRPr="005F3DDC" w:rsidDel="009747A4">
        <w:t xml:space="preserve">may opt to adopt low-risk strategies to reduce the possibility of defending costly regulatory actions and the need to manage any resulting reputational damage. This would have a detrimental impact on competition across the economy as </w:t>
      </w:r>
      <w:r w:rsidR="00827FA8" w:rsidDel="009747A4">
        <w:t>service providers</w:t>
      </w:r>
      <w:r w:rsidR="00827FA8" w:rsidRPr="005F3DDC" w:rsidDel="009747A4">
        <w:t xml:space="preserve"> </w:t>
      </w:r>
      <w:r w:rsidR="00AE1772" w:rsidDel="009747A4">
        <w:t xml:space="preserve">invest </w:t>
      </w:r>
      <w:r w:rsidR="00AE1772">
        <w:t xml:space="preserve">and </w:t>
      </w:r>
      <w:r w:rsidR="00827FA8" w:rsidRPr="005F3DDC" w:rsidDel="009747A4">
        <w:t>innovate</w:t>
      </w:r>
      <w:r w:rsidR="00827FA8" w:rsidDel="009747A4">
        <w:t xml:space="preserve"> less and, accordingly, compete less vigorously</w:t>
      </w:r>
      <w:r w:rsidR="00827FA8" w:rsidRPr="005F3DDC" w:rsidDel="009747A4">
        <w:t xml:space="preserve">. </w:t>
      </w:r>
      <w:r w:rsidR="0098417F">
        <w:t xml:space="preserve">This </w:t>
      </w:r>
      <w:r w:rsidR="00827FA8" w:rsidRPr="000D2171" w:rsidDel="009747A4">
        <w:t>ultimately harm</w:t>
      </w:r>
      <w:r w:rsidR="0098417F">
        <w:t>s</w:t>
      </w:r>
      <w:r w:rsidR="00827FA8" w:rsidRPr="000D2171" w:rsidDel="009747A4">
        <w:t xml:space="preserve"> competition </w:t>
      </w:r>
      <w:r w:rsidR="00827FA8" w:rsidDel="009747A4">
        <w:t>and consumers.</w:t>
      </w:r>
    </w:p>
    <w:p w14:paraId="1E9857A3" w14:textId="77777777" w:rsidR="00827FA8" w:rsidRDefault="00827FA8" w:rsidP="00F127E0">
      <w:pPr>
        <w:pStyle w:val="Heading1"/>
      </w:pPr>
      <w:r w:rsidRPr="00802DB7">
        <w:t>T</w:t>
      </w:r>
      <w:r w:rsidR="00B243EE">
        <w:t xml:space="preserve">he </w:t>
      </w:r>
      <w:r>
        <w:t xml:space="preserve">competition </w:t>
      </w:r>
      <w:r w:rsidR="00B243EE">
        <w:t xml:space="preserve">rule and </w:t>
      </w:r>
      <w:r>
        <w:t>notice regime is no longer necessary</w:t>
      </w:r>
    </w:p>
    <w:p w14:paraId="5566CA73" w14:textId="77777777" w:rsidR="00827FA8" w:rsidRPr="00FF781B" w:rsidRDefault="00827FA8" w:rsidP="00F127E0">
      <w:pPr>
        <w:pStyle w:val="Heading2"/>
      </w:pPr>
      <w:r>
        <w:t xml:space="preserve">The </w:t>
      </w:r>
      <w:r w:rsidRPr="00FF781B">
        <w:t xml:space="preserve">market has changed significantly since the introduction of Part XIB </w:t>
      </w:r>
    </w:p>
    <w:p w14:paraId="63718D7E" w14:textId="77777777" w:rsidR="00827FA8" w:rsidRDefault="00827FA8" w:rsidP="00F46A6F">
      <w:pPr>
        <w:pStyle w:val="BodyText"/>
        <w:ind w:left="567"/>
        <w:rPr>
          <w:b/>
          <w:bCs/>
        </w:rPr>
      </w:pPr>
      <w:r>
        <w:t>Part XIB was introduced in 1997 as a special industry</w:t>
      </w:r>
      <w:r w:rsidR="00AE1772">
        <w:t>-</w:t>
      </w:r>
      <w:r>
        <w:t>specific</w:t>
      </w:r>
      <w:r w:rsidRPr="00667E99">
        <w:t xml:space="preserve"> regime for regulating anti-competitive conduct in the telecommunications industry.  </w:t>
      </w:r>
      <w:r>
        <w:t xml:space="preserve">The reason for an industry focused regime was to address the </w:t>
      </w:r>
      <w:r w:rsidRPr="005F3DDC">
        <w:t>challenge of</w:t>
      </w:r>
      <w:r>
        <w:t xml:space="preserve"> moving</w:t>
      </w:r>
      <w:r w:rsidRPr="00066869">
        <w:t xml:space="preserve"> </w:t>
      </w:r>
      <w:r w:rsidRPr="005F3DDC">
        <w:t xml:space="preserve">from a highly regulated </w:t>
      </w:r>
      <w:r>
        <w:t xml:space="preserve">and vertically integrated market </w:t>
      </w:r>
      <w:r w:rsidRPr="005F3DDC">
        <w:t>to open competition</w:t>
      </w:r>
      <w:r>
        <w:t xml:space="preserve">. </w:t>
      </w:r>
    </w:p>
    <w:p w14:paraId="164E144F" w14:textId="77777777" w:rsidR="00827FA8" w:rsidRDefault="00827FA8" w:rsidP="00F46A6F">
      <w:pPr>
        <w:pStyle w:val="BodyText"/>
        <w:ind w:left="567"/>
        <w:rPr>
          <w:b/>
          <w:bCs/>
        </w:rPr>
      </w:pPr>
      <w:r>
        <w:t xml:space="preserve">The industry is no longer in the </w:t>
      </w:r>
      <w:r w:rsidR="00AE1772">
        <w:t xml:space="preserve">early </w:t>
      </w:r>
      <w:r>
        <w:t xml:space="preserve">stages of competition and has undergone – and is continuing to undergo – significant changes in technology and product innovation, </w:t>
      </w:r>
      <w:r w:rsidRPr="00390961">
        <w:t>consumer preferences</w:t>
      </w:r>
      <w:r>
        <w:t xml:space="preserve"> and the structure of the market, as </w:t>
      </w:r>
      <w:proofErr w:type="spellStart"/>
      <w:r>
        <w:t>recognised</w:t>
      </w:r>
      <w:proofErr w:type="spellEnd"/>
      <w:r>
        <w:t xml:space="preserve"> by the ACCC in its recent market study issues paper.</w:t>
      </w:r>
      <w:r>
        <w:rPr>
          <w:rStyle w:val="FootnoteReference"/>
        </w:rPr>
        <w:footnoteReference w:id="2"/>
      </w:r>
      <w:r>
        <w:t xml:space="preserve"> The</w:t>
      </w:r>
      <w:r w:rsidRPr="00835A7B">
        <w:t xml:space="preserve"> market is today a productive and dynamic market </w:t>
      </w:r>
      <w:proofErr w:type="spellStart"/>
      <w:r w:rsidRPr="00835A7B">
        <w:t>characterised</w:t>
      </w:r>
      <w:proofErr w:type="spellEnd"/>
      <w:r w:rsidRPr="00835A7B">
        <w:t xml:space="preserve"> by a number of well-established </w:t>
      </w:r>
      <w:r>
        <w:t xml:space="preserve">and competitive </w:t>
      </w:r>
      <w:r w:rsidRPr="00835A7B">
        <w:t>participants</w:t>
      </w:r>
      <w:r>
        <w:t>, increasing</w:t>
      </w:r>
      <w:r w:rsidR="0098417F">
        <w:t>ly</w:t>
      </w:r>
      <w:r>
        <w:t xml:space="preserve"> owned by international enterprises.  The</w:t>
      </w:r>
      <w:r>
        <w:rPr>
          <w:rFonts w:cs="Times New Roman"/>
        </w:rPr>
        <w:t xml:space="preserve"> </w:t>
      </w:r>
      <w:r>
        <w:t>Department recently stated that:</w:t>
      </w:r>
      <w:r>
        <w:rPr>
          <w:rStyle w:val="FootnoteReference"/>
        </w:rPr>
        <w:footnoteReference w:id="3"/>
      </w:r>
    </w:p>
    <w:p w14:paraId="4C6DE600" w14:textId="77777777" w:rsidR="00827FA8" w:rsidRPr="00F46A6F" w:rsidRDefault="00827FA8" w:rsidP="00F46A6F">
      <w:pPr>
        <w:pStyle w:val="BodyText"/>
        <w:ind w:left="1134"/>
        <w:rPr>
          <w:b/>
          <w:bCs/>
          <w:i/>
          <w:iCs/>
        </w:rPr>
      </w:pPr>
      <w:r w:rsidRPr="00F46A6F">
        <w:rPr>
          <w:i/>
          <w:iCs/>
        </w:rPr>
        <w:t>“Technological advancements, changes in consumer demand and policy-induced structural change continue to ensure that Australian communications markets are dynamic and complex” with service providers “adopting new digital technologies and changing business practices to respond to consumer demands, drive productivity and compete.”</w:t>
      </w:r>
    </w:p>
    <w:p w14:paraId="2F1D7CE5" w14:textId="77777777" w:rsidR="00827FA8" w:rsidRPr="000D2F8D" w:rsidRDefault="00827FA8" w:rsidP="00F46A6F">
      <w:pPr>
        <w:pStyle w:val="BodyText"/>
        <w:ind w:left="567"/>
        <w:rPr>
          <w:b/>
          <w:bCs/>
        </w:rPr>
      </w:pPr>
      <w:r>
        <w:t xml:space="preserve">Competition is intense with consumers now able to opt for a range of </w:t>
      </w:r>
      <w:r w:rsidR="00B243EE">
        <w:t>fixed line</w:t>
      </w:r>
      <w:r w:rsidRPr="00835A7B">
        <w:t>, mobile, wireless, satellite and over-the-top services</w:t>
      </w:r>
      <w:r>
        <w:t xml:space="preserve"> such as VoIP (rather than the traditional legacy based services that </w:t>
      </w:r>
      <w:proofErr w:type="spellStart"/>
      <w:r>
        <w:t>characterised</w:t>
      </w:r>
      <w:proofErr w:type="spellEnd"/>
      <w:r>
        <w:t xml:space="preserve"> the market in 1997). Providers of legacy based services (at the retail and wholesale level) are therefore competitively constrained by an array of non-legacy services, and t</w:t>
      </w:r>
      <w:r w:rsidRPr="00835A7B">
        <w:t>he use of legacy based services has declined significantly</w:t>
      </w:r>
      <w:r>
        <w:t xml:space="preserve"> since 1997. In broadband markets, the ACCC has </w:t>
      </w:r>
      <w:proofErr w:type="spellStart"/>
      <w:r>
        <w:t>recognised</w:t>
      </w:r>
      <w:proofErr w:type="spellEnd"/>
      <w:r>
        <w:t xml:space="preserve"> that there is </w:t>
      </w:r>
      <w:r w:rsidRPr="0099504B">
        <w:t>“</w:t>
      </w:r>
      <w:r w:rsidRPr="0099504B">
        <w:rPr>
          <w:i/>
        </w:rPr>
        <w:t>vigorous competition</w:t>
      </w:r>
      <w:r w:rsidRPr="0099504B">
        <w:t>”</w:t>
      </w:r>
      <w:r>
        <w:t xml:space="preserve"> with</w:t>
      </w:r>
      <w:r w:rsidRPr="0099504B">
        <w:t xml:space="preserve"> “</w:t>
      </w:r>
      <w:r w:rsidRPr="0099504B">
        <w:rPr>
          <w:i/>
        </w:rPr>
        <w:t>competition in the fixed broadband market to intensify as the NBN is rolled out</w:t>
      </w:r>
      <w:r w:rsidRPr="0099504B">
        <w:t>”.</w:t>
      </w:r>
      <w:r>
        <w:rPr>
          <w:rStyle w:val="FootnoteReference"/>
        </w:rPr>
        <w:footnoteReference w:id="4"/>
      </w:r>
      <w:r>
        <w:t xml:space="preserve"> There is also fierce competition in mobile markets in Australia with </w:t>
      </w:r>
      <w:r w:rsidR="003E6622">
        <w:t xml:space="preserve">multiple </w:t>
      </w:r>
      <w:r>
        <w:t xml:space="preserve">mobile virtual network operators and three competitive mobile network operators who continue to make significant investments in their mobile networks across Australia. In 2015 the </w:t>
      </w:r>
      <w:r w:rsidRPr="00835A7B">
        <w:t xml:space="preserve">use of traditional fixed line services was a third of </w:t>
      </w:r>
      <w:r w:rsidR="0098417F">
        <w:t xml:space="preserve">the </w:t>
      </w:r>
      <w:r w:rsidRPr="00835A7B">
        <w:t>number of mobile pho</w:t>
      </w:r>
      <w:r>
        <w:t>ne voice services in operation</w:t>
      </w:r>
      <w:r>
        <w:rPr>
          <w:rStyle w:val="FootnoteReference"/>
        </w:rPr>
        <w:footnoteReference w:id="5"/>
      </w:r>
      <w:r w:rsidRPr="00835A7B">
        <w:t xml:space="preserve">, </w:t>
      </w:r>
      <w:r>
        <w:t xml:space="preserve">and VoIP services were </w:t>
      </w:r>
      <w:r w:rsidRPr="00835A7B">
        <w:t>accessed b</w:t>
      </w:r>
      <w:r>
        <w:t>y 4.9 million adult Australians</w:t>
      </w:r>
      <w:r>
        <w:rPr>
          <w:rStyle w:val="FootnoteReference"/>
        </w:rPr>
        <w:footnoteReference w:id="6"/>
      </w:r>
      <w:r>
        <w:t xml:space="preserve"> with m</w:t>
      </w:r>
      <w:r w:rsidRPr="00835A7B">
        <w:t>obile handsets the most common way for consumers to access the internet</w:t>
      </w:r>
      <w:r w:rsidRPr="00286FD7">
        <w:rPr>
          <w:rStyle w:val="FootnoteReference"/>
        </w:rPr>
        <w:t xml:space="preserve"> </w:t>
      </w:r>
      <w:r>
        <w:t>.</w:t>
      </w:r>
      <w:r>
        <w:rPr>
          <w:rStyle w:val="FootnoteReference"/>
        </w:rPr>
        <w:footnoteReference w:id="7"/>
      </w:r>
    </w:p>
    <w:p w14:paraId="194D3070" w14:textId="77777777" w:rsidR="00827FA8" w:rsidRDefault="00827FA8" w:rsidP="00F46A6F">
      <w:pPr>
        <w:pStyle w:val="BodyText"/>
        <w:ind w:left="567"/>
        <w:rPr>
          <w:b/>
          <w:bCs/>
        </w:rPr>
      </w:pPr>
      <w:r>
        <w:t xml:space="preserve">Any concerns around vertical integration in the telecommunications sector have now been addressed through Part XIC access regulation, the rollout of the NBN and Telstra’s </w:t>
      </w:r>
      <w:r w:rsidRPr="005F3DDC">
        <w:t xml:space="preserve">undertaking to structurally separate </w:t>
      </w:r>
      <w:r>
        <w:t xml:space="preserve">with a commitment </w:t>
      </w:r>
      <w:r w:rsidRPr="005F3DDC">
        <w:t xml:space="preserve">to </w:t>
      </w:r>
      <w:r w:rsidR="00627E24">
        <w:t xml:space="preserve">onerous </w:t>
      </w:r>
      <w:r w:rsidRPr="005F3DDC">
        <w:t xml:space="preserve">interim measures to ensure equivalence </w:t>
      </w:r>
      <w:r w:rsidRPr="00066869">
        <w:t>prior to structu</w:t>
      </w:r>
      <w:r>
        <w:t>ral separation taking effect.</w:t>
      </w:r>
      <w:r w:rsidRPr="009B32D6">
        <w:t xml:space="preserve"> </w:t>
      </w:r>
      <w:r>
        <w:t>The ACCC places significant importance on the SSU as a mechanism to address vertical integration concerns. It has stated that breaches identified to it by Telstra “</w:t>
      </w:r>
      <w:r w:rsidRPr="000B6E7D">
        <w:rPr>
          <w:i/>
        </w:rPr>
        <w:t>demonstrate both the importance of Telstra implementing the equivalence and transparency measures contained in the SSU in a robust manner, and the benefits of achieving structural reform of the telecommunications sector in order to resolve the perennial competition concerns resulting from Telstra’s vertical integration</w:t>
      </w:r>
      <w:r w:rsidRPr="000B6E7D">
        <w:t>.</w:t>
      </w:r>
      <w:r>
        <w:t>”</w:t>
      </w:r>
      <w:r>
        <w:rPr>
          <w:rStyle w:val="FootnoteReference"/>
        </w:rPr>
        <w:footnoteReference w:id="8"/>
      </w:r>
      <w:r>
        <w:t xml:space="preserve"> NBN is itself subject to wholesale-only and non-discrimination obligations.</w:t>
      </w:r>
    </w:p>
    <w:p w14:paraId="41480AF6" w14:textId="77777777" w:rsidR="00827FA8" w:rsidRDefault="00827FA8" w:rsidP="00F46A6F">
      <w:pPr>
        <w:pStyle w:val="BodyText"/>
        <w:ind w:left="567"/>
        <w:rPr>
          <w:b/>
          <w:bCs/>
        </w:rPr>
      </w:pPr>
      <w:r>
        <w:rPr>
          <w:rFonts w:cs="Times New Roman"/>
        </w:rPr>
        <w:t xml:space="preserve">The </w:t>
      </w:r>
      <w:r>
        <w:t xml:space="preserve">Department </w:t>
      </w:r>
      <w:r w:rsidR="00AE1772">
        <w:t xml:space="preserve">of Communications </w:t>
      </w:r>
      <w:r>
        <w:t>recently stated that:</w:t>
      </w:r>
      <w:r w:rsidRPr="007249B2">
        <w:rPr>
          <w:rStyle w:val="FootnoteReference"/>
        </w:rPr>
        <w:t xml:space="preserve"> </w:t>
      </w:r>
      <w:r>
        <w:rPr>
          <w:rStyle w:val="FootnoteReference"/>
        </w:rPr>
        <w:footnoteReference w:id="9"/>
      </w:r>
    </w:p>
    <w:p w14:paraId="03D943C8" w14:textId="77777777" w:rsidR="00827FA8" w:rsidRPr="00F46A6F" w:rsidRDefault="00827FA8" w:rsidP="00F46A6F">
      <w:pPr>
        <w:pStyle w:val="BodyText"/>
        <w:ind w:left="1134"/>
        <w:rPr>
          <w:b/>
          <w:bCs/>
          <w:i/>
          <w:iCs/>
        </w:rPr>
      </w:pPr>
      <w:r w:rsidRPr="00F46A6F">
        <w:rPr>
          <w:i/>
          <w:iCs/>
        </w:rPr>
        <w:t>“At a structural level the distinction between the traditional well-defined, vertically integrated segments of the telecommunications, broadcasting and online industries is breaking down. This deconstruction is being driven by the</w:t>
      </w:r>
      <w:r w:rsidRPr="00F46A6F">
        <w:rPr>
          <w:i/>
          <w:iCs/>
          <w:lang w:val="en-GB"/>
        </w:rPr>
        <w:t xml:space="preserve"> digitisation</w:t>
      </w:r>
      <w:r w:rsidRPr="00F46A6F">
        <w:rPr>
          <w:i/>
          <w:iCs/>
        </w:rPr>
        <w:t xml:space="preserve"> of content which has enabled it to be accessed over multiple platforms and devices. The heterogeneous nature of digital services and the any-to-any connectivity of communications networks is distinguishing them from more traditional networked industries, such as utilities.”</w:t>
      </w:r>
    </w:p>
    <w:p w14:paraId="4109FCEA" w14:textId="77777777" w:rsidR="00827FA8" w:rsidRDefault="00827FA8" w:rsidP="00F46A6F">
      <w:pPr>
        <w:pStyle w:val="BodyText"/>
        <w:ind w:left="567"/>
        <w:rPr>
          <w:b/>
          <w:bCs/>
        </w:rPr>
      </w:pPr>
      <w:r>
        <w:t>The telecommunications</w:t>
      </w:r>
      <w:r w:rsidRPr="00066869">
        <w:t xml:space="preserve"> industry is no longer so different from other industries t</w:t>
      </w:r>
      <w:r>
        <w:t>o justify the continuation of a more onerous</w:t>
      </w:r>
      <w:r w:rsidRPr="00066869">
        <w:t xml:space="preserve"> industry-specific competition rule and enforcement </w:t>
      </w:r>
      <w:proofErr w:type="gramStart"/>
      <w:r w:rsidRPr="00066869">
        <w:t>regime</w:t>
      </w:r>
      <w:proofErr w:type="gramEnd"/>
      <w:r w:rsidRPr="00066869">
        <w:t>.</w:t>
      </w:r>
      <w:r>
        <w:t xml:space="preserve"> With the threshold for section 46 being lowered it is imperative that the telecommunications sector only be subject to anti-competitive rules that generally apply across different sectors. To do otherwise will increase uncertainty for telecommunication providers and in turn reduce innovation and competition in this sector. This would be an unwelcome outcome for consumers.</w:t>
      </w:r>
    </w:p>
    <w:p w14:paraId="37386BC2" w14:textId="77777777" w:rsidR="00827FA8" w:rsidRPr="00FF781B" w:rsidRDefault="00827FA8" w:rsidP="00F127E0">
      <w:pPr>
        <w:pStyle w:val="Heading2"/>
      </w:pPr>
      <w:r w:rsidRPr="00FF781B">
        <w:t>There are other effective and preferred means of addressing competition concerns</w:t>
      </w:r>
    </w:p>
    <w:p w14:paraId="0A8AC7A6" w14:textId="77777777" w:rsidR="00827FA8" w:rsidRDefault="00827FA8" w:rsidP="00F46A6F">
      <w:pPr>
        <w:pStyle w:val="BodyText"/>
        <w:ind w:left="567"/>
        <w:rPr>
          <w:b/>
          <w:bCs/>
        </w:rPr>
      </w:pPr>
      <w:r>
        <w:t>The ACCC now has an armory of other powers that it can use to address competition concerns in the telecommunications market, including:</w:t>
      </w:r>
    </w:p>
    <w:p w14:paraId="0919DA70" w14:textId="77777777" w:rsidR="00827FA8" w:rsidRDefault="00827FA8" w:rsidP="00827FA8">
      <w:pPr>
        <w:pStyle w:val="ListParagraph"/>
        <w:numPr>
          <w:ilvl w:val="0"/>
          <w:numId w:val="11"/>
        </w:numPr>
        <w:tabs>
          <w:tab w:val="clear" w:pos="737"/>
          <w:tab w:val="num" w:pos="1304"/>
        </w:tabs>
        <w:ind w:left="1304"/>
        <w:rPr>
          <w:rFonts w:eastAsia="Cambria"/>
        </w:rPr>
      </w:pPr>
      <w:r w:rsidRPr="004D16C5">
        <w:rPr>
          <w:rFonts w:eastAsia="Cambria"/>
          <w:b/>
        </w:rPr>
        <w:t>Section 46</w:t>
      </w:r>
      <w:r w:rsidRPr="000B183E">
        <w:rPr>
          <w:rFonts w:eastAsia="Cambria"/>
        </w:rPr>
        <w:t>:</w:t>
      </w:r>
      <w:r>
        <w:rPr>
          <w:rFonts w:eastAsia="Cambria"/>
        </w:rPr>
        <w:t xml:space="preserve"> If the proposed amendment to section 46 are passed, the threshold test for establishing a contravention will be lower under section 46 than Part XIB as the requirement for “taking advantage” will be removed.</w:t>
      </w:r>
    </w:p>
    <w:p w14:paraId="3FDDB7D4" w14:textId="77777777" w:rsidR="00827FA8" w:rsidRDefault="00827FA8" w:rsidP="00827FA8">
      <w:pPr>
        <w:pStyle w:val="ListParagraph"/>
        <w:ind w:left="1304"/>
        <w:rPr>
          <w:rFonts w:eastAsia="Cambria"/>
        </w:rPr>
      </w:pPr>
    </w:p>
    <w:p w14:paraId="37E2223F" w14:textId="77777777" w:rsidR="00827FA8" w:rsidRPr="00306B5E" w:rsidRDefault="00827FA8" w:rsidP="00827FA8">
      <w:pPr>
        <w:pStyle w:val="ListParagraph"/>
        <w:numPr>
          <w:ilvl w:val="0"/>
          <w:numId w:val="11"/>
        </w:numPr>
        <w:tabs>
          <w:tab w:val="clear" w:pos="737"/>
          <w:tab w:val="num" w:pos="1304"/>
        </w:tabs>
        <w:ind w:left="1304"/>
        <w:rPr>
          <w:rFonts w:eastAsia="Cambria"/>
        </w:rPr>
      </w:pPr>
      <w:r w:rsidRPr="004D16C5">
        <w:rPr>
          <w:rFonts w:eastAsia="Cambria"/>
          <w:b/>
        </w:rPr>
        <w:t>Part XIC</w:t>
      </w:r>
      <w:r w:rsidRPr="000B183E">
        <w:rPr>
          <w:rFonts w:eastAsia="Cambria"/>
        </w:rPr>
        <w:t xml:space="preserve">: </w:t>
      </w:r>
      <w:r>
        <w:rPr>
          <w:rFonts w:eastAsia="Cambria"/>
        </w:rPr>
        <w:t>Under Part XIC, the ACCC can declare a service in respect of which – since 2011 – it can make an access determination setting price and non-price terms and conditions to apply to the supply of those services in the absence of agreement</w:t>
      </w:r>
      <w:r w:rsidRPr="004D16C5">
        <w:rPr>
          <w:rFonts w:eastAsia="Cambria"/>
        </w:rPr>
        <w:t xml:space="preserve"> </w:t>
      </w:r>
      <w:r>
        <w:rPr>
          <w:rFonts w:eastAsia="Cambria"/>
        </w:rPr>
        <w:t>between the parties on such terms and conditions. The ACCC also has the power to respond to urgent issues through the making of an interim access determination (</w:t>
      </w:r>
      <w:r w:rsidRPr="001A5ADA">
        <w:rPr>
          <w:rFonts w:eastAsia="Cambria"/>
          <w:b/>
        </w:rPr>
        <w:t>IAD</w:t>
      </w:r>
      <w:r>
        <w:rPr>
          <w:rFonts w:eastAsia="Cambria"/>
        </w:rPr>
        <w:t xml:space="preserve">) if an access determination has not been made for a declared service or a </w:t>
      </w:r>
      <w:r w:rsidRPr="000F1149">
        <w:rPr>
          <w:rFonts w:eastAsia="Cambria"/>
        </w:rPr>
        <w:t>BROC</w:t>
      </w:r>
      <w:r>
        <w:rPr>
          <w:rFonts w:eastAsia="Cambria"/>
        </w:rPr>
        <w:t xml:space="preserve"> which can be made quickly and apply up for 12 months in which time the ACCC could, if required, vary an access determination. The ACCC is not required</w:t>
      </w:r>
      <w:r w:rsidRPr="000B183E">
        <w:rPr>
          <w:rFonts w:eastAsia="Cambria"/>
        </w:rPr>
        <w:t xml:space="preserve"> to </w:t>
      </w:r>
      <w:r w:rsidRPr="000B183E">
        <w:rPr>
          <w:rFonts w:eastAsia="Cambria" w:cs="Calibri"/>
          <w:bCs/>
          <w:color w:val="1C1C1C"/>
          <w:szCs w:val="19"/>
        </w:rPr>
        <w:t xml:space="preserve">adhere to procedural fairness in making a BROC or </w:t>
      </w:r>
      <w:r>
        <w:rPr>
          <w:rFonts w:eastAsia="Cambria" w:cs="Calibri"/>
          <w:bCs/>
          <w:color w:val="1C1C1C"/>
          <w:szCs w:val="19"/>
        </w:rPr>
        <w:t xml:space="preserve">an </w:t>
      </w:r>
      <w:r w:rsidRPr="000B183E">
        <w:rPr>
          <w:rFonts w:eastAsia="Cambria" w:cs="Calibri"/>
          <w:bCs/>
          <w:color w:val="1C1C1C"/>
          <w:szCs w:val="19"/>
        </w:rPr>
        <w:t>interim access determination.</w:t>
      </w:r>
    </w:p>
    <w:p w14:paraId="7948A9BE" w14:textId="77777777" w:rsidR="00827FA8" w:rsidRPr="00306B5E" w:rsidRDefault="00827FA8" w:rsidP="00827FA8">
      <w:pPr>
        <w:pStyle w:val="ListParagraph"/>
        <w:rPr>
          <w:rFonts w:eastAsia="Cambria"/>
          <w:b/>
        </w:rPr>
      </w:pPr>
    </w:p>
    <w:p w14:paraId="73A4DC93" w14:textId="77777777" w:rsidR="00827FA8" w:rsidRPr="0008624D" w:rsidRDefault="00827FA8" w:rsidP="00827FA8">
      <w:pPr>
        <w:pStyle w:val="ListParagraph"/>
        <w:numPr>
          <w:ilvl w:val="0"/>
          <w:numId w:val="11"/>
        </w:numPr>
        <w:tabs>
          <w:tab w:val="clear" w:pos="737"/>
          <w:tab w:val="num" w:pos="1304"/>
        </w:tabs>
        <w:ind w:left="1304"/>
        <w:rPr>
          <w:rFonts w:eastAsia="Cambria"/>
        </w:rPr>
      </w:pPr>
      <w:r w:rsidRPr="0008624D">
        <w:rPr>
          <w:rFonts w:eastAsia="Cambria"/>
          <w:b/>
        </w:rPr>
        <w:t>S</w:t>
      </w:r>
      <w:r w:rsidR="00A81B9D">
        <w:rPr>
          <w:rFonts w:eastAsia="Cambria"/>
          <w:b/>
        </w:rPr>
        <w:t xml:space="preserve">tructural </w:t>
      </w:r>
      <w:r w:rsidRPr="0008624D">
        <w:rPr>
          <w:rFonts w:eastAsia="Cambria"/>
          <w:b/>
        </w:rPr>
        <w:t>S</w:t>
      </w:r>
      <w:r w:rsidR="00A81B9D">
        <w:rPr>
          <w:rFonts w:eastAsia="Cambria"/>
          <w:b/>
        </w:rPr>
        <w:t xml:space="preserve">eparation </w:t>
      </w:r>
      <w:r w:rsidRPr="0008624D">
        <w:rPr>
          <w:rFonts w:eastAsia="Cambria"/>
          <w:b/>
        </w:rPr>
        <w:t>U</w:t>
      </w:r>
      <w:r w:rsidR="00A81B9D">
        <w:rPr>
          <w:rFonts w:eastAsia="Cambria"/>
          <w:b/>
        </w:rPr>
        <w:t>ndertaking</w:t>
      </w:r>
      <w:r w:rsidRPr="0008624D">
        <w:rPr>
          <w:rFonts w:eastAsia="Cambria"/>
        </w:rPr>
        <w:t xml:space="preserve">: In 2010, the Government introduced legislation which created a framework for reforming the telecommunications industry by effecting structural separation of Telstra through the progressive migration of Telstra’s fixed line access services to the NBN. Telstra’s SSU, accepted by the ACCC in 2012, specifies Telstra’s commitments to promote equivalence and transparency during the transition period to the NBN. The SSU contains a number of obligations, including a broad obligation to ensure that Telstra’s retail and wholesale regulated services will be supplied to an equivalent standard service quality and operational equivalence commitments. Telstra is required to identify breaches of its obligations and how it is (or will be) remediating those breaches. The ACCC then reports to the Minister on these and whether it considers that Telstra’s remedial steps are sufficient to address any competitive detriment that may arise as a result of the breach. </w:t>
      </w:r>
      <w:r w:rsidRPr="0008624D">
        <w:rPr>
          <w:rFonts w:eastAsia="Cambria" w:cs="Calibri"/>
          <w:color w:val="1C1C1C"/>
          <w:szCs w:val="19"/>
        </w:rPr>
        <w:t xml:space="preserve">If the ACCC considers that Telstra has breached the SSU it may also apply to the Federal </w:t>
      </w:r>
      <w:r w:rsidRPr="0008624D">
        <w:rPr>
          <w:rFonts w:eastAsia="Cambria" w:cs="Calibri"/>
          <w:bCs/>
          <w:color w:val="1C1C1C"/>
          <w:szCs w:val="19"/>
        </w:rPr>
        <w:t>Court for a range of remedies.</w:t>
      </w:r>
    </w:p>
    <w:p w14:paraId="16AEEBAA" w14:textId="77777777" w:rsidR="00827FA8" w:rsidRDefault="00827FA8" w:rsidP="00827FA8">
      <w:pPr>
        <w:rPr>
          <w:b/>
        </w:rPr>
      </w:pPr>
    </w:p>
    <w:p w14:paraId="4F93A0C3" w14:textId="77777777" w:rsidR="00827FA8" w:rsidRPr="002730D2" w:rsidRDefault="00827FA8" w:rsidP="00827FA8">
      <w:pPr>
        <w:pStyle w:val="ListParagraph"/>
        <w:numPr>
          <w:ilvl w:val="0"/>
          <w:numId w:val="12"/>
        </w:numPr>
        <w:tabs>
          <w:tab w:val="clear" w:pos="737"/>
          <w:tab w:val="num" w:pos="1304"/>
        </w:tabs>
        <w:ind w:left="1304"/>
      </w:pPr>
      <w:r>
        <w:rPr>
          <w:rFonts w:eastAsia="Cambria"/>
          <w:b/>
        </w:rPr>
        <w:t>Migration Plan</w:t>
      </w:r>
      <w:r w:rsidRPr="002730D2">
        <w:rPr>
          <w:rFonts w:eastAsia="Cambria"/>
        </w:rPr>
        <w:t xml:space="preserve">: Telstra’s </w:t>
      </w:r>
      <w:r>
        <w:rPr>
          <w:rFonts w:eastAsia="Cambria"/>
        </w:rPr>
        <w:t>M</w:t>
      </w:r>
      <w:r w:rsidRPr="002730D2">
        <w:rPr>
          <w:rFonts w:eastAsia="Cambria"/>
        </w:rPr>
        <w:t xml:space="preserve">igration </w:t>
      </w:r>
      <w:r>
        <w:rPr>
          <w:rFonts w:eastAsia="Cambria"/>
        </w:rPr>
        <w:t>P</w:t>
      </w:r>
      <w:r w:rsidRPr="002730D2">
        <w:rPr>
          <w:rFonts w:eastAsia="Cambria"/>
        </w:rPr>
        <w:t xml:space="preserve">lan, accepted by the ACCC in 2012, </w:t>
      </w:r>
      <w:r>
        <w:rPr>
          <w:rFonts w:eastAsia="Cambria"/>
        </w:rPr>
        <w:t>sets out how Telstra will</w:t>
      </w:r>
      <w:r w:rsidRPr="002730D2">
        <w:rPr>
          <w:rFonts w:eastAsia="Cambria"/>
        </w:rPr>
        <w:t xml:space="preserve"> migrate its fixed line voice and broadband customers onto the NBN.</w:t>
      </w:r>
      <w:r>
        <w:rPr>
          <w:rFonts w:eastAsia="Cambria"/>
        </w:rPr>
        <w:t xml:space="preserve"> It includes a general principle that </w:t>
      </w:r>
      <w:r w:rsidRPr="00416C83">
        <w:rPr>
          <w:rFonts w:eastAsia="Cambria"/>
        </w:rPr>
        <w:t xml:space="preserve">Telstra must provide for the equivalent treatment of wholesale customers and retail business units in the implementation of the processes for disconnecting wholesale and corresponding services supplied by Telstra to itself. </w:t>
      </w:r>
      <w:r>
        <w:rPr>
          <w:rFonts w:eastAsia="Cambria"/>
        </w:rPr>
        <w:t xml:space="preserve">Telstra reports to the ACCC on its compliance with the Migration Plan </w:t>
      </w:r>
    </w:p>
    <w:p w14:paraId="6D8B4808" w14:textId="77777777" w:rsidR="00827FA8" w:rsidRPr="004D16C5" w:rsidRDefault="00827FA8" w:rsidP="00827FA8">
      <w:pPr>
        <w:pStyle w:val="ListParagraph"/>
        <w:rPr>
          <w:rFonts w:eastAsia="Cambria"/>
        </w:rPr>
      </w:pPr>
    </w:p>
    <w:p w14:paraId="13574A07" w14:textId="77777777" w:rsidR="00827FA8" w:rsidRDefault="00827FA8" w:rsidP="00F46A6F">
      <w:pPr>
        <w:pStyle w:val="BodyText"/>
        <w:ind w:left="567"/>
        <w:rPr>
          <w:b/>
          <w:bCs/>
        </w:rPr>
      </w:pPr>
      <w:r>
        <w:t>In the past ten years, the</w:t>
      </w:r>
      <w:r w:rsidRPr="005F3DDC">
        <w:t xml:space="preserve"> ACCC has demonstrated a </w:t>
      </w:r>
      <w:r>
        <w:t>preference for using</w:t>
      </w:r>
      <w:r w:rsidRPr="005F3DDC">
        <w:t xml:space="preserve"> Part XIC to </w:t>
      </w:r>
      <w:r>
        <w:t xml:space="preserve">address competition concerns.  </w:t>
      </w:r>
      <w:r w:rsidRPr="005F3DDC">
        <w:t xml:space="preserve">For example, the ACCC withdrew its last competition notice against Telstra </w:t>
      </w:r>
      <w:r>
        <w:t xml:space="preserve">in 2006 </w:t>
      </w:r>
      <w:r w:rsidRPr="005F3DDC">
        <w:t>on the basis that the relevant service</w:t>
      </w:r>
      <w:r>
        <w:t>, wholesale line rental (</w:t>
      </w:r>
      <w:r w:rsidRPr="000B6E7D">
        <w:t>WLR</w:t>
      </w:r>
      <w:r>
        <w:t>),</w:t>
      </w:r>
      <w:r w:rsidRPr="005F3DDC">
        <w:t xml:space="preserve"> had been declared</w:t>
      </w:r>
      <w:r>
        <w:t xml:space="preserve"> </w:t>
      </w:r>
      <w:r w:rsidRPr="005F3DDC">
        <w:t>under Part XIC.</w:t>
      </w:r>
      <w:r>
        <w:t xml:space="preserve"> Since 2006, the ACCC has not issued a competition notice but has declared four new services and made final access determinations (</w:t>
      </w:r>
      <w:r w:rsidRPr="000B6E7D">
        <w:t>FADs</w:t>
      </w:r>
      <w:r>
        <w:t>) for ten services and an IAD for a further service. It has also recently announced a declaration inquiry into mobile roaming. In</w:t>
      </w:r>
      <w:r w:rsidRPr="0099504B">
        <w:t xml:space="preserve"> its 2016 </w:t>
      </w:r>
      <w:r>
        <w:t>report into c</w:t>
      </w:r>
      <w:r w:rsidRPr="000D2F8D">
        <w:t xml:space="preserve">ompetition in the </w:t>
      </w:r>
      <w:r>
        <w:t>telecommunications sector, the ACCC stated that it considers access</w:t>
      </w:r>
      <w:r w:rsidRPr="00835A7B">
        <w:t xml:space="preserve"> regulation </w:t>
      </w:r>
      <w:r>
        <w:t>to be the “</w:t>
      </w:r>
      <w:r w:rsidRPr="00835A7B">
        <w:rPr>
          <w:i/>
        </w:rPr>
        <w:t>central component of promoting competition in the sector”</w:t>
      </w:r>
      <w:r w:rsidRPr="00835A7B">
        <w:t>.</w:t>
      </w:r>
      <w:r>
        <w:rPr>
          <w:rStyle w:val="FootnoteReference"/>
        </w:rPr>
        <w:footnoteReference w:id="10"/>
      </w:r>
    </w:p>
    <w:p w14:paraId="16BFB068" w14:textId="77777777" w:rsidR="00827FA8" w:rsidRDefault="00827FA8" w:rsidP="00F46A6F">
      <w:pPr>
        <w:pStyle w:val="BodyText"/>
        <w:ind w:left="567"/>
        <w:rPr>
          <w:b/>
          <w:bCs/>
        </w:rPr>
      </w:pPr>
      <w:r w:rsidRPr="00E62642">
        <w:t>The ACCC has also been active in monitoring and reporting on Telstra’s compliance</w:t>
      </w:r>
      <w:r w:rsidR="00627E24">
        <w:t xml:space="preserve"> with the SSU and MP</w:t>
      </w:r>
      <w:r w:rsidRPr="00E62642">
        <w:t xml:space="preserve">. </w:t>
      </w:r>
      <w:r>
        <w:t>As noted in section 2.1, the ACCC places significant importance on the SSU as a mechanism to address vertical integration concerns. It</w:t>
      </w:r>
      <w:r w:rsidRPr="0008624D">
        <w:t xml:space="preserve"> has stated that – compared with the previous operational separation regime – the “</w:t>
      </w:r>
      <w:r w:rsidRPr="0008624D">
        <w:rPr>
          <w:i/>
        </w:rPr>
        <w:t>SSU provides for stronger enforcement mechanisms which are particularly important for protecting competition and delivering outcomes in the interests of consumers and businesses during the rollout of the NBN</w:t>
      </w:r>
      <w:r w:rsidRPr="0008624D">
        <w:t>.”</w:t>
      </w:r>
      <w:r w:rsidRPr="0008624D">
        <w:rPr>
          <w:vertAlign w:val="superscript"/>
        </w:rPr>
        <w:footnoteReference w:id="11"/>
      </w:r>
      <w:r>
        <w:t xml:space="preserve"> </w:t>
      </w:r>
    </w:p>
    <w:p w14:paraId="52DF52A8" w14:textId="77777777" w:rsidR="00827FA8" w:rsidRDefault="00827FA8" w:rsidP="00F46A6F">
      <w:pPr>
        <w:pStyle w:val="BodyText"/>
        <w:ind w:left="567"/>
        <w:rPr>
          <w:b/>
          <w:bCs/>
        </w:rPr>
      </w:pPr>
      <w:r>
        <w:t>Table 1</w:t>
      </w:r>
      <w:r w:rsidRPr="00E62642">
        <w:t xml:space="preserve"> below </w:t>
      </w:r>
      <w:r>
        <w:t xml:space="preserve">provides an overview of the ACCC’s activities pursuant to its powers in respect of Part XIC, the SSU and competition notices in the past five years. As can be seen, the ACCC has not issued a competition notice in that period and has instead relied on Part XIC and SSU reporting obligations to address competition concerns. </w:t>
      </w:r>
      <w:r w:rsidRPr="000B6E7D">
        <w:t>In addition to its powers under</w:t>
      </w:r>
      <w:r>
        <w:t xml:space="preserve"> Part XIC and in respect of the SSU, the ACCC is able to conduct market studies into the sector and has just commenced a wide reaching study.</w:t>
      </w:r>
      <w:r w:rsidRPr="000B6E7D">
        <w:t xml:space="preserve"> </w:t>
      </w:r>
    </w:p>
    <w:p w14:paraId="5C72DECE" w14:textId="77777777" w:rsidR="00827FA8" w:rsidRDefault="00827FA8" w:rsidP="00F46A6F">
      <w:pPr>
        <w:pStyle w:val="BodyText"/>
        <w:ind w:left="567"/>
        <w:rPr>
          <w:rFonts w:asciiTheme="minorHAnsi" w:hAnsiTheme="minorHAnsi" w:cstheme="minorHAnsi"/>
          <w:color w:val="auto"/>
          <w:szCs w:val="20"/>
        </w:rPr>
      </w:pPr>
      <w:r>
        <w:t>Table 1: ACCC</w:t>
      </w:r>
      <w:r w:rsidRPr="005F3DDC">
        <w:t xml:space="preserve"> </w:t>
      </w:r>
      <w:r>
        <w:t xml:space="preserve">activity (2011 – 2015) </w:t>
      </w:r>
    </w:p>
    <w:tbl>
      <w:tblPr>
        <w:tblStyle w:val="TableGrid"/>
        <w:tblW w:w="4844" w:type="pct"/>
        <w:tblInd w:w="675" w:type="dxa"/>
        <w:tblLook w:val="04A0" w:firstRow="1" w:lastRow="0" w:firstColumn="1" w:lastColumn="0" w:noHBand="0" w:noVBand="1"/>
        <w:tblDescription w:val="Table 1: ACCC activity (2011 – 2015)"/>
      </w:tblPr>
      <w:tblGrid>
        <w:gridCol w:w="609"/>
        <w:gridCol w:w="3130"/>
        <w:gridCol w:w="2891"/>
        <w:gridCol w:w="1655"/>
      </w:tblGrid>
      <w:tr w:rsidR="00827FA8" w14:paraId="75E9BF83" w14:textId="77777777" w:rsidTr="00FF781B">
        <w:trPr>
          <w:trHeight w:val="681"/>
          <w:tblHeader/>
        </w:trPr>
        <w:tc>
          <w:tcPr>
            <w:tcW w:w="359" w:type="pct"/>
            <w:shd w:val="clear" w:color="auto" w:fill="C6D9F1" w:themeFill="text2" w:themeFillTint="33"/>
          </w:tcPr>
          <w:p w14:paraId="3DDA74A1" w14:textId="77777777" w:rsidR="00827FA8" w:rsidRPr="004E266B" w:rsidRDefault="00827FA8" w:rsidP="00FF781B">
            <w:pPr>
              <w:spacing w:before="60" w:afterLines="60" w:after="144"/>
              <w:rPr>
                <w:rFonts w:cs="Arial"/>
                <w:b/>
                <w:color w:val="auto"/>
                <w:sz w:val="18"/>
                <w:szCs w:val="20"/>
              </w:rPr>
            </w:pPr>
            <w:r>
              <w:rPr>
                <w:rFonts w:cs="Arial"/>
                <w:b/>
                <w:color w:val="auto"/>
                <w:sz w:val="18"/>
                <w:szCs w:val="20"/>
              </w:rPr>
              <w:t>Year</w:t>
            </w:r>
          </w:p>
        </w:tc>
        <w:tc>
          <w:tcPr>
            <w:tcW w:w="1892" w:type="pct"/>
            <w:shd w:val="clear" w:color="auto" w:fill="C6D9F1" w:themeFill="text2" w:themeFillTint="33"/>
          </w:tcPr>
          <w:p w14:paraId="00B91EA2" w14:textId="77777777" w:rsidR="00827FA8" w:rsidRPr="004E266B" w:rsidRDefault="00827FA8" w:rsidP="00FF781B">
            <w:pPr>
              <w:spacing w:before="60" w:afterLines="60" w:after="144"/>
              <w:rPr>
                <w:rFonts w:cs="Arial"/>
                <w:b/>
                <w:color w:val="auto"/>
                <w:sz w:val="18"/>
                <w:szCs w:val="20"/>
              </w:rPr>
            </w:pPr>
            <w:r w:rsidRPr="004E266B">
              <w:rPr>
                <w:rFonts w:cs="Arial"/>
                <w:b/>
                <w:color w:val="auto"/>
                <w:sz w:val="18"/>
                <w:szCs w:val="20"/>
              </w:rPr>
              <w:t xml:space="preserve">Part XIC </w:t>
            </w:r>
            <w:r>
              <w:rPr>
                <w:rFonts w:cs="Arial"/>
                <w:b/>
                <w:sz w:val="18"/>
              </w:rPr>
              <w:t>decisions</w:t>
            </w:r>
          </w:p>
        </w:tc>
        <w:tc>
          <w:tcPr>
            <w:tcW w:w="1748" w:type="pct"/>
            <w:shd w:val="clear" w:color="auto" w:fill="C6D9F1" w:themeFill="text2" w:themeFillTint="33"/>
          </w:tcPr>
          <w:p w14:paraId="58D8CDAB" w14:textId="77777777" w:rsidR="00827FA8" w:rsidRPr="004E266B" w:rsidRDefault="00827FA8" w:rsidP="00FF781B">
            <w:pPr>
              <w:spacing w:before="60" w:afterLines="60" w:after="144"/>
              <w:rPr>
                <w:rFonts w:cs="Arial"/>
                <w:b/>
                <w:color w:val="auto"/>
                <w:sz w:val="18"/>
                <w:szCs w:val="20"/>
              </w:rPr>
            </w:pPr>
            <w:r>
              <w:rPr>
                <w:rFonts w:cs="Arial"/>
                <w:b/>
                <w:color w:val="auto"/>
                <w:sz w:val="18"/>
                <w:szCs w:val="20"/>
              </w:rPr>
              <w:t>SSU and MP breaches and remedies</w:t>
            </w:r>
          </w:p>
        </w:tc>
        <w:tc>
          <w:tcPr>
            <w:tcW w:w="1001" w:type="pct"/>
            <w:shd w:val="clear" w:color="auto" w:fill="C6D9F1" w:themeFill="text2" w:themeFillTint="33"/>
          </w:tcPr>
          <w:p w14:paraId="10570865" w14:textId="77777777" w:rsidR="00827FA8" w:rsidRPr="004E266B" w:rsidRDefault="00827FA8" w:rsidP="00FF781B">
            <w:pPr>
              <w:spacing w:before="60" w:afterLines="60" w:after="144"/>
              <w:rPr>
                <w:rFonts w:cs="Arial"/>
                <w:b/>
                <w:color w:val="auto"/>
                <w:sz w:val="18"/>
                <w:szCs w:val="20"/>
              </w:rPr>
            </w:pPr>
            <w:r w:rsidRPr="004E266B">
              <w:rPr>
                <w:rFonts w:cs="Arial"/>
                <w:b/>
                <w:color w:val="auto"/>
                <w:sz w:val="18"/>
                <w:szCs w:val="20"/>
              </w:rPr>
              <w:t>Competition Notices</w:t>
            </w:r>
            <w:r>
              <w:rPr>
                <w:rFonts w:cs="Arial"/>
                <w:b/>
                <w:color w:val="auto"/>
                <w:sz w:val="18"/>
                <w:szCs w:val="20"/>
              </w:rPr>
              <w:t xml:space="preserve"> issued</w:t>
            </w:r>
          </w:p>
        </w:tc>
      </w:tr>
      <w:tr w:rsidR="00827FA8" w14:paraId="2E82E102" w14:textId="77777777" w:rsidTr="00FF781B">
        <w:tc>
          <w:tcPr>
            <w:tcW w:w="359" w:type="pct"/>
          </w:tcPr>
          <w:p w14:paraId="236506F8" w14:textId="77777777" w:rsidR="00827FA8" w:rsidRPr="004E266B" w:rsidRDefault="00827FA8" w:rsidP="00FF781B">
            <w:pPr>
              <w:spacing w:before="60" w:afterLines="60" w:after="144"/>
              <w:rPr>
                <w:rFonts w:cs="Arial"/>
                <w:color w:val="auto"/>
                <w:sz w:val="18"/>
                <w:szCs w:val="20"/>
              </w:rPr>
            </w:pPr>
            <w:r w:rsidRPr="004E266B">
              <w:rPr>
                <w:rFonts w:cs="Arial"/>
                <w:color w:val="auto"/>
                <w:sz w:val="18"/>
                <w:szCs w:val="20"/>
              </w:rPr>
              <w:t>2011</w:t>
            </w:r>
          </w:p>
        </w:tc>
        <w:tc>
          <w:tcPr>
            <w:tcW w:w="1892" w:type="pct"/>
          </w:tcPr>
          <w:p w14:paraId="75C90DAA"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Fixed line services</w:t>
            </w:r>
            <w:r>
              <w:rPr>
                <w:rStyle w:val="FootnoteReference"/>
                <w:sz w:val="18"/>
              </w:rPr>
              <w:footnoteReference w:id="12"/>
            </w:r>
            <w:r>
              <w:rPr>
                <w:sz w:val="18"/>
              </w:rPr>
              <w:t xml:space="preserve"> FAD </w:t>
            </w:r>
          </w:p>
          <w:p w14:paraId="3D1E2E17"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sidRPr="00CC55A2">
              <w:rPr>
                <w:sz w:val="18"/>
              </w:rPr>
              <w:t>Mobile Terminating Access Service (</w:t>
            </w:r>
            <w:r w:rsidRPr="00CC55A2">
              <w:rPr>
                <w:b/>
                <w:sz w:val="18"/>
              </w:rPr>
              <w:t>MTAS</w:t>
            </w:r>
            <w:r w:rsidRPr="00CC55A2">
              <w:rPr>
                <w:sz w:val="18"/>
              </w:rPr>
              <w:t xml:space="preserve">) </w:t>
            </w:r>
            <w:r>
              <w:rPr>
                <w:sz w:val="18"/>
              </w:rPr>
              <w:t>FAD</w:t>
            </w:r>
          </w:p>
        </w:tc>
        <w:tc>
          <w:tcPr>
            <w:tcW w:w="1748" w:type="pct"/>
          </w:tcPr>
          <w:p w14:paraId="49DB0198" w14:textId="77777777" w:rsidR="00827FA8" w:rsidRPr="004E266B" w:rsidRDefault="00827FA8" w:rsidP="00FF781B">
            <w:pPr>
              <w:spacing w:before="60" w:afterLines="60" w:after="144"/>
              <w:rPr>
                <w:rFonts w:cs="Arial"/>
                <w:color w:val="auto"/>
                <w:sz w:val="18"/>
                <w:szCs w:val="20"/>
              </w:rPr>
            </w:pPr>
            <w:r>
              <w:rPr>
                <w:rFonts w:cs="Arial"/>
                <w:color w:val="auto"/>
                <w:sz w:val="18"/>
                <w:szCs w:val="20"/>
              </w:rPr>
              <w:t>n/a</w:t>
            </w:r>
          </w:p>
        </w:tc>
        <w:tc>
          <w:tcPr>
            <w:tcW w:w="1001" w:type="pct"/>
          </w:tcPr>
          <w:p w14:paraId="71D90ADE" w14:textId="77777777" w:rsidR="00827FA8" w:rsidRPr="004E266B" w:rsidRDefault="00827FA8" w:rsidP="00FF781B">
            <w:pPr>
              <w:spacing w:before="60" w:afterLines="60" w:after="144"/>
              <w:rPr>
                <w:rFonts w:cs="Arial"/>
                <w:sz w:val="18"/>
              </w:rPr>
            </w:pPr>
            <w:r w:rsidRPr="004E266B">
              <w:rPr>
                <w:rFonts w:cs="Arial"/>
                <w:color w:val="auto"/>
                <w:sz w:val="18"/>
                <w:szCs w:val="20"/>
              </w:rPr>
              <w:t>0</w:t>
            </w:r>
          </w:p>
        </w:tc>
      </w:tr>
      <w:tr w:rsidR="00827FA8" w14:paraId="1C909685" w14:textId="77777777" w:rsidTr="00FF781B">
        <w:tc>
          <w:tcPr>
            <w:tcW w:w="359" w:type="pct"/>
          </w:tcPr>
          <w:p w14:paraId="6DFED507" w14:textId="77777777" w:rsidR="00827FA8" w:rsidRPr="004E266B" w:rsidRDefault="00827FA8" w:rsidP="00FF781B">
            <w:pPr>
              <w:spacing w:before="60" w:afterLines="60" w:after="144"/>
              <w:rPr>
                <w:rFonts w:cs="Arial"/>
                <w:color w:val="auto"/>
                <w:sz w:val="18"/>
                <w:szCs w:val="20"/>
              </w:rPr>
            </w:pPr>
            <w:r w:rsidRPr="004E266B">
              <w:rPr>
                <w:rFonts w:cs="Arial"/>
                <w:color w:val="auto"/>
                <w:sz w:val="18"/>
                <w:szCs w:val="20"/>
              </w:rPr>
              <w:t>2012</w:t>
            </w:r>
          </w:p>
        </w:tc>
        <w:tc>
          <w:tcPr>
            <w:tcW w:w="1892" w:type="pct"/>
          </w:tcPr>
          <w:p w14:paraId="643F5C6F"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Domestic Transmission Capacity Service (</w:t>
            </w:r>
            <w:r w:rsidRPr="00CC55A2">
              <w:rPr>
                <w:b/>
                <w:sz w:val="18"/>
              </w:rPr>
              <w:t>DTCS</w:t>
            </w:r>
            <w:r>
              <w:rPr>
                <w:sz w:val="18"/>
              </w:rPr>
              <w:t>) FAD</w:t>
            </w:r>
          </w:p>
          <w:p w14:paraId="6DCA07EE"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W</w:t>
            </w:r>
            <w:r w:rsidRPr="004E266B">
              <w:rPr>
                <w:sz w:val="18"/>
              </w:rPr>
              <w:t>DSL declared</w:t>
            </w:r>
          </w:p>
          <w:p w14:paraId="7A9F2E18"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Local</w:t>
            </w:r>
            <w:r w:rsidRPr="004E266B">
              <w:rPr>
                <w:sz w:val="18"/>
              </w:rPr>
              <w:t xml:space="preserve"> </w:t>
            </w:r>
            <w:proofErr w:type="spellStart"/>
            <w:r w:rsidRPr="004E266B">
              <w:rPr>
                <w:sz w:val="18"/>
              </w:rPr>
              <w:t>Bitstream</w:t>
            </w:r>
            <w:proofErr w:type="spellEnd"/>
            <w:r w:rsidRPr="004E266B">
              <w:rPr>
                <w:sz w:val="18"/>
              </w:rPr>
              <w:t xml:space="preserve"> Access Service </w:t>
            </w:r>
            <w:r>
              <w:rPr>
                <w:sz w:val="18"/>
              </w:rPr>
              <w:t>(</w:t>
            </w:r>
            <w:r w:rsidRPr="00CC55A2">
              <w:rPr>
                <w:b/>
                <w:sz w:val="18"/>
              </w:rPr>
              <w:t>LBAS</w:t>
            </w:r>
            <w:r>
              <w:rPr>
                <w:sz w:val="18"/>
              </w:rPr>
              <w:t xml:space="preserve">) </w:t>
            </w:r>
            <w:r w:rsidRPr="004E266B">
              <w:rPr>
                <w:sz w:val="18"/>
              </w:rPr>
              <w:t xml:space="preserve">declared </w:t>
            </w:r>
          </w:p>
          <w:p w14:paraId="47B839A4"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 xml:space="preserve">LBAS </w:t>
            </w:r>
            <w:r w:rsidRPr="004E266B">
              <w:rPr>
                <w:sz w:val="18"/>
              </w:rPr>
              <w:t>FAD</w:t>
            </w:r>
          </w:p>
        </w:tc>
        <w:tc>
          <w:tcPr>
            <w:tcW w:w="1748" w:type="pct"/>
          </w:tcPr>
          <w:p w14:paraId="01882A37" w14:textId="77777777" w:rsidR="00827FA8" w:rsidRPr="004E266B" w:rsidRDefault="00827FA8" w:rsidP="00FF781B">
            <w:pPr>
              <w:spacing w:before="60" w:afterLines="60" w:after="144"/>
              <w:rPr>
                <w:rFonts w:cs="Arial"/>
                <w:color w:val="auto"/>
                <w:sz w:val="18"/>
                <w:szCs w:val="20"/>
              </w:rPr>
            </w:pPr>
            <w:r>
              <w:rPr>
                <w:rFonts w:cs="Arial"/>
                <w:color w:val="auto"/>
                <w:sz w:val="18"/>
                <w:szCs w:val="20"/>
              </w:rPr>
              <w:t>n/a</w:t>
            </w:r>
          </w:p>
        </w:tc>
        <w:tc>
          <w:tcPr>
            <w:tcW w:w="1001" w:type="pct"/>
          </w:tcPr>
          <w:p w14:paraId="5FC82717" w14:textId="77777777" w:rsidR="00827FA8" w:rsidRPr="004E266B" w:rsidRDefault="00827FA8" w:rsidP="00FF781B">
            <w:pPr>
              <w:spacing w:before="60" w:afterLines="60" w:after="144"/>
              <w:rPr>
                <w:rFonts w:cs="Arial"/>
                <w:sz w:val="18"/>
              </w:rPr>
            </w:pPr>
            <w:r w:rsidRPr="004E266B">
              <w:rPr>
                <w:rFonts w:cs="Arial"/>
                <w:color w:val="auto"/>
                <w:sz w:val="18"/>
                <w:szCs w:val="20"/>
              </w:rPr>
              <w:t>0</w:t>
            </w:r>
          </w:p>
        </w:tc>
      </w:tr>
      <w:tr w:rsidR="00827FA8" w14:paraId="58C10960" w14:textId="77777777" w:rsidTr="00FF781B">
        <w:tc>
          <w:tcPr>
            <w:tcW w:w="359" w:type="pct"/>
          </w:tcPr>
          <w:p w14:paraId="71EB203D" w14:textId="77777777" w:rsidR="00827FA8" w:rsidRPr="004E266B" w:rsidRDefault="00827FA8" w:rsidP="00FF781B">
            <w:pPr>
              <w:spacing w:before="60" w:afterLines="60" w:after="144"/>
              <w:rPr>
                <w:rFonts w:cs="Arial"/>
                <w:color w:val="auto"/>
                <w:sz w:val="18"/>
                <w:szCs w:val="20"/>
              </w:rPr>
            </w:pPr>
            <w:r w:rsidRPr="004E266B">
              <w:rPr>
                <w:rFonts w:cs="Arial"/>
                <w:color w:val="auto"/>
                <w:sz w:val="18"/>
                <w:szCs w:val="20"/>
              </w:rPr>
              <w:t>2013</w:t>
            </w:r>
          </w:p>
        </w:tc>
        <w:tc>
          <w:tcPr>
            <w:tcW w:w="1892" w:type="pct"/>
          </w:tcPr>
          <w:p w14:paraId="6440BFA4"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W</w:t>
            </w:r>
            <w:r w:rsidRPr="004E266B">
              <w:rPr>
                <w:sz w:val="18"/>
              </w:rPr>
              <w:t>DSL FAD</w:t>
            </w:r>
          </w:p>
          <w:p w14:paraId="2304DD9B"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sidRPr="004E266B">
              <w:rPr>
                <w:sz w:val="18"/>
              </w:rPr>
              <w:t>NBN special access undertaking accepted</w:t>
            </w:r>
          </w:p>
        </w:tc>
        <w:tc>
          <w:tcPr>
            <w:tcW w:w="1748" w:type="pct"/>
          </w:tcPr>
          <w:p w14:paraId="0CB653C9" w14:textId="77777777" w:rsidR="00827FA8" w:rsidRPr="002730D2"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 xml:space="preserve">Telstra identified breaches of its SSU obligations, which it had taken steps (or was taking steps) to remediate. </w:t>
            </w:r>
            <w:r w:rsidRPr="00835F26">
              <w:rPr>
                <w:sz w:val="18"/>
              </w:rPr>
              <w:t xml:space="preserve">The ACCC accepted Telstra’s remedial actions in its Annual Compliance Report to </w:t>
            </w:r>
            <w:r>
              <w:rPr>
                <w:sz w:val="18"/>
              </w:rPr>
              <w:t xml:space="preserve">the Minister </w:t>
            </w:r>
            <w:r w:rsidRPr="00835F26">
              <w:rPr>
                <w:sz w:val="18"/>
              </w:rPr>
              <w:t>(</w:t>
            </w:r>
            <w:r>
              <w:rPr>
                <w:sz w:val="18"/>
              </w:rPr>
              <w:t>2012-2013</w:t>
            </w:r>
            <w:r w:rsidRPr="00835F26">
              <w:rPr>
                <w:sz w:val="18"/>
              </w:rPr>
              <w:t>).</w:t>
            </w:r>
          </w:p>
        </w:tc>
        <w:tc>
          <w:tcPr>
            <w:tcW w:w="1001" w:type="pct"/>
          </w:tcPr>
          <w:p w14:paraId="49B8FCA4" w14:textId="77777777" w:rsidR="00827FA8" w:rsidRPr="004E266B" w:rsidRDefault="00827FA8" w:rsidP="00FF781B">
            <w:pPr>
              <w:spacing w:before="60" w:afterLines="60" w:after="144"/>
              <w:rPr>
                <w:rFonts w:cs="Arial"/>
                <w:sz w:val="18"/>
              </w:rPr>
            </w:pPr>
            <w:r w:rsidRPr="004E266B">
              <w:rPr>
                <w:rFonts w:cs="Arial"/>
                <w:color w:val="auto"/>
                <w:sz w:val="18"/>
                <w:szCs w:val="20"/>
              </w:rPr>
              <w:t>0</w:t>
            </w:r>
          </w:p>
        </w:tc>
      </w:tr>
      <w:tr w:rsidR="00827FA8" w14:paraId="5F1449C2" w14:textId="77777777" w:rsidTr="00FF781B">
        <w:tc>
          <w:tcPr>
            <w:tcW w:w="359" w:type="pct"/>
          </w:tcPr>
          <w:p w14:paraId="00919400" w14:textId="77777777" w:rsidR="00827FA8" w:rsidRPr="004E266B" w:rsidRDefault="00827FA8" w:rsidP="00FF781B">
            <w:pPr>
              <w:spacing w:before="60" w:afterLines="60" w:after="144"/>
              <w:rPr>
                <w:rFonts w:cs="Arial"/>
                <w:color w:val="auto"/>
                <w:sz w:val="18"/>
                <w:szCs w:val="20"/>
              </w:rPr>
            </w:pPr>
            <w:r w:rsidRPr="004E266B">
              <w:rPr>
                <w:rFonts w:cs="Arial"/>
                <w:color w:val="auto"/>
                <w:sz w:val="18"/>
                <w:szCs w:val="20"/>
              </w:rPr>
              <w:t>2014</w:t>
            </w:r>
          </w:p>
        </w:tc>
        <w:tc>
          <w:tcPr>
            <w:tcW w:w="1892" w:type="pct"/>
          </w:tcPr>
          <w:p w14:paraId="6BE77B98"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Fixed line services re-declared (excluding WDSL)</w:t>
            </w:r>
          </w:p>
          <w:p w14:paraId="2A7D6DE2"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 xml:space="preserve">DTCS re-declared </w:t>
            </w:r>
          </w:p>
          <w:p w14:paraId="28ED3944"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sidRPr="00DC7842">
              <w:rPr>
                <w:sz w:val="18"/>
              </w:rPr>
              <w:t>MTAS</w:t>
            </w:r>
            <w:r w:rsidRPr="00CC55A2">
              <w:rPr>
                <w:sz w:val="18"/>
              </w:rPr>
              <w:t xml:space="preserve"> </w:t>
            </w:r>
            <w:r>
              <w:rPr>
                <w:sz w:val="18"/>
              </w:rPr>
              <w:t xml:space="preserve">re-declared </w:t>
            </w:r>
          </w:p>
          <w:p w14:paraId="2FBAA817"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 xml:space="preserve">WDSL re-declared </w:t>
            </w:r>
          </w:p>
          <w:p w14:paraId="26CF51A6" w14:textId="77777777" w:rsidR="00827FA8" w:rsidRPr="00CC55A2" w:rsidRDefault="00827FA8" w:rsidP="00FF781B">
            <w:pPr>
              <w:pStyle w:val="ListParagraph"/>
              <w:numPr>
                <w:ilvl w:val="0"/>
                <w:numId w:val="9"/>
              </w:numPr>
              <w:tabs>
                <w:tab w:val="clear" w:pos="737"/>
                <w:tab w:val="num" w:pos="175"/>
              </w:tabs>
              <w:spacing w:before="60" w:afterLines="60" w:after="144"/>
              <w:ind w:left="175" w:hanging="175"/>
              <w:rPr>
                <w:sz w:val="18"/>
              </w:rPr>
            </w:pPr>
            <w:r w:rsidRPr="004E266B">
              <w:rPr>
                <w:sz w:val="18"/>
              </w:rPr>
              <w:t xml:space="preserve">CBD exemptions removed for </w:t>
            </w:r>
            <w:r>
              <w:rPr>
                <w:sz w:val="18"/>
              </w:rPr>
              <w:t>WLR and LCS</w:t>
            </w:r>
            <w:r w:rsidRPr="004E266B">
              <w:rPr>
                <w:sz w:val="18"/>
              </w:rPr>
              <w:t xml:space="preserve"> </w:t>
            </w:r>
          </w:p>
        </w:tc>
        <w:tc>
          <w:tcPr>
            <w:tcW w:w="1748" w:type="pct"/>
          </w:tcPr>
          <w:p w14:paraId="7A7C183B" w14:textId="77777777" w:rsidR="00827FA8" w:rsidRPr="00835F26"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 xml:space="preserve">Telstra identified breaches of its SSU obligations, which it had taken steps (or was taking steps) to remediate. </w:t>
            </w:r>
            <w:r w:rsidRPr="00835F26">
              <w:rPr>
                <w:sz w:val="18"/>
              </w:rPr>
              <w:t>The ACCC accepted Telstra’s remedial actions in its Annual Compliance Report to</w:t>
            </w:r>
            <w:r>
              <w:rPr>
                <w:sz w:val="18"/>
              </w:rPr>
              <w:t xml:space="preserve"> the Minister </w:t>
            </w:r>
            <w:r w:rsidRPr="00835F26">
              <w:rPr>
                <w:sz w:val="18"/>
              </w:rPr>
              <w:t>(</w:t>
            </w:r>
            <w:r>
              <w:rPr>
                <w:sz w:val="18"/>
              </w:rPr>
              <w:t>2013-2014</w:t>
            </w:r>
            <w:r w:rsidRPr="00835F26">
              <w:rPr>
                <w:sz w:val="18"/>
              </w:rPr>
              <w:t>).</w:t>
            </w:r>
          </w:p>
        </w:tc>
        <w:tc>
          <w:tcPr>
            <w:tcW w:w="1001" w:type="pct"/>
          </w:tcPr>
          <w:p w14:paraId="05BA81DA" w14:textId="77777777" w:rsidR="00827FA8" w:rsidRPr="004E266B" w:rsidRDefault="00827FA8" w:rsidP="00FF781B">
            <w:pPr>
              <w:spacing w:before="60" w:afterLines="60" w:after="144"/>
              <w:rPr>
                <w:rFonts w:cs="Arial"/>
                <w:sz w:val="18"/>
              </w:rPr>
            </w:pPr>
            <w:r w:rsidRPr="004E266B">
              <w:rPr>
                <w:rFonts w:cs="Arial"/>
                <w:color w:val="auto"/>
                <w:sz w:val="18"/>
                <w:szCs w:val="20"/>
              </w:rPr>
              <w:t>0</w:t>
            </w:r>
          </w:p>
        </w:tc>
      </w:tr>
      <w:tr w:rsidR="00827FA8" w14:paraId="6686240E" w14:textId="77777777" w:rsidTr="00FF781B">
        <w:tc>
          <w:tcPr>
            <w:tcW w:w="359" w:type="pct"/>
          </w:tcPr>
          <w:p w14:paraId="285E6ED8" w14:textId="77777777" w:rsidR="00827FA8" w:rsidRPr="004E266B" w:rsidRDefault="00827FA8" w:rsidP="00FF781B">
            <w:pPr>
              <w:spacing w:before="60" w:afterLines="60" w:after="144"/>
              <w:rPr>
                <w:rFonts w:cs="Arial"/>
                <w:color w:val="auto"/>
                <w:sz w:val="18"/>
                <w:szCs w:val="20"/>
              </w:rPr>
            </w:pPr>
            <w:r w:rsidRPr="004E266B">
              <w:rPr>
                <w:rFonts w:cs="Arial"/>
                <w:color w:val="auto"/>
                <w:sz w:val="18"/>
                <w:szCs w:val="20"/>
              </w:rPr>
              <w:t>2015</w:t>
            </w:r>
          </w:p>
        </w:tc>
        <w:tc>
          <w:tcPr>
            <w:tcW w:w="1892" w:type="pct"/>
          </w:tcPr>
          <w:p w14:paraId="49CF265D"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 xml:space="preserve">New Fixed line services FAD </w:t>
            </w:r>
          </w:p>
          <w:p w14:paraId="2AFFAC15"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New DTCS FAD</w:t>
            </w:r>
          </w:p>
          <w:p w14:paraId="2D79637E" w14:textId="77777777" w:rsidR="00827FA8" w:rsidRPr="00CC55A2"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New MTAS FAD</w:t>
            </w:r>
            <w:r w:rsidRPr="004E266B">
              <w:rPr>
                <w:sz w:val="18"/>
              </w:rPr>
              <w:t xml:space="preserve"> </w:t>
            </w:r>
          </w:p>
        </w:tc>
        <w:tc>
          <w:tcPr>
            <w:tcW w:w="1748" w:type="pct"/>
          </w:tcPr>
          <w:p w14:paraId="24EAA5A7" w14:textId="77777777" w:rsidR="00827FA8" w:rsidRPr="00835F26"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 xml:space="preserve">Telstra identified breaches of its SSU obligations, which it had taken steps (or was taking steps) to remediate. </w:t>
            </w:r>
            <w:r w:rsidRPr="00835F26">
              <w:rPr>
                <w:sz w:val="18"/>
              </w:rPr>
              <w:t xml:space="preserve">The ACCC accepted Telstra’s remedial actions in its Annual Compliance Report to </w:t>
            </w:r>
            <w:r>
              <w:rPr>
                <w:sz w:val="18"/>
              </w:rPr>
              <w:t xml:space="preserve">the </w:t>
            </w:r>
            <w:r w:rsidRPr="00835F26">
              <w:rPr>
                <w:sz w:val="18"/>
              </w:rPr>
              <w:t>Minister (2014-2015).</w:t>
            </w:r>
          </w:p>
        </w:tc>
        <w:tc>
          <w:tcPr>
            <w:tcW w:w="1001" w:type="pct"/>
          </w:tcPr>
          <w:p w14:paraId="58E1B914" w14:textId="77777777" w:rsidR="00827FA8" w:rsidRPr="004E266B" w:rsidRDefault="00827FA8" w:rsidP="00FF781B">
            <w:pPr>
              <w:spacing w:before="60" w:afterLines="60" w:after="144"/>
              <w:rPr>
                <w:rFonts w:cs="Arial"/>
                <w:sz w:val="18"/>
              </w:rPr>
            </w:pPr>
            <w:r w:rsidRPr="004E266B">
              <w:rPr>
                <w:rFonts w:cs="Arial"/>
                <w:color w:val="auto"/>
                <w:sz w:val="18"/>
                <w:szCs w:val="20"/>
              </w:rPr>
              <w:t>0</w:t>
            </w:r>
          </w:p>
        </w:tc>
      </w:tr>
      <w:tr w:rsidR="00827FA8" w14:paraId="33CF93B6" w14:textId="77777777" w:rsidTr="00FF781B">
        <w:tc>
          <w:tcPr>
            <w:tcW w:w="359" w:type="pct"/>
          </w:tcPr>
          <w:p w14:paraId="43222D97" w14:textId="77777777" w:rsidR="00827FA8" w:rsidRPr="004E266B" w:rsidRDefault="00827FA8" w:rsidP="00FF781B">
            <w:pPr>
              <w:spacing w:before="60" w:afterLines="60" w:after="144"/>
              <w:rPr>
                <w:rFonts w:cs="Arial"/>
                <w:color w:val="auto"/>
                <w:sz w:val="18"/>
                <w:szCs w:val="20"/>
              </w:rPr>
            </w:pPr>
            <w:r w:rsidRPr="004E266B">
              <w:rPr>
                <w:rFonts w:cs="Arial"/>
                <w:color w:val="auto"/>
                <w:sz w:val="18"/>
                <w:szCs w:val="20"/>
              </w:rPr>
              <w:t>2016</w:t>
            </w:r>
          </w:p>
        </w:tc>
        <w:tc>
          <w:tcPr>
            <w:tcW w:w="1892" w:type="pct"/>
          </w:tcPr>
          <w:p w14:paraId="113BC10A"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New DTCS</w:t>
            </w:r>
            <w:r w:rsidRPr="004E266B">
              <w:rPr>
                <w:sz w:val="18"/>
              </w:rPr>
              <w:t xml:space="preserve"> FAD </w:t>
            </w:r>
          </w:p>
          <w:p w14:paraId="3C69658A"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sidRPr="004E266B">
              <w:rPr>
                <w:sz w:val="18"/>
              </w:rPr>
              <w:t xml:space="preserve">Superfast Broadband Access Service </w:t>
            </w:r>
            <w:r>
              <w:rPr>
                <w:sz w:val="18"/>
              </w:rPr>
              <w:t>(</w:t>
            </w:r>
            <w:r w:rsidRPr="00CC55A2">
              <w:rPr>
                <w:b/>
                <w:sz w:val="18"/>
              </w:rPr>
              <w:t>SBAS</w:t>
            </w:r>
            <w:r>
              <w:rPr>
                <w:sz w:val="18"/>
              </w:rPr>
              <w:t xml:space="preserve">) </w:t>
            </w:r>
            <w:r w:rsidRPr="004E266B">
              <w:rPr>
                <w:sz w:val="18"/>
              </w:rPr>
              <w:t>declared</w:t>
            </w:r>
          </w:p>
          <w:p w14:paraId="32692EDC" w14:textId="77777777" w:rsidR="00827FA8"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SBAS</w:t>
            </w:r>
            <w:r w:rsidRPr="004E266B">
              <w:rPr>
                <w:sz w:val="18"/>
              </w:rPr>
              <w:t xml:space="preserve"> interim access determination</w:t>
            </w:r>
          </w:p>
          <w:p w14:paraId="08376B97"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LBAS re-declared</w:t>
            </w:r>
          </w:p>
          <w:p w14:paraId="51274623"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ACCC inquiry into WDSL re-declaration commences</w:t>
            </w:r>
          </w:p>
          <w:p w14:paraId="6ABA9516" w14:textId="77777777" w:rsidR="00827FA8" w:rsidRPr="00637873" w:rsidRDefault="00827FA8" w:rsidP="00FF781B">
            <w:pPr>
              <w:pStyle w:val="ListParagraph"/>
              <w:numPr>
                <w:ilvl w:val="0"/>
                <w:numId w:val="9"/>
              </w:numPr>
              <w:tabs>
                <w:tab w:val="clear" w:pos="737"/>
                <w:tab w:val="num" w:pos="175"/>
              </w:tabs>
              <w:spacing w:before="60" w:afterLines="60" w:after="144"/>
              <w:ind w:left="175" w:hanging="175"/>
              <w:rPr>
                <w:sz w:val="18"/>
              </w:rPr>
            </w:pPr>
            <w:r w:rsidRPr="004E266B">
              <w:rPr>
                <w:sz w:val="18"/>
              </w:rPr>
              <w:t>ACCC announces declaration inquiry into mobile roaming</w:t>
            </w:r>
          </w:p>
        </w:tc>
        <w:tc>
          <w:tcPr>
            <w:tcW w:w="1748" w:type="pct"/>
          </w:tcPr>
          <w:p w14:paraId="12F66E2C" w14:textId="77777777" w:rsidR="00827FA8" w:rsidRPr="004E266B" w:rsidRDefault="00827FA8" w:rsidP="00FF781B">
            <w:pPr>
              <w:pStyle w:val="ListParagraph"/>
              <w:numPr>
                <w:ilvl w:val="0"/>
                <w:numId w:val="9"/>
              </w:numPr>
              <w:tabs>
                <w:tab w:val="clear" w:pos="737"/>
                <w:tab w:val="num" w:pos="175"/>
              </w:tabs>
              <w:spacing w:before="60" w:afterLines="60" w:after="144"/>
              <w:ind w:left="175" w:hanging="175"/>
              <w:rPr>
                <w:sz w:val="18"/>
              </w:rPr>
            </w:pPr>
            <w:r>
              <w:rPr>
                <w:sz w:val="18"/>
              </w:rPr>
              <w:t>To be published.</w:t>
            </w:r>
          </w:p>
        </w:tc>
        <w:tc>
          <w:tcPr>
            <w:tcW w:w="1001" w:type="pct"/>
          </w:tcPr>
          <w:p w14:paraId="12ED4728" w14:textId="77777777" w:rsidR="00827FA8" w:rsidRPr="004E266B" w:rsidRDefault="00827FA8" w:rsidP="00FF781B">
            <w:pPr>
              <w:spacing w:before="60" w:afterLines="60" w:after="144"/>
              <w:rPr>
                <w:rFonts w:cs="Arial"/>
                <w:sz w:val="18"/>
              </w:rPr>
            </w:pPr>
            <w:r w:rsidRPr="004E266B">
              <w:rPr>
                <w:rFonts w:cs="Arial"/>
                <w:color w:val="auto"/>
                <w:sz w:val="18"/>
                <w:szCs w:val="20"/>
              </w:rPr>
              <w:t>0</w:t>
            </w:r>
          </w:p>
        </w:tc>
      </w:tr>
    </w:tbl>
    <w:p w14:paraId="3D628037" w14:textId="77777777" w:rsidR="00827FA8" w:rsidRDefault="00827FA8" w:rsidP="00827FA8">
      <w:pPr>
        <w:pStyle w:val="Heading2"/>
        <w:widowControl w:val="0"/>
        <w:numPr>
          <w:ilvl w:val="0"/>
          <w:numId w:val="0"/>
        </w:numPr>
        <w:ind w:left="567"/>
        <w:rPr>
          <w:sz w:val="20"/>
        </w:rPr>
      </w:pPr>
    </w:p>
    <w:p w14:paraId="06DD8252" w14:textId="77777777" w:rsidR="00827FA8" w:rsidRPr="00F127E0" w:rsidRDefault="00827FA8" w:rsidP="00F127E0">
      <w:pPr>
        <w:pStyle w:val="Heading2"/>
        <w:widowControl w:val="0"/>
        <w:rPr>
          <w:sz w:val="20"/>
        </w:rPr>
      </w:pPr>
      <w:r w:rsidRPr="00F127E0">
        <w:rPr>
          <w:rFonts w:hint="eastAsia"/>
          <w:sz w:val="20"/>
        </w:rPr>
        <w:t>NBN Co is subject to wholesale only and non-discrimination obligations</w:t>
      </w:r>
    </w:p>
    <w:p w14:paraId="7ADD2A13" w14:textId="77777777" w:rsidR="00827FA8" w:rsidRDefault="00827FA8" w:rsidP="00F46A6F">
      <w:pPr>
        <w:pStyle w:val="BodyText"/>
        <w:ind w:left="567"/>
        <w:rPr>
          <w:b/>
          <w:bCs/>
        </w:rPr>
      </w:pPr>
      <w:r w:rsidRPr="00FF781B">
        <w:t xml:space="preserve">The industry is </w:t>
      </w:r>
      <w:r>
        <w:t xml:space="preserve">currently </w:t>
      </w:r>
      <w:r w:rsidRPr="00FF781B">
        <w:t>undergoing significant change with the rollout of the NBN</w:t>
      </w:r>
      <w:r>
        <w:t>. To the extent that there are potential</w:t>
      </w:r>
      <w:r w:rsidRPr="00FF781B">
        <w:t xml:space="preserve"> concerns with NBN </w:t>
      </w:r>
      <w:proofErr w:type="spellStart"/>
      <w:r w:rsidRPr="00FF781B">
        <w:t>Co’</w:t>
      </w:r>
      <w:r>
        <w:t>s</w:t>
      </w:r>
      <w:proofErr w:type="spellEnd"/>
      <w:r>
        <w:t xml:space="preserve"> position, the </w:t>
      </w:r>
      <w:r w:rsidRPr="00FF781B">
        <w:t>competition notice regi</w:t>
      </w:r>
      <w:r>
        <w:t>me is not</w:t>
      </w:r>
      <w:r w:rsidRPr="00FF781B">
        <w:t xml:space="preserve"> necessary to address </w:t>
      </w:r>
      <w:r w:rsidR="00363B7E">
        <w:t>these</w:t>
      </w:r>
      <w:r>
        <w:t>, given that NBN has been designed to create a level playing field for downstream service providers, and:</w:t>
      </w:r>
    </w:p>
    <w:p w14:paraId="11A41424" w14:textId="77777777" w:rsidR="00827FA8" w:rsidRPr="00FF781B" w:rsidRDefault="00827FA8" w:rsidP="00827FA8">
      <w:pPr>
        <w:pStyle w:val="ListParagraph"/>
        <w:numPr>
          <w:ilvl w:val="0"/>
          <w:numId w:val="20"/>
        </w:numPr>
        <w:tabs>
          <w:tab w:val="clear" w:pos="737"/>
          <w:tab w:val="num" w:pos="1304"/>
        </w:tabs>
        <w:ind w:left="1304"/>
        <w:rPr>
          <w:rFonts w:eastAsia="Cambria"/>
        </w:rPr>
      </w:pPr>
      <w:r>
        <w:rPr>
          <w:lang w:val="en-US"/>
        </w:rPr>
        <w:t>a</w:t>
      </w:r>
      <w:proofErr w:type="spellStart"/>
      <w:r>
        <w:t>ny</w:t>
      </w:r>
      <w:proofErr w:type="spellEnd"/>
      <w:r>
        <w:t xml:space="preserve"> service that NBN Co provides is deemed to be declared for the purpose of Part XIC and, as such NBN Co is subject to the standard access obligations in Part XIC in respect of all services it provides — it complies with those obligations on the terms and conditions of its special access undertaking accepted by the ACCC in 2013;</w:t>
      </w:r>
    </w:p>
    <w:p w14:paraId="5EA558A8" w14:textId="77777777" w:rsidR="00827FA8" w:rsidRPr="00FF781B" w:rsidRDefault="00827FA8" w:rsidP="00827FA8">
      <w:pPr>
        <w:pStyle w:val="ListParagraph"/>
        <w:ind w:left="1304"/>
        <w:rPr>
          <w:rFonts w:eastAsia="Cambria"/>
        </w:rPr>
      </w:pPr>
    </w:p>
    <w:p w14:paraId="08470BFD" w14:textId="77777777" w:rsidR="00827FA8" w:rsidRDefault="00827FA8" w:rsidP="00F46A6F">
      <w:pPr>
        <w:pStyle w:val="BodyText"/>
        <w:numPr>
          <w:ilvl w:val="0"/>
          <w:numId w:val="24"/>
        </w:numPr>
        <w:tabs>
          <w:tab w:val="clear" w:pos="737"/>
        </w:tabs>
        <w:ind w:left="1276" w:hanging="709"/>
        <w:rPr>
          <w:b/>
          <w:bCs/>
        </w:rPr>
      </w:pPr>
      <w:r>
        <w:t>NBN Co cannot provide preferential treatment to any particular downstream market players, as it is subject to a legislated non-discrimination obligation; and</w:t>
      </w:r>
    </w:p>
    <w:p w14:paraId="28A38C0E" w14:textId="77777777" w:rsidR="00827FA8" w:rsidRDefault="00827FA8" w:rsidP="00F46A6F">
      <w:pPr>
        <w:pStyle w:val="BodyText"/>
        <w:numPr>
          <w:ilvl w:val="0"/>
          <w:numId w:val="24"/>
        </w:numPr>
        <w:tabs>
          <w:tab w:val="clear" w:pos="737"/>
        </w:tabs>
        <w:ind w:left="1276" w:hanging="709"/>
        <w:rPr>
          <w:b/>
          <w:bCs/>
        </w:rPr>
      </w:pPr>
      <w:r>
        <w:t>NBN Co is not vertically integrated — it is statutorily required to be a wholesale only provider of access services.</w:t>
      </w:r>
    </w:p>
    <w:p w14:paraId="2540AFD5" w14:textId="77777777" w:rsidR="00827FA8" w:rsidRDefault="00912A04" w:rsidP="00827FA8">
      <w:pPr>
        <w:pStyle w:val="Heading1"/>
      </w:pPr>
      <w:r>
        <w:t>Conclusion</w:t>
      </w:r>
    </w:p>
    <w:p w14:paraId="3DA64171" w14:textId="77777777" w:rsidR="0040574B" w:rsidRDefault="00912A04" w:rsidP="00F46A6F">
      <w:pPr>
        <w:pStyle w:val="BodyText"/>
        <w:ind w:left="567"/>
        <w:rPr>
          <w:b/>
          <w:bCs/>
        </w:rPr>
      </w:pPr>
      <w:r>
        <w:t>It</w:t>
      </w:r>
      <w:r w:rsidR="00827FA8">
        <w:t xml:space="preserve"> </w:t>
      </w:r>
      <w:r w:rsidR="00827FA8" w:rsidRPr="00323B4B">
        <w:t xml:space="preserve">is generally </w:t>
      </w:r>
      <w:proofErr w:type="spellStart"/>
      <w:r w:rsidR="00827FA8" w:rsidRPr="00323B4B">
        <w:t>recognised</w:t>
      </w:r>
      <w:proofErr w:type="spellEnd"/>
      <w:r w:rsidR="00827FA8" w:rsidRPr="00323B4B">
        <w:t xml:space="preserve"> that the </w:t>
      </w:r>
      <w:r w:rsidR="00A81B9D">
        <w:t>party</w:t>
      </w:r>
      <w:r w:rsidR="00A81B9D" w:rsidRPr="00323B4B">
        <w:t xml:space="preserve"> </w:t>
      </w:r>
      <w:r w:rsidR="00827FA8" w:rsidRPr="00323B4B">
        <w:t>seeking the benefit of the law bears the burden of persuading the court that it should exercise its authority</w:t>
      </w:r>
      <w:r w:rsidR="0040574B">
        <w:t>.</w:t>
      </w:r>
      <w:r w:rsidR="00827FA8" w:rsidRPr="00323B4B">
        <w:t xml:space="preserve"> Telstra is not aware of any jurisdiction </w:t>
      </w:r>
      <w:bookmarkStart w:id="4" w:name="_GoBack"/>
      <w:bookmarkEnd w:id="4"/>
      <w:r w:rsidR="00827FA8" w:rsidRPr="00323B4B">
        <w:t xml:space="preserve">in the world where telecommunication providers are subject to a specific </w:t>
      </w:r>
      <w:r w:rsidR="00827FA8">
        <w:t>misuse of market power rule</w:t>
      </w:r>
      <w:r w:rsidR="00827FA8" w:rsidRPr="00323B4B">
        <w:t xml:space="preserve"> with a reversed onus of proof in subsequent court proceedings</w:t>
      </w:r>
      <w:r w:rsidR="0040574B">
        <w:t>, as they are under Part XIB</w:t>
      </w:r>
      <w:r w:rsidR="00827FA8" w:rsidRPr="00323B4B">
        <w:t>.</w:t>
      </w:r>
      <w:r w:rsidR="00827FA8">
        <w:t xml:space="preserve"> </w:t>
      </w:r>
    </w:p>
    <w:p w14:paraId="2E295555" w14:textId="77777777" w:rsidR="0040574B" w:rsidRDefault="0040574B" w:rsidP="00F46A6F">
      <w:pPr>
        <w:pStyle w:val="BodyText"/>
        <w:ind w:left="567"/>
        <w:rPr>
          <w:b/>
          <w:bCs/>
        </w:rPr>
      </w:pPr>
      <w:r>
        <w:t>Part XIB also means that p</w:t>
      </w:r>
      <w:r w:rsidRPr="006F67A1" w:rsidDel="009747A4">
        <w:t xml:space="preserve">enalties for a contravention </w:t>
      </w:r>
      <w:r>
        <w:t xml:space="preserve">are disproportionate – if </w:t>
      </w:r>
      <w:r w:rsidRPr="006F67A1" w:rsidDel="009747A4">
        <w:t>conduct is defended and continued, after 100 days, the potential penalties accruing to the defendant would amount to $268m.</w:t>
      </w:r>
    </w:p>
    <w:p w14:paraId="02BB6A16" w14:textId="77777777" w:rsidR="00827FA8" w:rsidRDefault="00A81B9D" w:rsidP="00F46A6F">
      <w:pPr>
        <w:pStyle w:val="BodyText"/>
        <w:ind w:left="567"/>
        <w:rPr>
          <w:b/>
          <w:bCs/>
        </w:rPr>
      </w:pPr>
      <w:r>
        <w:t>While</w:t>
      </w:r>
      <w:r w:rsidR="00827FA8">
        <w:t xml:space="preserve"> </w:t>
      </w:r>
      <w:r w:rsidR="0040574B">
        <w:t xml:space="preserve">the competition rule and notice provisions of Part XIB </w:t>
      </w:r>
      <w:r>
        <w:t xml:space="preserve">may </w:t>
      </w:r>
      <w:r w:rsidR="00827FA8">
        <w:t xml:space="preserve">once </w:t>
      </w:r>
      <w:r>
        <w:t xml:space="preserve">have been </w:t>
      </w:r>
      <w:r w:rsidR="00827FA8">
        <w:t>justifi</w:t>
      </w:r>
      <w:r>
        <w:t>able</w:t>
      </w:r>
      <w:r w:rsidR="00827FA8">
        <w:t xml:space="preserve">, this </w:t>
      </w:r>
      <w:r>
        <w:t xml:space="preserve">is </w:t>
      </w:r>
      <w:r w:rsidR="00827FA8">
        <w:t>no longer the case given the changes to the telecommunications market</w:t>
      </w:r>
      <w:r w:rsidR="006D4DB4">
        <w:t xml:space="preserve"> and the proposed new section 46 test</w:t>
      </w:r>
      <w:r w:rsidR="00827FA8">
        <w:t>.</w:t>
      </w:r>
    </w:p>
    <w:p w14:paraId="6AE1770D" w14:textId="77777777" w:rsidR="00827FA8" w:rsidRDefault="00827FA8" w:rsidP="00F46A6F">
      <w:pPr>
        <w:pStyle w:val="BodyText"/>
        <w:ind w:left="567"/>
        <w:rPr>
          <w:b/>
          <w:bCs/>
        </w:rPr>
      </w:pPr>
      <w:r>
        <w:t>Further, the r</w:t>
      </w:r>
      <w:r w:rsidRPr="00323B4B">
        <w:t xml:space="preserve">emoval of the ‘take advantage’ element in the current section 46 test combined with the reversal of the onus of proof will make it </w:t>
      </w:r>
      <w:r>
        <w:t>extremely</w:t>
      </w:r>
      <w:r w:rsidRPr="00323B4B">
        <w:t xml:space="preserve"> difficult </w:t>
      </w:r>
      <w:r>
        <w:t xml:space="preserve">– if not near impossible – </w:t>
      </w:r>
      <w:r w:rsidRPr="00323B4B">
        <w:t>for Telstra to defend an allegation of anti-competitive conduct</w:t>
      </w:r>
      <w:r>
        <w:t xml:space="preserve">. </w:t>
      </w:r>
      <w:r w:rsidR="00A81B9D">
        <w:t xml:space="preserve">If not addressed, these issues may lead to the industry </w:t>
      </w:r>
      <w:r>
        <w:t>adopt</w:t>
      </w:r>
      <w:r w:rsidR="00A81B9D">
        <w:t>ing</w:t>
      </w:r>
      <w:r>
        <w:t xml:space="preserve"> low</w:t>
      </w:r>
      <w:r w:rsidR="00627E24">
        <w:t>er</w:t>
      </w:r>
      <w:r>
        <w:t xml:space="preserve">-risk strategies which will reduce </w:t>
      </w:r>
      <w:r w:rsidR="00A81B9D">
        <w:t xml:space="preserve">the </w:t>
      </w:r>
      <w:r>
        <w:t xml:space="preserve">scope for innovative and competitive conduct to the detriment of consumers. </w:t>
      </w:r>
      <w:r w:rsidRPr="005F3DDC">
        <w:t xml:space="preserve"> </w:t>
      </w:r>
    </w:p>
    <w:p w14:paraId="4DC5644B" w14:textId="3AA94C34" w:rsidR="00827FA8" w:rsidRPr="00F127E0" w:rsidRDefault="0040574B" w:rsidP="00F46A6F">
      <w:pPr>
        <w:pStyle w:val="BodyText"/>
        <w:ind w:left="567"/>
        <w:rPr>
          <w:bCs/>
        </w:rPr>
      </w:pPr>
      <w:r>
        <w:t>Telstra proposes the government removes the competition rule and notice provisions</w:t>
      </w:r>
      <w:r w:rsidR="00A81B9D">
        <w:t xml:space="preserve">. This </w:t>
      </w:r>
      <w:r>
        <w:t>would not prevent the ACCC from exercising its competition powers as it has done for the last decade. If the Government is not minded to remove the</w:t>
      </w:r>
      <w:r w:rsidR="00136E71">
        <w:t>se</w:t>
      </w:r>
      <w:r>
        <w:t xml:space="preserve"> provisions, given the lower thresholds for the ACCC to prosecute a section 46 matter, </w:t>
      </w:r>
      <w:r w:rsidR="007B50FE">
        <w:t xml:space="preserve">the separate telecommunications specific anti-competitive conduct test in section </w:t>
      </w:r>
      <w:proofErr w:type="gramStart"/>
      <w:r w:rsidR="007B50FE">
        <w:t>151AJ(</w:t>
      </w:r>
      <w:proofErr w:type="gramEnd"/>
      <w:r w:rsidR="007B50FE">
        <w:t xml:space="preserve">2) and </w:t>
      </w:r>
      <w:r>
        <w:t>t</w:t>
      </w:r>
      <w:r w:rsidRPr="00323B4B">
        <w:t xml:space="preserve">he </w:t>
      </w:r>
      <w:r>
        <w:t>reversed</w:t>
      </w:r>
      <w:r w:rsidRPr="00323B4B">
        <w:t xml:space="preserve"> onus of proof in section 151AN(1) </w:t>
      </w:r>
      <w:r>
        <w:t>should be removed regardless of whether or not Divisions 2 and 3 (and associated provisions in Divisions 7-10) of Part XIB are repealed.</w:t>
      </w:r>
    </w:p>
    <w:p w14:paraId="31D0EE32" w14:textId="77777777" w:rsidR="00F02C9F" w:rsidRPr="00827FA8" w:rsidRDefault="00F02C9F" w:rsidP="00827FA8"/>
    <w:sectPr w:rsidR="00F02C9F" w:rsidRPr="00827FA8" w:rsidSect="008B78AC">
      <w:headerReference w:type="default" r:id="rId16"/>
      <w:type w:val="continuous"/>
      <w:pgSz w:w="11900" w:h="16840"/>
      <w:pgMar w:top="567" w:right="1977" w:bottom="851" w:left="136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25CE7" w14:textId="77777777" w:rsidR="009F6CBC" w:rsidRDefault="009F6CBC" w:rsidP="006618CA">
      <w:pPr>
        <w:spacing w:line="240" w:lineRule="auto"/>
      </w:pPr>
      <w:r>
        <w:separator/>
      </w:r>
    </w:p>
  </w:endnote>
  <w:endnote w:type="continuationSeparator" w:id="0">
    <w:p w14:paraId="43414BA1" w14:textId="77777777" w:rsidR="009F6CBC" w:rsidRDefault="009F6CBC" w:rsidP="00661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369159"/>
      <w:docPartObj>
        <w:docPartGallery w:val="Page Numbers (Bottom of Page)"/>
        <w:docPartUnique/>
      </w:docPartObj>
    </w:sdtPr>
    <w:sdtEndPr>
      <w:rPr>
        <w:noProof/>
      </w:rPr>
    </w:sdtEndPr>
    <w:sdtContent>
      <w:p w14:paraId="6749E235" w14:textId="77777777" w:rsidR="006D4DB4" w:rsidRDefault="006D4DB4">
        <w:pPr>
          <w:pStyle w:val="Footer"/>
          <w:jc w:val="right"/>
        </w:pPr>
        <w:r>
          <w:fldChar w:fldCharType="begin"/>
        </w:r>
        <w:r>
          <w:instrText xml:space="preserve"> PAGE   \* MERGEFORMAT </w:instrText>
        </w:r>
        <w:r>
          <w:fldChar w:fldCharType="separate"/>
        </w:r>
        <w:r w:rsidR="00F46A6F">
          <w:rPr>
            <w:noProof/>
          </w:rPr>
          <w:t>9</w:t>
        </w:r>
        <w:r>
          <w:rPr>
            <w:noProof/>
          </w:rPr>
          <w:fldChar w:fldCharType="end"/>
        </w:r>
      </w:p>
    </w:sdtContent>
  </w:sdt>
  <w:p w14:paraId="1877FA73" w14:textId="77777777" w:rsidR="00756287" w:rsidRPr="006C27AF" w:rsidRDefault="00756287" w:rsidP="007B7933">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2C375" w14:textId="77777777" w:rsidR="00756287" w:rsidRPr="006C27AF" w:rsidRDefault="00756287" w:rsidP="007B7933">
    <w:pPr>
      <w:pStyle w:val="Footer"/>
    </w:pPr>
    <w:r w:rsidRPr="006C27AF">
      <w:t>TELSTRA CORPORATION</w:t>
    </w:r>
    <w:r>
      <w:t xml:space="preserve"> LIMITED (ABN 33 051 775 556) </w:t>
    </w:r>
    <w:r w:rsidRPr="006C27AF">
      <w:t xml:space="preserve">| </w:t>
    </w:r>
    <w:r>
      <w:t>&lt;</w:t>
    </w:r>
    <w:r w:rsidRPr="006C27AF">
      <w:t xml:space="preserve">Enter </w:t>
    </w:r>
    <w:r>
      <w:t xml:space="preserve">Telstra Address&gt; | P &lt;Telstra phone number&gt;| F &lt;Telstra Fax number&gt; </w:t>
    </w:r>
  </w:p>
  <w:p w14:paraId="78C1288E" w14:textId="3FC4B9A9" w:rsidR="00756287" w:rsidRPr="006C27AF" w:rsidRDefault="006E0854" w:rsidP="007B7933">
    <w:pPr>
      <w:pStyle w:val="Footer"/>
      <w:rPr>
        <w:rStyle w:val="PageNumber"/>
      </w:rPr>
    </w:pPr>
    <w:r>
      <w:rPr>
        <w:b/>
        <w:bCs/>
        <w:lang w:val="en-US"/>
      </w:rPr>
      <w:t>Error! Unknown document property name.</w:t>
    </w:r>
    <w:r w:rsidR="00756287">
      <w:t xml:space="preserve"> </w:t>
    </w:r>
    <w:bookmarkStart w:id="0" w:name="DocID_FP1"/>
    <w:r w:rsidR="00FC0461">
      <w:rPr>
        <w:rStyle w:val="PageNumber"/>
        <w:noProof/>
      </w:rPr>
      <w:t>30038749_2</w:t>
    </w:r>
    <w:bookmarkEnd w:id="0"/>
    <w:r w:rsidR="00756287">
      <w:t xml:space="preserve"> | </w:t>
    </w:r>
    <w:sdt>
      <w:sdtPr>
        <w:alias w:val="Title"/>
        <w:tag w:val="Title"/>
        <w:id w:val="-1294126911"/>
        <w:dataBinding w:prefixMappings="xmlns:ns0='http://purl.org/dc/elements/1.1/' xmlns:ns1='http://schemas.openxmlformats.org/package/2006/metadata/core-properties' " w:xpath="/ns1:coreProperties[1]/ns0:title[1]" w:storeItemID="{6C3C8BC8-F283-45AE-878A-BAB7291924A1}"/>
        <w:text/>
      </w:sdtPr>
      <w:sdtEndPr/>
      <w:sdtContent>
        <w:r w:rsidR="00BB5C86">
          <w:t>Review of the Part XIB telecommunications anti-competitive conduct provisions—response to discussion paper—Telstra</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5A5D2" w14:textId="77777777" w:rsidR="009F6CBC" w:rsidRDefault="009F6CBC" w:rsidP="006618CA">
      <w:pPr>
        <w:spacing w:line="240" w:lineRule="auto"/>
      </w:pPr>
      <w:r>
        <w:separator/>
      </w:r>
    </w:p>
  </w:footnote>
  <w:footnote w:type="continuationSeparator" w:id="0">
    <w:p w14:paraId="2A24BD52" w14:textId="77777777" w:rsidR="009F6CBC" w:rsidRDefault="009F6CBC" w:rsidP="006618CA">
      <w:pPr>
        <w:spacing w:line="240" w:lineRule="auto"/>
      </w:pPr>
      <w:r>
        <w:continuationSeparator/>
      </w:r>
    </w:p>
  </w:footnote>
  <w:footnote w:id="1">
    <w:p w14:paraId="099140AA" w14:textId="77777777" w:rsidR="005D3009" w:rsidRDefault="00A829FC" w:rsidP="005D3009">
      <w:r w:rsidRPr="009E736F">
        <w:rPr>
          <w:rStyle w:val="FootnoteReference"/>
          <w:sz w:val="18"/>
        </w:rPr>
        <w:footnoteRef/>
      </w:r>
      <w:r w:rsidRPr="009E736F">
        <w:rPr>
          <w:sz w:val="18"/>
        </w:rPr>
        <w:t xml:space="preserve"> </w:t>
      </w:r>
      <w:r>
        <w:rPr>
          <w:sz w:val="18"/>
        </w:rPr>
        <w:t>Harper</w:t>
      </w:r>
      <w:r w:rsidRPr="009E736F">
        <w:rPr>
          <w:sz w:val="18"/>
        </w:rPr>
        <w:t xml:space="preserve">, </w:t>
      </w:r>
      <w:proofErr w:type="gramStart"/>
      <w:r>
        <w:rPr>
          <w:sz w:val="18"/>
        </w:rPr>
        <w:t>The</w:t>
      </w:r>
      <w:proofErr w:type="gramEnd"/>
      <w:r>
        <w:rPr>
          <w:sz w:val="18"/>
        </w:rPr>
        <w:t xml:space="preserve"> Competition Policy Review Final Report, March 2015, p 345.</w:t>
      </w:r>
    </w:p>
  </w:footnote>
  <w:footnote w:id="2">
    <w:p w14:paraId="246A825E" w14:textId="77777777" w:rsidR="00827FA8" w:rsidRPr="009E736F" w:rsidRDefault="00827FA8" w:rsidP="00827FA8">
      <w:pPr>
        <w:pStyle w:val="FootnoteText"/>
      </w:pPr>
      <w:r w:rsidRPr="009E736F">
        <w:rPr>
          <w:rStyle w:val="FootnoteReference"/>
          <w:sz w:val="18"/>
        </w:rPr>
        <w:footnoteRef/>
      </w:r>
      <w:r w:rsidRPr="009E736F">
        <w:rPr>
          <w:sz w:val="18"/>
        </w:rPr>
        <w:t xml:space="preserve"> ACCC, Competition in Evolving Communication Markets, </w:t>
      </w:r>
      <w:r>
        <w:rPr>
          <w:sz w:val="18"/>
        </w:rPr>
        <w:t>Issues Paper, September 2016, p 6.</w:t>
      </w:r>
    </w:p>
  </w:footnote>
  <w:footnote w:id="3">
    <w:p w14:paraId="25180400" w14:textId="77777777" w:rsidR="00827FA8" w:rsidRPr="00654A4E" w:rsidRDefault="00827FA8" w:rsidP="00827FA8">
      <w:pPr>
        <w:pStyle w:val="FootnoteText"/>
        <w:rPr>
          <w:sz w:val="18"/>
        </w:rPr>
      </w:pPr>
      <w:r>
        <w:rPr>
          <w:rStyle w:val="FootnoteReference"/>
        </w:rPr>
        <w:footnoteRef/>
      </w:r>
      <w:r>
        <w:t xml:space="preserve"> </w:t>
      </w:r>
      <w:r>
        <w:rPr>
          <w:sz w:val="18"/>
        </w:rPr>
        <w:t xml:space="preserve">Department, </w:t>
      </w:r>
      <w:r w:rsidRPr="00654A4E">
        <w:rPr>
          <w:sz w:val="18"/>
        </w:rPr>
        <w:t>Review of the Australian</w:t>
      </w:r>
      <w:r>
        <w:rPr>
          <w:sz w:val="18"/>
        </w:rPr>
        <w:t xml:space="preserve"> </w:t>
      </w:r>
      <w:r w:rsidRPr="00654A4E">
        <w:rPr>
          <w:sz w:val="18"/>
        </w:rPr>
        <w:t>Communications and</w:t>
      </w:r>
      <w:r>
        <w:rPr>
          <w:sz w:val="18"/>
        </w:rPr>
        <w:t xml:space="preserve"> </w:t>
      </w:r>
      <w:r w:rsidRPr="00654A4E">
        <w:rPr>
          <w:sz w:val="18"/>
        </w:rPr>
        <w:t>Media Authority</w:t>
      </w:r>
      <w:r>
        <w:rPr>
          <w:sz w:val="18"/>
        </w:rPr>
        <w:t>, Issues paper,</w:t>
      </w:r>
      <w:r w:rsidRPr="00654A4E">
        <w:rPr>
          <w:sz w:val="18"/>
        </w:rPr>
        <w:t xml:space="preserve"> July 2015</w:t>
      </w:r>
      <w:r>
        <w:rPr>
          <w:sz w:val="18"/>
        </w:rPr>
        <w:t>.</w:t>
      </w:r>
    </w:p>
  </w:footnote>
  <w:footnote w:id="4">
    <w:p w14:paraId="255E4227" w14:textId="77777777" w:rsidR="00827FA8" w:rsidRPr="00F24D44" w:rsidRDefault="00827FA8" w:rsidP="00827FA8">
      <w:pPr>
        <w:pStyle w:val="FootnoteText"/>
        <w:rPr>
          <w:sz w:val="18"/>
        </w:rPr>
      </w:pPr>
      <w:r w:rsidRPr="00E65192">
        <w:rPr>
          <w:rStyle w:val="FootnoteReference"/>
          <w:sz w:val="18"/>
        </w:rPr>
        <w:footnoteRef/>
      </w:r>
      <w:r>
        <w:rPr>
          <w:sz w:val="18"/>
        </w:rPr>
        <w:t xml:space="preserve"> ACCC, </w:t>
      </w:r>
      <w:r w:rsidRPr="00286FD7">
        <w:rPr>
          <w:sz w:val="18"/>
        </w:rPr>
        <w:t>Competition in the Australian</w:t>
      </w:r>
      <w:r>
        <w:rPr>
          <w:sz w:val="18"/>
        </w:rPr>
        <w:t xml:space="preserve"> </w:t>
      </w:r>
      <w:r w:rsidRPr="00286FD7">
        <w:rPr>
          <w:sz w:val="18"/>
        </w:rPr>
        <w:t>telecommunications sector</w:t>
      </w:r>
      <w:r>
        <w:rPr>
          <w:sz w:val="18"/>
        </w:rPr>
        <w:t xml:space="preserve">, </w:t>
      </w:r>
      <w:r w:rsidRPr="00286FD7">
        <w:rPr>
          <w:sz w:val="18"/>
        </w:rPr>
        <w:t>Price</w:t>
      </w:r>
      <w:r>
        <w:rPr>
          <w:sz w:val="18"/>
        </w:rPr>
        <w:t xml:space="preserve"> changes for telecommunications services in Australia, </w:t>
      </w:r>
      <w:r w:rsidRPr="00286FD7">
        <w:rPr>
          <w:sz w:val="18"/>
        </w:rPr>
        <w:t>ACCC Report</w:t>
      </w:r>
      <w:r>
        <w:rPr>
          <w:sz w:val="18"/>
        </w:rPr>
        <w:t xml:space="preserve">, </w:t>
      </w:r>
      <w:r w:rsidRPr="00286FD7">
        <w:rPr>
          <w:sz w:val="18"/>
        </w:rPr>
        <w:t>February 2016</w:t>
      </w:r>
      <w:r>
        <w:rPr>
          <w:sz w:val="18"/>
        </w:rPr>
        <w:t>, pp 5-6 (</w:t>
      </w:r>
      <w:r w:rsidRPr="006378F6">
        <w:rPr>
          <w:b/>
          <w:sz w:val="18"/>
        </w:rPr>
        <w:t>ACCC Report</w:t>
      </w:r>
      <w:r>
        <w:rPr>
          <w:sz w:val="18"/>
        </w:rPr>
        <w:t>).</w:t>
      </w:r>
    </w:p>
  </w:footnote>
  <w:footnote w:id="5">
    <w:p w14:paraId="2C1C96F4" w14:textId="77777777" w:rsidR="00827FA8" w:rsidRPr="00F24D44" w:rsidRDefault="00827FA8" w:rsidP="00827FA8">
      <w:pPr>
        <w:pStyle w:val="FootnoteText"/>
        <w:rPr>
          <w:sz w:val="18"/>
        </w:rPr>
      </w:pPr>
      <w:r w:rsidRPr="00835A7B">
        <w:rPr>
          <w:rStyle w:val="FootnoteReference"/>
          <w:sz w:val="18"/>
        </w:rPr>
        <w:footnoteRef/>
      </w:r>
      <w:r>
        <w:rPr>
          <w:sz w:val="18"/>
        </w:rPr>
        <w:t xml:space="preserve"> </w:t>
      </w:r>
      <w:r w:rsidRPr="00286FD7">
        <w:rPr>
          <w:sz w:val="18"/>
        </w:rPr>
        <w:t>ACCC Report</w:t>
      </w:r>
      <w:r>
        <w:rPr>
          <w:sz w:val="18"/>
        </w:rPr>
        <w:t>, p 14.</w:t>
      </w:r>
    </w:p>
  </w:footnote>
  <w:footnote w:id="6">
    <w:p w14:paraId="5FD7DEBD" w14:textId="77777777" w:rsidR="00827FA8" w:rsidRPr="00835A7B" w:rsidRDefault="00827FA8" w:rsidP="00827FA8">
      <w:pPr>
        <w:pStyle w:val="FootnoteText"/>
      </w:pPr>
      <w:r w:rsidRPr="00835A7B">
        <w:rPr>
          <w:rStyle w:val="FootnoteReference"/>
          <w:sz w:val="18"/>
        </w:rPr>
        <w:footnoteRef/>
      </w:r>
      <w:r w:rsidRPr="00835A7B">
        <w:rPr>
          <w:sz w:val="18"/>
        </w:rPr>
        <w:t xml:space="preserve"> ACMA, Communications Report 2014–15, p. 4.</w:t>
      </w:r>
    </w:p>
  </w:footnote>
  <w:footnote w:id="7">
    <w:p w14:paraId="7788D92A" w14:textId="77777777" w:rsidR="00827FA8" w:rsidRPr="00F24D44" w:rsidRDefault="00827FA8" w:rsidP="00827FA8">
      <w:pPr>
        <w:pStyle w:val="FootnoteText"/>
        <w:rPr>
          <w:sz w:val="18"/>
        </w:rPr>
      </w:pPr>
      <w:r w:rsidRPr="00835A7B">
        <w:rPr>
          <w:rStyle w:val="FootnoteReference"/>
          <w:sz w:val="18"/>
        </w:rPr>
        <w:footnoteRef/>
      </w:r>
      <w:r>
        <w:rPr>
          <w:sz w:val="18"/>
        </w:rPr>
        <w:t xml:space="preserve"> </w:t>
      </w:r>
      <w:r w:rsidRPr="00286FD7">
        <w:rPr>
          <w:sz w:val="18"/>
        </w:rPr>
        <w:t>ACCC Report</w:t>
      </w:r>
      <w:r>
        <w:rPr>
          <w:sz w:val="18"/>
        </w:rPr>
        <w:t>, p 16.</w:t>
      </w:r>
    </w:p>
  </w:footnote>
  <w:footnote w:id="8">
    <w:p w14:paraId="58001EA9" w14:textId="77777777" w:rsidR="00827FA8" w:rsidRPr="005B065D" w:rsidRDefault="00827FA8" w:rsidP="00827FA8">
      <w:pPr>
        <w:pStyle w:val="FootnoteText"/>
      </w:pPr>
      <w:r>
        <w:rPr>
          <w:rStyle w:val="FootnoteReference"/>
        </w:rPr>
        <w:footnoteRef/>
      </w:r>
      <w:r>
        <w:t xml:space="preserve"> </w:t>
      </w:r>
      <w:r w:rsidRPr="005B065D">
        <w:rPr>
          <w:sz w:val="18"/>
        </w:rPr>
        <w:t xml:space="preserve">ACCC, </w:t>
      </w:r>
      <w:r w:rsidRPr="008F0CD5">
        <w:rPr>
          <w:sz w:val="18"/>
          <w:szCs w:val="18"/>
        </w:rPr>
        <w:t>Telstra’s Structural Separation Undertaking</w:t>
      </w:r>
      <w:r>
        <w:rPr>
          <w:sz w:val="18"/>
          <w:szCs w:val="18"/>
        </w:rPr>
        <w:t>,</w:t>
      </w:r>
      <w:r w:rsidRPr="008F0CD5">
        <w:rPr>
          <w:sz w:val="18"/>
          <w:szCs w:val="18"/>
        </w:rPr>
        <w:t xml:space="preserve"> Annual Compliance Report </w:t>
      </w:r>
      <w:r>
        <w:rPr>
          <w:sz w:val="18"/>
          <w:szCs w:val="18"/>
        </w:rPr>
        <w:t>2012-2013,</w:t>
      </w:r>
      <w:r w:rsidRPr="008F0CD5">
        <w:rPr>
          <w:sz w:val="18"/>
          <w:szCs w:val="18"/>
        </w:rPr>
        <w:t xml:space="preserve"> ACCC Report to the Minister for Communications,</w:t>
      </w:r>
      <w:r>
        <w:rPr>
          <w:sz w:val="18"/>
        </w:rPr>
        <w:t xml:space="preserve"> p 3.</w:t>
      </w:r>
    </w:p>
  </w:footnote>
  <w:footnote w:id="9">
    <w:p w14:paraId="17A523B8" w14:textId="77777777" w:rsidR="00827FA8" w:rsidRPr="00654A4E" w:rsidRDefault="00827FA8" w:rsidP="00827FA8">
      <w:pPr>
        <w:pStyle w:val="FootnoteText"/>
        <w:rPr>
          <w:sz w:val="18"/>
        </w:rPr>
      </w:pPr>
      <w:r>
        <w:rPr>
          <w:rStyle w:val="FootnoteReference"/>
        </w:rPr>
        <w:footnoteRef/>
      </w:r>
      <w:r>
        <w:t xml:space="preserve"> </w:t>
      </w:r>
      <w:r>
        <w:rPr>
          <w:sz w:val="18"/>
        </w:rPr>
        <w:t xml:space="preserve">Department, </w:t>
      </w:r>
      <w:r w:rsidRPr="00654A4E">
        <w:rPr>
          <w:sz w:val="18"/>
        </w:rPr>
        <w:t>Review of the Australian</w:t>
      </w:r>
      <w:r>
        <w:rPr>
          <w:sz w:val="18"/>
        </w:rPr>
        <w:t xml:space="preserve"> </w:t>
      </w:r>
      <w:r w:rsidRPr="00654A4E">
        <w:rPr>
          <w:sz w:val="18"/>
        </w:rPr>
        <w:t>Communications and</w:t>
      </w:r>
      <w:r>
        <w:rPr>
          <w:sz w:val="18"/>
        </w:rPr>
        <w:t xml:space="preserve"> </w:t>
      </w:r>
      <w:r w:rsidRPr="00654A4E">
        <w:rPr>
          <w:sz w:val="18"/>
        </w:rPr>
        <w:t>Media Authority</w:t>
      </w:r>
      <w:r>
        <w:rPr>
          <w:sz w:val="18"/>
        </w:rPr>
        <w:t>, Issues paper,</w:t>
      </w:r>
      <w:r w:rsidRPr="00654A4E">
        <w:rPr>
          <w:sz w:val="18"/>
        </w:rPr>
        <w:t xml:space="preserve"> July 2015</w:t>
      </w:r>
      <w:r>
        <w:rPr>
          <w:sz w:val="18"/>
        </w:rPr>
        <w:t>.</w:t>
      </w:r>
    </w:p>
  </w:footnote>
  <w:footnote w:id="10">
    <w:p w14:paraId="35581A05" w14:textId="77777777" w:rsidR="00827FA8" w:rsidRPr="008F0CD5" w:rsidRDefault="00827FA8" w:rsidP="00827FA8">
      <w:pPr>
        <w:pStyle w:val="FootnoteText"/>
        <w:rPr>
          <w:sz w:val="18"/>
          <w:szCs w:val="18"/>
        </w:rPr>
      </w:pPr>
      <w:r w:rsidRPr="008F0CD5">
        <w:rPr>
          <w:rStyle w:val="FootnoteReference"/>
          <w:sz w:val="18"/>
          <w:szCs w:val="18"/>
        </w:rPr>
        <w:footnoteRef/>
      </w:r>
      <w:r w:rsidRPr="008F0CD5">
        <w:rPr>
          <w:sz w:val="18"/>
          <w:szCs w:val="18"/>
        </w:rPr>
        <w:t xml:space="preserve"> ACCC Report, 13.</w:t>
      </w:r>
    </w:p>
  </w:footnote>
  <w:footnote w:id="11">
    <w:p w14:paraId="0FEAF2EF" w14:textId="77777777" w:rsidR="00827FA8" w:rsidRPr="008F0CD5" w:rsidRDefault="00827FA8" w:rsidP="00827FA8">
      <w:pPr>
        <w:pStyle w:val="FootnoteText"/>
        <w:rPr>
          <w:sz w:val="18"/>
          <w:szCs w:val="18"/>
        </w:rPr>
      </w:pPr>
      <w:r w:rsidRPr="008F0CD5">
        <w:rPr>
          <w:rStyle w:val="FootnoteReference"/>
          <w:sz w:val="18"/>
          <w:szCs w:val="18"/>
        </w:rPr>
        <w:footnoteRef/>
      </w:r>
      <w:r w:rsidRPr="008F0CD5">
        <w:rPr>
          <w:sz w:val="18"/>
          <w:szCs w:val="18"/>
        </w:rPr>
        <w:t xml:space="preserve"> ACCC, Telstra’s Structural Separation Undertaking</w:t>
      </w:r>
      <w:r>
        <w:rPr>
          <w:sz w:val="18"/>
          <w:szCs w:val="18"/>
        </w:rPr>
        <w:t>, Annual Compliance Report 2014-20</w:t>
      </w:r>
      <w:r w:rsidRPr="008F0CD5">
        <w:rPr>
          <w:sz w:val="18"/>
          <w:szCs w:val="18"/>
        </w:rPr>
        <w:t>15</w:t>
      </w:r>
      <w:r>
        <w:rPr>
          <w:sz w:val="18"/>
          <w:szCs w:val="18"/>
        </w:rPr>
        <w:t>,</w:t>
      </w:r>
      <w:r w:rsidRPr="008F0CD5">
        <w:rPr>
          <w:sz w:val="18"/>
          <w:szCs w:val="18"/>
        </w:rPr>
        <w:t xml:space="preserve"> ACCC Report to the Minister for Communications, p 4.</w:t>
      </w:r>
    </w:p>
  </w:footnote>
  <w:footnote w:id="12">
    <w:p w14:paraId="43766861" w14:textId="77777777" w:rsidR="00827FA8" w:rsidRPr="008F0CD5" w:rsidRDefault="00827FA8" w:rsidP="00827FA8">
      <w:pPr>
        <w:pStyle w:val="FootnoteText"/>
        <w:rPr>
          <w:sz w:val="18"/>
          <w:szCs w:val="18"/>
          <w:lang w:val="en-AU"/>
        </w:rPr>
      </w:pPr>
      <w:r w:rsidRPr="008F0CD5">
        <w:rPr>
          <w:rStyle w:val="FootnoteReference"/>
          <w:sz w:val="18"/>
          <w:szCs w:val="18"/>
        </w:rPr>
        <w:footnoteRef/>
      </w:r>
      <w:r w:rsidRPr="008F0CD5">
        <w:rPr>
          <w:sz w:val="18"/>
          <w:szCs w:val="18"/>
        </w:rPr>
        <w:t xml:space="preserve"> </w:t>
      </w:r>
      <w:r w:rsidRPr="008F0CD5">
        <w:rPr>
          <w:sz w:val="18"/>
          <w:szCs w:val="18"/>
          <w:lang w:val="en-AU"/>
        </w:rPr>
        <w:t>The fixed line services are the Unconditioned Local Loop Service (</w:t>
      </w:r>
      <w:r w:rsidRPr="008F0CD5">
        <w:rPr>
          <w:b/>
          <w:sz w:val="18"/>
          <w:szCs w:val="18"/>
          <w:lang w:val="en-AU"/>
        </w:rPr>
        <w:t>ULLS</w:t>
      </w:r>
      <w:r w:rsidRPr="008F0CD5">
        <w:rPr>
          <w:sz w:val="18"/>
          <w:szCs w:val="18"/>
          <w:lang w:val="en-AU"/>
        </w:rPr>
        <w:t>); Line Sharing Service (</w:t>
      </w:r>
      <w:r w:rsidRPr="008F0CD5">
        <w:rPr>
          <w:b/>
          <w:sz w:val="18"/>
          <w:szCs w:val="18"/>
          <w:lang w:val="en-AU"/>
        </w:rPr>
        <w:t>LSS</w:t>
      </w:r>
      <w:r w:rsidRPr="008F0CD5">
        <w:rPr>
          <w:sz w:val="18"/>
          <w:szCs w:val="18"/>
          <w:lang w:val="en-AU"/>
        </w:rPr>
        <w:t>): Wholesale Line Rental (</w:t>
      </w:r>
      <w:r w:rsidRPr="008F0CD5">
        <w:rPr>
          <w:b/>
          <w:sz w:val="18"/>
          <w:szCs w:val="18"/>
          <w:lang w:val="en-AU"/>
        </w:rPr>
        <w:t>WLR</w:t>
      </w:r>
      <w:r w:rsidRPr="008F0CD5">
        <w:rPr>
          <w:sz w:val="18"/>
          <w:szCs w:val="18"/>
          <w:lang w:val="en-AU"/>
        </w:rPr>
        <w:t>); Local Call Service (</w:t>
      </w:r>
      <w:r w:rsidRPr="008F0CD5">
        <w:rPr>
          <w:b/>
          <w:sz w:val="18"/>
          <w:szCs w:val="18"/>
          <w:lang w:val="en-AU"/>
        </w:rPr>
        <w:t>LCS</w:t>
      </w:r>
      <w:r w:rsidRPr="008F0CD5">
        <w:rPr>
          <w:sz w:val="18"/>
          <w:szCs w:val="18"/>
          <w:lang w:val="en-AU"/>
        </w:rPr>
        <w:t>); Fixed Originating Access Service, previously PSTN Originating Access (</w:t>
      </w:r>
      <w:r w:rsidRPr="008F0CD5">
        <w:rPr>
          <w:b/>
          <w:sz w:val="18"/>
          <w:szCs w:val="18"/>
          <w:lang w:val="en-AU"/>
        </w:rPr>
        <w:t>FOAS</w:t>
      </w:r>
      <w:r w:rsidRPr="008F0CD5">
        <w:rPr>
          <w:sz w:val="18"/>
          <w:szCs w:val="18"/>
          <w:lang w:val="en-AU"/>
        </w:rPr>
        <w:t>); Fixed Terminating Access Service, previously PSTN Terminating Access (</w:t>
      </w:r>
      <w:r w:rsidRPr="008F0CD5">
        <w:rPr>
          <w:b/>
          <w:sz w:val="18"/>
          <w:szCs w:val="18"/>
          <w:lang w:val="en-AU"/>
        </w:rPr>
        <w:t>FTAS</w:t>
      </w:r>
      <w:r w:rsidRPr="008F0CD5">
        <w:rPr>
          <w:sz w:val="18"/>
          <w:szCs w:val="18"/>
          <w:lang w:val="en-AU"/>
        </w:rPr>
        <w:t>) and – since 2012 –  wholesale DSL (</w:t>
      </w:r>
      <w:r w:rsidRPr="008F0CD5">
        <w:rPr>
          <w:b/>
          <w:sz w:val="18"/>
          <w:szCs w:val="18"/>
          <w:lang w:val="en-AU"/>
        </w:rPr>
        <w:t>WDSL</w:t>
      </w:r>
      <w:r w:rsidRPr="008F0CD5">
        <w:rPr>
          <w:sz w:val="18"/>
          <w:szCs w:val="18"/>
          <w:lang w:val="en-AU"/>
        </w:rPr>
        <w:t>).</w:t>
      </w:r>
    </w:p>
    <w:p w14:paraId="308F3BDD" w14:textId="77777777" w:rsidR="00827FA8" w:rsidRPr="00CC55A2" w:rsidRDefault="00827FA8" w:rsidP="00827FA8">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E375" w14:textId="21ECACD9" w:rsidR="00756287" w:rsidRDefault="00756287" w:rsidP="008B78A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6078F" w14:textId="480C9399" w:rsidR="00756287" w:rsidRDefault="00756287" w:rsidP="007B7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F55F" w14:textId="77777777" w:rsidR="008B78AC" w:rsidRDefault="008B78AC" w:rsidP="008B78AC">
    <w:pPr>
      <w:pStyle w:val="Header"/>
      <w:jc w:val="right"/>
    </w:pPr>
    <w:r w:rsidRPr="008127F8">
      <w:rPr>
        <w:noProof/>
        <w:lang w:val="en-AU" w:eastAsia="zh-TW" w:bidi="hi-IN"/>
      </w:rPr>
      <w:drawing>
        <wp:inline distT="0" distB="0" distL="0" distR="0" wp14:anchorId="1F5D2284" wp14:editId="5301F619">
          <wp:extent cx="1266671" cy="515113"/>
          <wp:effectExtent l="0" t="0" r="0" b="0"/>
          <wp:docPr id="20" name="Picture 0" descr="Logo: Telstra.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BO0008_Memo__Logo.png"/>
                  <pic:cNvPicPr/>
                </pic:nvPicPr>
                <pic:blipFill>
                  <a:blip r:embed="rId1"/>
                  <a:stretch>
                    <a:fillRect/>
                  </a:stretch>
                </pic:blipFill>
                <pic:spPr>
                  <a:xfrm>
                    <a:off x="0" y="0"/>
                    <a:ext cx="1266671" cy="5151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708C8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D3FE6"/>
    <w:multiLevelType w:val="hybridMultilevel"/>
    <w:tmpl w:val="33302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84FF9"/>
    <w:multiLevelType w:val="multilevel"/>
    <w:tmpl w:val="1CA8E300"/>
    <w:lvl w:ilvl="0">
      <w:start w:val="1"/>
      <w:numFmt w:val="decimal"/>
      <w:pStyle w:val="Heading1"/>
      <w:lvlText w:val="%1."/>
      <w:lvlJc w:val="left"/>
      <w:pPr>
        <w:tabs>
          <w:tab w:val="num" w:pos="567"/>
        </w:tabs>
        <w:ind w:left="567" w:hanging="567"/>
      </w:pPr>
      <w:rPr>
        <w:rFonts w:ascii="Arial Bold" w:hAnsi="Arial Bold" w:hint="default"/>
        <w:b/>
        <w:i w:val="0"/>
        <w:color w:val="0070C0"/>
        <w:sz w:val="22"/>
      </w:rPr>
    </w:lvl>
    <w:lvl w:ilvl="1">
      <w:start w:val="1"/>
      <w:numFmt w:val="decimal"/>
      <w:pStyle w:val="Heading2"/>
      <w:lvlText w:val="%1.%2"/>
      <w:lvlJc w:val="left"/>
      <w:pPr>
        <w:tabs>
          <w:tab w:val="num" w:pos="567"/>
        </w:tabs>
        <w:ind w:left="567" w:hanging="567"/>
      </w:pPr>
      <w:rPr>
        <w:rFonts w:ascii="Arial Bold" w:hAnsi="Arial Bold" w:hint="default"/>
        <w:b/>
        <w:i w:val="0"/>
        <w:color w:val="0070C0"/>
        <w:sz w:val="20"/>
        <w:szCs w:val="20"/>
      </w:rPr>
    </w:lvl>
    <w:lvl w:ilvl="2">
      <w:start w:val="1"/>
      <w:numFmt w:val="decimal"/>
      <w:pStyle w:val="Heading3"/>
      <w:lvlText w:val="%1.%2.%3"/>
      <w:lvlJc w:val="left"/>
      <w:pPr>
        <w:tabs>
          <w:tab w:val="num" w:pos="567"/>
        </w:tabs>
        <w:ind w:left="567" w:hanging="567"/>
      </w:pPr>
      <w:rPr>
        <w:rFonts w:ascii="Arial Bold" w:hAnsi="Arial Bold" w:hint="default"/>
        <w:b/>
        <w:i w:val="0"/>
        <w:color w:val="auto"/>
        <w:sz w:val="20"/>
      </w:rPr>
    </w:lvl>
    <w:lvl w:ilvl="3">
      <w:start w:val="1"/>
      <w:numFmt w:val="lowerLetter"/>
      <w:pStyle w:val="Heading4"/>
      <w:lvlText w:val="(%4)"/>
      <w:lvlJc w:val="left"/>
      <w:pPr>
        <w:tabs>
          <w:tab w:val="num" w:pos="567"/>
        </w:tabs>
        <w:ind w:left="567" w:hanging="567"/>
      </w:pPr>
      <w:rPr>
        <w:rFonts w:ascii="Arial" w:hAnsi="Arial" w:hint="default"/>
        <w:b w:val="0"/>
        <w:i w:val="0"/>
        <w:sz w:val="20"/>
      </w:rPr>
    </w:lvl>
    <w:lvl w:ilvl="4">
      <w:start w:val="1"/>
      <w:numFmt w:val="lowerRoman"/>
      <w:pStyle w:val="Heading5"/>
      <w:lvlText w:val="(%5)"/>
      <w:lvlJc w:val="left"/>
      <w:pPr>
        <w:tabs>
          <w:tab w:val="num" w:pos="1134"/>
        </w:tabs>
        <w:ind w:left="567" w:firstLine="0"/>
      </w:pPr>
      <w:rPr>
        <w:rFonts w:ascii="Arial" w:hAnsi="Arial" w:hint="default"/>
        <w:b w:val="0"/>
        <w:i w:val="0"/>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F7565C"/>
    <w:multiLevelType w:val="singleLevel"/>
    <w:tmpl w:val="9028BF2A"/>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2F9A7347"/>
    <w:multiLevelType w:val="multilevel"/>
    <w:tmpl w:val="E60032DA"/>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5" w15:restartNumberingAfterBreak="0">
    <w:nsid w:val="336970B7"/>
    <w:multiLevelType w:val="multilevel"/>
    <w:tmpl w:val="9216BF34"/>
    <w:styleLink w:val="Bullets"/>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3923371"/>
    <w:multiLevelType w:val="hybridMultilevel"/>
    <w:tmpl w:val="66A8C3D2"/>
    <w:lvl w:ilvl="0" w:tplc="CCFC8576">
      <w:start w:val="1"/>
      <w:numFmt w:val="bullet"/>
      <w:lvlText w:val=""/>
      <w:lvlJc w:val="left"/>
      <w:pPr>
        <w:tabs>
          <w:tab w:val="num" w:pos="737"/>
        </w:tabs>
        <w:ind w:left="737" w:hanging="73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FE502C"/>
    <w:multiLevelType w:val="singleLevel"/>
    <w:tmpl w:val="79509152"/>
    <w:lvl w:ilvl="0">
      <w:start w:val="1"/>
      <w:numFmt w:val="bullet"/>
      <w:lvlText w:val=""/>
      <w:lvlJc w:val="left"/>
      <w:pPr>
        <w:tabs>
          <w:tab w:val="num" w:pos="737"/>
        </w:tabs>
        <w:ind w:left="737" w:hanging="737"/>
      </w:pPr>
      <w:rPr>
        <w:rFonts w:ascii="Symbol" w:hAnsi="Symbol" w:hint="default"/>
      </w:rPr>
    </w:lvl>
  </w:abstractNum>
  <w:abstractNum w:abstractNumId="8" w15:restartNumberingAfterBreak="0">
    <w:nsid w:val="3C641939"/>
    <w:multiLevelType w:val="hybridMultilevel"/>
    <w:tmpl w:val="6666E896"/>
    <w:lvl w:ilvl="0" w:tplc="0358A29E">
      <w:start w:val="1"/>
      <w:numFmt w:val="bullet"/>
      <w:pStyle w:val="bullet"/>
      <w:lvlText w:val=""/>
      <w:lvlJc w:val="left"/>
      <w:pPr>
        <w:ind w:left="786" w:hanging="360"/>
      </w:pPr>
      <w:rPr>
        <w:rFonts w:ascii="Symbol" w:hAnsi="Symbol" w:hint="default"/>
        <w:color w:val="000000"/>
      </w:rPr>
    </w:lvl>
    <w:lvl w:ilvl="1" w:tplc="03869D8C" w:tentative="1">
      <w:start w:val="1"/>
      <w:numFmt w:val="bullet"/>
      <w:lvlText w:val="o"/>
      <w:lvlJc w:val="left"/>
      <w:pPr>
        <w:ind w:left="1724" w:hanging="360"/>
      </w:pPr>
      <w:rPr>
        <w:rFonts w:ascii="Courier New" w:hAnsi="Courier New" w:hint="default"/>
      </w:rPr>
    </w:lvl>
    <w:lvl w:ilvl="2" w:tplc="9ACAAC6C" w:tentative="1">
      <w:start w:val="1"/>
      <w:numFmt w:val="bullet"/>
      <w:lvlText w:val=""/>
      <w:lvlJc w:val="left"/>
      <w:pPr>
        <w:ind w:left="2444" w:hanging="360"/>
      </w:pPr>
      <w:rPr>
        <w:rFonts w:ascii="Wingdings" w:hAnsi="Wingdings" w:hint="default"/>
      </w:rPr>
    </w:lvl>
    <w:lvl w:ilvl="3" w:tplc="3B8CCD3C" w:tentative="1">
      <w:start w:val="1"/>
      <w:numFmt w:val="bullet"/>
      <w:lvlText w:val=""/>
      <w:lvlJc w:val="left"/>
      <w:pPr>
        <w:ind w:left="3164" w:hanging="360"/>
      </w:pPr>
      <w:rPr>
        <w:rFonts w:ascii="Symbol" w:hAnsi="Symbol" w:hint="default"/>
      </w:rPr>
    </w:lvl>
    <w:lvl w:ilvl="4" w:tplc="0ED2F5A6" w:tentative="1">
      <w:start w:val="1"/>
      <w:numFmt w:val="bullet"/>
      <w:lvlText w:val="o"/>
      <w:lvlJc w:val="left"/>
      <w:pPr>
        <w:ind w:left="3884" w:hanging="360"/>
      </w:pPr>
      <w:rPr>
        <w:rFonts w:ascii="Courier New" w:hAnsi="Courier New" w:hint="default"/>
      </w:rPr>
    </w:lvl>
    <w:lvl w:ilvl="5" w:tplc="813A0D94" w:tentative="1">
      <w:start w:val="1"/>
      <w:numFmt w:val="bullet"/>
      <w:lvlText w:val=""/>
      <w:lvlJc w:val="left"/>
      <w:pPr>
        <w:ind w:left="4604" w:hanging="360"/>
      </w:pPr>
      <w:rPr>
        <w:rFonts w:ascii="Wingdings" w:hAnsi="Wingdings" w:hint="default"/>
      </w:rPr>
    </w:lvl>
    <w:lvl w:ilvl="6" w:tplc="4B4C1B2C" w:tentative="1">
      <w:start w:val="1"/>
      <w:numFmt w:val="bullet"/>
      <w:lvlText w:val=""/>
      <w:lvlJc w:val="left"/>
      <w:pPr>
        <w:ind w:left="5324" w:hanging="360"/>
      </w:pPr>
      <w:rPr>
        <w:rFonts w:ascii="Symbol" w:hAnsi="Symbol" w:hint="default"/>
      </w:rPr>
    </w:lvl>
    <w:lvl w:ilvl="7" w:tplc="E2520DFA" w:tentative="1">
      <w:start w:val="1"/>
      <w:numFmt w:val="bullet"/>
      <w:lvlText w:val="o"/>
      <w:lvlJc w:val="left"/>
      <w:pPr>
        <w:ind w:left="6044" w:hanging="360"/>
      </w:pPr>
      <w:rPr>
        <w:rFonts w:ascii="Courier New" w:hAnsi="Courier New" w:hint="default"/>
      </w:rPr>
    </w:lvl>
    <w:lvl w:ilvl="8" w:tplc="813AF8AC" w:tentative="1">
      <w:start w:val="1"/>
      <w:numFmt w:val="bullet"/>
      <w:lvlText w:val=""/>
      <w:lvlJc w:val="left"/>
      <w:pPr>
        <w:ind w:left="6764" w:hanging="360"/>
      </w:pPr>
      <w:rPr>
        <w:rFonts w:ascii="Wingdings" w:hAnsi="Wingdings" w:hint="default"/>
      </w:rPr>
    </w:lvl>
  </w:abstractNum>
  <w:abstractNum w:abstractNumId="9" w15:restartNumberingAfterBreak="0">
    <w:nsid w:val="3FA9654E"/>
    <w:multiLevelType w:val="singleLevel"/>
    <w:tmpl w:val="CCFC8576"/>
    <w:lvl w:ilvl="0">
      <w:start w:val="1"/>
      <w:numFmt w:val="bullet"/>
      <w:lvlText w:val=""/>
      <w:lvlJc w:val="left"/>
      <w:pPr>
        <w:tabs>
          <w:tab w:val="num" w:pos="737"/>
        </w:tabs>
        <w:ind w:left="737" w:hanging="737"/>
      </w:pPr>
      <w:rPr>
        <w:rFonts w:ascii="Symbol" w:hAnsi="Symbol" w:hint="default"/>
      </w:rPr>
    </w:lvl>
  </w:abstractNum>
  <w:abstractNum w:abstractNumId="10" w15:restartNumberingAfterBreak="0">
    <w:nsid w:val="54AE63DE"/>
    <w:multiLevelType w:val="singleLevel"/>
    <w:tmpl w:val="DA9E8040"/>
    <w:lvl w:ilvl="0">
      <w:start w:val="1"/>
      <w:numFmt w:val="bullet"/>
      <w:lvlText w:val=""/>
      <w:lvlJc w:val="left"/>
      <w:pPr>
        <w:tabs>
          <w:tab w:val="num" w:pos="737"/>
        </w:tabs>
        <w:ind w:left="737" w:hanging="737"/>
      </w:pPr>
      <w:rPr>
        <w:rFonts w:ascii="Symbol" w:hAnsi="Symbol" w:hint="default"/>
      </w:rPr>
    </w:lvl>
  </w:abstractNum>
  <w:abstractNum w:abstractNumId="11" w15:restartNumberingAfterBreak="0">
    <w:nsid w:val="58B9011D"/>
    <w:multiLevelType w:val="singleLevel"/>
    <w:tmpl w:val="FA5885F6"/>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5DAF4A0E"/>
    <w:multiLevelType w:val="multilevel"/>
    <w:tmpl w:val="D84095A0"/>
    <w:styleLink w:val="Headings"/>
    <w:lvl w:ilvl="0">
      <w:start w:val="1"/>
      <w:numFmt w:val="decimal"/>
      <w:lvlText w:val="%1"/>
      <w:lvlJc w:val="left"/>
      <w:pPr>
        <w:tabs>
          <w:tab w:val="num" w:pos="340"/>
        </w:tabs>
        <w:ind w:left="340" w:hanging="340"/>
      </w:pPr>
      <w:rPr>
        <w:rFonts w:cs="Times New Roman" w:hint="default"/>
      </w:rPr>
    </w:lvl>
    <w:lvl w:ilvl="1">
      <w:start w:val="1"/>
      <w:numFmt w:val="decimal"/>
      <w:lvlText w:val="%1.%2."/>
      <w:lvlJc w:val="left"/>
      <w:pPr>
        <w:tabs>
          <w:tab w:val="num" w:pos="425"/>
        </w:tabs>
        <w:ind w:left="425" w:hanging="425"/>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737"/>
        </w:tabs>
        <w:ind w:left="737" w:hanging="737"/>
      </w:pPr>
      <w:rPr>
        <w:rFonts w:cs="Times New Roman" w:hint="default"/>
      </w:rPr>
    </w:lvl>
    <w:lvl w:ilvl="4">
      <w:start w:val="1"/>
      <w:numFmt w:val="decimal"/>
      <w:lvlText w:val="%1.%2.%3.%4.%5."/>
      <w:lvlJc w:val="left"/>
      <w:pPr>
        <w:tabs>
          <w:tab w:val="num" w:pos="907"/>
        </w:tabs>
        <w:ind w:left="907" w:hanging="907"/>
      </w:pPr>
      <w:rPr>
        <w:rFonts w:cs="Times New Roman" w:hint="default"/>
      </w:rPr>
    </w:lvl>
    <w:lvl w:ilvl="5">
      <w:start w:val="1"/>
      <w:numFmt w:val="none"/>
      <w:lvlText w:val=""/>
      <w:lvlJc w:val="left"/>
      <w:pPr>
        <w:tabs>
          <w:tab w:val="num" w:pos="0"/>
        </w:tabs>
        <w:ind w:left="227" w:hanging="227"/>
      </w:pPr>
      <w:rPr>
        <w:rFonts w:cs="Times New Roman" w:hint="default"/>
      </w:rPr>
    </w:lvl>
    <w:lvl w:ilvl="6">
      <w:start w:val="1"/>
      <w:numFmt w:val="none"/>
      <w:lvlText w:val=""/>
      <w:lvlJc w:val="left"/>
      <w:pPr>
        <w:tabs>
          <w:tab w:val="num" w:pos="0"/>
        </w:tabs>
        <w:ind w:left="227" w:hanging="227"/>
      </w:pPr>
      <w:rPr>
        <w:rFonts w:cs="Times New Roman" w:hint="default"/>
      </w:rPr>
    </w:lvl>
    <w:lvl w:ilvl="7">
      <w:start w:val="1"/>
      <w:numFmt w:val="none"/>
      <w:lvlText w:val=""/>
      <w:lvlJc w:val="left"/>
      <w:pPr>
        <w:tabs>
          <w:tab w:val="num" w:pos="0"/>
        </w:tabs>
        <w:ind w:left="227" w:hanging="227"/>
      </w:pPr>
      <w:rPr>
        <w:rFonts w:cs="Times New Roman" w:hint="default"/>
      </w:rPr>
    </w:lvl>
    <w:lvl w:ilvl="8">
      <w:start w:val="1"/>
      <w:numFmt w:val="none"/>
      <w:lvlText w:val=""/>
      <w:lvlJc w:val="left"/>
      <w:pPr>
        <w:tabs>
          <w:tab w:val="num" w:pos="0"/>
        </w:tabs>
        <w:ind w:left="227" w:hanging="227"/>
      </w:pPr>
      <w:rPr>
        <w:rFonts w:cs="Times New Roman" w:hint="default"/>
      </w:rPr>
    </w:lvl>
  </w:abstractNum>
  <w:abstractNum w:abstractNumId="13" w15:restartNumberingAfterBreak="0">
    <w:nsid w:val="65831E83"/>
    <w:multiLevelType w:val="hybridMultilevel"/>
    <w:tmpl w:val="EA02FA12"/>
    <w:lvl w:ilvl="0" w:tplc="4FE450CC">
      <w:start w:val="1"/>
      <w:numFmt w:val="decimal"/>
      <w:pStyle w:val="ListBullet1"/>
      <w:lvlText w:val="%1)"/>
      <w:lvlJc w:val="left"/>
      <w:pPr>
        <w:ind w:left="360" w:hanging="360"/>
      </w:pPr>
      <w:rPr>
        <w:rFonts w:cs="Times New Roman" w:hint="default"/>
        <w:b w:val="0"/>
        <w:color w:val="FFFFFF"/>
      </w:rPr>
    </w:lvl>
    <w:lvl w:ilvl="1" w:tplc="1ADE13CA">
      <w:start w:val="1"/>
      <w:numFmt w:val="bullet"/>
      <w:lvlText w:val="o"/>
      <w:lvlJc w:val="left"/>
      <w:pPr>
        <w:ind w:left="1080" w:hanging="360"/>
      </w:pPr>
      <w:rPr>
        <w:rFonts w:ascii="Courier New" w:hAnsi="Courier New" w:hint="default"/>
      </w:rPr>
    </w:lvl>
    <w:lvl w:ilvl="2" w:tplc="78EEAD0E" w:tentative="1">
      <w:start w:val="1"/>
      <w:numFmt w:val="bullet"/>
      <w:lvlText w:val=""/>
      <w:lvlJc w:val="left"/>
      <w:pPr>
        <w:ind w:left="1800" w:hanging="360"/>
      </w:pPr>
      <w:rPr>
        <w:rFonts w:ascii="Wingdings" w:hAnsi="Wingdings" w:hint="default"/>
      </w:rPr>
    </w:lvl>
    <w:lvl w:ilvl="3" w:tplc="80360AB8" w:tentative="1">
      <w:start w:val="1"/>
      <w:numFmt w:val="bullet"/>
      <w:lvlText w:val=""/>
      <w:lvlJc w:val="left"/>
      <w:pPr>
        <w:ind w:left="2520" w:hanging="360"/>
      </w:pPr>
      <w:rPr>
        <w:rFonts w:ascii="Symbol" w:hAnsi="Symbol" w:hint="default"/>
      </w:rPr>
    </w:lvl>
    <w:lvl w:ilvl="4" w:tplc="A0C05204" w:tentative="1">
      <w:start w:val="1"/>
      <w:numFmt w:val="bullet"/>
      <w:lvlText w:val="o"/>
      <w:lvlJc w:val="left"/>
      <w:pPr>
        <w:ind w:left="3240" w:hanging="360"/>
      </w:pPr>
      <w:rPr>
        <w:rFonts w:ascii="Courier New" w:hAnsi="Courier New" w:hint="default"/>
      </w:rPr>
    </w:lvl>
    <w:lvl w:ilvl="5" w:tplc="BD32B274" w:tentative="1">
      <w:start w:val="1"/>
      <w:numFmt w:val="bullet"/>
      <w:lvlText w:val=""/>
      <w:lvlJc w:val="left"/>
      <w:pPr>
        <w:ind w:left="3960" w:hanging="360"/>
      </w:pPr>
      <w:rPr>
        <w:rFonts w:ascii="Wingdings" w:hAnsi="Wingdings" w:hint="default"/>
      </w:rPr>
    </w:lvl>
    <w:lvl w:ilvl="6" w:tplc="B1EC3EA0" w:tentative="1">
      <w:start w:val="1"/>
      <w:numFmt w:val="bullet"/>
      <w:lvlText w:val=""/>
      <w:lvlJc w:val="left"/>
      <w:pPr>
        <w:ind w:left="4680" w:hanging="360"/>
      </w:pPr>
      <w:rPr>
        <w:rFonts w:ascii="Symbol" w:hAnsi="Symbol" w:hint="default"/>
      </w:rPr>
    </w:lvl>
    <w:lvl w:ilvl="7" w:tplc="FB42C4AC" w:tentative="1">
      <w:start w:val="1"/>
      <w:numFmt w:val="bullet"/>
      <w:lvlText w:val="o"/>
      <w:lvlJc w:val="left"/>
      <w:pPr>
        <w:ind w:left="5400" w:hanging="360"/>
      </w:pPr>
      <w:rPr>
        <w:rFonts w:ascii="Courier New" w:hAnsi="Courier New" w:hint="default"/>
      </w:rPr>
    </w:lvl>
    <w:lvl w:ilvl="8" w:tplc="8BB656AA" w:tentative="1">
      <w:start w:val="1"/>
      <w:numFmt w:val="bullet"/>
      <w:lvlText w:val=""/>
      <w:lvlJc w:val="left"/>
      <w:pPr>
        <w:ind w:left="6120" w:hanging="360"/>
      </w:pPr>
      <w:rPr>
        <w:rFonts w:ascii="Wingdings" w:hAnsi="Wingdings" w:hint="default"/>
      </w:rPr>
    </w:lvl>
  </w:abstractNum>
  <w:abstractNum w:abstractNumId="14" w15:restartNumberingAfterBreak="0">
    <w:nsid w:val="6A2146D8"/>
    <w:multiLevelType w:val="singleLevel"/>
    <w:tmpl w:val="CF300B04"/>
    <w:lvl w:ilvl="0">
      <w:start w:val="1"/>
      <w:numFmt w:val="bullet"/>
      <w:lvlText w:val=""/>
      <w:lvlJc w:val="left"/>
      <w:pPr>
        <w:tabs>
          <w:tab w:val="num" w:pos="737"/>
        </w:tabs>
        <w:ind w:left="737" w:hanging="737"/>
      </w:pPr>
      <w:rPr>
        <w:rFonts w:ascii="Symbol" w:hAnsi="Symbol" w:hint="default"/>
      </w:rPr>
    </w:lvl>
  </w:abstractNum>
  <w:abstractNum w:abstractNumId="15" w15:restartNumberingAfterBreak="0">
    <w:nsid w:val="6DAC2831"/>
    <w:multiLevelType w:val="singleLevel"/>
    <w:tmpl w:val="BC269280"/>
    <w:lvl w:ilvl="0">
      <w:start w:val="1"/>
      <w:numFmt w:val="bullet"/>
      <w:lvlText w:val=""/>
      <w:lvlJc w:val="left"/>
      <w:pPr>
        <w:tabs>
          <w:tab w:val="num" w:pos="737"/>
        </w:tabs>
        <w:ind w:left="737" w:hanging="737"/>
      </w:pPr>
      <w:rPr>
        <w:rFonts w:ascii="Symbol" w:hAnsi="Symbol" w:hint="default"/>
      </w:rPr>
    </w:lvl>
  </w:abstractNum>
  <w:abstractNum w:abstractNumId="16"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E54256"/>
    <w:multiLevelType w:val="singleLevel"/>
    <w:tmpl w:val="33E412B4"/>
    <w:lvl w:ilvl="0">
      <w:start w:val="1"/>
      <w:numFmt w:val="bullet"/>
      <w:lvlText w:val=""/>
      <w:lvlJc w:val="left"/>
      <w:pPr>
        <w:tabs>
          <w:tab w:val="num" w:pos="737"/>
        </w:tabs>
        <w:ind w:left="737" w:hanging="737"/>
      </w:pPr>
      <w:rPr>
        <w:rFonts w:ascii="Symbol" w:hAnsi="Symbol" w:hint="default"/>
      </w:rPr>
    </w:lvl>
  </w:abstractNum>
  <w:num w:numId="1">
    <w:abstractNumId w:val="0"/>
  </w:num>
  <w:num w:numId="2">
    <w:abstractNumId w:val="5"/>
  </w:num>
  <w:num w:numId="3">
    <w:abstractNumId w:val="13"/>
  </w:num>
  <w:num w:numId="4">
    <w:abstractNumId w:val="8"/>
  </w:num>
  <w:num w:numId="5">
    <w:abstractNumId w:val="16"/>
  </w:num>
  <w:num w:numId="6">
    <w:abstractNumId w:val="12"/>
  </w:num>
  <w:num w:numId="7">
    <w:abstractNumId w:val="4"/>
  </w:num>
  <w:num w:numId="8">
    <w:abstractNumId w:val="2"/>
  </w:num>
  <w:num w:numId="9">
    <w:abstractNumId w:val="17"/>
  </w:num>
  <w:num w:numId="10">
    <w:abstractNumId w:val="7"/>
  </w:num>
  <w:num w:numId="11">
    <w:abstractNumId w:val="14"/>
  </w:num>
  <w:num w:numId="12">
    <w:abstractNumId w:val="11"/>
  </w:num>
  <w:num w:numId="13">
    <w:abstractNumId w:val="3"/>
  </w:num>
  <w:num w:numId="14">
    <w:abstractNumId w:val="9"/>
  </w:num>
  <w:num w:numId="15">
    <w:abstractNumId w:val="15"/>
  </w:num>
  <w:num w:numId="16">
    <w:abstractNumId w:val="2"/>
  </w:num>
  <w:num w:numId="17">
    <w:abstractNumId w:val="2"/>
  </w:num>
  <w:num w:numId="18">
    <w:abstractNumId w:val="2"/>
  </w:num>
  <w:num w:numId="19">
    <w:abstractNumId w:val="2"/>
  </w:num>
  <w:num w:numId="20">
    <w:abstractNumId w:val="10"/>
  </w:num>
  <w:num w:numId="21">
    <w:abstractNumId w:val="2"/>
  </w:num>
  <w:num w:numId="22">
    <w:abstractNumId w:val="2"/>
  </w:num>
  <w:num w:numId="23">
    <w:abstractNumId w:val="1"/>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30038749_5"/>
  </w:docVars>
  <w:rsids>
    <w:rsidRoot w:val="0029098C"/>
    <w:rsid w:val="00001C26"/>
    <w:rsid w:val="000054BA"/>
    <w:rsid w:val="00005517"/>
    <w:rsid w:val="000061F1"/>
    <w:rsid w:val="00007315"/>
    <w:rsid w:val="000121F0"/>
    <w:rsid w:val="0001319B"/>
    <w:rsid w:val="0001427B"/>
    <w:rsid w:val="00015454"/>
    <w:rsid w:val="00016F83"/>
    <w:rsid w:val="000207E3"/>
    <w:rsid w:val="00022A86"/>
    <w:rsid w:val="00022D1B"/>
    <w:rsid w:val="00025435"/>
    <w:rsid w:val="0002583C"/>
    <w:rsid w:val="00026141"/>
    <w:rsid w:val="000333EE"/>
    <w:rsid w:val="00042931"/>
    <w:rsid w:val="0004343E"/>
    <w:rsid w:val="00043B6E"/>
    <w:rsid w:val="000441E9"/>
    <w:rsid w:val="00044A98"/>
    <w:rsid w:val="000472C5"/>
    <w:rsid w:val="00050BC8"/>
    <w:rsid w:val="00052DF2"/>
    <w:rsid w:val="000554F5"/>
    <w:rsid w:val="00056C1A"/>
    <w:rsid w:val="00057861"/>
    <w:rsid w:val="0006235E"/>
    <w:rsid w:val="00065F50"/>
    <w:rsid w:val="00066869"/>
    <w:rsid w:val="00067764"/>
    <w:rsid w:val="00067793"/>
    <w:rsid w:val="000706F4"/>
    <w:rsid w:val="000721F8"/>
    <w:rsid w:val="000743F2"/>
    <w:rsid w:val="00075C4F"/>
    <w:rsid w:val="00080521"/>
    <w:rsid w:val="000811CC"/>
    <w:rsid w:val="00081A20"/>
    <w:rsid w:val="0008247D"/>
    <w:rsid w:val="00083B76"/>
    <w:rsid w:val="00084859"/>
    <w:rsid w:val="000852EB"/>
    <w:rsid w:val="0008624D"/>
    <w:rsid w:val="000916CA"/>
    <w:rsid w:val="00091AFE"/>
    <w:rsid w:val="0009229A"/>
    <w:rsid w:val="000949B1"/>
    <w:rsid w:val="0009522D"/>
    <w:rsid w:val="000A1B2B"/>
    <w:rsid w:val="000A2689"/>
    <w:rsid w:val="000A291D"/>
    <w:rsid w:val="000A2A4E"/>
    <w:rsid w:val="000A3F8D"/>
    <w:rsid w:val="000B0573"/>
    <w:rsid w:val="000B183E"/>
    <w:rsid w:val="000B6765"/>
    <w:rsid w:val="000B6E7D"/>
    <w:rsid w:val="000B7B6F"/>
    <w:rsid w:val="000C21F6"/>
    <w:rsid w:val="000C2F57"/>
    <w:rsid w:val="000C3F67"/>
    <w:rsid w:val="000C4208"/>
    <w:rsid w:val="000C6B46"/>
    <w:rsid w:val="000C73DC"/>
    <w:rsid w:val="000D0B42"/>
    <w:rsid w:val="000D2171"/>
    <w:rsid w:val="000D29E2"/>
    <w:rsid w:val="000D29EF"/>
    <w:rsid w:val="000D2F8D"/>
    <w:rsid w:val="000D3068"/>
    <w:rsid w:val="000D54B5"/>
    <w:rsid w:val="000D6581"/>
    <w:rsid w:val="000D7D1E"/>
    <w:rsid w:val="000E12A1"/>
    <w:rsid w:val="000E1B86"/>
    <w:rsid w:val="000F1149"/>
    <w:rsid w:val="000F7AFC"/>
    <w:rsid w:val="000F7F99"/>
    <w:rsid w:val="0010225C"/>
    <w:rsid w:val="00103173"/>
    <w:rsid w:val="00105DB0"/>
    <w:rsid w:val="001069A9"/>
    <w:rsid w:val="00110172"/>
    <w:rsid w:val="0011022D"/>
    <w:rsid w:val="00114E90"/>
    <w:rsid w:val="0011672D"/>
    <w:rsid w:val="001172FE"/>
    <w:rsid w:val="001208A7"/>
    <w:rsid w:val="00120C67"/>
    <w:rsid w:val="00121DD9"/>
    <w:rsid w:val="0012327C"/>
    <w:rsid w:val="00130671"/>
    <w:rsid w:val="00132291"/>
    <w:rsid w:val="001325E4"/>
    <w:rsid w:val="001339C0"/>
    <w:rsid w:val="00135C15"/>
    <w:rsid w:val="00136E71"/>
    <w:rsid w:val="00141CDA"/>
    <w:rsid w:val="00141F43"/>
    <w:rsid w:val="00143855"/>
    <w:rsid w:val="00143BB2"/>
    <w:rsid w:val="00143C6A"/>
    <w:rsid w:val="001463F5"/>
    <w:rsid w:val="00147177"/>
    <w:rsid w:val="001505F0"/>
    <w:rsid w:val="001519C2"/>
    <w:rsid w:val="00151DA7"/>
    <w:rsid w:val="0015299B"/>
    <w:rsid w:val="00153B78"/>
    <w:rsid w:val="00163FB2"/>
    <w:rsid w:val="00164FBE"/>
    <w:rsid w:val="00167C7E"/>
    <w:rsid w:val="0017271B"/>
    <w:rsid w:val="001750C3"/>
    <w:rsid w:val="001770B6"/>
    <w:rsid w:val="001776FD"/>
    <w:rsid w:val="001813FB"/>
    <w:rsid w:val="001871CD"/>
    <w:rsid w:val="0019205D"/>
    <w:rsid w:val="00192C5E"/>
    <w:rsid w:val="00193EF6"/>
    <w:rsid w:val="0019444F"/>
    <w:rsid w:val="001970A6"/>
    <w:rsid w:val="0019750F"/>
    <w:rsid w:val="00197F44"/>
    <w:rsid w:val="001A1C90"/>
    <w:rsid w:val="001A206D"/>
    <w:rsid w:val="001A4F21"/>
    <w:rsid w:val="001A5724"/>
    <w:rsid w:val="001A5ADA"/>
    <w:rsid w:val="001A69B8"/>
    <w:rsid w:val="001B06FE"/>
    <w:rsid w:val="001B68EA"/>
    <w:rsid w:val="001B6993"/>
    <w:rsid w:val="001B7912"/>
    <w:rsid w:val="001C1DA0"/>
    <w:rsid w:val="001C225C"/>
    <w:rsid w:val="001C33CE"/>
    <w:rsid w:val="001D1535"/>
    <w:rsid w:val="001D2102"/>
    <w:rsid w:val="001D2293"/>
    <w:rsid w:val="001D2AEC"/>
    <w:rsid w:val="001D4610"/>
    <w:rsid w:val="001D4B5C"/>
    <w:rsid w:val="001D4CFB"/>
    <w:rsid w:val="001D5A6E"/>
    <w:rsid w:val="001D6BD8"/>
    <w:rsid w:val="001D756B"/>
    <w:rsid w:val="001E0E9B"/>
    <w:rsid w:val="001E0EC4"/>
    <w:rsid w:val="001E32F8"/>
    <w:rsid w:val="001E5AF1"/>
    <w:rsid w:val="001E69F7"/>
    <w:rsid w:val="001E6B08"/>
    <w:rsid w:val="001E7794"/>
    <w:rsid w:val="001F02D1"/>
    <w:rsid w:val="001F6986"/>
    <w:rsid w:val="001F7760"/>
    <w:rsid w:val="00200AD3"/>
    <w:rsid w:val="0020464B"/>
    <w:rsid w:val="002127DA"/>
    <w:rsid w:val="00213D05"/>
    <w:rsid w:val="00214BA1"/>
    <w:rsid w:val="00224CE6"/>
    <w:rsid w:val="00225385"/>
    <w:rsid w:val="00226B0C"/>
    <w:rsid w:val="00226D01"/>
    <w:rsid w:val="00226F82"/>
    <w:rsid w:val="00230E67"/>
    <w:rsid w:val="00233F58"/>
    <w:rsid w:val="00234BB3"/>
    <w:rsid w:val="002366D2"/>
    <w:rsid w:val="00240B90"/>
    <w:rsid w:val="002414A7"/>
    <w:rsid w:val="002431C6"/>
    <w:rsid w:val="0024381C"/>
    <w:rsid w:val="00244126"/>
    <w:rsid w:val="00244431"/>
    <w:rsid w:val="00245A30"/>
    <w:rsid w:val="002508D0"/>
    <w:rsid w:val="00250C04"/>
    <w:rsid w:val="002614EB"/>
    <w:rsid w:val="00263318"/>
    <w:rsid w:val="002655F7"/>
    <w:rsid w:val="00270366"/>
    <w:rsid w:val="00270936"/>
    <w:rsid w:val="00270CFE"/>
    <w:rsid w:val="00271B36"/>
    <w:rsid w:val="002723B8"/>
    <w:rsid w:val="002730D2"/>
    <w:rsid w:val="00273459"/>
    <w:rsid w:val="002760DF"/>
    <w:rsid w:val="00283DE2"/>
    <w:rsid w:val="00285245"/>
    <w:rsid w:val="002862F8"/>
    <w:rsid w:val="00286FD7"/>
    <w:rsid w:val="00287737"/>
    <w:rsid w:val="0029098C"/>
    <w:rsid w:val="00293301"/>
    <w:rsid w:val="002936A2"/>
    <w:rsid w:val="00294AA9"/>
    <w:rsid w:val="002957F1"/>
    <w:rsid w:val="002A0A44"/>
    <w:rsid w:val="002A1BCA"/>
    <w:rsid w:val="002B0A6E"/>
    <w:rsid w:val="002B7E42"/>
    <w:rsid w:val="002B7F05"/>
    <w:rsid w:val="002C0001"/>
    <w:rsid w:val="002C1440"/>
    <w:rsid w:val="002C235F"/>
    <w:rsid w:val="002C5BF4"/>
    <w:rsid w:val="002D26F7"/>
    <w:rsid w:val="002D5FD0"/>
    <w:rsid w:val="002E1D26"/>
    <w:rsid w:val="002E44EC"/>
    <w:rsid w:val="002E4E06"/>
    <w:rsid w:val="002F15BD"/>
    <w:rsid w:val="002F392A"/>
    <w:rsid w:val="002F444B"/>
    <w:rsid w:val="002F456C"/>
    <w:rsid w:val="002F4613"/>
    <w:rsid w:val="002F476C"/>
    <w:rsid w:val="00304D70"/>
    <w:rsid w:val="00306B5E"/>
    <w:rsid w:val="00307B78"/>
    <w:rsid w:val="003137D6"/>
    <w:rsid w:val="003155C4"/>
    <w:rsid w:val="0031651A"/>
    <w:rsid w:val="00316CDE"/>
    <w:rsid w:val="00320136"/>
    <w:rsid w:val="003208B6"/>
    <w:rsid w:val="00323021"/>
    <w:rsid w:val="00323B4B"/>
    <w:rsid w:val="00335531"/>
    <w:rsid w:val="00342601"/>
    <w:rsid w:val="00342F66"/>
    <w:rsid w:val="003435D8"/>
    <w:rsid w:val="003445B5"/>
    <w:rsid w:val="00345184"/>
    <w:rsid w:val="003518F9"/>
    <w:rsid w:val="00356F78"/>
    <w:rsid w:val="0035799A"/>
    <w:rsid w:val="00357FEB"/>
    <w:rsid w:val="00360A6F"/>
    <w:rsid w:val="003614C6"/>
    <w:rsid w:val="00362558"/>
    <w:rsid w:val="003627E0"/>
    <w:rsid w:val="00363B7E"/>
    <w:rsid w:val="0037359C"/>
    <w:rsid w:val="0038219F"/>
    <w:rsid w:val="00386730"/>
    <w:rsid w:val="003877D2"/>
    <w:rsid w:val="0039044B"/>
    <w:rsid w:val="00390961"/>
    <w:rsid w:val="003910F3"/>
    <w:rsid w:val="00391DF9"/>
    <w:rsid w:val="00394B18"/>
    <w:rsid w:val="00395109"/>
    <w:rsid w:val="00396980"/>
    <w:rsid w:val="003A0A96"/>
    <w:rsid w:val="003A2844"/>
    <w:rsid w:val="003A2C02"/>
    <w:rsid w:val="003A3B92"/>
    <w:rsid w:val="003A5485"/>
    <w:rsid w:val="003A69EF"/>
    <w:rsid w:val="003B355B"/>
    <w:rsid w:val="003B6339"/>
    <w:rsid w:val="003C003B"/>
    <w:rsid w:val="003C3905"/>
    <w:rsid w:val="003C4AC9"/>
    <w:rsid w:val="003C7B9E"/>
    <w:rsid w:val="003D026F"/>
    <w:rsid w:val="003D2F0F"/>
    <w:rsid w:val="003D64ED"/>
    <w:rsid w:val="003D6DB4"/>
    <w:rsid w:val="003E2020"/>
    <w:rsid w:val="003E6622"/>
    <w:rsid w:val="003E68E3"/>
    <w:rsid w:val="003E7390"/>
    <w:rsid w:val="003F2802"/>
    <w:rsid w:val="003F3ED5"/>
    <w:rsid w:val="003F424E"/>
    <w:rsid w:val="003F7A0D"/>
    <w:rsid w:val="003F7C6B"/>
    <w:rsid w:val="00400A49"/>
    <w:rsid w:val="00402F34"/>
    <w:rsid w:val="00403AE1"/>
    <w:rsid w:val="0040508B"/>
    <w:rsid w:val="0040574B"/>
    <w:rsid w:val="00416C83"/>
    <w:rsid w:val="004205C8"/>
    <w:rsid w:val="0042263D"/>
    <w:rsid w:val="004255B1"/>
    <w:rsid w:val="00426A05"/>
    <w:rsid w:val="0043197D"/>
    <w:rsid w:val="00431B65"/>
    <w:rsid w:val="00434167"/>
    <w:rsid w:val="00434221"/>
    <w:rsid w:val="004357EF"/>
    <w:rsid w:val="00436206"/>
    <w:rsid w:val="00437E3C"/>
    <w:rsid w:val="00440D9C"/>
    <w:rsid w:val="00443F05"/>
    <w:rsid w:val="00446017"/>
    <w:rsid w:val="00446637"/>
    <w:rsid w:val="00447ABF"/>
    <w:rsid w:val="00447E50"/>
    <w:rsid w:val="00450B68"/>
    <w:rsid w:val="00453186"/>
    <w:rsid w:val="00455B20"/>
    <w:rsid w:val="004563D3"/>
    <w:rsid w:val="00457554"/>
    <w:rsid w:val="00460C10"/>
    <w:rsid w:val="0046244C"/>
    <w:rsid w:val="00462EE6"/>
    <w:rsid w:val="00465C3C"/>
    <w:rsid w:val="00467256"/>
    <w:rsid w:val="00470AF9"/>
    <w:rsid w:val="004765A8"/>
    <w:rsid w:val="00476DD0"/>
    <w:rsid w:val="004773BF"/>
    <w:rsid w:val="00477F27"/>
    <w:rsid w:val="0048314A"/>
    <w:rsid w:val="004841D5"/>
    <w:rsid w:val="004847C8"/>
    <w:rsid w:val="0048721B"/>
    <w:rsid w:val="00487A0D"/>
    <w:rsid w:val="0049465B"/>
    <w:rsid w:val="00494B12"/>
    <w:rsid w:val="004955BF"/>
    <w:rsid w:val="004A20C5"/>
    <w:rsid w:val="004A5ECA"/>
    <w:rsid w:val="004B516E"/>
    <w:rsid w:val="004B7676"/>
    <w:rsid w:val="004C2DDB"/>
    <w:rsid w:val="004C6AAF"/>
    <w:rsid w:val="004C7FC8"/>
    <w:rsid w:val="004D0719"/>
    <w:rsid w:val="004D16C5"/>
    <w:rsid w:val="004D20B5"/>
    <w:rsid w:val="004D2170"/>
    <w:rsid w:val="004D2E52"/>
    <w:rsid w:val="004D420B"/>
    <w:rsid w:val="004D51D0"/>
    <w:rsid w:val="004D6135"/>
    <w:rsid w:val="004D7544"/>
    <w:rsid w:val="004E1532"/>
    <w:rsid w:val="004E1D35"/>
    <w:rsid w:val="004E266B"/>
    <w:rsid w:val="004E3B2B"/>
    <w:rsid w:val="004E539D"/>
    <w:rsid w:val="004E5856"/>
    <w:rsid w:val="004E59E2"/>
    <w:rsid w:val="004F04D6"/>
    <w:rsid w:val="004F6FE7"/>
    <w:rsid w:val="004F7843"/>
    <w:rsid w:val="00500763"/>
    <w:rsid w:val="0050235E"/>
    <w:rsid w:val="005028A4"/>
    <w:rsid w:val="005036A7"/>
    <w:rsid w:val="0050461B"/>
    <w:rsid w:val="00505B49"/>
    <w:rsid w:val="00507791"/>
    <w:rsid w:val="00507E4C"/>
    <w:rsid w:val="005142FA"/>
    <w:rsid w:val="00517692"/>
    <w:rsid w:val="00522C4E"/>
    <w:rsid w:val="00522E04"/>
    <w:rsid w:val="00522E0E"/>
    <w:rsid w:val="0052340C"/>
    <w:rsid w:val="00526A87"/>
    <w:rsid w:val="00527E77"/>
    <w:rsid w:val="00535E30"/>
    <w:rsid w:val="0053707D"/>
    <w:rsid w:val="00545759"/>
    <w:rsid w:val="005460F4"/>
    <w:rsid w:val="00547CF6"/>
    <w:rsid w:val="00551CFF"/>
    <w:rsid w:val="0055589A"/>
    <w:rsid w:val="00556E61"/>
    <w:rsid w:val="005624A7"/>
    <w:rsid w:val="0056258F"/>
    <w:rsid w:val="005659F2"/>
    <w:rsid w:val="005708BB"/>
    <w:rsid w:val="00573C21"/>
    <w:rsid w:val="005747C7"/>
    <w:rsid w:val="00575341"/>
    <w:rsid w:val="00575645"/>
    <w:rsid w:val="00575870"/>
    <w:rsid w:val="0058525E"/>
    <w:rsid w:val="00585C41"/>
    <w:rsid w:val="00586556"/>
    <w:rsid w:val="00587080"/>
    <w:rsid w:val="0059077E"/>
    <w:rsid w:val="00590A95"/>
    <w:rsid w:val="00591352"/>
    <w:rsid w:val="0059284A"/>
    <w:rsid w:val="00593F0B"/>
    <w:rsid w:val="00594FFA"/>
    <w:rsid w:val="0059635A"/>
    <w:rsid w:val="00596B64"/>
    <w:rsid w:val="00597D19"/>
    <w:rsid w:val="005A12D1"/>
    <w:rsid w:val="005A2CE3"/>
    <w:rsid w:val="005A2E19"/>
    <w:rsid w:val="005A391C"/>
    <w:rsid w:val="005A39B7"/>
    <w:rsid w:val="005A5F19"/>
    <w:rsid w:val="005A6ECC"/>
    <w:rsid w:val="005B065D"/>
    <w:rsid w:val="005B305F"/>
    <w:rsid w:val="005B39E0"/>
    <w:rsid w:val="005B7CF8"/>
    <w:rsid w:val="005B7D10"/>
    <w:rsid w:val="005B7FE9"/>
    <w:rsid w:val="005C116A"/>
    <w:rsid w:val="005C2B92"/>
    <w:rsid w:val="005C2F6D"/>
    <w:rsid w:val="005C4B70"/>
    <w:rsid w:val="005C62D3"/>
    <w:rsid w:val="005C7787"/>
    <w:rsid w:val="005D0B36"/>
    <w:rsid w:val="005D12F8"/>
    <w:rsid w:val="005D19C9"/>
    <w:rsid w:val="005D3009"/>
    <w:rsid w:val="005D3770"/>
    <w:rsid w:val="005D38B4"/>
    <w:rsid w:val="005D54CF"/>
    <w:rsid w:val="005E039E"/>
    <w:rsid w:val="005E0DAE"/>
    <w:rsid w:val="005E5909"/>
    <w:rsid w:val="005E6D05"/>
    <w:rsid w:val="005F3DDC"/>
    <w:rsid w:val="005F3E58"/>
    <w:rsid w:val="005F5154"/>
    <w:rsid w:val="005F6442"/>
    <w:rsid w:val="0060123D"/>
    <w:rsid w:val="006049D0"/>
    <w:rsid w:val="00605601"/>
    <w:rsid w:val="006104CF"/>
    <w:rsid w:val="00621D0F"/>
    <w:rsid w:val="00621F24"/>
    <w:rsid w:val="006244E9"/>
    <w:rsid w:val="00625FA2"/>
    <w:rsid w:val="00626B81"/>
    <w:rsid w:val="00626C53"/>
    <w:rsid w:val="00627E24"/>
    <w:rsid w:val="006324A6"/>
    <w:rsid w:val="0063280F"/>
    <w:rsid w:val="006354C0"/>
    <w:rsid w:val="00635990"/>
    <w:rsid w:val="00635EA0"/>
    <w:rsid w:val="00637873"/>
    <w:rsid w:val="006378F6"/>
    <w:rsid w:val="00641364"/>
    <w:rsid w:val="0064433F"/>
    <w:rsid w:val="006443B8"/>
    <w:rsid w:val="0064549B"/>
    <w:rsid w:val="00654678"/>
    <w:rsid w:val="00654A4E"/>
    <w:rsid w:val="006618CA"/>
    <w:rsid w:val="00661FF3"/>
    <w:rsid w:val="006630AC"/>
    <w:rsid w:val="00663E9E"/>
    <w:rsid w:val="00664CC2"/>
    <w:rsid w:val="00665004"/>
    <w:rsid w:val="00666144"/>
    <w:rsid w:val="00667CD1"/>
    <w:rsid w:val="00667E99"/>
    <w:rsid w:val="00671785"/>
    <w:rsid w:val="00673BEB"/>
    <w:rsid w:val="0067662F"/>
    <w:rsid w:val="0067729B"/>
    <w:rsid w:val="006774F5"/>
    <w:rsid w:val="0068080B"/>
    <w:rsid w:val="006813D0"/>
    <w:rsid w:val="00681A0A"/>
    <w:rsid w:val="006851CA"/>
    <w:rsid w:val="00687457"/>
    <w:rsid w:val="0069090A"/>
    <w:rsid w:val="00697F96"/>
    <w:rsid w:val="006A1FFF"/>
    <w:rsid w:val="006A2DF8"/>
    <w:rsid w:val="006A3B58"/>
    <w:rsid w:val="006A4A9C"/>
    <w:rsid w:val="006A706C"/>
    <w:rsid w:val="006A722E"/>
    <w:rsid w:val="006B0295"/>
    <w:rsid w:val="006B0A3D"/>
    <w:rsid w:val="006B1F41"/>
    <w:rsid w:val="006B24C7"/>
    <w:rsid w:val="006B57A9"/>
    <w:rsid w:val="006C032E"/>
    <w:rsid w:val="006C38F4"/>
    <w:rsid w:val="006C43EF"/>
    <w:rsid w:val="006C7213"/>
    <w:rsid w:val="006D0BC1"/>
    <w:rsid w:val="006D4DB4"/>
    <w:rsid w:val="006D525E"/>
    <w:rsid w:val="006D5488"/>
    <w:rsid w:val="006D6116"/>
    <w:rsid w:val="006D72A3"/>
    <w:rsid w:val="006E0854"/>
    <w:rsid w:val="006E105F"/>
    <w:rsid w:val="006E2191"/>
    <w:rsid w:val="006E5C32"/>
    <w:rsid w:val="006E6DF6"/>
    <w:rsid w:val="006F12EB"/>
    <w:rsid w:val="006F26EB"/>
    <w:rsid w:val="006F67A1"/>
    <w:rsid w:val="00700947"/>
    <w:rsid w:val="00701560"/>
    <w:rsid w:val="007021FB"/>
    <w:rsid w:val="00702DA2"/>
    <w:rsid w:val="0070664F"/>
    <w:rsid w:val="007115B9"/>
    <w:rsid w:val="00712308"/>
    <w:rsid w:val="00714F1D"/>
    <w:rsid w:val="007164C6"/>
    <w:rsid w:val="007200BF"/>
    <w:rsid w:val="00720F81"/>
    <w:rsid w:val="00721AA9"/>
    <w:rsid w:val="007225BD"/>
    <w:rsid w:val="00722E3A"/>
    <w:rsid w:val="007238E3"/>
    <w:rsid w:val="007249B2"/>
    <w:rsid w:val="0072529E"/>
    <w:rsid w:val="0072747A"/>
    <w:rsid w:val="007313C5"/>
    <w:rsid w:val="007316EE"/>
    <w:rsid w:val="00733311"/>
    <w:rsid w:val="00733340"/>
    <w:rsid w:val="00735C4C"/>
    <w:rsid w:val="007361D7"/>
    <w:rsid w:val="00736E1B"/>
    <w:rsid w:val="007457D2"/>
    <w:rsid w:val="007467CB"/>
    <w:rsid w:val="00746816"/>
    <w:rsid w:val="00750910"/>
    <w:rsid w:val="007509DF"/>
    <w:rsid w:val="00755869"/>
    <w:rsid w:val="00756287"/>
    <w:rsid w:val="00766F11"/>
    <w:rsid w:val="00771817"/>
    <w:rsid w:val="0077222D"/>
    <w:rsid w:val="00780CDE"/>
    <w:rsid w:val="00782441"/>
    <w:rsid w:val="0078289C"/>
    <w:rsid w:val="00783621"/>
    <w:rsid w:val="00783DD8"/>
    <w:rsid w:val="007841E3"/>
    <w:rsid w:val="00787A9D"/>
    <w:rsid w:val="0079169A"/>
    <w:rsid w:val="00793D3A"/>
    <w:rsid w:val="007A5A6A"/>
    <w:rsid w:val="007A6A6F"/>
    <w:rsid w:val="007A6F77"/>
    <w:rsid w:val="007B0D96"/>
    <w:rsid w:val="007B1653"/>
    <w:rsid w:val="007B4D04"/>
    <w:rsid w:val="007B50FE"/>
    <w:rsid w:val="007B5316"/>
    <w:rsid w:val="007B693E"/>
    <w:rsid w:val="007B7933"/>
    <w:rsid w:val="007C0CA7"/>
    <w:rsid w:val="007C156B"/>
    <w:rsid w:val="007C3714"/>
    <w:rsid w:val="007C39D6"/>
    <w:rsid w:val="007C6F0C"/>
    <w:rsid w:val="007C760C"/>
    <w:rsid w:val="007C7A8B"/>
    <w:rsid w:val="007C7F41"/>
    <w:rsid w:val="007D03FC"/>
    <w:rsid w:val="007D1CA9"/>
    <w:rsid w:val="007D3F0D"/>
    <w:rsid w:val="007D669B"/>
    <w:rsid w:val="007D7AF8"/>
    <w:rsid w:val="007E0CF5"/>
    <w:rsid w:val="007E1332"/>
    <w:rsid w:val="007E213A"/>
    <w:rsid w:val="007F3665"/>
    <w:rsid w:val="007F55A0"/>
    <w:rsid w:val="007F582D"/>
    <w:rsid w:val="007F63CB"/>
    <w:rsid w:val="0080009E"/>
    <w:rsid w:val="00801887"/>
    <w:rsid w:val="00802DB7"/>
    <w:rsid w:val="0081139D"/>
    <w:rsid w:val="00816F2F"/>
    <w:rsid w:val="0082365F"/>
    <w:rsid w:val="008279B2"/>
    <w:rsid w:val="00827AC8"/>
    <w:rsid w:val="00827FA8"/>
    <w:rsid w:val="00827FFE"/>
    <w:rsid w:val="00831A88"/>
    <w:rsid w:val="0083418D"/>
    <w:rsid w:val="008358DC"/>
    <w:rsid w:val="00835A7B"/>
    <w:rsid w:val="00835F26"/>
    <w:rsid w:val="00837DFF"/>
    <w:rsid w:val="00842011"/>
    <w:rsid w:val="00843AD6"/>
    <w:rsid w:val="00844C66"/>
    <w:rsid w:val="00851D21"/>
    <w:rsid w:val="00852A8D"/>
    <w:rsid w:val="00856D98"/>
    <w:rsid w:val="008571F0"/>
    <w:rsid w:val="00863EBE"/>
    <w:rsid w:val="0087090B"/>
    <w:rsid w:val="00872B95"/>
    <w:rsid w:val="008747B0"/>
    <w:rsid w:val="00874832"/>
    <w:rsid w:val="00874F17"/>
    <w:rsid w:val="00880424"/>
    <w:rsid w:val="00880616"/>
    <w:rsid w:val="00887A3D"/>
    <w:rsid w:val="00887D61"/>
    <w:rsid w:val="00890158"/>
    <w:rsid w:val="0089144C"/>
    <w:rsid w:val="00893BA0"/>
    <w:rsid w:val="008952F8"/>
    <w:rsid w:val="00896EB0"/>
    <w:rsid w:val="00896FCD"/>
    <w:rsid w:val="008A0E5F"/>
    <w:rsid w:val="008A1595"/>
    <w:rsid w:val="008A1EAA"/>
    <w:rsid w:val="008A3850"/>
    <w:rsid w:val="008A4596"/>
    <w:rsid w:val="008A52C8"/>
    <w:rsid w:val="008A6EBC"/>
    <w:rsid w:val="008B0519"/>
    <w:rsid w:val="008B05F6"/>
    <w:rsid w:val="008B3EFA"/>
    <w:rsid w:val="008B6DC5"/>
    <w:rsid w:val="008B78AC"/>
    <w:rsid w:val="008B7A59"/>
    <w:rsid w:val="008C0A6B"/>
    <w:rsid w:val="008C3846"/>
    <w:rsid w:val="008C75BA"/>
    <w:rsid w:val="008C7D6B"/>
    <w:rsid w:val="008D0205"/>
    <w:rsid w:val="008D1DE2"/>
    <w:rsid w:val="008D2470"/>
    <w:rsid w:val="008D26B2"/>
    <w:rsid w:val="008D2F92"/>
    <w:rsid w:val="008D3958"/>
    <w:rsid w:val="008D3A8A"/>
    <w:rsid w:val="008D3DF3"/>
    <w:rsid w:val="008D61C8"/>
    <w:rsid w:val="008D7BC7"/>
    <w:rsid w:val="008E07DA"/>
    <w:rsid w:val="008E2090"/>
    <w:rsid w:val="008E29A3"/>
    <w:rsid w:val="008E5A16"/>
    <w:rsid w:val="008E5AD5"/>
    <w:rsid w:val="008E6260"/>
    <w:rsid w:val="008E7480"/>
    <w:rsid w:val="008E7665"/>
    <w:rsid w:val="008F0CD5"/>
    <w:rsid w:val="008F5B48"/>
    <w:rsid w:val="008F5D1A"/>
    <w:rsid w:val="00901564"/>
    <w:rsid w:val="009018A1"/>
    <w:rsid w:val="0090566E"/>
    <w:rsid w:val="0090655F"/>
    <w:rsid w:val="0090783C"/>
    <w:rsid w:val="00910754"/>
    <w:rsid w:val="00910ACC"/>
    <w:rsid w:val="00912A04"/>
    <w:rsid w:val="00917114"/>
    <w:rsid w:val="0092141C"/>
    <w:rsid w:val="0092275C"/>
    <w:rsid w:val="00923710"/>
    <w:rsid w:val="00926A05"/>
    <w:rsid w:val="00935653"/>
    <w:rsid w:val="009364F6"/>
    <w:rsid w:val="00940697"/>
    <w:rsid w:val="00943EBE"/>
    <w:rsid w:val="00945420"/>
    <w:rsid w:val="00947196"/>
    <w:rsid w:val="00952B58"/>
    <w:rsid w:val="009535CB"/>
    <w:rsid w:val="009535DF"/>
    <w:rsid w:val="00953722"/>
    <w:rsid w:val="00962B53"/>
    <w:rsid w:val="00962D92"/>
    <w:rsid w:val="00967732"/>
    <w:rsid w:val="00967B1C"/>
    <w:rsid w:val="00967BCF"/>
    <w:rsid w:val="00972476"/>
    <w:rsid w:val="009732D8"/>
    <w:rsid w:val="009747A4"/>
    <w:rsid w:val="0098417F"/>
    <w:rsid w:val="00985E80"/>
    <w:rsid w:val="009862AE"/>
    <w:rsid w:val="00986F38"/>
    <w:rsid w:val="00987562"/>
    <w:rsid w:val="00993EC4"/>
    <w:rsid w:val="0099431C"/>
    <w:rsid w:val="0099504B"/>
    <w:rsid w:val="009A2874"/>
    <w:rsid w:val="009A6192"/>
    <w:rsid w:val="009A6D5D"/>
    <w:rsid w:val="009B32D6"/>
    <w:rsid w:val="009B6FC8"/>
    <w:rsid w:val="009C0395"/>
    <w:rsid w:val="009C05A2"/>
    <w:rsid w:val="009C162B"/>
    <w:rsid w:val="009C2C5E"/>
    <w:rsid w:val="009D06B8"/>
    <w:rsid w:val="009D1E38"/>
    <w:rsid w:val="009D53E5"/>
    <w:rsid w:val="009D67B0"/>
    <w:rsid w:val="009E0F33"/>
    <w:rsid w:val="009E4640"/>
    <w:rsid w:val="009E6522"/>
    <w:rsid w:val="009E6742"/>
    <w:rsid w:val="009E6CC3"/>
    <w:rsid w:val="009E736F"/>
    <w:rsid w:val="009F3B42"/>
    <w:rsid w:val="009F491B"/>
    <w:rsid w:val="009F57A5"/>
    <w:rsid w:val="009F6802"/>
    <w:rsid w:val="009F6CBC"/>
    <w:rsid w:val="00A03187"/>
    <w:rsid w:val="00A06525"/>
    <w:rsid w:val="00A071E4"/>
    <w:rsid w:val="00A10F4D"/>
    <w:rsid w:val="00A11F7C"/>
    <w:rsid w:val="00A12824"/>
    <w:rsid w:val="00A14E86"/>
    <w:rsid w:val="00A227C1"/>
    <w:rsid w:val="00A227FC"/>
    <w:rsid w:val="00A25F22"/>
    <w:rsid w:val="00A3232E"/>
    <w:rsid w:val="00A3371C"/>
    <w:rsid w:val="00A342DB"/>
    <w:rsid w:val="00A353C5"/>
    <w:rsid w:val="00A36B8E"/>
    <w:rsid w:val="00A37D22"/>
    <w:rsid w:val="00A5656A"/>
    <w:rsid w:val="00A60481"/>
    <w:rsid w:val="00A604CB"/>
    <w:rsid w:val="00A63066"/>
    <w:rsid w:val="00A635F8"/>
    <w:rsid w:val="00A64891"/>
    <w:rsid w:val="00A65345"/>
    <w:rsid w:val="00A65D7E"/>
    <w:rsid w:val="00A66473"/>
    <w:rsid w:val="00A66658"/>
    <w:rsid w:val="00A715BC"/>
    <w:rsid w:val="00A71B88"/>
    <w:rsid w:val="00A71E70"/>
    <w:rsid w:val="00A741B4"/>
    <w:rsid w:val="00A746C5"/>
    <w:rsid w:val="00A7631D"/>
    <w:rsid w:val="00A7666A"/>
    <w:rsid w:val="00A776B6"/>
    <w:rsid w:val="00A8046A"/>
    <w:rsid w:val="00A80C76"/>
    <w:rsid w:val="00A81B9D"/>
    <w:rsid w:val="00A829FC"/>
    <w:rsid w:val="00A851A0"/>
    <w:rsid w:val="00A85F43"/>
    <w:rsid w:val="00A879FC"/>
    <w:rsid w:val="00A93FDE"/>
    <w:rsid w:val="00AA027B"/>
    <w:rsid w:val="00AA1295"/>
    <w:rsid w:val="00AA31D8"/>
    <w:rsid w:val="00AA3426"/>
    <w:rsid w:val="00AA5363"/>
    <w:rsid w:val="00AA5688"/>
    <w:rsid w:val="00AB0B6D"/>
    <w:rsid w:val="00AB26D6"/>
    <w:rsid w:val="00AC2D7F"/>
    <w:rsid w:val="00AC4C19"/>
    <w:rsid w:val="00AD13E8"/>
    <w:rsid w:val="00AD420D"/>
    <w:rsid w:val="00AE1772"/>
    <w:rsid w:val="00AE2C2A"/>
    <w:rsid w:val="00AE4BA0"/>
    <w:rsid w:val="00AF0247"/>
    <w:rsid w:val="00AF2924"/>
    <w:rsid w:val="00AF2C80"/>
    <w:rsid w:val="00AF5A82"/>
    <w:rsid w:val="00AF63F1"/>
    <w:rsid w:val="00AF7813"/>
    <w:rsid w:val="00B01401"/>
    <w:rsid w:val="00B0146F"/>
    <w:rsid w:val="00B046BA"/>
    <w:rsid w:val="00B11B67"/>
    <w:rsid w:val="00B12558"/>
    <w:rsid w:val="00B155F0"/>
    <w:rsid w:val="00B17CA5"/>
    <w:rsid w:val="00B20B23"/>
    <w:rsid w:val="00B2309F"/>
    <w:rsid w:val="00B243EE"/>
    <w:rsid w:val="00B24E88"/>
    <w:rsid w:val="00B27F0B"/>
    <w:rsid w:val="00B30217"/>
    <w:rsid w:val="00B30CAC"/>
    <w:rsid w:val="00B31D36"/>
    <w:rsid w:val="00B369C0"/>
    <w:rsid w:val="00B400C7"/>
    <w:rsid w:val="00B41469"/>
    <w:rsid w:val="00B424F4"/>
    <w:rsid w:val="00B43523"/>
    <w:rsid w:val="00B44823"/>
    <w:rsid w:val="00B46603"/>
    <w:rsid w:val="00B510FC"/>
    <w:rsid w:val="00B51D82"/>
    <w:rsid w:val="00B5406A"/>
    <w:rsid w:val="00B62AFC"/>
    <w:rsid w:val="00B71A5A"/>
    <w:rsid w:val="00B72740"/>
    <w:rsid w:val="00B72FE7"/>
    <w:rsid w:val="00B73C38"/>
    <w:rsid w:val="00B74885"/>
    <w:rsid w:val="00B74E18"/>
    <w:rsid w:val="00B74F9A"/>
    <w:rsid w:val="00B7503C"/>
    <w:rsid w:val="00B76FB8"/>
    <w:rsid w:val="00B77452"/>
    <w:rsid w:val="00B7767E"/>
    <w:rsid w:val="00B81171"/>
    <w:rsid w:val="00B82905"/>
    <w:rsid w:val="00B840F0"/>
    <w:rsid w:val="00B85240"/>
    <w:rsid w:val="00B85667"/>
    <w:rsid w:val="00B86809"/>
    <w:rsid w:val="00B86EBE"/>
    <w:rsid w:val="00B87DB1"/>
    <w:rsid w:val="00B87F0C"/>
    <w:rsid w:val="00B90C32"/>
    <w:rsid w:val="00B91F75"/>
    <w:rsid w:val="00B95534"/>
    <w:rsid w:val="00B958A9"/>
    <w:rsid w:val="00B95F24"/>
    <w:rsid w:val="00B9640D"/>
    <w:rsid w:val="00B96C95"/>
    <w:rsid w:val="00B96CFA"/>
    <w:rsid w:val="00BA0549"/>
    <w:rsid w:val="00BA2CC0"/>
    <w:rsid w:val="00BA4008"/>
    <w:rsid w:val="00BA49AE"/>
    <w:rsid w:val="00BA6091"/>
    <w:rsid w:val="00BA7312"/>
    <w:rsid w:val="00BA7684"/>
    <w:rsid w:val="00BB0F5B"/>
    <w:rsid w:val="00BB3D34"/>
    <w:rsid w:val="00BB5999"/>
    <w:rsid w:val="00BB5C86"/>
    <w:rsid w:val="00BB6204"/>
    <w:rsid w:val="00BB72A7"/>
    <w:rsid w:val="00BB76A9"/>
    <w:rsid w:val="00BC0427"/>
    <w:rsid w:val="00BC13B5"/>
    <w:rsid w:val="00BC2E54"/>
    <w:rsid w:val="00BC2E57"/>
    <w:rsid w:val="00BC2F9B"/>
    <w:rsid w:val="00BC33CF"/>
    <w:rsid w:val="00BC44AB"/>
    <w:rsid w:val="00BC46FD"/>
    <w:rsid w:val="00BC4F60"/>
    <w:rsid w:val="00BC5FE0"/>
    <w:rsid w:val="00BD2160"/>
    <w:rsid w:val="00BD2BF3"/>
    <w:rsid w:val="00BD31A1"/>
    <w:rsid w:val="00BD5B9F"/>
    <w:rsid w:val="00BD613E"/>
    <w:rsid w:val="00BE72C6"/>
    <w:rsid w:val="00BF42D1"/>
    <w:rsid w:val="00C02F30"/>
    <w:rsid w:val="00C04354"/>
    <w:rsid w:val="00C055A3"/>
    <w:rsid w:val="00C07F39"/>
    <w:rsid w:val="00C136F7"/>
    <w:rsid w:val="00C16951"/>
    <w:rsid w:val="00C200C3"/>
    <w:rsid w:val="00C227C3"/>
    <w:rsid w:val="00C251C3"/>
    <w:rsid w:val="00C31990"/>
    <w:rsid w:val="00C3220C"/>
    <w:rsid w:val="00C34B0B"/>
    <w:rsid w:val="00C359CD"/>
    <w:rsid w:val="00C3687A"/>
    <w:rsid w:val="00C37609"/>
    <w:rsid w:val="00C41BB7"/>
    <w:rsid w:val="00C4359D"/>
    <w:rsid w:val="00C43DCC"/>
    <w:rsid w:val="00C44D6B"/>
    <w:rsid w:val="00C5052D"/>
    <w:rsid w:val="00C51643"/>
    <w:rsid w:val="00C5256F"/>
    <w:rsid w:val="00C54015"/>
    <w:rsid w:val="00C5482D"/>
    <w:rsid w:val="00C5542A"/>
    <w:rsid w:val="00C570CB"/>
    <w:rsid w:val="00C61D75"/>
    <w:rsid w:val="00C622B9"/>
    <w:rsid w:val="00C62AF0"/>
    <w:rsid w:val="00C643EF"/>
    <w:rsid w:val="00C65F9F"/>
    <w:rsid w:val="00C67B20"/>
    <w:rsid w:val="00C73A02"/>
    <w:rsid w:val="00C80696"/>
    <w:rsid w:val="00C826C3"/>
    <w:rsid w:val="00C830C9"/>
    <w:rsid w:val="00C8528D"/>
    <w:rsid w:val="00C855B4"/>
    <w:rsid w:val="00C85676"/>
    <w:rsid w:val="00C91D71"/>
    <w:rsid w:val="00C9308D"/>
    <w:rsid w:val="00C94610"/>
    <w:rsid w:val="00C9699C"/>
    <w:rsid w:val="00CA22A8"/>
    <w:rsid w:val="00CA3943"/>
    <w:rsid w:val="00CA7212"/>
    <w:rsid w:val="00CB2473"/>
    <w:rsid w:val="00CB6502"/>
    <w:rsid w:val="00CB7BC6"/>
    <w:rsid w:val="00CC04A2"/>
    <w:rsid w:val="00CC55A2"/>
    <w:rsid w:val="00CC69E3"/>
    <w:rsid w:val="00CC7009"/>
    <w:rsid w:val="00CE08B2"/>
    <w:rsid w:val="00CE0C21"/>
    <w:rsid w:val="00CE18B1"/>
    <w:rsid w:val="00CF0C26"/>
    <w:rsid w:val="00D07F14"/>
    <w:rsid w:val="00D11D8F"/>
    <w:rsid w:val="00D1220F"/>
    <w:rsid w:val="00D1401F"/>
    <w:rsid w:val="00D149EC"/>
    <w:rsid w:val="00D15043"/>
    <w:rsid w:val="00D21C79"/>
    <w:rsid w:val="00D26A3F"/>
    <w:rsid w:val="00D27E21"/>
    <w:rsid w:val="00D366AF"/>
    <w:rsid w:val="00D36EF7"/>
    <w:rsid w:val="00D37369"/>
    <w:rsid w:val="00D42344"/>
    <w:rsid w:val="00D44EFC"/>
    <w:rsid w:val="00D47E0B"/>
    <w:rsid w:val="00D50AF2"/>
    <w:rsid w:val="00D524D3"/>
    <w:rsid w:val="00D5531C"/>
    <w:rsid w:val="00D553E7"/>
    <w:rsid w:val="00D55FF8"/>
    <w:rsid w:val="00D5674D"/>
    <w:rsid w:val="00D56DE9"/>
    <w:rsid w:val="00D66E3A"/>
    <w:rsid w:val="00D67B3E"/>
    <w:rsid w:val="00D70CD6"/>
    <w:rsid w:val="00D71608"/>
    <w:rsid w:val="00D72378"/>
    <w:rsid w:val="00D74BBE"/>
    <w:rsid w:val="00D7605D"/>
    <w:rsid w:val="00D76A42"/>
    <w:rsid w:val="00D76A49"/>
    <w:rsid w:val="00D7724D"/>
    <w:rsid w:val="00D80D45"/>
    <w:rsid w:val="00D84D40"/>
    <w:rsid w:val="00D87013"/>
    <w:rsid w:val="00D90574"/>
    <w:rsid w:val="00D91C24"/>
    <w:rsid w:val="00D9216A"/>
    <w:rsid w:val="00D921DA"/>
    <w:rsid w:val="00D97A39"/>
    <w:rsid w:val="00D97AC0"/>
    <w:rsid w:val="00DA0C53"/>
    <w:rsid w:val="00DA15EC"/>
    <w:rsid w:val="00DA165C"/>
    <w:rsid w:val="00DA1DEC"/>
    <w:rsid w:val="00DA317D"/>
    <w:rsid w:val="00DA467E"/>
    <w:rsid w:val="00DB17AF"/>
    <w:rsid w:val="00DB30CB"/>
    <w:rsid w:val="00DB6091"/>
    <w:rsid w:val="00DB610E"/>
    <w:rsid w:val="00DC381A"/>
    <w:rsid w:val="00DC5AB9"/>
    <w:rsid w:val="00DC5D2B"/>
    <w:rsid w:val="00DC630B"/>
    <w:rsid w:val="00DC7842"/>
    <w:rsid w:val="00DD0A8B"/>
    <w:rsid w:val="00DD51F3"/>
    <w:rsid w:val="00DD6114"/>
    <w:rsid w:val="00DD7246"/>
    <w:rsid w:val="00DE1D5F"/>
    <w:rsid w:val="00DE355B"/>
    <w:rsid w:val="00DE6C29"/>
    <w:rsid w:val="00DE6F54"/>
    <w:rsid w:val="00DF0DE2"/>
    <w:rsid w:val="00DF23F7"/>
    <w:rsid w:val="00DF525F"/>
    <w:rsid w:val="00DF6BEC"/>
    <w:rsid w:val="00DF7127"/>
    <w:rsid w:val="00E01F4C"/>
    <w:rsid w:val="00E0270F"/>
    <w:rsid w:val="00E031C7"/>
    <w:rsid w:val="00E03616"/>
    <w:rsid w:val="00E05784"/>
    <w:rsid w:val="00E10DF9"/>
    <w:rsid w:val="00E126B5"/>
    <w:rsid w:val="00E14F56"/>
    <w:rsid w:val="00E168F8"/>
    <w:rsid w:val="00E248A1"/>
    <w:rsid w:val="00E26A76"/>
    <w:rsid w:val="00E26D19"/>
    <w:rsid w:val="00E32370"/>
    <w:rsid w:val="00E323FF"/>
    <w:rsid w:val="00E32C18"/>
    <w:rsid w:val="00E340BA"/>
    <w:rsid w:val="00E37865"/>
    <w:rsid w:val="00E378B5"/>
    <w:rsid w:val="00E37EED"/>
    <w:rsid w:val="00E40350"/>
    <w:rsid w:val="00E41867"/>
    <w:rsid w:val="00E4249C"/>
    <w:rsid w:val="00E42827"/>
    <w:rsid w:val="00E5049C"/>
    <w:rsid w:val="00E504FA"/>
    <w:rsid w:val="00E5111F"/>
    <w:rsid w:val="00E5159C"/>
    <w:rsid w:val="00E516BE"/>
    <w:rsid w:val="00E51D3A"/>
    <w:rsid w:val="00E53DD8"/>
    <w:rsid w:val="00E54F7D"/>
    <w:rsid w:val="00E60387"/>
    <w:rsid w:val="00E61B07"/>
    <w:rsid w:val="00E62642"/>
    <w:rsid w:val="00E64472"/>
    <w:rsid w:val="00E65192"/>
    <w:rsid w:val="00E7094C"/>
    <w:rsid w:val="00E725A5"/>
    <w:rsid w:val="00E72C3F"/>
    <w:rsid w:val="00E74D4C"/>
    <w:rsid w:val="00E776AA"/>
    <w:rsid w:val="00E814A1"/>
    <w:rsid w:val="00E81F7D"/>
    <w:rsid w:val="00E92776"/>
    <w:rsid w:val="00E930BA"/>
    <w:rsid w:val="00E94A5B"/>
    <w:rsid w:val="00E956D9"/>
    <w:rsid w:val="00E95DAF"/>
    <w:rsid w:val="00EA235D"/>
    <w:rsid w:val="00EA3594"/>
    <w:rsid w:val="00EA46CC"/>
    <w:rsid w:val="00EA7BFE"/>
    <w:rsid w:val="00EB0A69"/>
    <w:rsid w:val="00EB3A62"/>
    <w:rsid w:val="00EB632E"/>
    <w:rsid w:val="00EB7290"/>
    <w:rsid w:val="00EC0DE1"/>
    <w:rsid w:val="00EC259A"/>
    <w:rsid w:val="00EC2A4C"/>
    <w:rsid w:val="00EC66C9"/>
    <w:rsid w:val="00EC78F5"/>
    <w:rsid w:val="00ED09B6"/>
    <w:rsid w:val="00ED22FA"/>
    <w:rsid w:val="00ED32D1"/>
    <w:rsid w:val="00ED605A"/>
    <w:rsid w:val="00ED608B"/>
    <w:rsid w:val="00ED6DFE"/>
    <w:rsid w:val="00ED7AE6"/>
    <w:rsid w:val="00EE07C2"/>
    <w:rsid w:val="00EE242B"/>
    <w:rsid w:val="00EE4490"/>
    <w:rsid w:val="00EE5939"/>
    <w:rsid w:val="00EE7847"/>
    <w:rsid w:val="00EF4714"/>
    <w:rsid w:val="00EF5B95"/>
    <w:rsid w:val="00EF674A"/>
    <w:rsid w:val="00EF6AE1"/>
    <w:rsid w:val="00EF7704"/>
    <w:rsid w:val="00F026CF"/>
    <w:rsid w:val="00F02C9F"/>
    <w:rsid w:val="00F03A33"/>
    <w:rsid w:val="00F03BA8"/>
    <w:rsid w:val="00F046ED"/>
    <w:rsid w:val="00F10BF0"/>
    <w:rsid w:val="00F115D8"/>
    <w:rsid w:val="00F127E0"/>
    <w:rsid w:val="00F1314E"/>
    <w:rsid w:val="00F132AE"/>
    <w:rsid w:val="00F147B7"/>
    <w:rsid w:val="00F150F2"/>
    <w:rsid w:val="00F159DE"/>
    <w:rsid w:val="00F15E5A"/>
    <w:rsid w:val="00F20F8D"/>
    <w:rsid w:val="00F21850"/>
    <w:rsid w:val="00F227F5"/>
    <w:rsid w:val="00F22AAF"/>
    <w:rsid w:val="00F24D44"/>
    <w:rsid w:val="00F256CF"/>
    <w:rsid w:val="00F327C9"/>
    <w:rsid w:val="00F41EAB"/>
    <w:rsid w:val="00F432C4"/>
    <w:rsid w:val="00F45524"/>
    <w:rsid w:val="00F46A6F"/>
    <w:rsid w:val="00F47A2A"/>
    <w:rsid w:val="00F5039A"/>
    <w:rsid w:val="00F53647"/>
    <w:rsid w:val="00F53E9C"/>
    <w:rsid w:val="00F63DB9"/>
    <w:rsid w:val="00F651FA"/>
    <w:rsid w:val="00F658F4"/>
    <w:rsid w:val="00F71C93"/>
    <w:rsid w:val="00F75DF5"/>
    <w:rsid w:val="00F90EE1"/>
    <w:rsid w:val="00F93A48"/>
    <w:rsid w:val="00F947A7"/>
    <w:rsid w:val="00F95050"/>
    <w:rsid w:val="00F968F1"/>
    <w:rsid w:val="00FA12C6"/>
    <w:rsid w:val="00FB287F"/>
    <w:rsid w:val="00FB6D7C"/>
    <w:rsid w:val="00FC0461"/>
    <w:rsid w:val="00FC1290"/>
    <w:rsid w:val="00FC186D"/>
    <w:rsid w:val="00FC2409"/>
    <w:rsid w:val="00FC24F8"/>
    <w:rsid w:val="00FC2F85"/>
    <w:rsid w:val="00FC358A"/>
    <w:rsid w:val="00FC4B23"/>
    <w:rsid w:val="00FC7D21"/>
    <w:rsid w:val="00FD0F08"/>
    <w:rsid w:val="00FD19E7"/>
    <w:rsid w:val="00FD3BFB"/>
    <w:rsid w:val="00FD4EE8"/>
    <w:rsid w:val="00FD600F"/>
    <w:rsid w:val="00FE08A9"/>
    <w:rsid w:val="00FE0C60"/>
    <w:rsid w:val="00FE106C"/>
    <w:rsid w:val="00FE456A"/>
    <w:rsid w:val="00FE6C0E"/>
    <w:rsid w:val="00FE7014"/>
    <w:rsid w:val="00FF56EB"/>
    <w:rsid w:val="00FF740C"/>
    <w:rsid w:val="00FF75E9"/>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2E069"/>
  <w15:docId w15:val="{5D4CB7C6-6F50-4C9C-8AFD-97406CD6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98C"/>
    <w:pPr>
      <w:spacing w:after="0" w:line="240" w:lineRule="atLeast"/>
    </w:pPr>
    <w:rPr>
      <w:rFonts w:ascii="Arial" w:eastAsia="Cambria" w:hAnsi="Arial" w:cs="Times New Roman"/>
      <w:color w:val="1C1C1C"/>
      <w:spacing w:val="-2"/>
      <w:sz w:val="20"/>
      <w:szCs w:val="24"/>
      <w:lang w:val="en-US"/>
    </w:rPr>
  </w:style>
  <w:style w:type="paragraph" w:styleId="Heading1">
    <w:name w:val="heading 1"/>
    <w:basedOn w:val="Normal"/>
    <w:next w:val="Normal"/>
    <w:link w:val="Heading1Char"/>
    <w:qFormat/>
    <w:rsid w:val="00ED605A"/>
    <w:pPr>
      <w:widowControl w:val="0"/>
      <w:numPr>
        <w:numId w:val="8"/>
      </w:numPr>
      <w:tabs>
        <w:tab w:val="left" w:pos="2268"/>
        <w:tab w:val="left" w:pos="5669"/>
      </w:tabs>
      <w:suppressAutoHyphens/>
      <w:autoSpaceDE w:val="0"/>
      <w:autoSpaceDN w:val="0"/>
      <w:adjustRightInd w:val="0"/>
      <w:spacing w:after="240" w:line="240" w:lineRule="auto"/>
      <w:textAlignment w:val="center"/>
      <w:outlineLvl w:val="0"/>
    </w:pPr>
    <w:rPr>
      <w:rFonts w:cs="Calibri"/>
      <w:b/>
      <w:color w:val="0065C6"/>
      <w:sz w:val="24"/>
      <w:szCs w:val="28"/>
    </w:rPr>
  </w:style>
  <w:style w:type="paragraph" w:styleId="Heading2">
    <w:name w:val="heading 2"/>
    <w:basedOn w:val="Normal"/>
    <w:next w:val="Normal"/>
    <w:link w:val="Heading2Char"/>
    <w:unhideWhenUsed/>
    <w:qFormat/>
    <w:rsid w:val="002414A7"/>
    <w:pPr>
      <w:keepNext/>
      <w:numPr>
        <w:ilvl w:val="1"/>
        <w:numId w:val="8"/>
      </w:numPr>
      <w:spacing w:after="240" w:line="240" w:lineRule="auto"/>
      <w:outlineLvl w:val="1"/>
    </w:pPr>
    <w:rPr>
      <w:rFonts w:eastAsiaTheme="majorEastAsia" w:cstheme="majorBidi"/>
      <w:b/>
      <w:bCs/>
      <w:color w:val="0070C0"/>
      <w:sz w:val="22"/>
      <w:szCs w:val="26"/>
    </w:rPr>
  </w:style>
  <w:style w:type="paragraph" w:styleId="Heading3">
    <w:name w:val="heading 3"/>
    <w:basedOn w:val="Normal"/>
    <w:next w:val="Normal"/>
    <w:link w:val="Heading3Char"/>
    <w:unhideWhenUsed/>
    <w:qFormat/>
    <w:rsid w:val="006104CF"/>
    <w:pPr>
      <w:keepNext/>
      <w:keepLines/>
      <w:numPr>
        <w:ilvl w:val="2"/>
        <w:numId w:val="8"/>
      </w:numPr>
      <w:spacing w:after="240" w:line="240" w:lineRule="auto"/>
      <w:outlineLvl w:val="2"/>
    </w:pPr>
    <w:rPr>
      <w:rFonts w:ascii="Arial Bold" w:eastAsiaTheme="majorEastAsia" w:hAnsi="Arial Bold" w:cstheme="majorBidi"/>
      <w:b/>
      <w:bCs/>
      <w:color w:val="0070C0"/>
      <w:sz w:val="22"/>
    </w:rPr>
  </w:style>
  <w:style w:type="paragraph" w:styleId="Heading4">
    <w:name w:val="heading 4"/>
    <w:basedOn w:val="Normal"/>
    <w:next w:val="Normal"/>
    <w:link w:val="Heading4Char"/>
    <w:unhideWhenUsed/>
    <w:qFormat/>
    <w:rsid w:val="002414A7"/>
    <w:pPr>
      <w:numPr>
        <w:ilvl w:val="3"/>
        <w:numId w:val="8"/>
      </w:numPr>
      <w:spacing w:after="240" w:line="240" w:lineRule="auto"/>
      <w:outlineLvl w:val="3"/>
    </w:pPr>
    <w:rPr>
      <w:rFonts w:eastAsiaTheme="majorEastAsia" w:cstheme="majorBidi"/>
      <w:bCs/>
      <w:iCs/>
      <w:color w:val="auto"/>
    </w:rPr>
  </w:style>
  <w:style w:type="paragraph" w:styleId="Heading5">
    <w:name w:val="heading 5"/>
    <w:aliases w:val="A.1 Heading"/>
    <w:basedOn w:val="Heading4"/>
    <w:next w:val="BodyText"/>
    <w:link w:val="Heading5Char"/>
    <w:qFormat/>
    <w:rsid w:val="002414A7"/>
    <w:pPr>
      <w:widowControl w:val="0"/>
      <w:numPr>
        <w:ilvl w:val="4"/>
      </w:numPr>
      <w:suppressAutoHyphens/>
      <w:autoSpaceDE w:val="0"/>
      <w:autoSpaceDN w:val="0"/>
      <w:adjustRightInd w:val="0"/>
      <w:textAlignment w:val="center"/>
      <w:outlineLvl w:val="4"/>
    </w:pPr>
    <w:rPr>
      <w:rFonts w:eastAsia="PMingLiU" w:cs="Times New Roman"/>
      <w:bCs w:val="0"/>
      <w:szCs w:val="21"/>
      <w:lang w:val="en-AU"/>
    </w:rPr>
  </w:style>
  <w:style w:type="paragraph" w:styleId="Heading6">
    <w:name w:val="heading 6"/>
    <w:aliases w:val="A.1.1 Heading"/>
    <w:basedOn w:val="Normal"/>
    <w:next w:val="BodyText"/>
    <w:link w:val="Heading6Char"/>
    <w:qFormat/>
    <w:rsid w:val="0067662F"/>
    <w:pPr>
      <w:keepNext/>
      <w:tabs>
        <w:tab w:val="num" w:pos="720"/>
      </w:tabs>
      <w:spacing w:after="80" w:line="240" w:lineRule="auto"/>
      <w:ind w:left="720" w:hanging="720"/>
      <w:outlineLvl w:val="5"/>
    </w:pPr>
    <w:rPr>
      <w:rFonts w:eastAsia="Times New Roman" w:cs="Arial"/>
      <w:b/>
      <w:color w:val="auto"/>
      <w:spacing w:val="0"/>
      <w:kern w:val="28"/>
      <w:sz w:val="24"/>
      <w:lang w:val="en-AU" w:eastAsia="en-NZ"/>
    </w:rPr>
  </w:style>
  <w:style w:type="paragraph" w:styleId="Heading7">
    <w:name w:val="heading 7"/>
    <w:basedOn w:val="Normal"/>
    <w:link w:val="Heading7Char"/>
    <w:qFormat/>
    <w:rsid w:val="0067662F"/>
    <w:pPr>
      <w:tabs>
        <w:tab w:val="num" w:pos="737"/>
      </w:tabs>
      <w:spacing w:after="240" w:line="240" w:lineRule="auto"/>
      <w:ind w:left="737" w:hanging="737"/>
      <w:outlineLvl w:val="6"/>
    </w:pPr>
    <w:rPr>
      <w:rFonts w:eastAsia="Times New Roman" w:cs="Arial"/>
      <w:color w:val="auto"/>
      <w:spacing w:val="0"/>
      <w:szCs w:val="20"/>
      <w:lang w:val="en-AU"/>
    </w:rPr>
  </w:style>
  <w:style w:type="paragraph" w:styleId="Heading8">
    <w:name w:val="heading 8"/>
    <w:basedOn w:val="Normal"/>
    <w:next w:val="Normal"/>
    <w:link w:val="Heading8Char"/>
    <w:unhideWhenUsed/>
    <w:qFormat/>
    <w:rsid w:val="0029098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link w:val="Heading9Char"/>
    <w:qFormat/>
    <w:rsid w:val="0067662F"/>
    <w:pPr>
      <w:tabs>
        <w:tab w:val="num" w:pos="2211"/>
      </w:tabs>
      <w:spacing w:after="240" w:line="240" w:lineRule="auto"/>
      <w:ind w:left="2211" w:hanging="737"/>
      <w:outlineLvl w:val="8"/>
    </w:pPr>
    <w:rPr>
      <w:rFonts w:eastAsia="Times New Roman" w:cs="Arial"/>
      <w:color w:val="auto"/>
      <w:spacing w:val="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05A"/>
    <w:rPr>
      <w:rFonts w:ascii="Arial" w:eastAsia="Cambria" w:hAnsi="Arial" w:cs="Calibri"/>
      <w:b/>
      <w:color w:val="0065C6"/>
      <w:spacing w:val="-2"/>
      <w:sz w:val="24"/>
      <w:szCs w:val="28"/>
      <w:lang w:val="en-US"/>
    </w:rPr>
  </w:style>
  <w:style w:type="character" w:customStyle="1" w:styleId="Heading3Char">
    <w:name w:val="Heading 3 Char"/>
    <w:basedOn w:val="DefaultParagraphFont"/>
    <w:link w:val="Heading3"/>
    <w:rsid w:val="006104CF"/>
    <w:rPr>
      <w:rFonts w:ascii="Arial Bold" w:eastAsiaTheme="majorEastAsia" w:hAnsi="Arial Bold" w:cstheme="majorBidi"/>
      <w:b/>
      <w:bCs/>
      <w:color w:val="0070C0"/>
      <w:spacing w:val="-2"/>
      <w:szCs w:val="24"/>
      <w:lang w:val="en-US"/>
    </w:rPr>
  </w:style>
  <w:style w:type="character" w:customStyle="1" w:styleId="Heading4Char">
    <w:name w:val="Heading 4 Char"/>
    <w:basedOn w:val="DefaultParagraphFont"/>
    <w:link w:val="Heading4"/>
    <w:rsid w:val="002414A7"/>
    <w:rPr>
      <w:rFonts w:ascii="Arial" w:eastAsiaTheme="majorEastAsia" w:hAnsi="Arial" w:cstheme="majorBidi"/>
      <w:bCs/>
      <w:iCs/>
      <w:spacing w:val="-2"/>
      <w:sz w:val="20"/>
      <w:szCs w:val="24"/>
      <w:lang w:val="en-US"/>
    </w:rPr>
  </w:style>
  <w:style w:type="character" w:customStyle="1" w:styleId="Heading8Char">
    <w:name w:val="Heading 8 Char"/>
    <w:basedOn w:val="DefaultParagraphFont"/>
    <w:link w:val="Heading8"/>
    <w:rsid w:val="0029098C"/>
    <w:rPr>
      <w:rFonts w:asciiTheme="majorHAnsi" w:eastAsiaTheme="majorEastAsia" w:hAnsiTheme="majorHAnsi" w:cstheme="majorBidi"/>
      <w:color w:val="404040" w:themeColor="text1" w:themeTint="BF"/>
      <w:spacing w:val="-2"/>
      <w:sz w:val="20"/>
      <w:szCs w:val="20"/>
      <w:lang w:val="en-US"/>
    </w:rPr>
  </w:style>
  <w:style w:type="paragraph" w:styleId="Header">
    <w:name w:val="header"/>
    <w:basedOn w:val="Normal"/>
    <w:link w:val="HeaderChar"/>
    <w:uiPriority w:val="99"/>
    <w:unhideWhenUsed/>
    <w:rsid w:val="0029098C"/>
    <w:pPr>
      <w:tabs>
        <w:tab w:val="center" w:pos="4320"/>
        <w:tab w:val="right" w:pos="8640"/>
      </w:tabs>
    </w:pPr>
  </w:style>
  <w:style w:type="character" w:customStyle="1" w:styleId="HeaderChar">
    <w:name w:val="Header Char"/>
    <w:basedOn w:val="DefaultParagraphFont"/>
    <w:link w:val="Header"/>
    <w:uiPriority w:val="99"/>
    <w:rsid w:val="0029098C"/>
    <w:rPr>
      <w:rFonts w:ascii="Arial" w:eastAsia="Cambria" w:hAnsi="Arial" w:cs="Times New Roman"/>
      <w:color w:val="1C1C1C"/>
      <w:spacing w:val="-2"/>
      <w:sz w:val="20"/>
      <w:szCs w:val="24"/>
      <w:lang w:val="en-US"/>
    </w:rPr>
  </w:style>
  <w:style w:type="paragraph" w:styleId="Footer">
    <w:name w:val="footer"/>
    <w:basedOn w:val="Normal"/>
    <w:link w:val="FooterChar"/>
    <w:uiPriority w:val="99"/>
    <w:unhideWhenUsed/>
    <w:rsid w:val="0029098C"/>
    <w:pPr>
      <w:widowControl w:val="0"/>
      <w:tabs>
        <w:tab w:val="right" w:pos="9145"/>
      </w:tabs>
      <w:suppressAutoHyphens/>
      <w:autoSpaceDE w:val="0"/>
      <w:autoSpaceDN w:val="0"/>
      <w:adjustRightInd w:val="0"/>
      <w:spacing w:line="240" w:lineRule="auto"/>
      <w:textAlignment w:val="center"/>
    </w:pPr>
    <w:rPr>
      <w:rFonts w:cs="Calibri"/>
      <w:caps/>
      <w:color w:val="auto"/>
      <w:sz w:val="12"/>
      <w:szCs w:val="16"/>
      <w:lang w:val="en-AU"/>
    </w:rPr>
  </w:style>
  <w:style w:type="character" w:customStyle="1" w:styleId="FooterChar">
    <w:name w:val="Footer Char"/>
    <w:basedOn w:val="DefaultParagraphFont"/>
    <w:link w:val="Footer"/>
    <w:uiPriority w:val="99"/>
    <w:rsid w:val="0029098C"/>
    <w:rPr>
      <w:rFonts w:ascii="Arial" w:eastAsia="Cambria" w:hAnsi="Arial" w:cs="Calibri"/>
      <w:caps/>
      <w:spacing w:val="-2"/>
      <w:sz w:val="12"/>
      <w:szCs w:val="16"/>
    </w:rPr>
  </w:style>
  <w:style w:type="paragraph" w:styleId="BodyText">
    <w:name w:val="Body Text"/>
    <w:basedOn w:val="Normal"/>
    <w:link w:val="BodyTextChar"/>
    <w:rsid w:val="0029098C"/>
    <w:pPr>
      <w:tabs>
        <w:tab w:val="left" w:pos="2268"/>
        <w:tab w:val="left" w:pos="5669"/>
      </w:tabs>
      <w:suppressAutoHyphens/>
      <w:spacing w:after="240"/>
    </w:pPr>
    <w:rPr>
      <w:rFonts w:cs="Calibri"/>
      <w:szCs w:val="19"/>
    </w:rPr>
  </w:style>
  <w:style w:type="character" w:customStyle="1" w:styleId="BodyTextChar">
    <w:name w:val="Body Text Char"/>
    <w:basedOn w:val="DefaultParagraphFont"/>
    <w:link w:val="BodyText"/>
    <w:rsid w:val="0029098C"/>
    <w:rPr>
      <w:rFonts w:ascii="Arial" w:eastAsia="Cambria" w:hAnsi="Arial" w:cs="Calibri"/>
      <w:color w:val="1C1C1C"/>
      <w:spacing w:val="-2"/>
      <w:sz w:val="20"/>
      <w:szCs w:val="19"/>
      <w:lang w:val="en-US"/>
    </w:rPr>
  </w:style>
  <w:style w:type="character" w:styleId="PageNumber">
    <w:name w:val="page number"/>
    <w:uiPriority w:val="99"/>
    <w:rsid w:val="0029098C"/>
    <w:rPr>
      <w:rFonts w:ascii="Verdana" w:hAnsi="Verdana"/>
      <w:caps/>
      <w:sz w:val="12"/>
    </w:rPr>
  </w:style>
  <w:style w:type="character" w:styleId="PlaceholderText">
    <w:name w:val="Placeholder Text"/>
    <w:basedOn w:val="DefaultParagraphFont"/>
    <w:uiPriority w:val="99"/>
    <w:semiHidden/>
    <w:rsid w:val="0029098C"/>
    <w:rPr>
      <w:color w:val="808080"/>
    </w:rPr>
  </w:style>
  <w:style w:type="table" w:styleId="TableGrid">
    <w:name w:val="Table Grid"/>
    <w:basedOn w:val="TableNormal"/>
    <w:rsid w:val="0029098C"/>
    <w:pPr>
      <w:spacing w:after="0" w:line="240" w:lineRule="auto"/>
    </w:pPr>
    <w:rPr>
      <w:rFonts w:ascii="Cambria" w:eastAsia="Cambria" w:hAnsi="Cambria"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29098C"/>
    <w:rPr>
      <w:color w:val="0000FF"/>
      <w:u w:val="single"/>
    </w:rPr>
  </w:style>
  <w:style w:type="paragraph" w:styleId="ListParagraph">
    <w:name w:val="List Paragraph"/>
    <w:aliases w:val="FooterText,Bullet List,List Paragraph1,numbered,Paragraphe de liste1,Bulletr List Paragraph,列出段落,列出段落1,Listeafsnit1,Parágrafo da Lista1,List Paragraph2,List Paragraph21,リスト段落1,Párrafo de lista1,Bullet list,List Paragraph11"/>
    <w:basedOn w:val="Normal"/>
    <w:link w:val="ListParagraphChar"/>
    <w:uiPriority w:val="34"/>
    <w:qFormat/>
    <w:rsid w:val="0029098C"/>
    <w:pPr>
      <w:spacing w:line="240" w:lineRule="auto"/>
      <w:ind w:left="720"/>
    </w:pPr>
    <w:rPr>
      <w:rFonts w:eastAsia="Times New Roman" w:cs="Arial"/>
      <w:color w:val="auto"/>
      <w:spacing w:val="0"/>
      <w:szCs w:val="20"/>
      <w:lang w:val="en-AU"/>
    </w:rPr>
  </w:style>
  <w:style w:type="paragraph" w:styleId="Title">
    <w:name w:val="Title"/>
    <w:basedOn w:val="Normal"/>
    <w:next w:val="Normal"/>
    <w:link w:val="TitleChar"/>
    <w:uiPriority w:val="99"/>
    <w:qFormat/>
    <w:rsid w:val="0029098C"/>
    <w:pPr>
      <w:spacing w:line="440" w:lineRule="atLeast"/>
    </w:pPr>
    <w:rPr>
      <w:rFonts w:eastAsia="PMingLiU"/>
      <w:b/>
      <w:bCs/>
      <w:color w:val="004D9D"/>
      <w:kern w:val="28"/>
      <w:sz w:val="32"/>
      <w:szCs w:val="32"/>
    </w:rPr>
  </w:style>
  <w:style w:type="character" w:customStyle="1" w:styleId="TitleChar">
    <w:name w:val="Title Char"/>
    <w:basedOn w:val="DefaultParagraphFont"/>
    <w:link w:val="Title"/>
    <w:uiPriority w:val="99"/>
    <w:rsid w:val="0029098C"/>
    <w:rPr>
      <w:rFonts w:ascii="Arial" w:eastAsia="PMingLiU" w:hAnsi="Arial" w:cs="Times New Roman"/>
      <w:b/>
      <w:bCs/>
      <w:color w:val="004D9D"/>
      <w:spacing w:val="-2"/>
      <w:kern w:val="28"/>
      <w:sz w:val="32"/>
      <w:szCs w:val="32"/>
      <w:lang w:val="en-US"/>
    </w:rPr>
  </w:style>
  <w:style w:type="paragraph" w:styleId="TOC1">
    <w:name w:val="toc 1"/>
    <w:basedOn w:val="Normal"/>
    <w:next w:val="Normal"/>
    <w:autoRedefine/>
    <w:uiPriority w:val="39"/>
    <w:unhideWhenUsed/>
    <w:rsid w:val="0029098C"/>
    <w:pPr>
      <w:spacing w:after="100" w:line="276" w:lineRule="auto"/>
    </w:pPr>
    <w:rPr>
      <w:rFonts w:asciiTheme="minorHAnsi" w:eastAsiaTheme="minorHAnsi" w:hAnsiTheme="minorHAnsi" w:cstheme="minorBidi"/>
      <w:color w:val="auto"/>
      <w:spacing w:val="0"/>
      <w:sz w:val="22"/>
      <w:szCs w:val="22"/>
      <w:lang w:val="en-AU"/>
    </w:rPr>
  </w:style>
  <w:style w:type="character" w:customStyle="1" w:styleId="Heading2Char">
    <w:name w:val="Heading 2 Char"/>
    <w:basedOn w:val="DefaultParagraphFont"/>
    <w:link w:val="Heading2"/>
    <w:rsid w:val="002414A7"/>
    <w:rPr>
      <w:rFonts w:ascii="Arial" w:eastAsiaTheme="majorEastAsia" w:hAnsi="Arial" w:cstheme="majorBidi"/>
      <w:b/>
      <w:bCs/>
      <w:color w:val="0070C0"/>
      <w:spacing w:val="-2"/>
      <w:szCs w:val="26"/>
      <w:lang w:val="en-US"/>
    </w:rPr>
  </w:style>
  <w:style w:type="paragraph" w:styleId="Subtitle">
    <w:name w:val="Subtitle"/>
    <w:basedOn w:val="Normal"/>
    <w:next w:val="Normal"/>
    <w:link w:val="SubtitleChar"/>
    <w:uiPriority w:val="99"/>
    <w:qFormat/>
    <w:rsid w:val="00BC5FE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99"/>
    <w:rsid w:val="00BC5FE0"/>
    <w:rPr>
      <w:rFonts w:asciiTheme="majorHAnsi" w:eastAsiaTheme="majorEastAsia" w:hAnsiTheme="majorHAnsi" w:cstheme="majorBidi"/>
      <w:i/>
      <w:iCs/>
      <w:color w:val="4F81BD" w:themeColor="accent1"/>
      <w:spacing w:val="15"/>
      <w:sz w:val="24"/>
      <w:szCs w:val="24"/>
      <w:lang w:val="en-US"/>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ootnote Text Char Char"/>
    <w:basedOn w:val="Normal"/>
    <w:link w:val="FootnoteTextChar"/>
    <w:unhideWhenUsed/>
    <w:qFormat/>
    <w:rsid w:val="00F53E9C"/>
    <w:pPr>
      <w:spacing w:line="240" w:lineRule="auto"/>
    </w:pPr>
    <w:rPr>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
    <w:basedOn w:val="DefaultParagraphFont"/>
    <w:link w:val="FootnoteText"/>
    <w:rsid w:val="00F53E9C"/>
    <w:rPr>
      <w:rFonts w:ascii="Arial" w:eastAsia="Cambria" w:hAnsi="Arial" w:cs="Times New Roman"/>
      <w:color w:val="1C1C1C"/>
      <w:spacing w:val="-2"/>
      <w:sz w:val="20"/>
      <w:szCs w:val="20"/>
      <w:lang w:val="en-US"/>
    </w:rPr>
  </w:style>
  <w:style w:type="character" w:styleId="FootnoteReference">
    <w:name w:val="footnote reference"/>
    <w:aliases w:val="(NECG) Footnote Reference,(NECG) Footnote Reference1,(NECG) Footnote Reference2,o,Style 3,Style 12,fr,Appel note de bas de p,Style 124,Appel n,Footnote Reference 1,(NECG) Footnote Reference3,(NECG) Footnote Reference4,Style 6 + 12 pt"/>
    <w:basedOn w:val="DefaultParagraphFont"/>
    <w:unhideWhenUsed/>
    <w:qFormat/>
    <w:rsid w:val="00F53E9C"/>
    <w:rPr>
      <w:vertAlign w:val="superscript"/>
    </w:rPr>
  </w:style>
  <w:style w:type="paragraph" w:styleId="BalloonText">
    <w:name w:val="Balloon Text"/>
    <w:basedOn w:val="Normal"/>
    <w:link w:val="BalloonTextChar"/>
    <w:uiPriority w:val="99"/>
    <w:semiHidden/>
    <w:unhideWhenUsed/>
    <w:rsid w:val="00A56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6A"/>
    <w:rPr>
      <w:rFonts w:ascii="Tahoma" w:eastAsia="Cambria" w:hAnsi="Tahoma" w:cs="Tahoma"/>
      <w:color w:val="1C1C1C"/>
      <w:spacing w:val="-2"/>
      <w:sz w:val="16"/>
      <w:szCs w:val="16"/>
      <w:lang w:val="en-US"/>
    </w:rPr>
  </w:style>
  <w:style w:type="character" w:styleId="CommentReference">
    <w:name w:val="annotation reference"/>
    <w:basedOn w:val="DefaultParagraphFont"/>
    <w:uiPriority w:val="99"/>
    <w:unhideWhenUsed/>
    <w:rsid w:val="00B62AFC"/>
    <w:rPr>
      <w:sz w:val="16"/>
      <w:szCs w:val="16"/>
    </w:rPr>
  </w:style>
  <w:style w:type="paragraph" w:styleId="CommentText">
    <w:name w:val="annotation text"/>
    <w:basedOn w:val="Normal"/>
    <w:link w:val="CommentTextChar"/>
    <w:uiPriority w:val="99"/>
    <w:unhideWhenUsed/>
    <w:rsid w:val="00B62AFC"/>
    <w:pPr>
      <w:spacing w:line="240" w:lineRule="auto"/>
    </w:pPr>
    <w:rPr>
      <w:szCs w:val="20"/>
    </w:rPr>
  </w:style>
  <w:style w:type="character" w:customStyle="1" w:styleId="CommentTextChar">
    <w:name w:val="Comment Text Char"/>
    <w:basedOn w:val="DefaultParagraphFont"/>
    <w:link w:val="CommentText"/>
    <w:uiPriority w:val="99"/>
    <w:rsid w:val="00B62AFC"/>
    <w:rPr>
      <w:rFonts w:ascii="Arial" w:eastAsia="Cambria" w:hAnsi="Arial" w:cs="Times New Roman"/>
      <w:color w:val="1C1C1C"/>
      <w:spacing w:val="-2"/>
      <w:sz w:val="20"/>
      <w:szCs w:val="20"/>
      <w:lang w:val="en-US"/>
    </w:rPr>
  </w:style>
  <w:style w:type="paragraph" w:styleId="CommentSubject">
    <w:name w:val="annotation subject"/>
    <w:basedOn w:val="CommentText"/>
    <w:next w:val="CommentText"/>
    <w:link w:val="CommentSubjectChar"/>
    <w:uiPriority w:val="99"/>
    <w:semiHidden/>
    <w:unhideWhenUsed/>
    <w:rsid w:val="00B62AFC"/>
    <w:rPr>
      <w:b/>
      <w:bCs/>
    </w:rPr>
  </w:style>
  <w:style w:type="character" w:customStyle="1" w:styleId="CommentSubjectChar">
    <w:name w:val="Comment Subject Char"/>
    <w:basedOn w:val="CommentTextChar"/>
    <w:link w:val="CommentSubject"/>
    <w:uiPriority w:val="99"/>
    <w:semiHidden/>
    <w:rsid w:val="00B62AFC"/>
    <w:rPr>
      <w:rFonts w:ascii="Arial" w:eastAsia="Cambria" w:hAnsi="Arial" w:cs="Times New Roman"/>
      <w:b/>
      <w:bCs/>
      <w:color w:val="1C1C1C"/>
      <w:spacing w:val="-2"/>
      <w:sz w:val="20"/>
      <w:szCs w:val="20"/>
      <w:lang w:val="en-US"/>
    </w:rPr>
  </w:style>
  <w:style w:type="paragraph" w:styleId="ListBullet">
    <w:name w:val="List Bullet"/>
    <w:basedOn w:val="Normal"/>
    <w:uiPriority w:val="99"/>
    <w:unhideWhenUsed/>
    <w:qFormat/>
    <w:rsid w:val="00ED605A"/>
    <w:pPr>
      <w:numPr>
        <w:numId w:val="1"/>
      </w:numPr>
      <w:tabs>
        <w:tab w:val="clear" w:pos="360"/>
        <w:tab w:val="left" w:pos="567"/>
      </w:tabs>
      <w:spacing w:after="240"/>
      <w:ind w:left="567" w:hanging="567"/>
    </w:pPr>
    <w:rPr>
      <w:lang w:val="en-AU"/>
    </w:rPr>
  </w:style>
  <w:style w:type="paragraph" w:customStyle="1" w:styleId="Heading">
    <w:name w:val="Heading"/>
    <w:basedOn w:val="Heading1"/>
    <w:next w:val="BodyText"/>
    <w:uiPriority w:val="99"/>
    <w:qFormat/>
    <w:rsid w:val="002414A7"/>
    <w:pPr>
      <w:keepNext/>
      <w:widowControl/>
      <w:tabs>
        <w:tab w:val="clear" w:pos="2268"/>
        <w:tab w:val="clear" w:pos="5669"/>
      </w:tabs>
      <w:suppressAutoHyphens w:val="0"/>
      <w:autoSpaceDE/>
      <w:autoSpaceDN/>
      <w:adjustRightInd/>
      <w:spacing w:line="240" w:lineRule="atLeast"/>
      <w:textAlignment w:val="auto"/>
    </w:pPr>
    <w:rPr>
      <w:rFonts w:eastAsia="Times New Roman" w:cs="Times New Roman"/>
      <w:color w:val="0070C0"/>
      <w:spacing w:val="0"/>
      <w:kern w:val="28"/>
      <w:szCs w:val="20"/>
      <w:lang w:val="en-AU"/>
    </w:rPr>
  </w:style>
  <w:style w:type="paragraph" w:customStyle="1" w:styleId="Default">
    <w:name w:val="Default"/>
    <w:rsid w:val="006C38F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37EED"/>
    <w:pPr>
      <w:spacing w:after="0" w:line="240" w:lineRule="auto"/>
    </w:pPr>
    <w:rPr>
      <w:rFonts w:ascii="Arial" w:eastAsia="Cambria" w:hAnsi="Arial" w:cs="Times New Roman"/>
      <w:color w:val="1C1C1C"/>
      <w:spacing w:val="-2"/>
      <w:sz w:val="20"/>
      <w:szCs w:val="24"/>
      <w:lang w:val="en-US"/>
    </w:rPr>
  </w:style>
  <w:style w:type="character" w:customStyle="1" w:styleId="Heading5Char">
    <w:name w:val="Heading 5 Char"/>
    <w:aliases w:val="A.1 Heading Char"/>
    <w:basedOn w:val="DefaultParagraphFont"/>
    <w:link w:val="Heading5"/>
    <w:rsid w:val="002414A7"/>
    <w:rPr>
      <w:rFonts w:ascii="Arial" w:eastAsia="PMingLiU" w:hAnsi="Arial" w:cs="Times New Roman"/>
      <w:iCs/>
      <w:spacing w:val="-2"/>
      <w:sz w:val="20"/>
      <w:szCs w:val="21"/>
    </w:rPr>
  </w:style>
  <w:style w:type="character" w:customStyle="1" w:styleId="Heading6Char">
    <w:name w:val="Heading 6 Char"/>
    <w:aliases w:val="A.1.1 Heading Char"/>
    <w:basedOn w:val="DefaultParagraphFont"/>
    <w:link w:val="Heading6"/>
    <w:rsid w:val="0067662F"/>
    <w:rPr>
      <w:rFonts w:ascii="Arial" w:eastAsia="Times New Roman" w:hAnsi="Arial" w:cs="Arial"/>
      <w:b/>
      <w:kern w:val="28"/>
      <w:sz w:val="24"/>
      <w:szCs w:val="24"/>
      <w:lang w:eastAsia="en-NZ"/>
    </w:rPr>
  </w:style>
  <w:style w:type="character" w:customStyle="1" w:styleId="Heading7Char">
    <w:name w:val="Heading 7 Char"/>
    <w:basedOn w:val="DefaultParagraphFont"/>
    <w:link w:val="Heading7"/>
    <w:rsid w:val="0067662F"/>
    <w:rPr>
      <w:rFonts w:ascii="Arial" w:eastAsia="Times New Roman" w:hAnsi="Arial" w:cs="Arial"/>
      <w:sz w:val="20"/>
      <w:szCs w:val="20"/>
    </w:rPr>
  </w:style>
  <w:style w:type="character" w:customStyle="1" w:styleId="Heading9Char">
    <w:name w:val="Heading 9 Char"/>
    <w:basedOn w:val="DefaultParagraphFont"/>
    <w:link w:val="Heading9"/>
    <w:rsid w:val="0067662F"/>
    <w:rPr>
      <w:rFonts w:ascii="Arial" w:eastAsia="Times New Roman" w:hAnsi="Arial" w:cs="Arial"/>
      <w:sz w:val="20"/>
      <w:szCs w:val="20"/>
    </w:rPr>
  </w:style>
  <w:style w:type="paragraph" w:customStyle="1" w:styleId="Spacer">
    <w:name w:val="Spacer"/>
    <w:basedOn w:val="Normal"/>
    <w:uiPriority w:val="99"/>
    <w:rsid w:val="0067662F"/>
    <w:pPr>
      <w:spacing w:line="240" w:lineRule="auto"/>
    </w:pPr>
    <w:rPr>
      <w:rFonts w:eastAsia="PMingLiU"/>
      <w:lang w:val="en-AU"/>
    </w:rPr>
  </w:style>
  <w:style w:type="paragraph" w:customStyle="1" w:styleId="TableText">
    <w:name w:val="Table Text"/>
    <w:basedOn w:val="BodyText"/>
    <w:uiPriority w:val="99"/>
    <w:rsid w:val="0067662F"/>
    <w:pPr>
      <w:spacing w:after="0"/>
    </w:pPr>
    <w:rPr>
      <w:rFonts w:eastAsia="PMingLiU"/>
      <w:sz w:val="18"/>
      <w:lang w:val="en-AU"/>
    </w:rPr>
  </w:style>
  <w:style w:type="paragraph" w:customStyle="1" w:styleId="TableHeading">
    <w:name w:val="Table Heading"/>
    <w:basedOn w:val="Normal"/>
    <w:uiPriority w:val="99"/>
    <w:rsid w:val="0067662F"/>
    <w:pPr>
      <w:widowControl w:val="0"/>
      <w:tabs>
        <w:tab w:val="left" w:pos="2268"/>
        <w:tab w:val="left" w:pos="5669"/>
      </w:tabs>
      <w:suppressAutoHyphens/>
      <w:autoSpaceDE w:val="0"/>
      <w:autoSpaceDN w:val="0"/>
      <w:adjustRightInd w:val="0"/>
      <w:textAlignment w:val="center"/>
    </w:pPr>
    <w:rPr>
      <w:rFonts w:eastAsia="PMingLiU" w:cs="Calibri"/>
      <w:color w:val="004D9D"/>
      <w:sz w:val="18"/>
      <w:szCs w:val="19"/>
      <w:lang w:val="en-AU"/>
    </w:rPr>
  </w:style>
  <w:style w:type="paragraph" w:customStyle="1" w:styleId="Bullet1">
    <w:name w:val="Bullet 1"/>
    <w:basedOn w:val="BodyText"/>
    <w:qFormat/>
    <w:rsid w:val="0006235E"/>
    <w:pPr>
      <w:ind w:left="360" w:hanging="360"/>
    </w:pPr>
    <w:rPr>
      <w:rFonts w:eastAsia="PMingLiU"/>
      <w:lang w:val="en-AU"/>
    </w:rPr>
  </w:style>
  <w:style w:type="paragraph" w:customStyle="1" w:styleId="Bullet2">
    <w:name w:val="Bullet 2"/>
    <w:basedOn w:val="Bullet1"/>
    <w:rsid w:val="00A63066"/>
    <w:pPr>
      <w:numPr>
        <w:ilvl w:val="1"/>
      </w:numPr>
      <w:tabs>
        <w:tab w:val="clear" w:pos="2268"/>
        <w:tab w:val="clear" w:pos="5669"/>
        <w:tab w:val="left" w:pos="1134"/>
      </w:tabs>
      <w:spacing w:line="240" w:lineRule="auto"/>
      <w:ind w:left="360" w:hanging="360"/>
    </w:pPr>
    <w:rPr>
      <w:iCs/>
      <w:spacing w:val="0"/>
      <w:szCs w:val="22"/>
    </w:rPr>
  </w:style>
  <w:style w:type="paragraph" w:customStyle="1" w:styleId="Bullet3">
    <w:name w:val="Bullet 3"/>
    <w:basedOn w:val="Bullet2"/>
    <w:rsid w:val="0067662F"/>
    <w:pPr>
      <w:numPr>
        <w:ilvl w:val="2"/>
      </w:numPr>
      <w:ind w:left="360" w:hanging="360"/>
    </w:pPr>
  </w:style>
  <w:style w:type="paragraph" w:customStyle="1" w:styleId="Bullet4">
    <w:name w:val="Bullet 4"/>
    <w:basedOn w:val="Bullet3"/>
    <w:next w:val="Normal"/>
    <w:qFormat/>
    <w:rsid w:val="0067662F"/>
    <w:pPr>
      <w:numPr>
        <w:ilvl w:val="3"/>
      </w:numPr>
      <w:ind w:left="360" w:hanging="360"/>
    </w:pPr>
  </w:style>
  <w:style w:type="table" w:customStyle="1" w:styleId="TelstraTable">
    <w:name w:val="Telstra_Table"/>
    <w:uiPriority w:val="99"/>
    <w:rsid w:val="0067662F"/>
    <w:pPr>
      <w:spacing w:after="0" w:line="240" w:lineRule="auto"/>
    </w:pPr>
    <w:rPr>
      <w:rFonts w:ascii="Arial" w:eastAsia="PMingLiU" w:hAnsi="Arial" w:cs="Times New Roman"/>
      <w:sz w:val="20"/>
      <w:szCs w:val="20"/>
      <w:lang w:eastAsia="zh-TW"/>
    </w:rPr>
    <w:tblPr>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rPr>
      <w:cantSplit/>
    </w:trPr>
    <w:tcPr>
      <w:shd w:val="clear" w:color="auto" w:fill="E9E9E9"/>
    </w:tcPr>
  </w:style>
  <w:style w:type="paragraph" w:customStyle="1" w:styleId="TableHeading2">
    <w:name w:val="Table Heading 2"/>
    <w:uiPriority w:val="99"/>
    <w:rsid w:val="0067662F"/>
    <w:pPr>
      <w:spacing w:after="0" w:line="220" w:lineRule="atLeast"/>
    </w:pPr>
    <w:rPr>
      <w:rFonts w:ascii="Arial" w:eastAsia="PMingLiU" w:hAnsi="Arial" w:cs="Calibri"/>
      <w:color w:val="FFFFFF"/>
      <w:spacing w:val="-2"/>
      <w:sz w:val="18"/>
      <w:szCs w:val="19"/>
    </w:rPr>
  </w:style>
  <w:style w:type="paragraph" w:customStyle="1" w:styleId="BodyCopy2">
    <w:name w:val="Body Copy 2"/>
    <w:basedOn w:val="Normal"/>
    <w:uiPriority w:val="99"/>
    <w:rsid w:val="0067662F"/>
    <w:pPr>
      <w:suppressAutoHyphens/>
      <w:autoSpaceDE w:val="0"/>
      <w:autoSpaceDN w:val="0"/>
      <w:adjustRightInd w:val="0"/>
      <w:spacing w:after="125"/>
      <w:textAlignment w:val="center"/>
    </w:pPr>
    <w:rPr>
      <w:rFonts w:eastAsia="PMingLiU" w:cs="Arial"/>
      <w:color w:val="231F18"/>
      <w:spacing w:val="0"/>
      <w:szCs w:val="20"/>
      <w:lang w:val="en-GB" w:eastAsia="en-AU"/>
    </w:rPr>
  </w:style>
  <w:style w:type="paragraph" w:customStyle="1" w:styleId="Line">
    <w:name w:val="Line"/>
    <w:uiPriority w:val="99"/>
    <w:rsid w:val="0067662F"/>
    <w:pPr>
      <w:pBdr>
        <w:bottom w:val="single" w:sz="4" w:space="1" w:color="auto"/>
      </w:pBdr>
      <w:spacing w:after="0" w:line="240" w:lineRule="auto"/>
    </w:pPr>
    <w:rPr>
      <w:rFonts w:ascii="Arial" w:eastAsia="PMingLiU" w:hAnsi="Arial" w:cs="Times New Roman"/>
      <w:color w:val="1C1C1C"/>
      <w:spacing w:val="-2"/>
      <w:sz w:val="4"/>
      <w:szCs w:val="4"/>
    </w:rPr>
  </w:style>
  <w:style w:type="paragraph" w:customStyle="1" w:styleId="Bodytextblue">
    <w:name w:val="Body text blue"/>
    <w:basedOn w:val="TableText"/>
    <w:uiPriority w:val="99"/>
    <w:rsid w:val="0067662F"/>
    <w:rPr>
      <w:color w:val="004D9D"/>
    </w:rPr>
  </w:style>
  <w:style w:type="paragraph" w:styleId="TOC2">
    <w:name w:val="toc 2"/>
    <w:basedOn w:val="TOC1"/>
    <w:next w:val="Normal"/>
    <w:autoRedefine/>
    <w:uiPriority w:val="39"/>
    <w:rsid w:val="0067662F"/>
    <w:pPr>
      <w:tabs>
        <w:tab w:val="left" w:pos="660"/>
        <w:tab w:val="right" w:pos="8505"/>
      </w:tabs>
      <w:spacing w:before="120" w:after="120" w:line="240" w:lineRule="auto"/>
      <w:ind w:left="709" w:right="2098" w:hanging="709"/>
    </w:pPr>
    <w:rPr>
      <w:rFonts w:ascii="Arial" w:eastAsia="PMingLiU" w:hAnsi="Arial" w:cs="Times New Roman"/>
      <w:b/>
      <w:noProof/>
      <w:color w:val="004D9D"/>
      <w:spacing w:val="-2"/>
      <w:sz w:val="20"/>
      <w:szCs w:val="24"/>
    </w:rPr>
  </w:style>
  <w:style w:type="paragraph" w:styleId="TOC3">
    <w:name w:val="toc 3"/>
    <w:basedOn w:val="Normal"/>
    <w:next w:val="Normal"/>
    <w:autoRedefine/>
    <w:uiPriority w:val="39"/>
    <w:rsid w:val="0067662F"/>
    <w:pPr>
      <w:tabs>
        <w:tab w:val="left" w:pos="658"/>
        <w:tab w:val="left" w:pos="1418"/>
        <w:tab w:val="right" w:pos="6889"/>
      </w:tabs>
      <w:spacing w:after="100" w:line="240" w:lineRule="auto"/>
      <w:ind w:right="2098"/>
    </w:pPr>
    <w:rPr>
      <w:rFonts w:eastAsia="PMingLiU"/>
      <w:b/>
      <w:color w:val="004D9D"/>
      <w:lang w:val="en-AU"/>
    </w:rPr>
  </w:style>
  <w:style w:type="paragraph" w:customStyle="1" w:styleId="Bodytextsingle">
    <w:name w:val="Body text single"/>
    <w:basedOn w:val="BodyText"/>
    <w:uiPriority w:val="99"/>
    <w:rsid w:val="0067662F"/>
    <w:pPr>
      <w:spacing w:after="0"/>
    </w:pPr>
    <w:rPr>
      <w:rFonts w:eastAsia="PMingLiU"/>
      <w:lang w:val="en-AU"/>
    </w:rPr>
  </w:style>
  <w:style w:type="character" w:styleId="FollowedHyperlink">
    <w:name w:val="FollowedHyperlink"/>
    <w:basedOn w:val="DefaultParagraphFont"/>
    <w:uiPriority w:val="99"/>
    <w:rsid w:val="0067662F"/>
    <w:rPr>
      <w:rFonts w:cs="Times New Roman"/>
      <w:color w:val="800080"/>
      <w:u w:val="single"/>
    </w:rPr>
  </w:style>
  <w:style w:type="paragraph" w:customStyle="1" w:styleId="discussionquestionbullet">
    <w:name w:val="discussion question bullet"/>
    <w:basedOn w:val="Normal"/>
    <w:uiPriority w:val="99"/>
    <w:rsid w:val="0067662F"/>
    <w:pPr>
      <w:spacing w:before="60" w:line="240" w:lineRule="auto"/>
      <w:ind w:left="360" w:hanging="360"/>
    </w:pPr>
    <w:rPr>
      <w:rFonts w:ascii="Calibri" w:eastAsia="PMingLiU" w:hAnsi="Calibri"/>
      <w:color w:val="auto"/>
      <w:spacing w:val="0"/>
      <w:sz w:val="22"/>
      <w:szCs w:val="22"/>
      <w:lang w:val="en-AU"/>
    </w:rPr>
  </w:style>
  <w:style w:type="paragraph" w:customStyle="1" w:styleId="BodyText1">
    <w:name w:val="Body Text1"/>
    <w:basedOn w:val="Heading1"/>
    <w:link w:val="bodytextChar0"/>
    <w:uiPriority w:val="99"/>
    <w:rsid w:val="0067662F"/>
    <w:pPr>
      <w:keepNext/>
      <w:keepLines/>
      <w:widowControl/>
      <w:tabs>
        <w:tab w:val="clear" w:pos="2268"/>
        <w:tab w:val="clear" w:pos="5669"/>
      </w:tabs>
      <w:suppressAutoHyphens w:val="0"/>
      <w:autoSpaceDE/>
      <w:autoSpaceDN/>
      <w:adjustRightInd/>
      <w:spacing w:before="200"/>
      <w:textAlignment w:val="auto"/>
    </w:pPr>
    <w:rPr>
      <w:rFonts w:ascii="Calibri" w:eastAsia="PMingLiU" w:hAnsi="Calibri" w:cs="Times New Roman"/>
      <w:bCs/>
      <w:color w:val="000000"/>
      <w:spacing w:val="0"/>
      <w:sz w:val="22"/>
      <w:lang w:val="en-AU"/>
    </w:rPr>
  </w:style>
  <w:style w:type="character" w:customStyle="1" w:styleId="bodytextChar0">
    <w:name w:val="body text Char"/>
    <w:basedOn w:val="Heading1Char"/>
    <w:link w:val="BodyText1"/>
    <w:uiPriority w:val="99"/>
    <w:locked/>
    <w:rsid w:val="0067662F"/>
    <w:rPr>
      <w:rFonts w:ascii="Calibri" w:eastAsia="PMingLiU" w:hAnsi="Calibri" w:cs="Times New Roman"/>
      <w:b/>
      <w:bCs/>
      <w:color w:val="000000"/>
      <w:spacing w:val="-2"/>
      <w:sz w:val="24"/>
      <w:szCs w:val="28"/>
      <w:lang w:val="en-US"/>
    </w:rPr>
  </w:style>
  <w:style w:type="paragraph" w:customStyle="1" w:styleId="footnotes">
    <w:name w:val="footnotes"/>
    <w:basedOn w:val="Normal"/>
    <w:link w:val="footnotesChar"/>
    <w:uiPriority w:val="99"/>
    <w:rsid w:val="0067662F"/>
    <w:pPr>
      <w:pBdr>
        <w:bottom w:val="single" w:sz="4" w:space="1" w:color="D9D9D9"/>
      </w:pBdr>
      <w:tabs>
        <w:tab w:val="center" w:pos="4513"/>
        <w:tab w:val="right" w:pos="9026"/>
      </w:tabs>
      <w:spacing w:line="240" w:lineRule="auto"/>
    </w:pPr>
    <w:rPr>
      <w:rFonts w:ascii="Calibri" w:eastAsia="PMingLiU" w:hAnsi="Calibri"/>
      <w:color w:val="auto"/>
      <w:spacing w:val="0"/>
      <w:sz w:val="16"/>
      <w:szCs w:val="16"/>
      <w:lang w:val="en-AU"/>
    </w:rPr>
  </w:style>
  <w:style w:type="character" w:customStyle="1" w:styleId="footnotesChar">
    <w:name w:val="footnotes Char"/>
    <w:basedOn w:val="DefaultParagraphFont"/>
    <w:link w:val="footnotes"/>
    <w:uiPriority w:val="99"/>
    <w:locked/>
    <w:rsid w:val="0067662F"/>
    <w:rPr>
      <w:rFonts w:ascii="Calibri" w:eastAsia="PMingLiU" w:hAnsi="Calibri" w:cs="Times New Roman"/>
      <w:sz w:val="16"/>
      <w:szCs w:val="16"/>
    </w:rPr>
  </w:style>
  <w:style w:type="paragraph" w:customStyle="1" w:styleId="bullet">
    <w:name w:val="bullet"/>
    <w:basedOn w:val="Normal"/>
    <w:uiPriority w:val="99"/>
    <w:rsid w:val="0067662F"/>
    <w:pPr>
      <w:numPr>
        <w:numId w:val="4"/>
      </w:numPr>
      <w:spacing w:before="60" w:line="240" w:lineRule="auto"/>
    </w:pPr>
    <w:rPr>
      <w:rFonts w:ascii="Calibri" w:eastAsia="PMingLiU" w:hAnsi="Calibri"/>
      <w:color w:val="auto"/>
      <w:spacing w:val="0"/>
      <w:sz w:val="22"/>
      <w:szCs w:val="22"/>
      <w:lang w:val="en-AU"/>
    </w:rPr>
  </w:style>
  <w:style w:type="paragraph" w:styleId="DocumentMap">
    <w:name w:val="Document Map"/>
    <w:basedOn w:val="Normal"/>
    <w:link w:val="DocumentMapChar"/>
    <w:uiPriority w:val="99"/>
    <w:semiHidden/>
    <w:rsid w:val="0067662F"/>
    <w:pPr>
      <w:shd w:val="clear" w:color="auto" w:fill="000080"/>
      <w:spacing w:line="240" w:lineRule="auto"/>
    </w:pPr>
    <w:rPr>
      <w:rFonts w:ascii="Tahoma" w:eastAsia="PMingLiU" w:hAnsi="Tahoma" w:cs="Tahoma"/>
      <w:szCs w:val="20"/>
      <w:lang w:val="en-AU"/>
    </w:rPr>
  </w:style>
  <w:style w:type="character" w:customStyle="1" w:styleId="DocumentMapChar">
    <w:name w:val="Document Map Char"/>
    <w:basedOn w:val="DefaultParagraphFont"/>
    <w:link w:val="DocumentMap"/>
    <w:uiPriority w:val="99"/>
    <w:semiHidden/>
    <w:rsid w:val="0067662F"/>
    <w:rPr>
      <w:rFonts w:ascii="Tahoma" w:eastAsia="PMingLiU" w:hAnsi="Tahoma" w:cs="Tahoma"/>
      <w:color w:val="1C1C1C"/>
      <w:spacing w:val="-2"/>
      <w:sz w:val="20"/>
      <w:szCs w:val="20"/>
      <w:shd w:val="clear" w:color="auto" w:fill="000080"/>
    </w:rPr>
  </w:style>
  <w:style w:type="numbering" w:customStyle="1" w:styleId="Bullets">
    <w:name w:val="Bullets"/>
    <w:uiPriority w:val="99"/>
    <w:rsid w:val="0067662F"/>
    <w:pPr>
      <w:numPr>
        <w:numId w:val="2"/>
      </w:numPr>
    </w:pPr>
  </w:style>
  <w:style w:type="numbering" w:customStyle="1" w:styleId="Headings">
    <w:name w:val="Headings"/>
    <w:rsid w:val="0067662F"/>
    <w:pPr>
      <w:numPr>
        <w:numId w:val="6"/>
      </w:numPr>
    </w:pPr>
  </w:style>
  <w:style w:type="paragraph" w:styleId="NormalWeb">
    <w:name w:val="Normal (Web)"/>
    <w:basedOn w:val="Normal"/>
    <w:uiPriority w:val="99"/>
    <w:semiHidden/>
    <w:unhideWhenUsed/>
    <w:rsid w:val="0067662F"/>
    <w:pPr>
      <w:spacing w:before="100" w:beforeAutospacing="1" w:after="100" w:afterAutospacing="1" w:line="240" w:lineRule="auto"/>
    </w:pPr>
    <w:rPr>
      <w:rFonts w:ascii="Times New Roman" w:eastAsiaTheme="minorEastAsia" w:hAnsi="Times New Roman"/>
      <w:color w:val="auto"/>
      <w:spacing w:val="0"/>
      <w:sz w:val="24"/>
      <w:lang w:val="en-AU" w:eastAsia="zh-TW"/>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rsid w:val="0067662F"/>
    <w:rPr>
      <w:rFonts w:ascii="Arial" w:eastAsia="Times New Roman" w:hAnsi="Arial" w:cs="Arial"/>
      <w:sz w:val="20"/>
      <w:szCs w:val="20"/>
    </w:rPr>
  </w:style>
  <w:style w:type="paragraph" w:styleId="ListBullet2">
    <w:name w:val="List Bullet 2"/>
    <w:basedOn w:val="Normal"/>
    <w:unhideWhenUsed/>
    <w:qFormat/>
    <w:rsid w:val="00DF23F7"/>
    <w:pPr>
      <w:tabs>
        <w:tab w:val="left" w:pos="1134"/>
      </w:tabs>
      <w:spacing w:line="240" w:lineRule="auto"/>
      <w:ind w:left="567" w:hanging="567"/>
    </w:pPr>
    <w:rPr>
      <w:rFonts w:eastAsia="PMingLiU"/>
      <w:lang w:val="en-AU"/>
    </w:rPr>
  </w:style>
  <w:style w:type="paragraph" w:customStyle="1" w:styleId="Subheading">
    <w:name w:val="Subheading"/>
    <w:basedOn w:val="Normal"/>
    <w:next w:val="BodyText"/>
    <w:link w:val="SubheadingChar"/>
    <w:qFormat/>
    <w:rsid w:val="009535CB"/>
    <w:pPr>
      <w:keepNext/>
      <w:spacing w:after="240" w:line="240" w:lineRule="auto"/>
    </w:pPr>
    <w:rPr>
      <w:rFonts w:eastAsia="Times New Roman" w:cs="Arial"/>
      <w:b/>
      <w:kern w:val="28"/>
      <w:lang w:val="en-AU" w:eastAsia="en-NZ"/>
    </w:rPr>
  </w:style>
  <w:style w:type="paragraph" w:styleId="ListBullet3">
    <w:name w:val="List Bullet 3"/>
    <w:aliases w:val="List Bullet3"/>
    <w:basedOn w:val="Normal"/>
    <w:qFormat/>
    <w:rsid w:val="0067662F"/>
    <w:pPr>
      <w:tabs>
        <w:tab w:val="num" w:pos="1560"/>
      </w:tabs>
      <w:spacing w:after="120" w:line="240" w:lineRule="auto"/>
      <w:ind w:left="1560" w:hanging="284"/>
      <w:jc w:val="both"/>
    </w:pPr>
    <w:rPr>
      <w:rFonts w:eastAsia="Times New Roman" w:cs="Arial"/>
      <w:color w:val="auto"/>
      <w:spacing w:val="0"/>
      <w:sz w:val="22"/>
      <w:lang w:val="en-AU" w:eastAsia="en-NZ"/>
    </w:rPr>
  </w:style>
  <w:style w:type="paragraph" w:styleId="ListBullet4">
    <w:name w:val="List Bullet 4"/>
    <w:basedOn w:val="Normal"/>
    <w:rsid w:val="0067662F"/>
    <w:pPr>
      <w:spacing w:after="120" w:line="240" w:lineRule="auto"/>
      <w:ind w:left="1571"/>
      <w:jc w:val="both"/>
    </w:pPr>
    <w:rPr>
      <w:rFonts w:eastAsia="Times New Roman" w:cs="Arial"/>
      <w:color w:val="auto"/>
      <w:spacing w:val="0"/>
      <w:sz w:val="22"/>
      <w:lang w:val="en-AU" w:eastAsia="en-NZ"/>
    </w:rPr>
  </w:style>
  <w:style w:type="paragraph" w:customStyle="1" w:styleId="Blockquotation">
    <w:name w:val="Block quotation"/>
    <w:basedOn w:val="Normal"/>
    <w:link w:val="BlockquotationChar"/>
    <w:qFormat/>
    <w:rsid w:val="0067662F"/>
    <w:pPr>
      <w:keepLines/>
      <w:spacing w:after="120" w:line="280" w:lineRule="atLeast"/>
      <w:ind w:left="720" w:right="720"/>
      <w:jc w:val="both"/>
    </w:pPr>
    <w:rPr>
      <w:rFonts w:eastAsia="Times New Roman" w:cs="Arial"/>
      <w:i/>
      <w:color w:val="auto"/>
      <w:spacing w:val="0"/>
      <w:sz w:val="22"/>
      <w:lang w:val="en-AU" w:eastAsia="en-NZ"/>
    </w:rPr>
  </w:style>
  <w:style w:type="character" w:customStyle="1" w:styleId="BlockquotationChar">
    <w:name w:val="Block quotation Char"/>
    <w:basedOn w:val="DefaultParagraphFont"/>
    <w:link w:val="Blockquotation"/>
    <w:rsid w:val="0067662F"/>
    <w:rPr>
      <w:rFonts w:ascii="Arial" w:eastAsia="Times New Roman" w:hAnsi="Arial" w:cs="Arial"/>
      <w:i/>
      <w:szCs w:val="24"/>
      <w:lang w:eastAsia="en-NZ"/>
    </w:rPr>
  </w:style>
  <w:style w:type="paragraph" w:customStyle="1" w:styleId="ListBullet1">
    <w:name w:val="List Bullet1"/>
    <w:basedOn w:val="Normal"/>
    <w:link w:val="ListbulletChar"/>
    <w:qFormat/>
    <w:rsid w:val="0067662F"/>
    <w:pPr>
      <w:numPr>
        <w:numId w:val="3"/>
      </w:numPr>
      <w:spacing w:after="120" w:line="240" w:lineRule="auto"/>
      <w:jc w:val="both"/>
    </w:pPr>
    <w:rPr>
      <w:rFonts w:eastAsia="Times New Roman" w:cs="Arial"/>
      <w:color w:val="auto"/>
      <w:spacing w:val="0"/>
      <w:sz w:val="22"/>
      <w:lang w:val="en-AU" w:eastAsia="en-NZ"/>
    </w:rPr>
  </w:style>
  <w:style w:type="character" w:customStyle="1" w:styleId="ListbulletChar">
    <w:name w:val="List bullet Char"/>
    <w:basedOn w:val="DefaultParagraphFont"/>
    <w:link w:val="ListBullet1"/>
    <w:rsid w:val="0067662F"/>
    <w:rPr>
      <w:rFonts w:ascii="Arial" w:eastAsia="Times New Roman" w:hAnsi="Arial" w:cs="Arial"/>
      <w:szCs w:val="24"/>
      <w:lang w:eastAsia="en-NZ"/>
    </w:rPr>
  </w:style>
  <w:style w:type="character" w:customStyle="1" w:styleId="SubheadingChar">
    <w:name w:val="Subheading Char"/>
    <w:basedOn w:val="BodyTextChar"/>
    <w:link w:val="Subheading"/>
    <w:rsid w:val="009535CB"/>
    <w:rPr>
      <w:rFonts w:ascii="Arial" w:eastAsia="Times New Roman" w:hAnsi="Arial" w:cs="Arial"/>
      <w:b/>
      <w:color w:val="1C1C1C"/>
      <w:spacing w:val="-2"/>
      <w:kern w:val="28"/>
      <w:sz w:val="20"/>
      <w:szCs w:val="24"/>
      <w:lang w:val="en-US" w:eastAsia="en-NZ"/>
    </w:rPr>
  </w:style>
  <w:style w:type="character" w:customStyle="1" w:styleId="StyleFootnoteReferenceNECGFootnoteReferenceFootnoteReferen1">
    <w:name w:val="Style Footnote Reference(NECG) Footnote ReferenceFootnote Referen...1"/>
    <w:basedOn w:val="FootnoteReference"/>
    <w:rsid w:val="0067662F"/>
    <w:rPr>
      <w:rFonts w:ascii="Arial" w:hAnsi="Arial" w:cs="Times New Roman"/>
      <w:color w:val="000000"/>
      <w:sz w:val="16"/>
      <w:szCs w:val="18"/>
      <w:vertAlign w:val="superscript"/>
      <w:lang w:val="en-NZ"/>
    </w:rPr>
  </w:style>
  <w:style w:type="character" w:customStyle="1" w:styleId="StyleFootnoteReferenceNECGFootnoteReferenceFootnoteReferen">
    <w:name w:val="Style Footnote Reference(NECG) Footnote ReferenceFootnote Referen..."/>
    <w:basedOn w:val="FootnoteReference"/>
    <w:rsid w:val="0067662F"/>
    <w:rPr>
      <w:rFonts w:ascii="Arial" w:hAnsi="Arial" w:cs="Times New Roman"/>
      <w:sz w:val="16"/>
      <w:szCs w:val="18"/>
      <w:vertAlign w:val="superscript"/>
      <w:lang w:val="en-NZ"/>
    </w:rPr>
  </w:style>
  <w:style w:type="character" w:styleId="Emphasis">
    <w:name w:val="Emphasis"/>
    <w:basedOn w:val="DefaultParagraphFont"/>
    <w:qFormat/>
    <w:rsid w:val="0067662F"/>
    <w:rPr>
      <w:i/>
      <w:iCs/>
    </w:rPr>
  </w:style>
  <w:style w:type="paragraph" w:customStyle="1" w:styleId="TELSTRANormal">
    <w:name w:val="TELSTRANormal"/>
    <w:basedOn w:val="Heading2"/>
    <w:qFormat/>
    <w:rsid w:val="0067662F"/>
    <w:pPr>
      <w:keepNext w:val="0"/>
      <w:widowControl w:val="0"/>
      <w:suppressAutoHyphens/>
      <w:autoSpaceDE w:val="0"/>
      <w:autoSpaceDN w:val="0"/>
      <w:adjustRightInd w:val="0"/>
      <w:textAlignment w:val="center"/>
    </w:pPr>
    <w:rPr>
      <w:rFonts w:eastAsia="PMingLiU" w:cs="Arial"/>
      <w:b w:val="0"/>
      <w:bCs w:val="0"/>
      <w:color w:val="auto"/>
      <w:sz w:val="20"/>
      <w:szCs w:val="20"/>
      <w:lang w:val="en-AU"/>
    </w:rPr>
  </w:style>
  <w:style w:type="paragraph" w:styleId="TOC4">
    <w:name w:val="toc 4"/>
    <w:basedOn w:val="Normal"/>
    <w:next w:val="Normal"/>
    <w:autoRedefine/>
    <w:uiPriority w:val="39"/>
    <w:unhideWhenUsed/>
    <w:rsid w:val="0067662F"/>
    <w:pPr>
      <w:spacing w:after="100" w:line="276" w:lineRule="auto"/>
      <w:ind w:left="660"/>
    </w:pPr>
    <w:rPr>
      <w:rFonts w:asciiTheme="minorHAnsi" w:eastAsiaTheme="minorEastAsia" w:hAnsiTheme="minorHAnsi" w:cstheme="minorBidi"/>
      <w:color w:val="auto"/>
      <w:spacing w:val="0"/>
      <w:sz w:val="22"/>
      <w:szCs w:val="22"/>
      <w:lang w:val="en-AU" w:eastAsia="en-AU"/>
    </w:rPr>
  </w:style>
  <w:style w:type="paragraph" w:styleId="TOC5">
    <w:name w:val="toc 5"/>
    <w:basedOn w:val="Normal"/>
    <w:next w:val="Normal"/>
    <w:autoRedefine/>
    <w:uiPriority w:val="39"/>
    <w:unhideWhenUsed/>
    <w:rsid w:val="0067662F"/>
    <w:pPr>
      <w:spacing w:after="100" w:line="276" w:lineRule="auto"/>
      <w:ind w:left="880"/>
    </w:pPr>
    <w:rPr>
      <w:rFonts w:asciiTheme="minorHAnsi" w:eastAsiaTheme="minorEastAsia" w:hAnsiTheme="minorHAnsi" w:cstheme="minorBidi"/>
      <w:color w:val="auto"/>
      <w:spacing w:val="0"/>
      <w:sz w:val="22"/>
      <w:szCs w:val="22"/>
      <w:lang w:val="en-AU" w:eastAsia="en-AU"/>
    </w:rPr>
  </w:style>
  <w:style w:type="paragraph" w:styleId="TOC6">
    <w:name w:val="toc 6"/>
    <w:basedOn w:val="Normal"/>
    <w:next w:val="Normal"/>
    <w:autoRedefine/>
    <w:uiPriority w:val="39"/>
    <w:unhideWhenUsed/>
    <w:rsid w:val="0067662F"/>
    <w:pPr>
      <w:spacing w:after="100" w:line="276" w:lineRule="auto"/>
      <w:ind w:left="1100"/>
    </w:pPr>
    <w:rPr>
      <w:rFonts w:asciiTheme="minorHAnsi" w:eastAsiaTheme="minorEastAsia" w:hAnsiTheme="minorHAnsi" w:cstheme="minorBidi"/>
      <w:color w:val="auto"/>
      <w:spacing w:val="0"/>
      <w:sz w:val="22"/>
      <w:szCs w:val="22"/>
      <w:lang w:val="en-AU" w:eastAsia="en-AU"/>
    </w:rPr>
  </w:style>
  <w:style w:type="paragraph" w:styleId="TOC7">
    <w:name w:val="toc 7"/>
    <w:basedOn w:val="Normal"/>
    <w:next w:val="Normal"/>
    <w:autoRedefine/>
    <w:uiPriority w:val="39"/>
    <w:unhideWhenUsed/>
    <w:rsid w:val="0067662F"/>
    <w:pPr>
      <w:spacing w:after="100" w:line="276" w:lineRule="auto"/>
      <w:ind w:left="1320"/>
    </w:pPr>
    <w:rPr>
      <w:rFonts w:asciiTheme="minorHAnsi" w:eastAsiaTheme="minorEastAsia" w:hAnsiTheme="minorHAnsi" w:cstheme="minorBidi"/>
      <w:color w:val="auto"/>
      <w:spacing w:val="0"/>
      <w:sz w:val="22"/>
      <w:szCs w:val="22"/>
      <w:lang w:val="en-AU" w:eastAsia="en-AU"/>
    </w:rPr>
  </w:style>
  <w:style w:type="paragraph" w:styleId="TOC8">
    <w:name w:val="toc 8"/>
    <w:basedOn w:val="Normal"/>
    <w:next w:val="Normal"/>
    <w:autoRedefine/>
    <w:uiPriority w:val="39"/>
    <w:unhideWhenUsed/>
    <w:rsid w:val="0067662F"/>
    <w:pPr>
      <w:spacing w:after="100" w:line="276" w:lineRule="auto"/>
      <w:ind w:left="1540"/>
    </w:pPr>
    <w:rPr>
      <w:rFonts w:asciiTheme="minorHAnsi" w:eastAsiaTheme="minorEastAsia" w:hAnsiTheme="minorHAnsi" w:cstheme="minorBidi"/>
      <w:color w:val="auto"/>
      <w:spacing w:val="0"/>
      <w:sz w:val="22"/>
      <w:szCs w:val="22"/>
      <w:lang w:val="en-AU" w:eastAsia="en-AU"/>
    </w:rPr>
  </w:style>
  <w:style w:type="paragraph" w:styleId="TOC9">
    <w:name w:val="toc 9"/>
    <w:basedOn w:val="Normal"/>
    <w:next w:val="Normal"/>
    <w:autoRedefine/>
    <w:uiPriority w:val="39"/>
    <w:unhideWhenUsed/>
    <w:rsid w:val="0067662F"/>
    <w:pPr>
      <w:spacing w:after="100" w:line="276" w:lineRule="auto"/>
      <w:ind w:left="1760"/>
    </w:pPr>
    <w:rPr>
      <w:rFonts w:asciiTheme="minorHAnsi" w:eastAsiaTheme="minorEastAsia" w:hAnsiTheme="minorHAnsi" w:cstheme="minorBidi"/>
      <w:color w:val="auto"/>
      <w:spacing w:val="0"/>
      <w:sz w:val="22"/>
      <w:szCs w:val="22"/>
      <w:lang w:val="en-AU" w:eastAsia="en-AU"/>
    </w:rPr>
  </w:style>
  <w:style w:type="table" w:customStyle="1" w:styleId="LightList-Accent11">
    <w:name w:val="Light List - Accent 11"/>
    <w:basedOn w:val="TableNormal"/>
    <w:uiPriority w:val="61"/>
    <w:rsid w:val="0067662F"/>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styleId="1ai">
    <w:name w:val="Outline List 1"/>
    <w:basedOn w:val="NoList"/>
    <w:rsid w:val="0067662F"/>
    <w:pPr>
      <w:numPr>
        <w:numId w:val="5"/>
      </w:numPr>
    </w:pPr>
  </w:style>
  <w:style w:type="character" w:styleId="Strong">
    <w:name w:val="Strong"/>
    <w:basedOn w:val="DefaultParagraphFont"/>
    <w:qFormat/>
    <w:rsid w:val="0067662F"/>
    <w:rPr>
      <w:b/>
      <w:bCs/>
    </w:rPr>
  </w:style>
  <w:style w:type="table" w:customStyle="1" w:styleId="LightList-Accent111">
    <w:name w:val="Light List - Accent 111"/>
    <w:basedOn w:val="TableNormal"/>
    <w:uiPriority w:val="61"/>
    <w:rsid w:val="0067662F"/>
    <w:pPr>
      <w:spacing w:after="0" w:line="240" w:lineRule="auto"/>
    </w:pPr>
    <w:rPr>
      <w:rFonts w:ascii="Arial" w:eastAsia="Arial" w:hAnsi="Arial" w:cs="Times New Roman"/>
    </w:rPr>
    <w:tblPr>
      <w:tblStyleRowBandSize w:val="1"/>
      <w:tblStyleColBandSize w:val="1"/>
      <w:tblBorders>
        <w:top w:val="single" w:sz="8" w:space="0" w:color="004D9D"/>
        <w:left w:val="single" w:sz="8" w:space="0" w:color="004D9D"/>
        <w:bottom w:val="single" w:sz="8" w:space="0" w:color="004D9D"/>
        <w:right w:val="single" w:sz="8" w:space="0" w:color="004D9D"/>
      </w:tblBorders>
    </w:tblPr>
    <w:tblStylePr w:type="firstRow">
      <w:pPr>
        <w:spacing w:before="0" w:after="0" w:line="240" w:lineRule="auto"/>
      </w:pPr>
      <w:rPr>
        <w:b/>
        <w:bCs/>
        <w:color w:val="FFFFFF"/>
      </w:rPr>
      <w:tblPr/>
      <w:tcPr>
        <w:shd w:val="clear" w:color="auto" w:fill="004D9D"/>
      </w:tcPr>
    </w:tblStylePr>
    <w:tblStylePr w:type="lastRow">
      <w:pPr>
        <w:spacing w:before="0" w:after="0" w:line="240" w:lineRule="auto"/>
      </w:pPr>
      <w:rPr>
        <w:b/>
        <w:bCs/>
      </w:rPr>
      <w:tblPr/>
      <w:tcPr>
        <w:tcBorders>
          <w:top w:val="double" w:sz="6" w:space="0" w:color="004D9D"/>
          <w:left w:val="single" w:sz="8" w:space="0" w:color="004D9D"/>
          <w:bottom w:val="single" w:sz="8" w:space="0" w:color="004D9D"/>
          <w:right w:val="single" w:sz="8" w:space="0" w:color="004D9D"/>
        </w:tcBorders>
      </w:tcPr>
    </w:tblStylePr>
    <w:tblStylePr w:type="firstCol">
      <w:rPr>
        <w:b/>
        <w:bCs/>
      </w:rPr>
    </w:tblStylePr>
    <w:tblStylePr w:type="lastCol">
      <w:rPr>
        <w:b/>
        <w:bCs/>
      </w:rPr>
    </w:tblStylePr>
    <w:tblStylePr w:type="band1Vert">
      <w:tblPr/>
      <w:tcPr>
        <w:tcBorders>
          <w:top w:val="single" w:sz="8" w:space="0" w:color="004D9D"/>
          <w:left w:val="single" w:sz="8" w:space="0" w:color="004D9D"/>
          <w:bottom w:val="single" w:sz="8" w:space="0" w:color="004D9D"/>
          <w:right w:val="single" w:sz="8" w:space="0" w:color="004D9D"/>
        </w:tcBorders>
      </w:tcPr>
    </w:tblStylePr>
    <w:tblStylePr w:type="band1Horz">
      <w:tblPr/>
      <w:tcPr>
        <w:tcBorders>
          <w:top w:val="single" w:sz="8" w:space="0" w:color="004D9D"/>
          <w:left w:val="single" w:sz="8" w:space="0" w:color="004D9D"/>
          <w:bottom w:val="single" w:sz="8" w:space="0" w:color="004D9D"/>
          <w:right w:val="single" w:sz="8" w:space="0" w:color="004D9D"/>
        </w:tcBorders>
      </w:tcPr>
    </w:tblStylePr>
  </w:style>
  <w:style w:type="numbering" w:customStyle="1" w:styleId="Headings1">
    <w:name w:val="Headings1"/>
    <w:rsid w:val="0067662F"/>
  </w:style>
  <w:style w:type="table" w:customStyle="1" w:styleId="LightList-Accent1111">
    <w:name w:val="Light List - Accent 1111"/>
    <w:basedOn w:val="TableNormal"/>
    <w:uiPriority w:val="61"/>
    <w:rsid w:val="0067662F"/>
    <w:pPr>
      <w:spacing w:after="0" w:line="240" w:lineRule="auto"/>
    </w:pPr>
    <w:rPr>
      <w:rFonts w:ascii="Arial" w:eastAsia="Arial" w:hAnsi="Arial" w:cs="Times New Roman"/>
    </w:rPr>
    <w:tblPr>
      <w:tblStyleRowBandSize w:val="1"/>
      <w:tblStyleColBandSize w:val="1"/>
      <w:tblBorders>
        <w:top w:val="single" w:sz="8" w:space="0" w:color="004D9D"/>
        <w:left w:val="single" w:sz="8" w:space="0" w:color="004D9D"/>
        <w:bottom w:val="single" w:sz="8" w:space="0" w:color="004D9D"/>
        <w:right w:val="single" w:sz="8" w:space="0" w:color="004D9D"/>
      </w:tblBorders>
    </w:tblPr>
    <w:tblStylePr w:type="firstRow">
      <w:pPr>
        <w:spacing w:before="0" w:after="0" w:line="240" w:lineRule="auto"/>
      </w:pPr>
      <w:rPr>
        <w:b/>
        <w:bCs/>
        <w:color w:val="FFFFFF"/>
      </w:rPr>
      <w:tblPr/>
      <w:tcPr>
        <w:shd w:val="clear" w:color="auto" w:fill="004D9D"/>
      </w:tcPr>
    </w:tblStylePr>
    <w:tblStylePr w:type="lastRow">
      <w:pPr>
        <w:spacing w:before="0" w:after="0" w:line="240" w:lineRule="auto"/>
      </w:pPr>
      <w:rPr>
        <w:b/>
        <w:bCs/>
      </w:rPr>
      <w:tblPr/>
      <w:tcPr>
        <w:tcBorders>
          <w:top w:val="double" w:sz="6" w:space="0" w:color="004D9D"/>
          <w:left w:val="single" w:sz="8" w:space="0" w:color="004D9D"/>
          <w:bottom w:val="single" w:sz="8" w:space="0" w:color="004D9D"/>
          <w:right w:val="single" w:sz="8" w:space="0" w:color="004D9D"/>
        </w:tcBorders>
      </w:tcPr>
    </w:tblStylePr>
    <w:tblStylePr w:type="firstCol">
      <w:rPr>
        <w:b/>
        <w:bCs/>
      </w:rPr>
    </w:tblStylePr>
    <w:tblStylePr w:type="lastCol">
      <w:rPr>
        <w:b/>
        <w:bCs/>
      </w:rPr>
    </w:tblStylePr>
    <w:tblStylePr w:type="band1Vert">
      <w:tblPr/>
      <w:tcPr>
        <w:tcBorders>
          <w:top w:val="single" w:sz="8" w:space="0" w:color="004D9D"/>
          <w:left w:val="single" w:sz="8" w:space="0" w:color="004D9D"/>
          <w:bottom w:val="single" w:sz="8" w:space="0" w:color="004D9D"/>
          <w:right w:val="single" w:sz="8" w:space="0" w:color="004D9D"/>
        </w:tcBorders>
      </w:tcPr>
    </w:tblStylePr>
    <w:tblStylePr w:type="band1Horz">
      <w:tblPr/>
      <w:tcPr>
        <w:tcBorders>
          <w:top w:val="single" w:sz="8" w:space="0" w:color="004D9D"/>
          <w:left w:val="single" w:sz="8" w:space="0" w:color="004D9D"/>
          <w:bottom w:val="single" w:sz="8" w:space="0" w:color="004D9D"/>
          <w:right w:val="single" w:sz="8" w:space="0" w:color="004D9D"/>
        </w:tcBorders>
      </w:tcPr>
    </w:tblStylePr>
  </w:style>
  <w:style w:type="paragraph" w:styleId="Quote">
    <w:name w:val="Quote"/>
    <w:basedOn w:val="Normal"/>
    <w:next w:val="Normal"/>
    <w:link w:val="QuoteChar"/>
    <w:uiPriority w:val="29"/>
    <w:qFormat/>
    <w:rsid w:val="0067662F"/>
    <w:pPr>
      <w:spacing w:line="240" w:lineRule="auto"/>
    </w:pPr>
    <w:rPr>
      <w:rFonts w:eastAsia="PMingLiU"/>
      <w:i/>
      <w:iCs/>
      <w:color w:val="000000" w:themeColor="text1"/>
      <w:lang w:val="en-AU"/>
    </w:rPr>
  </w:style>
  <w:style w:type="character" w:customStyle="1" w:styleId="QuoteChar">
    <w:name w:val="Quote Char"/>
    <w:basedOn w:val="DefaultParagraphFont"/>
    <w:link w:val="Quote"/>
    <w:uiPriority w:val="29"/>
    <w:rsid w:val="0067662F"/>
    <w:rPr>
      <w:rFonts w:ascii="Arial" w:eastAsia="PMingLiU" w:hAnsi="Arial" w:cs="Times New Roman"/>
      <w:i/>
      <w:iCs/>
      <w:color w:val="000000" w:themeColor="text1"/>
      <w:spacing w:val="-2"/>
      <w:sz w:val="20"/>
      <w:szCs w:val="24"/>
    </w:rPr>
  </w:style>
  <w:style w:type="table" w:styleId="MediumGrid3-Accent1">
    <w:name w:val="Medium Grid 3 Accent 1"/>
    <w:basedOn w:val="TableNormal"/>
    <w:uiPriority w:val="69"/>
    <w:rsid w:val="0067662F"/>
    <w:pPr>
      <w:spacing w:after="0" w:line="240" w:lineRule="auto"/>
    </w:pPr>
    <w:rPr>
      <w:rFonts w:ascii="Cambria" w:eastAsia="PMingLiU" w:hAnsi="Cambria" w:cs="Times New Roman"/>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67662F"/>
    <w:pPr>
      <w:spacing w:after="200" w:line="240" w:lineRule="auto"/>
    </w:pPr>
    <w:rPr>
      <w:rFonts w:eastAsia="PMingLiU"/>
      <w:b/>
      <w:bCs/>
      <w:color w:val="4F81BD" w:themeColor="accent1"/>
      <w:sz w:val="18"/>
      <w:szCs w:val="18"/>
      <w:lang w:val="en-AU"/>
    </w:rPr>
  </w:style>
  <w:style w:type="table" w:customStyle="1" w:styleId="MediumShading1-Accent11">
    <w:name w:val="Medium Shading 1 - Accent 11"/>
    <w:basedOn w:val="TableNormal"/>
    <w:uiPriority w:val="63"/>
    <w:rsid w:val="0067662F"/>
    <w:pPr>
      <w:spacing w:after="0" w:line="240" w:lineRule="auto"/>
    </w:pPr>
    <w:rPr>
      <w:rFonts w:ascii="Cambria" w:eastAsia="PMingLiU" w:hAnsi="Cambria" w:cs="Times New Roman"/>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6766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le1">
    <w:name w:val="Title1"/>
    <w:basedOn w:val="DefaultParagraphFont"/>
    <w:rsid w:val="0067662F"/>
  </w:style>
  <w:style w:type="table" w:customStyle="1" w:styleId="MediumShading1-Accent111">
    <w:name w:val="Medium Shading 1 - Accent 111"/>
    <w:basedOn w:val="TableNormal"/>
    <w:uiPriority w:val="63"/>
    <w:rsid w:val="00A0652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Number">
    <w:name w:val="List Number"/>
    <w:basedOn w:val="BodyText"/>
    <w:qFormat/>
    <w:rsid w:val="0067729B"/>
    <w:pPr>
      <w:numPr>
        <w:numId w:val="7"/>
      </w:numPr>
      <w:tabs>
        <w:tab w:val="clear" w:pos="2268"/>
        <w:tab w:val="clear" w:pos="5669"/>
      </w:tabs>
      <w:suppressAutoHyphens w:val="0"/>
    </w:pPr>
    <w:rPr>
      <w:rFonts w:eastAsia="SimSun" w:cs="Times New Roman"/>
      <w:color w:val="000000"/>
      <w:spacing w:val="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2370">
      <w:bodyDiv w:val="1"/>
      <w:marLeft w:val="0"/>
      <w:marRight w:val="0"/>
      <w:marTop w:val="0"/>
      <w:marBottom w:val="0"/>
      <w:divBdr>
        <w:top w:val="none" w:sz="0" w:space="0" w:color="auto"/>
        <w:left w:val="none" w:sz="0" w:space="0" w:color="auto"/>
        <w:bottom w:val="none" w:sz="0" w:space="0" w:color="auto"/>
        <w:right w:val="none" w:sz="0" w:space="0" w:color="auto"/>
      </w:divBdr>
    </w:div>
    <w:div w:id="166218802">
      <w:bodyDiv w:val="1"/>
      <w:marLeft w:val="0"/>
      <w:marRight w:val="0"/>
      <w:marTop w:val="0"/>
      <w:marBottom w:val="0"/>
      <w:divBdr>
        <w:top w:val="none" w:sz="0" w:space="0" w:color="auto"/>
        <w:left w:val="none" w:sz="0" w:space="0" w:color="auto"/>
        <w:bottom w:val="none" w:sz="0" w:space="0" w:color="auto"/>
        <w:right w:val="none" w:sz="0" w:space="0" w:color="auto"/>
      </w:divBdr>
      <w:divsChild>
        <w:div w:id="1241982855">
          <w:marLeft w:val="0"/>
          <w:marRight w:val="0"/>
          <w:marTop w:val="0"/>
          <w:marBottom w:val="0"/>
          <w:divBdr>
            <w:top w:val="none" w:sz="0" w:space="0" w:color="auto"/>
            <w:left w:val="none" w:sz="0" w:space="0" w:color="auto"/>
            <w:bottom w:val="none" w:sz="0" w:space="0" w:color="auto"/>
            <w:right w:val="none" w:sz="0" w:space="0" w:color="auto"/>
          </w:divBdr>
          <w:divsChild>
            <w:div w:id="234901411">
              <w:marLeft w:val="0"/>
              <w:marRight w:val="0"/>
              <w:marTop w:val="0"/>
              <w:marBottom w:val="0"/>
              <w:divBdr>
                <w:top w:val="none" w:sz="0" w:space="0" w:color="auto"/>
                <w:left w:val="none" w:sz="0" w:space="0" w:color="auto"/>
                <w:bottom w:val="none" w:sz="0" w:space="0" w:color="auto"/>
                <w:right w:val="none" w:sz="0" w:space="0" w:color="auto"/>
              </w:divBdr>
              <w:divsChild>
                <w:div w:id="323627281">
                  <w:marLeft w:val="0"/>
                  <w:marRight w:val="0"/>
                  <w:marTop w:val="0"/>
                  <w:marBottom w:val="0"/>
                  <w:divBdr>
                    <w:top w:val="none" w:sz="0" w:space="0" w:color="auto"/>
                    <w:left w:val="none" w:sz="0" w:space="0" w:color="auto"/>
                    <w:bottom w:val="none" w:sz="0" w:space="0" w:color="auto"/>
                    <w:right w:val="none" w:sz="0" w:space="0" w:color="auto"/>
                  </w:divBdr>
                  <w:divsChild>
                    <w:div w:id="1607811691">
                      <w:marLeft w:val="0"/>
                      <w:marRight w:val="0"/>
                      <w:marTop w:val="0"/>
                      <w:marBottom w:val="0"/>
                      <w:divBdr>
                        <w:top w:val="single" w:sz="6" w:space="0" w:color="DCD9D9"/>
                        <w:left w:val="single" w:sz="6" w:space="0" w:color="DCD9D9"/>
                        <w:bottom w:val="single" w:sz="2" w:space="0" w:color="DCD9D9"/>
                        <w:right w:val="single" w:sz="6" w:space="0" w:color="DCD9D9"/>
                      </w:divBdr>
                      <w:divsChild>
                        <w:div w:id="2004969011">
                          <w:marLeft w:val="0"/>
                          <w:marRight w:val="-100"/>
                          <w:marTop w:val="450"/>
                          <w:marBottom w:val="0"/>
                          <w:divBdr>
                            <w:top w:val="none" w:sz="0" w:space="0" w:color="auto"/>
                            <w:left w:val="none" w:sz="0" w:space="0" w:color="auto"/>
                            <w:bottom w:val="none" w:sz="0" w:space="0" w:color="auto"/>
                            <w:right w:val="none" w:sz="0" w:space="0" w:color="auto"/>
                          </w:divBdr>
                          <w:divsChild>
                            <w:div w:id="665863850">
                              <w:marLeft w:val="0"/>
                              <w:marRight w:val="0"/>
                              <w:marTop w:val="0"/>
                              <w:marBottom w:val="0"/>
                              <w:divBdr>
                                <w:top w:val="none" w:sz="0" w:space="0" w:color="auto"/>
                                <w:left w:val="none" w:sz="0" w:space="0" w:color="auto"/>
                                <w:bottom w:val="none" w:sz="0" w:space="0" w:color="auto"/>
                                <w:right w:val="none" w:sz="0" w:space="0" w:color="auto"/>
                              </w:divBdr>
                              <w:divsChild>
                                <w:div w:id="1447773376">
                                  <w:marLeft w:val="0"/>
                                  <w:marRight w:val="0"/>
                                  <w:marTop w:val="0"/>
                                  <w:marBottom w:val="0"/>
                                  <w:divBdr>
                                    <w:top w:val="none" w:sz="0" w:space="0" w:color="auto"/>
                                    <w:left w:val="none" w:sz="0" w:space="0" w:color="auto"/>
                                    <w:bottom w:val="none" w:sz="0" w:space="0" w:color="auto"/>
                                    <w:right w:val="none" w:sz="0" w:space="0" w:color="auto"/>
                                  </w:divBdr>
                                  <w:divsChild>
                                    <w:div w:id="48457060">
                                      <w:marLeft w:val="0"/>
                                      <w:marRight w:val="0"/>
                                      <w:marTop w:val="0"/>
                                      <w:marBottom w:val="0"/>
                                      <w:divBdr>
                                        <w:top w:val="none" w:sz="0" w:space="0" w:color="auto"/>
                                        <w:left w:val="none" w:sz="0" w:space="0" w:color="auto"/>
                                        <w:bottom w:val="none" w:sz="0" w:space="0" w:color="auto"/>
                                        <w:right w:val="none" w:sz="0" w:space="0" w:color="auto"/>
                                      </w:divBdr>
                                      <w:divsChild>
                                        <w:div w:id="1073043182">
                                          <w:marLeft w:val="0"/>
                                          <w:marRight w:val="0"/>
                                          <w:marTop w:val="0"/>
                                          <w:marBottom w:val="360"/>
                                          <w:divBdr>
                                            <w:top w:val="none" w:sz="0" w:space="0" w:color="auto"/>
                                            <w:left w:val="none" w:sz="0" w:space="0" w:color="auto"/>
                                            <w:bottom w:val="none" w:sz="0" w:space="0" w:color="auto"/>
                                            <w:right w:val="none" w:sz="0" w:space="0" w:color="auto"/>
                                          </w:divBdr>
                                          <w:divsChild>
                                            <w:div w:id="1485779956">
                                              <w:marLeft w:val="0"/>
                                              <w:marRight w:val="0"/>
                                              <w:marTop w:val="0"/>
                                              <w:marBottom w:val="0"/>
                                              <w:divBdr>
                                                <w:top w:val="none" w:sz="0" w:space="0" w:color="auto"/>
                                                <w:left w:val="none" w:sz="0" w:space="0" w:color="auto"/>
                                                <w:bottom w:val="none" w:sz="0" w:space="0" w:color="auto"/>
                                                <w:right w:val="none" w:sz="0" w:space="0" w:color="auto"/>
                                              </w:divBdr>
                                              <w:divsChild>
                                                <w:div w:id="1889761331">
                                                  <w:marLeft w:val="0"/>
                                                  <w:marRight w:val="0"/>
                                                  <w:marTop w:val="0"/>
                                                  <w:marBottom w:val="0"/>
                                                  <w:divBdr>
                                                    <w:top w:val="none" w:sz="0" w:space="0" w:color="auto"/>
                                                    <w:left w:val="none" w:sz="0" w:space="0" w:color="auto"/>
                                                    <w:bottom w:val="none" w:sz="0" w:space="0" w:color="auto"/>
                                                    <w:right w:val="none" w:sz="0" w:space="0" w:color="auto"/>
                                                  </w:divBdr>
                                                  <w:divsChild>
                                                    <w:div w:id="44721662">
                                                      <w:marLeft w:val="0"/>
                                                      <w:marRight w:val="0"/>
                                                      <w:marTop w:val="0"/>
                                                      <w:marBottom w:val="0"/>
                                                      <w:divBdr>
                                                        <w:top w:val="none" w:sz="0" w:space="0" w:color="auto"/>
                                                        <w:left w:val="none" w:sz="0" w:space="0" w:color="auto"/>
                                                        <w:bottom w:val="none" w:sz="0" w:space="0" w:color="auto"/>
                                                        <w:right w:val="none" w:sz="0" w:space="0" w:color="auto"/>
                                                      </w:divBdr>
                                                      <w:divsChild>
                                                        <w:div w:id="511265420">
                                                          <w:marLeft w:val="0"/>
                                                          <w:marRight w:val="0"/>
                                                          <w:marTop w:val="0"/>
                                                          <w:marBottom w:val="0"/>
                                                          <w:divBdr>
                                                            <w:top w:val="none" w:sz="0" w:space="0" w:color="auto"/>
                                                            <w:left w:val="none" w:sz="0" w:space="0" w:color="auto"/>
                                                            <w:bottom w:val="none" w:sz="0" w:space="0" w:color="auto"/>
                                                            <w:right w:val="none" w:sz="0" w:space="0" w:color="auto"/>
                                                          </w:divBdr>
                                                          <w:divsChild>
                                                            <w:div w:id="1553079449">
                                                              <w:marLeft w:val="0"/>
                                                              <w:marRight w:val="0"/>
                                                              <w:marTop w:val="0"/>
                                                              <w:marBottom w:val="0"/>
                                                              <w:divBdr>
                                                                <w:top w:val="none" w:sz="0" w:space="0" w:color="auto"/>
                                                                <w:left w:val="none" w:sz="0" w:space="0" w:color="auto"/>
                                                                <w:bottom w:val="none" w:sz="0" w:space="0" w:color="auto"/>
                                                                <w:right w:val="none" w:sz="0" w:space="0" w:color="auto"/>
                                                              </w:divBdr>
                                                              <w:divsChild>
                                                                <w:div w:id="6307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124537">
      <w:bodyDiv w:val="1"/>
      <w:marLeft w:val="0"/>
      <w:marRight w:val="0"/>
      <w:marTop w:val="0"/>
      <w:marBottom w:val="0"/>
      <w:divBdr>
        <w:top w:val="none" w:sz="0" w:space="0" w:color="auto"/>
        <w:left w:val="none" w:sz="0" w:space="0" w:color="auto"/>
        <w:bottom w:val="none" w:sz="0" w:space="0" w:color="auto"/>
        <w:right w:val="none" w:sz="0" w:space="0" w:color="auto"/>
      </w:divBdr>
    </w:div>
    <w:div w:id="1129588293">
      <w:bodyDiv w:val="1"/>
      <w:marLeft w:val="0"/>
      <w:marRight w:val="0"/>
      <w:marTop w:val="0"/>
      <w:marBottom w:val="0"/>
      <w:divBdr>
        <w:top w:val="none" w:sz="0" w:space="0" w:color="auto"/>
        <w:left w:val="none" w:sz="0" w:space="0" w:color="auto"/>
        <w:bottom w:val="none" w:sz="0" w:space="0" w:color="auto"/>
        <w:right w:val="none" w:sz="0" w:space="0" w:color="auto"/>
      </w:divBdr>
    </w:div>
    <w:div w:id="1496340808">
      <w:bodyDiv w:val="1"/>
      <w:marLeft w:val="0"/>
      <w:marRight w:val="0"/>
      <w:marTop w:val="0"/>
      <w:marBottom w:val="0"/>
      <w:divBdr>
        <w:top w:val="none" w:sz="0" w:space="0" w:color="auto"/>
        <w:left w:val="none" w:sz="0" w:space="0" w:color="auto"/>
        <w:bottom w:val="none" w:sz="0" w:space="0" w:color="auto"/>
        <w:right w:val="none" w:sz="0" w:space="0" w:color="auto"/>
      </w:divBdr>
    </w:div>
    <w:div w:id="1773234237">
      <w:bodyDiv w:val="1"/>
      <w:marLeft w:val="0"/>
      <w:marRight w:val="0"/>
      <w:marTop w:val="0"/>
      <w:marBottom w:val="0"/>
      <w:divBdr>
        <w:top w:val="none" w:sz="0" w:space="0" w:color="auto"/>
        <w:left w:val="none" w:sz="0" w:space="0" w:color="auto"/>
        <w:bottom w:val="none" w:sz="0" w:space="0" w:color="auto"/>
        <w:right w:val="none" w:sz="0" w:space="0" w:color="auto"/>
      </w:divBdr>
      <w:divsChild>
        <w:div w:id="1684626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677730">
      <w:bodyDiv w:val="1"/>
      <w:marLeft w:val="0"/>
      <w:marRight w:val="0"/>
      <w:marTop w:val="0"/>
      <w:marBottom w:val="0"/>
      <w:divBdr>
        <w:top w:val="none" w:sz="0" w:space="0" w:color="auto"/>
        <w:left w:val="none" w:sz="0" w:space="0" w:color="auto"/>
        <w:bottom w:val="none" w:sz="0" w:space="0" w:color="auto"/>
        <w:right w:val="none" w:sz="0" w:space="0" w:color="auto"/>
      </w:divBdr>
      <w:divsChild>
        <w:div w:id="2121289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289518">
      <w:bodyDiv w:val="1"/>
      <w:marLeft w:val="0"/>
      <w:marRight w:val="0"/>
      <w:marTop w:val="0"/>
      <w:marBottom w:val="0"/>
      <w:divBdr>
        <w:top w:val="none" w:sz="0" w:space="0" w:color="auto"/>
        <w:left w:val="none" w:sz="0" w:space="0" w:color="auto"/>
        <w:bottom w:val="none" w:sz="0" w:space="0" w:color="auto"/>
        <w:right w:val="none" w:sz="0" w:space="0" w:color="auto"/>
      </w:divBdr>
    </w:div>
    <w:div w:id="18473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E8B3CA22B6E4BA6CE008C4A9EAA0B" ma:contentTypeVersion="0" ma:contentTypeDescription="Create a new document." ma:contentTypeScope="" ma:versionID="f7e87bd74fdf5cdf54c068f0fc7b2a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E5818-0806-405E-B4A9-937E81656E5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C44FAE3-C4C5-475E-96FD-638ACE6DA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6FABD9-8B25-4AA1-8D61-8DCBB657E9D7}">
  <ds:schemaRefs>
    <ds:schemaRef ds:uri="http://schemas.microsoft.com/sharepoint/v3/contenttype/forms"/>
  </ds:schemaRefs>
</ds:datastoreItem>
</file>

<file path=customXml/itemProps4.xml><?xml version="1.0" encoding="utf-8"?>
<ds:datastoreItem xmlns:ds="http://schemas.openxmlformats.org/officeDocument/2006/customXml" ds:itemID="{DDEAD5A2-5C3C-4DF9-9866-8DC87ABF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Review of the Part XIB telecommunications anti-competitive conduct provisions—response to discussion paper—Telstra</vt:lpstr>
    </vt:vector>
  </TitlesOfParts>
  <Company>King &amp; Wood Mallesons</Company>
  <LinksUpToDate>false</LinksUpToDate>
  <CharactersWithSpaces>21576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Part XIB telecommunications anti-competitive conduct provisions—response to discussion paper—Telstra</dc:title>
  <dc:subject/>
  <dc:creator>KWM</dc:creator>
  <cp:lastModifiedBy>Theresa Hall</cp:lastModifiedBy>
  <cp:revision>4</cp:revision>
  <cp:lastPrinted>2016-09-28T23:24:00Z</cp:lastPrinted>
  <dcterms:created xsi:type="dcterms:W3CDTF">2016-11-04T05:32:00Z</dcterms:created>
  <dcterms:modified xsi:type="dcterms:W3CDTF">2016-11-04T05:40:00Z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0x010100159E8B3CA22B6E4BA6CE008C4A9EAA0B</vt:lpwstr>
  </property>
  <property fmtid="{D5CDD505-2E9C-101B-9397-08002B2CF9AE}" pid="3" name="TrimRevisionNumber">
    <vt:i4>1</vt:i4>
  </property>
</Properties>
</file>