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93" w:rsidRDefault="00886CD3" w:rsidP="00886CD3">
      <w:pPr>
        <w:jc w:val="center"/>
      </w:pPr>
      <w:r>
        <w:rPr>
          <w:noProof/>
          <w:lang w:val="en-US"/>
        </w:rPr>
        <w:drawing>
          <wp:inline distT="0" distB="0" distL="0" distR="0">
            <wp:extent cx="288607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419225"/>
                    </a:xfrm>
                    <a:prstGeom prst="rect">
                      <a:avLst/>
                    </a:prstGeom>
                    <a:noFill/>
                    <a:ln>
                      <a:noFill/>
                    </a:ln>
                  </pic:spPr>
                </pic:pic>
              </a:graphicData>
            </a:graphic>
          </wp:inline>
        </w:drawing>
      </w:r>
    </w:p>
    <w:p w:rsidR="00886CD3" w:rsidRDefault="00886CD3" w:rsidP="00886CD3">
      <w:pPr>
        <w:jc w:val="center"/>
      </w:pPr>
    </w:p>
    <w:p w:rsidR="00886CD3" w:rsidRPr="00886CD3" w:rsidRDefault="00886CD3" w:rsidP="00886CD3">
      <w:pPr>
        <w:jc w:val="center"/>
        <w:rPr>
          <w:sz w:val="32"/>
        </w:rPr>
      </w:pPr>
      <w:r w:rsidRPr="00886CD3">
        <w:rPr>
          <w:sz w:val="32"/>
        </w:rPr>
        <w:t>Music Rights Australia’s Submission in Response to the Review of Copyright Online Infringement Amendment</w:t>
      </w:r>
    </w:p>
    <w:p w:rsidR="00886CD3" w:rsidRPr="00886CD3" w:rsidRDefault="00886CD3" w:rsidP="00886CD3">
      <w:pPr>
        <w:jc w:val="center"/>
        <w:rPr>
          <w:b/>
          <w:sz w:val="28"/>
        </w:rPr>
      </w:pPr>
      <w:r w:rsidRPr="00886CD3">
        <w:rPr>
          <w:b/>
          <w:sz w:val="28"/>
        </w:rPr>
        <w:t>16 March 2018</w:t>
      </w:r>
    </w:p>
    <w:p w:rsidR="00886CD3" w:rsidRDefault="00886CD3" w:rsidP="00886CD3">
      <w:pPr>
        <w:jc w:val="center"/>
      </w:pPr>
    </w:p>
    <w:p w:rsidR="00886CD3" w:rsidRPr="00742C8A" w:rsidRDefault="00886CD3" w:rsidP="00886CD3">
      <w:pPr>
        <w:ind w:left="120"/>
        <w:rPr>
          <w:rFonts w:ascii="Calibri" w:eastAsia="Calibri" w:hAnsi="Calibri" w:cs="Calibri"/>
          <w:sz w:val="32"/>
          <w:szCs w:val="32"/>
        </w:rPr>
      </w:pPr>
      <w:r>
        <w:rPr>
          <w:rFonts w:ascii="Calibri" w:eastAsia="Calibri" w:hAnsi="Calibri" w:cs="Calibri"/>
          <w:b/>
          <w:color w:val="682E9F"/>
          <w:sz w:val="32"/>
          <w:szCs w:val="32"/>
        </w:rPr>
        <w:t>C</w:t>
      </w:r>
      <w:r w:rsidRPr="00742C8A">
        <w:rPr>
          <w:rFonts w:ascii="Calibri" w:eastAsia="Calibri" w:hAnsi="Calibri" w:cs="Calibri"/>
          <w:b/>
          <w:color w:val="682E9F"/>
          <w:sz w:val="32"/>
          <w:szCs w:val="32"/>
        </w:rPr>
        <w:t>o</w:t>
      </w:r>
      <w:r w:rsidRPr="00742C8A">
        <w:rPr>
          <w:rFonts w:ascii="Calibri" w:eastAsia="Calibri" w:hAnsi="Calibri" w:cs="Calibri"/>
          <w:b/>
          <w:color w:val="682E9F"/>
          <w:spacing w:val="-1"/>
          <w:sz w:val="32"/>
          <w:szCs w:val="32"/>
        </w:rPr>
        <w:t>n</w:t>
      </w:r>
      <w:r w:rsidRPr="00742C8A">
        <w:rPr>
          <w:rFonts w:ascii="Calibri" w:eastAsia="Calibri" w:hAnsi="Calibri" w:cs="Calibri"/>
          <w:b/>
          <w:color w:val="682E9F"/>
          <w:sz w:val="32"/>
          <w:szCs w:val="32"/>
        </w:rPr>
        <w:t>te</w:t>
      </w:r>
      <w:r w:rsidRPr="00742C8A">
        <w:rPr>
          <w:rFonts w:ascii="Calibri" w:eastAsia="Calibri" w:hAnsi="Calibri" w:cs="Calibri"/>
          <w:b/>
          <w:color w:val="682E9F"/>
          <w:spacing w:val="-1"/>
          <w:sz w:val="32"/>
          <w:szCs w:val="32"/>
        </w:rPr>
        <w:t>n</w:t>
      </w:r>
      <w:r w:rsidRPr="00742C8A">
        <w:rPr>
          <w:rFonts w:ascii="Calibri" w:eastAsia="Calibri" w:hAnsi="Calibri" w:cs="Calibri"/>
          <w:b/>
          <w:color w:val="682E9F"/>
          <w:sz w:val="32"/>
          <w:szCs w:val="32"/>
        </w:rPr>
        <w:t>ts</w:t>
      </w:r>
    </w:p>
    <w:p w:rsidR="00886CD3" w:rsidRPr="009F5C5C" w:rsidRDefault="00886CD3" w:rsidP="00886CD3">
      <w:pPr>
        <w:spacing w:before="57"/>
        <w:ind w:right="94" w:firstLine="142"/>
        <w:jc w:val="both"/>
        <w:rPr>
          <w:sz w:val="24"/>
          <w:szCs w:val="24"/>
          <w:highlight w:val="yellow"/>
        </w:rPr>
      </w:pPr>
      <w:r w:rsidRPr="009F5C5C">
        <w:rPr>
          <w:rFonts w:eastAsia="Calibri" w:cs="Calibri"/>
          <w:b/>
          <w:spacing w:val="1"/>
          <w:sz w:val="24"/>
          <w:szCs w:val="24"/>
        </w:rPr>
        <w:t xml:space="preserve">1. </w:t>
      </w:r>
      <w:r w:rsidRPr="009F5C5C">
        <w:rPr>
          <w:rFonts w:eastAsia="Calibri" w:cs="Calibri"/>
          <w:b/>
          <w:spacing w:val="1"/>
          <w:sz w:val="24"/>
          <w:szCs w:val="24"/>
        </w:rPr>
        <w:tab/>
        <w:t>A</w:t>
      </w:r>
      <w:r w:rsidRPr="009F5C5C">
        <w:rPr>
          <w:rFonts w:eastAsia="Calibri" w:cs="Calibri"/>
          <w:b/>
          <w:spacing w:val="-1"/>
          <w:sz w:val="24"/>
          <w:szCs w:val="24"/>
        </w:rPr>
        <w:t>bou</w:t>
      </w:r>
      <w:r w:rsidRPr="009F5C5C">
        <w:rPr>
          <w:rFonts w:eastAsia="Calibri" w:cs="Calibri"/>
          <w:b/>
          <w:sz w:val="24"/>
          <w:szCs w:val="24"/>
        </w:rPr>
        <w:t>t</w:t>
      </w:r>
      <w:r w:rsidRPr="009F5C5C">
        <w:rPr>
          <w:rFonts w:eastAsia="Calibri" w:cs="Calibri"/>
          <w:b/>
          <w:spacing w:val="1"/>
          <w:sz w:val="24"/>
          <w:szCs w:val="24"/>
        </w:rPr>
        <w:t xml:space="preserve"> </w:t>
      </w:r>
      <w:r w:rsidRPr="009F5C5C">
        <w:rPr>
          <w:rFonts w:eastAsia="Calibri" w:cs="Calibri"/>
          <w:b/>
          <w:spacing w:val="-1"/>
          <w:sz w:val="24"/>
          <w:szCs w:val="24"/>
        </w:rPr>
        <w:t>M</w:t>
      </w:r>
      <w:r w:rsidRPr="009F5C5C">
        <w:rPr>
          <w:rFonts w:eastAsia="Calibri" w:cs="Calibri"/>
          <w:b/>
          <w:spacing w:val="-3"/>
          <w:sz w:val="24"/>
          <w:szCs w:val="24"/>
        </w:rPr>
        <w:t>u</w:t>
      </w:r>
      <w:r w:rsidRPr="009F5C5C">
        <w:rPr>
          <w:rFonts w:eastAsia="Calibri" w:cs="Calibri"/>
          <w:b/>
          <w:spacing w:val="-2"/>
          <w:sz w:val="24"/>
          <w:szCs w:val="24"/>
        </w:rPr>
        <w:t>s</w:t>
      </w:r>
      <w:r w:rsidRPr="009F5C5C">
        <w:rPr>
          <w:rFonts w:eastAsia="Calibri" w:cs="Calibri"/>
          <w:b/>
          <w:spacing w:val="1"/>
          <w:sz w:val="24"/>
          <w:szCs w:val="24"/>
        </w:rPr>
        <w:t>i</w:t>
      </w:r>
      <w:r w:rsidRPr="009F5C5C">
        <w:rPr>
          <w:rFonts w:eastAsia="Calibri" w:cs="Calibri"/>
          <w:b/>
          <w:sz w:val="24"/>
          <w:szCs w:val="24"/>
        </w:rPr>
        <w:t>c</w:t>
      </w:r>
      <w:r w:rsidRPr="009F5C5C">
        <w:rPr>
          <w:rFonts w:eastAsia="Calibri" w:cs="Calibri"/>
          <w:b/>
          <w:spacing w:val="-1"/>
          <w:sz w:val="24"/>
          <w:szCs w:val="24"/>
        </w:rPr>
        <w:t xml:space="preserve"> </w:t>
      </w:r>
      <w:r w:rsidRPr="009F5C5C">
        <w:rPr>
          <w:rFonts w:eastAsia="Calibri" w:cs="Calibri"/>
          <w:b/>
          <w:sz w:val="24"/>
          <w:szCs w:val="24"/>
        </w:rPr>
        <w:t>R</w:t>
      </w:r>
      <w:r w:rsidRPr="009F5C5C">
        <w:rPr>
          <w:rFonts w:eastAsia="Calibri" w:cs="Calibri"/>
          <w:b/>
          <w:spacing w:val="1"/>
          <w:sz w:val="24"/>
          <w:szCs w:val="24"/>
        </w:rPr>
        <w:t>ig</w:t>
      </w:r>
      <w:r w:rsidRPr="009F5C5C">
        <w:rPr>
          <w:rFonts w:eastAsia="Calibri" w:cs="Calibri"/>
          <w:b/>
          <w:spacing w:val="-1"/>
          <w:sz w:val="24"/>
          <w:szCs w:val="24"/>
        </w:rPr>
        <w:t>h</w:t>
      </w:r>
      <w:r w:rsidRPr="009F5C5C">
        <w:rPr>
          <w:rFonts w:eastAsia="Calibri" w:cs="Calibri"/>
          <w:b/>
          <w:spacing w:val="-5"/>
          <w:sz w:val="24"/>
          <w:szCs w:val="24"/>
        </w:rPr>
        <w:t>t</w:t>
      </w:r>
      <w:r w:rsidRPr="009F5C5C">
        <w:rPr>
          <w:rFonts w:eastAsia="Calibri" w:cs="Calibri"/>
          <w:b/>
          <w:sz w:val="24"/>
          <w:szCs w:val="24"/>
        </w:rPr>
        <w:t>s</w:t>
      </w:r>
      <w:r w:rsidRPr="009F5C5C">
        <w:rPr>
          <w:rFonts w:eastAsia="Calibri" w:cs="Calibri"/>
          <w:b/>
          <w:spacing w:val="1"/>
          <w:sz w:val="24"/>
          <w:szCs w:val="24"/>
        </w:rPr>
        <w:t xml:space="preserve"> A</w:t>
      </w:r>
      <w:r w:rsidRPr="009F5C5C">
        <w:rPr>
          <w:rFonts w:eastAsia="Calibri" w:cs="Calibri"/>
          <w:b/>
          <w:spacing w:val="-3"/>
          <w:sz w:val="24"/>
          <w:szCs w:val="24"/>
        </w:rPr>
        <w:t>u</w:t>
      </w:r>
      <w:r w:rsidRPr="009F5C5C">
        <w:rPr>
          <w:rFonts w:eastAsia="Calibri" w:cs="Calibri"/>
          <w:b/>
          <w:spacing w:val="1"/>
          <w:sz w:val="24"/>
          <w:szCs w:val="24"/>
        </w:rPr>
        <w:t>s</w:t>
      </w:r>
      <w:r w:rsidRPr="009F5C5C">
        <w:rPr>
          <w:rFonts w:eastAsia="Calibri" w:cs="Calibri"/>
          <w:b/>
          <w:sz w:val="24"/>
          <w:szCs w:val="24"/>
        </w:rPr>
        <w:t>t</w:t>
      </w:r>
      <w:r w:rsidRPr="009F5C5C">
        <w:rPr>
          <w:rFonts w:eastAsia="Calibri" w:cs="Calibri"/>
          <w:b/>
          <w:spacing w:val="1"/>
          <w:sz w:val="24"/>
          <w:szCs w:val="24"/>
        </w:rPr>
        <w:t>r</w:t>
      </w:r>
      <w:r w:rsidRPr="009F5C5C">
        <w:rPr>
          <w:rFonts w:eastAsia="Calibri" w:cs="Calibri"/>
          <w:b/>
          <w:spacing w:val="-5"/>
          <w:sz w:val="24"/>
          <w:szCs w:val="24"/>
        </w:rPr>
        <w:t>a</w:t>
      </w:r>
      <w:r w:rsidRPr="009F5C5C">
        <w:rPr>
          <w:rFonts w:eastAsia="Calibri" w:cs="Calibri"/>
          <w:b/>
          <w:spacing w:val="1"/>
          <w:sz w:val="24"/>
          <w:szCs w:val="24"/>
        </w:rPr>
        <w:t>li</w:t>
      </w:r>
      <w:r w:rsidRPr="009F5C5C">
        <w:rPr>
          <w:rFonts w:eastAsia="Calibri" w:cs="Calibri"/>
          <w:b/>
          <w:sz w:val="24"/>
          <w:szCs w:val="24"/>
        </w:rPr>
        <w:t>a</w:t>
      </w:r>
      <w:r w:rsidRPr="009F5C5C">
        <w:rPr>
          <w:rFonts w:eastAsia="Calibri" w:cs="Calibri"/>
          <w:sz w:val="24"/>
          <w:szCs w:val="24"/>
        </w:rPr>
        <w:t xml:space="preserve"> </w:t>
      </w:r>
      <w:r w:rsidRPr="009F5C5C">
        <w:rPr>
          <w:rFonts w:eastAsia="Calibri" w:cs="Calibri"/>
          <w:sz w:val="24"/>
          <w:szCs w:val="24"/>
        </w:rPr>
        <w:tab/>
      </w:r>
      <w:r w:rsidRPr="009F5C5C">
        <w:rPr>
          <w:rFonts w:eastAsia="Calibri" w:cs="Calibri"/>
          <w:sz w:val="24"/>
          <w:szCs w:val="24"/>
        </w:rPr>
        <w:tab/>
      </w:r>
      <w:r w:rsidRPr="009F5C5C">
        <w:rPr>
          <w:rFonts w:eastAsia="Calibri" w:cs="Calibri"/>
          <w:sz w:val="24"/>
          <w:szCs w:val="24"/>
        </w:rPr>
        <w:tab/>
      </w:r>
      <w:r w:rsidRPr="009F5C5C">
        <w:rPr>
          <w:rFonts w:eastAsia="Calibri" w:cs="Calibri"/>
          <w:sz w:val="24"/>
          <w:szCs w:val="24"/>
        </w:rPr>
        <w:tab/>
      </w:r>
      <w:r w:rsidRPr="009F5C5C">
        <w:rPr>
          <w:rFonts w:eastAsia="Calibri" w:cs="Calibri"/>
          <w:sz w:val="24"/>
          <w:szCs w:val="24"/>
        </w:rPr>
        <w:tab/>
      </w:r>
      <w:r w:rsidRPr="009F5C5C">
        <w:rPr>
          <w:rFonts w:eastAsia="Calibri" w:cs="Calibri"/>
          <w:sz w:val="24"/>
          <w:szCs w:val="24"/>
        </w:rPr>
        <w:tab/>
      </w:r>
      <w:r w:rsidRPr="009F5C5C">
        <w:rPr>
          <w:rFonts w:eastAsia="Calibri" w:cs="Calibri"/>
          <w:b/>
          <w:sz w:val="24"/>
          <w:szCs w:val="24"/>
        </w:rPr>
        <w:t>2</w:t>
      </w:r>
    </w:p>
    <w:p w:rsidR="00886CD3" w:rsidRPr="009F5C5C" w:rsidRDefault="00886CD3" w:rsidP="00886CD3">
      <w:pPr>
        <w:ind w:right="87" w:firstLine="142"/>
        <w:jc w:val="both"/>
        <w:rPr>
          <w:rFonts w:eastAsia="Calibri" w:cs="Calibri"/>
          <w:b/>
          <w:spacing w:val="-1"/>
          <w:sz w:val="24"/>
          <w:szCs w:val="24"/>
        </w:rPr>
      </w:pPr>
      <w:r w:rsidRPr="009F5C5C">
        <w:rPr>
          <w:rFonts w:eastAsia="Calibri" w:cs="Calibri"/>
          <w:b/>
          <w:spacing w:val="-1"/>
          <w:sz w:val="24"/>
          <w:szCs w:val="24"/>
        </w:rPr>
        <w:t xml:space="preserve">2. </w:t>
      </w:r>
      <w:r w:rsidRPr="009F5C5C">
        <w:rPr>
          <w:rFonts w:eastAsia="Calibri" w:cs="Calibri"/>
          <w:b/>
          <w:spacing w:val="-1"/>
          <w:sz w:val="24"/>
          <w:szCs w:val="24"/>
        </w:rPr>
        <w:tab/>
        <w:t>Summary</w:t>
      </w:r>
      <w:r w:rsidRPr="009F5C5C">
        <w:rPr>
          <w:rFonts w:eastAsia="Calibri" w:cs="Calibri"/>
          <w:b/>
          <w:spacing w:val="-20"/>
          <w:sz w:val="24"/>
          <w:szCs w:val="24"/>
        </w:rPr>
        <w:t xml:space="preserve"> </w:t>
      </w:r>
      <w:r w:rsidRPr="009F5C5C">
        <w:rPr>
          <w:rFonts w:eastAsia="Calibri" w:cs="Calibri"/>
          <w:sz w:val="24"/>
          <w:szCs w:val="24"/>
        </w:rPr>
        <w:tab/>
      </w:r>
      <w:r w:rsidRPr="009F5C5C">
        <w:rPr>
          <w:rFonts w:eastAsia="Calibri" w:cs="Calibri"/>
          <w:sz w:val="24"/>
          <w:szCs w:val="24"/>
        </w:rPr>
        <w:tab/>
      </w:r>
      <w:r w:rsidRPr="009F5C5C">
        <w:rPr>
          <w:rFonts w:eastAsia="Calibri" w:cs="Calibri"/>
          <w:sz w:val="24"/>
          <w:szCs w:val="24"/>
        </w:rPr>
        <w:tab/>
      </w:r>
      <w:r w:rsidRPr="009F5C5C">
        <w:rPr>
          <w:rFonts w:eastAsia="Calibri" w:cs="Calibri"/>
          <w:sz w:val="24"/>
          <w:szCs w:val="24"/>
        </w:rPr>
        <w:tab/>
      </w:r>
      <w:r w:rsidRPr="009F5C5C">
        <w:rPr>
          <w:rFonts w:eastAsia="Calibri" w:cs="Calibri"/>
          <w:sz w:val="24"/>
          <w:szCs w:val="24"/>
        </w:rPr>
        <w:tab/>
      </w:r>
      <w:r w:rsidRPr="009F5C5C">
        <w:rPr>
          <w:rFonts w:eastAsia="Calibri" w:cs="Calibri"/>
          <w:sz w:val="24"/>
          <w:szCs w:val="24"/>
        </w:rPr>
        <w:tab/>
      </w:r>
      <w:r w:rsidRPr="009F5C5C">
        <w:rPr>
          <w:rFonts w:eastAsia="Calibri" w:cs="Calibri"/>
          <w:sz w:val="24"/>
          <w:szCs w:val="24"/>
        </w:rPr>
        <w:tab/>
      </w:r>
      <w:r w:rsidRPr="009F5C5C">
        <w:rPr>
          <w:rFonts w:eastAsia="Calibri" w:cs="Calibri"/>
          <w:sz w:val="24"/>
          <w:szCs w:val="24"/>
        </w:rPr>
        <w:tab/>
      </w:r>
      <w:r w:rsidRPr="009F5C5C">
        <w:rPr>
          <w:rFonts w:eastAsia="Calibri" w:cs="Calibri"/>
          <w:sz w:val="24"/>
          <w:szCs w:val="24"/>
        </w:rPr>
        <w:tab/>
      </w:r>
      <w:r w:rsidRPr="009F5C5C">
        <w:rPr>
          <w:rFonts w:eastAsia="Calibri" w:cs="Calibri"/>
          <w:b/>
          <w:sz w:val="24"/>
          <w:szCs w:val="24"/>
        </w:rPr>
        <w:t>2</w:t>
      </w:r>
    </w:p>
    <w:p w:rsidR="00886CD3" w:rsidRDefault="00886CD3" w:rsidP="00886CD3">
      <w:pPr>
        <w:ind w:right="87" w:firstLine="142"/>
        <w:jc w:val="both"/>
        <w:rPr>
          <w:rFonts w:eastAsia="Calibri" w:cs="Calibri"/>
          <w:b/>
          <w:sz w:val="24"/>
          <w:szCs w:val="24"/>
        </w:rPr>
      </w:pPr>
      <w:r w:rsidRPr="009F5C5C">
        <w:rPr>
          <w:rFonts w:eastAsia="Calibri" w:cs="Calibri"/>
          <w:b/>
          <w:sz w:val="24"/>
          <w:szCs w:val="24"/>
        </w:rPr>
        <w:t>3.</w:t>
      </w:r>
      <w:r w:rsidRPr="009F5C5C">
        <w:rPr>
          <w:rFonts w:eastAsia="Calibri" w:cs="Calibri"/>
          <w:b/>
          <w:sz w:val="24"/>
          <w:szCs w:val="24"/>
        </w:rPr>
        <w:tab/>
      </w:r>
      <w:r>
        <w:rPr>
          <w:rFonts w:eastAsia="Calibri" w:cs="Calibri"/>
          <w:b/>
          <w:sz w:val="24"/>
          <w:szCs w:val="24"/>
        </w:rPr>
        <w:t>Responding to the</w:t>
      </w:r>
      <w:r w:rsidRPr="009F5C5C">
        <w:rPr>
          <w:rFonts w:eastAsia="Calibri" w:cs="Calibri"/>
          <w:b/>
          <w:sz w:val="24"/>
          <w:szCs w:val="24"/>
        </w:rPr>
        <w:t xml:space="preserve"> </w:t>
      </w:r>
      <w:r>
        <w:rPr>
          <w:rFonts w:eastAsia="Calibri" w:cs="Calibri"/>
          <w:b/>
          <w:sz w:val="24"/>
          <w:szCs w:val="24"/>
        </w:rPr>
        <w:t>Copyright Online Infringement Amendment</w:t>
      </w:r>
      <w:r>
        <w:rPr>
          <w:rFonts w:eastAsia="Calibri" w:cs="Calibri"/>
          <w:b/>
          <w:sz w:val="24"/>
          <w:szCs w:val="24"/>
        </w:rPr>
        <w:tab/>
      </w:r>
      <w:r>
        <w:rPr>
          <w:rFonts w:eastAsia="Calibri" w:cs="Calibri"/>
          <w:b/>
          <w:sz w:val="24"/>
          <w:szCs w:val="24"/>
        </w:rPr>
        <w:tab/>
      </w:r>
      <w:r w:rsidR="002200E5">
        <w:rPr>
          <w:rFonts w:eastAsia="Calibri" w:cs="Calibri"/>
          <w:b/>
          <w:sz w:val="24"/>
          <w:szCs w:val="24"/>
        </w:rPr>
        <w:t>5</w:t>
      </w:r>
    </w:p>
    <w:p w:rsidR="00886CD3" w:rsidRDefault="00886CD3"/>
    <w:p w:rsidR="00886CD3" w:rsidRDefault="00886CD3"/>
    <w:p w:rsidR="00886CD3" w:rsidRDefault="00886CD3"/>
    <w:p w:rsidR="00886CD3" w:rsidRDefault="00886CD3"/>
    <w:p w:rsidR="00886CD3" w:rsidRDefault="00886CD3"/>
    <w:p w:rsidR="00886CD3" w:rsidRDefault="00886CD3"/>
    <w:p w:rsidR="00886CD3" w:rsidRDefault="00886CD3"/>
    <w:p w:rsidR="00886CD3" w:rsidRDefault="00886CD3"/>
    <w:p w:rsidR="00886CD3" w:rsidRDefault="00886CD3"/>
    <w:p w:rsidR="00886CD3" w:rsidRDefault="00886CD3" w:rsidP="00886CD3">
      <w:pPr>
        <w:jc w:val="center"/>
      </w:pPr>
      <w:r>
        <w:rPr>
          <w:noProof/>
          <w:lang w:val="en-US"/>
        </w:rPr>
        <w:drawing>
          <wp:inline distT="0" distB="0" distL="0" distR="0">
            <wp:extent cx="45720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00125"/>
                    </a:xfrm>
                    <a:prstGeom prst="rect">
                      <a:avLst/>
                    </a:prstGeom>
                    <a:noFill/>
                    <a:ln>
                      <a:noFill/>
                    </a:ln>
                  </pic:spPr>
                </pic:pic>
              </a:graphicData>
            </a:graphic>
          </wp:inline>
        </w:drawing>
      </w:r>
    </w:p>
    <w:p w:rsidR="00886CD3" w:rsidRDefault="00886CD3" w:rsidP="00886CD3">
      <w:pPr>
        <w:rPr>
          <w:sz w:val="24"/>
          <w:szCs w:val="24"/>
        </w:rPr>
      </w:pPr>
      <w:r w:rsidRPr="00886CD3">
        <w:rPr>
          <w:sz w:val="24"/>
          <w:szCs w:val="24"/>
        </w:rPr>
        <w:t xml:space="preserve">Music Rights Australia thanks the Department of Communication and the Arts (the </w:t>
      </w:r>
      <w:r w:rsidRPr="00886CD3">
        <w:rPr>
          <w:b/>
          <w:sz w:val="24"/>
          <w:szCs w:val="24"/>
        </w:rPr>
        <w:t>Department</w:t>
      </w:r>
      <w:r w:rsidRPr="00886CD3">
        <w:rPr>
          <w:sz w:val="24"/>
          <w:szCs w:val="24"/>
        </w:rPr>
        <w:t>) for the opportunity to make a submission in response to the Copyright Online Infringement Amendment.</w:t>
      </w:r>
    </w:p>
    <w:p w:rsidR="00886CD3" w:rsidRPr="00886CD3" w:rsidRDefault="00886CD3" w:rsidP="00886CD3">
      <w:pPr>
        <w:rPr>
          <w:sz w:val="24"/>
          <w:szCs w:val="24"/>
        </w:rPr>
      </w:pPr>
    </w:p>
    <w:p w:rsidR="00886CD3" w:rsidRPr="00886CD3" w:rsidRDefault="00886CD3" w:rsidP="00886CD3">
      <w:pPr>
        <w:pStyle w:val="ListParagraph"/>
        <w:numPr>
          <w:ilvl w:val="0"/>
          <w:numId w:val="1"/>
        </w:numPr>
        <w:rPr>
          <w:b/>
          <w:color w:val="7030A0"/>
          <w:sz w:val="24"/>
          <w:szCs w:val="24"/>
        </w:rPr>
      </w:pPr>
      <w:r w:rsidRPr="00886CD3">
        <w:rPr>
          <w:b/>
          <w:color w:val="7030A0"/>
          <w:sz w:val="24"/>
          <w:szCs w:val="24"/>
        </w:rPr>
        <w:t>About Music Rights Australia</w:t>
      </w:r>
    </w:p>
    <w:p w:rsidR="00886CD3" w:rsidRDefault="00886CD3" w:rsidP="00886CD3">
      <w:pPr>
        <w:rPr>
          <w:sz w:val="24"/>
          <w:szCs w:val="24"/>
        </w:rPr>
      </w:pPr>
      <w:r w:rsidRPr="00886CD3">
        <w:rPr>
          <w:sz w:val="24"/>
          <w:szCs w:val="24"/>
        </w:rPr>
        <w:t>Music Rights Australia (</w:t>
      </w:r>
      <w:r w:rsidRPr="00886CD3">
        <w:rPr>
          <w:b/>
          <w:sz w:val="24"/>
          <w:szCs w:val="24"/>
        </w:rPr>
        <w:t>MRA</w:t>
      </w:r>
      <w:r w:rsidRPr="00886CD3">
        <w:rPr>
          <w:sz w:val="24"/>
          <w:szCs w:val="24"/>
        </w:rPr>
        <w:t>) is an organisation that protects the creative interest of artists within the Australian music community. MRA represents over 90,000 songwriters and music publishers through their association with the Australasian Mechanical Copyright Owners’ Society (</w:t>
      </w:r>
      <w:r w:rsidRPr="00886CD3">
        <w:rPr>
          <w:b/>
          <w:sz w:val="24"/>
          <w:szCs w:val="24"/>
        </w:rPr>
        <w:t>AMCOS</w:t>
      </w:r>
      <w:r w:rsidRPr="00886CD3">
        <w:rPr>
          <w:sz w:val="24"/>
          <w:szCs w:val="24"/>
        </w:rPr>
        <w:t>) and the Australasian Performing Right Association (</w:t>
      </w:r>
      <w:r w:rsidRPr="00886CD3">
        <w:rPr>
          <w:b/>
          <w:sz w:val="24"/>
          <w:szCs w:val="24"/>
        </w:rPr>
        <w:t>APRA</w:t>
      </w:r>
      <w:r w:rsidRPr="00886CD3">
        <w:rPr>
          <w:sz w:val="24"/>
          <w:szCs w:val="24"/>
        </w:rPr>
        <w:t>)</w:t>
      </w:r>
      <w:r w:rsidRPr="00886CD3">
        <w:rPr>
          <w:rStyle w:val="FootnoteReference"/>
          <w:sz w:val="24"/>
          <w:szCs w:val="24"/>
        </w:rPr>
        <w:footnoteReference w:id="1"/>
      </w:r>
      <w:r w:rsidRPr="00886CD3">
        <w:rPr>
          <w:sz w:val="24"/>
          <w:szCs w:val="24"/>
        </w:rPr>
        <w:t>, and more than 125 record labels – both independent and major – through the Australian Recording</w:t>
      </w:r>
      <w:r>
        <w:rPr>
          <w:sz w:val="24"/>
          <w:szCs w:val="24"/>
        </w:rPr>
        <w:t xml:space="preserve"> </w:t>
      </w:r>
      <w:r w:rsidRPr="00886CD3">
        <w:rPr>
          <w:sz w:val="24"/>
          <w:szCs w:val="24"/>
        </w:rPr>
        <w:t>Industry Association (</w:t>
      </w:r>
      <w:r w:rsidRPr="00886CD3">
        <w:rPr>
          <w:b/>
          <w:sz w:val="24"/>
          <w:szCs w:val="24"/>
        </w:rPr>
        <w:t>ARIA</w:t>
      </w:r>
      <w:r w:rsidRPr="00886CD3">
        <w:rPr>
          <w:sz w:val="24"/>
          <w:szCs w:val="24"/>
        </w:rPr>
        <w:t>).</w:t>
      </w:r>
      <w:r w:rsidRPr="00886CD3">
        <w:rPr>
          <w:rStyle w:val="FootnoteReference"/>
          <w:sz w:val="24"/>
          <w:szCs w:val="24"/>
        </w:rPr>
        <w:footnoteReference w:id="2"/>
      </w:r>
      <w:r w:rsidRPr="00886CD3">
        <w:rPr>
          <w:sz w:val="24"/>
          <w:szCs w:val="24"/>
        </w:rPr>
        <w:t xml:space="preserve"> </w:t>
      </w:r>
    </w:p>
    <w:p w:rsidR="00886CD3" w:rsidRPr="00886CD3" w:rsidRDefault="00886CD3" w:rsidP="00886CD3">
      <w:pPr>
        <w:rPr>
          <w:sz w:val="24"/>
          <w:szCs w:val="24"/>
        </w:rPr>
      </w:pPr>
    </w:p>
    <w:p w:rsidR="00886CD3" w:rsidRDefault="00886CD3" w:rsidP="00886CD3">
      <w:pPr>
        <w:pStyle w:val="ListParagraph"/>
        <w:numPr>
          <w:ilvl w:val="0"/>
          <w:numId w:val="1"/>
        </w:numPr>
        <w:rPr>
          <w:b/>
          <w:color w:val="7030A0"/>
          <w:sz w:val="24"/>
          <w:szCs w:val="24"/>
        </w:rPr>
      </w:pPr>
      <w:r w:rsidRPr="00886CD3">
        <w:rPr>
          <w:b/>
          <w:color w:val="7030A0"/>
          <w:sz w:val="24"/>
          <w:szCs w:val="24"/>
        </w:rPr>
        <w:t>Summary</w:t>
      </w:r>
    </w:p>
    <w:p w:rsidR="00F63366" w:rsidRPr="00E97BCB" w:rsidRDefault="00800C26" w:rsidP="00C14DDE">
      <w:pPr>
        <w:pStyle w:val="ListParagraph"/>
        <w:numPr>
          <w:ilvl w:val="0"/>
          <w:numId w:val="3"/>
        </w:numPr>
        <w:rPr>
          <w:sz w:val="24"/>
          <w:szCs w:val="24"/>
        </w:rPr>
      </w:pPr>
      <w:r w:rsidRPr="00E97BCB">
        <w:rPr>
          <w:sz w:val="24"/>
          <w:szCs w:val="24"/>
        </w:rPr>
        <w:t xml:space="preserve">Section </w:t>
      </w:r>
      <w:r w:rsidR="00F63366" w:rsidRPr="00E97BCB">
        <w:rPr>
          <w:sz w:val="24"/>
          <w:szCs w:val="24"/>
        </w:rPr>
        <w:t>115A</w:t>
      </w:r>
      <w:r w:rsidRPr="00E97BCB">
        <w:rPr>
          <w:sz w:val="24"/>
          <w:szCs w:val="24"/>
        </w:rPr>
        <w:t xml:space="preserve"> of the Copyright Act 1968 (</w:t>
      </w:r>
      <w:r w:rsidRPr="007F08D9">
        <w:rPr>
          <w:sz w:val="24"/>
          <w:szCs w:val="24"/>
        </w:rPr>
        <w:t xml:space="preserve">the </w:t>
      </w:r>
      <w:r w:rsidRPr="00264FF9">
        <w:rPr>
          <w:b/>
          <w:sz w:val="24"/>
          <w:szCs w:val="24"/>
        </w:rPr>
        <w:t>Act</w:t>
      </w:r>
      <w:r w:rsidRPr="00E97BCB">
        <w:rPr>
          <w:sz w:val="24"/>
          <w:szCs w:val="24"/>
        </w:rPr>
        <w:t>) give</w:t>
      </w:r>
      <w:r w:rsidR="00925277" w:rsidRPr="00E97BCB">
        <w:rPr>
          <w:sz w:val="24"/>
          <w:szCs w:val="24"/>
        </w:rPr>
        <w:t>s</w:t>
      </w:r>
      <w:r w:rsidR="00F63366" w:rsidRPr="00E97BCB">
        <w:rPr>
          <w:sz w:val="24"/>
          <w:szCs w:val="24"/>
        </w:rPr>
        <w:t xml:space="preserve"> </w:t>
      </w:r>
      <w:r w:rsidR="00C14DDE" w:rsidRPr="00E97BCB">
        <w:rPr>
          <w:sz w:val="24"/>
          <w:szCs w:val="24"/>
        </w:rPr>
        <w:t>copyright owners</w:t>
      </w:r>
      <w:r w:rsidRPr="00E97BCB">
        <w:rPr>
          <w:sz w:val="24"/>
          <w:szCs w:val="24"/>
        </w:rPr>
        <w:t xml:space="preserve"> the ability to a</w:t>
      </w:r>
      <w:r w:rsidR="007F08D9">
        <w:rPr>
          <w:sz w:val="24"/>
          <w:szCs w:val="24"/>
        </w:rPr>
        <w:t>pply to the Federal Court of Australia</w:t>
      </w:r>
      <w:r w:rsidR="00925277" w:rsidRPr="00E97BCB">
        <w:rPr>
          <w:sz w:val="24"/>
          <w:szCs w:val="24"/>
        </w:rPr>
        <w:t xml:space="preserve"> </w:t>
      </w:r>
      <w:r w:rsidR="00F63366" w:rsidRPr="00E97BCB">
        <w:rPr>
          <w:sz w:val="24"/>
          <w:szCs w:val="24"/>
        </w:rPr>
        <w:t xml:space="preserve">for no fault </w:t>
      </w:r>
      <w:r w:rsidR="00C14DDE" w:rsidRPr="00E97BCB">
        <w:rPr>
          <w:sz w:val="24"/>
          <w:szCs w:val="24"/>
        </w:rPr>
        <w:t>injunctions</w:t>
      </w:r>
      <w:r w:rsidR="007F08D9">
        <w:rPr>
          <w:sz w:val="24"/>
          <w:szCs w:val="24"/>
        </w:rPr>
        <w:t xml:space="preserve"> against ISPs to block</w:t>
      </w:r>
      <w:r w:rsidR="00F63366" w:rsidRPr="00E97BCB">
        <w:rPr>
          <w:sz w:val="24"/>
          <w:szCs w:val="24"/>
        </w:rPr>
        <w:t xml:space="preserve"> off shore </w:t>
      </w:r>
      <w:r w:rsidR="00C14DDE" w:rsidRPr="00E97BCB">
        <w:rPr>
          <w:sz w:val="24"/>
          <w:szCs w:val="24"/>
        </w:rPr>
        <w:t>sites</w:t>
      </w:r>
      <w:r w:rsidR="00F63366" w:rsidRPr="00E97BCB">
        <w:rPr>
          <w:sz w:val="24"/>
          <w:szCs w:val="24"/>
        </w:rPr>
        <w:t xml:space="preserve"> </w:t>
      </w:r>
      <w:r w:rsidR="00C14DDE" w:rsidRPr="00E97BCB">
        <w:rPr>
          <w:sz w:val="24"/>
          <w:szCs w:val="24"/>
        </w:rPr>
        <w:t>whose</w:t>
      </w:r>
      <w:r w:rsidR="007F08D9">
        <w:rPr>
          <w:sz w:val="24"/>
          <w:szCs w:val="24"/>
        </w:rPr>
        <w:t xml:space="preserve"> </w:t>
      </w:r>
      <w:r w:rsidR="00C14DDE" w:rsidRPr="00E97BCB">
        <w:rPr>
          <w:sz w:val="24"/>
          <w:szCs w:val="24"/>
        </w:rPr>
        <w:t>primary</w:t>
      </w:r>
      <w:r w:rsidR="00F63366" w:rsidRPr="00E97BCB">
        <w:rPr>
          <w:sz w:val="24"/>
          <w:szCs w:val="24"/>
        </w:rPr>
        <w:t xml:space="preserve"> p</w:t>
      </w:r>
      <w:r w:rsidR="00C14DDE" w:rsidRPr="00E97BCB">
        <w:rPr>
          <w:sz w:val="24"/>
          <w:szCs w:val="24"/>
        </w:rPr>
        <w:t xml:space="preserve">urpose </w:t>
      </w:r>
      <w:r w:rsidR="00F63366" w:rsidRPr="00E97BCB">
        <w:rPr>
          <w:sz w:val="24"/>
          <w:szCs w:val="24"/>
        </w:rPr>
        <w:t xml:space="preserve">is </w:t>
      </w:r>
      <w:r w:rsidR="00C14DDE" w:rsidRPr="00E97BCB">
        <w:rPr>
          <w:sz w:val="24"/>
          <w:szCs w:val="24"/>
        </w:rPr>
        <w:t>copyright</w:t>
      </w:r>
      <w:r w:rsidR="00F63366" w:rsidRPr="00E97BCB">
        <w:rPr>
          <w:sz w:val="24"/>
          <w:szCs w:val="24"/>
        </w:rPr>
        <w:t xml:space="preserve"> </w:t>
      </w:r>
      <w:r w:rsidR="00395255" w:rsidRPr="00E97BCB">
        <w:rPr>
          <w:sz w:val="24"/>
          <w:szCs w:val="24"/>
        </w:rPr>
        <w:t>infringement or</w:t>
      </w:r>
      <w:r w:rsidR="00F63366" w:rsidRPr="00E97BCB">
        <w:rPr>
          <w:sz w:val="24"/>
          <w:szCs w:val="24"/>
        </w:rPr>
        <w:t xml:space="preserve"> the </w:t>
      </w:r>
      <w:r w:rsidR="00C14DDE" w:rsidRPr="00E97BCB">
        <w:rPr>
          <w:sz w:val="24"/>
          <w:szCs w:val="24"/>
        </w:rPr>
        <w:t>facilitation</w:t>
      </w:r>
      <w:r w:rsidR="00F63366" w:rsidRPr="00E97BCB">
        <w:rPr>
          <w:sz w:val="24"/>
          <w:szCs w:val="24"/>
        </w:rPr>
        <w:t xml:space="preserve"> </w:t>
      </w:r>
      <w:r w:rsidR="00C14DDE" w:rsidRPr="00E97BCB">
        <w:rPr>
          <w:sz w:val="24"/>
          <w:szCs w:val="24"/>
        </w:rPr>
        <w:t>of</w:t>
      </w:r>
      <w:r w:rsidR="00F63366" w:rsidRPr="00E97BCB">
        <w:rPr>
          <w:sz w:val="24"/>
          <w:szCs w:val="24"/>
        </w:rPr>
        <w:t xml:space="preserve"> copyright </w:t>
      </w:r>
      <w:r w:rsidR="00395255" w:rsidRPr="00E97BCB">
        <w:rPr>
          <w:sz w:val="24"/>
          <w:szCs w:val="24"/>
        </w:rPr>
        <w:t>infringement.</w:t>
      </w:r>
    </w:p>
    <w:p w:rsidR="00800C26" w:rsidRPr="006850B1" w:rsidRDefault="00E40CD0" w:rsidP="00C14DDE">
      <w:pPr>
        <w:pStyle w:val="ListParagraph"/>
        <w:numPr>
          <w:ilvl w:val="0"/>
          <w:numId w:val="3"/>
        </w:numPr>
        <w:rPr>
          <w:sz w:val="24"/>
          <w:szCs w:val="24"/>
        </w:rPr>
      </w:pPr>
      <w:r w:rsidRPr="006850B1">
        <w:rPr>
          <w:sz w:val="24"/>
          <w:szCs w:val="24"/>
        </w:rPr>
        <w:t xml:space="preserve">The music </w:t>
      </w:r>
      <w:r w:rsidR="009200FB" w:rsidRPr="006850B1">
        <w:rPr>
          <w:sz w:val="24"/>
          <w:szCs w:val="24"/>
        </w:rPr>
        <w:t>industry has</w:t>
      </w:r>
      <w:r w:rsidR="006C0A9B">
        <w:rPr>
          <w:sz w:val="24"/>
          <w:szCs w:val="24"/>
        </w:rPr>
        <w:t xml:space="preserve"> filed</w:t>
      </w:r>
      <w:r w:rsidR="009200FB" w:rsidRPr="006850B1">
        <w:rPr>
          <w:sz w:val="24"/>
          <w:szCs w:val="24"/>
        </w:rPr>
        <w:t xml:space="preserve"> one</w:t>
      </w:r>
      <w:r w:rsidR="006C0A9B">
        <w:rPr>
          <w:sz w:val="24"/>
          <w:szCs w:val="24"/>
        </w:rPr>
        <w:t xml:space="preserve"> s115A</w:t>
      </w:r>
      <w:r w:rsidR="009200FB" w:rsidRPr="006850B1">
        <w:rPr>
          <w:sz w:val="24"/>
          <w:szCs w:val="24"/>
        </w:rPr>
        <w:t xml:space="preserve"> case. Its objective in filing site blocking cases here and in other jurisdictions is to </w:t>
      </w:r>
      <w:r w:rsidRPr="006850B1">
        <w:rPr>
          <w:sz w:val="24"/>
          <w:szCs w:val="24"/>
        </w:rPr>
        <w:t xml:space="preserve">disrupt </w:t>
      </w:r>
      <w:r w:rsidR="00925277" w:rsidRPr="006850B1">
        <w:rPr>
          <w:sz w:val="24"/>
          <w:szCs w:val="24"/>
        </w:rPr>
        <w:t xml:space="preserve">the </w:t>
      </w:r>
      <w:r w:rsidR="00800C26" w:rsidRPr="006850B1">
        <w:rPr>
          <w:sz w:val="24"/>
          <w:szCs w:val="24"/>
        </w:rPr>
        <w:t>operation and</w:t>
      </w:r>
      <w:r w:rsidR="00925277" w:rsidRPr="006850B1">
        <w:rPr>
          <w:sz w:val="24"/>
          <w:szCs w:val="24"/>
        </w:rPr>
        <w:t xml:space="preserve"> </w:t>
      </w:r>
      <w:r w:rsidR="00800C26" w:rsidRPr="006850B1">
        <w:rPr>
          <w:sz w:val="24"/>
          <w:szCs w:val="24"/>
        </w:rPr>
        <w:t>proliferation</w:t>
      </w:r>
      <w:r w:rsidR="00925277" w:rsidRPr="006850B1">
        <w:rPr>
          <w:sz w:val="24"/>
          <w:szCs w:val="24"/>
        </w:rPr>
        <w:t xml:space="preserve"> of</w:t>
      </w:r>
      <w:r w:rsidR="00264FF9">
        <w:rPr>
          <w:sz w:val="24"/>
          <w:szCs w:val="24"/>
        </w:rPr>
        <w:t xml:space="preserve"> </w:t>
      </w:r>
      <w:r w:rsidR="00925277" w:rsidRPr="006850B1">
        <w:rPr>
          <w:sz w:val="24"/>
          <w:szCs w:val="24"/>
        </w:rPr>
        <w:t>illegal sites</w:t>
      </w:r>
      <w:r w:rsidR="00C06D51">
        <w:rPr>
          <w:sz w:val="24"/>
          <w:szCs w:val="24"/>
        </w:rPr>
        <w:t xml:space="preserve"> in a particular jurisdiction</w:t>
      </w:r>
      <w:r w:rsidR="00925277" w:rsidRPr="006850B1">
        <w:rPr>
          <w:sz w:val="24"/>
          <w:szCs w:val="24"/>
        </w:rPr>
        <w:t>.</w:t>
      </w:r>
      <w:r w:rsidR="00800C26" w:rsidRPr="006850B1">
        <w:rPr>
          <w:sz w:val="24"/>
          <w:szCs w:val="24"/>
        </w:rPr>
        <w:t xml:space="preserve">  </w:t>
      </w:r>
      <w:r w:rsidR="00925277" w:rsidRPr="006850B1">
        <w:rPr>
          <w:sz w:val="24"/>
          <w:szCs w:val="24"/>
        </w:rPr>
        <w:t>D</w:t>
      </w:r>
      <w:r w:rsidR="00800C26" w:rsidRPr="006850B1">
        <w:rPr>
          <w:sz w:val="24"/>
          <w:szCs w:val="24"/>
        </w:rPr>
        <w:t>isruption</w:t>
      </w:r>
      <w:r w:rsidR="00C06D51">
        <w:rPr>
          <w:sz w:val="24"/>
          <w:szCs w:val="24"/>
        </w:rPr>
        <w:t xml:space="preserve"> of piracy</w:t>
      </w:r>
      <w:r w:rsidR="00800C26" w:rsidRPr="006850B1">
        <w:rPr>
          <w:sz w:val="24"/>
          <w:szCs w:val="24"/>
        </w:rPr>
        <w:t xml:space="preserve"> cannot be achieved through one action.</w:t>
      </w:r>
      <w:r w:rsidR="00925277" w:rsidRPr="006850B1">
        <w:rPr>
          <w:sz w:val="24"/>
          <w:szCs w:val="24"/>
        </w:rPr>
        <w:t xml:space="preserve"> E</w:t>
      </w:r>
      <w:r w:rsidR="00800C26" w:rsidRPr="006850B1">
        <w:rPr>
          <w:sz w:val="24"/>
          <w:szCs w:val="24"/>
        </w:rPr>
        <w:t>vidence from the UK</w:t>
      </w:r>
      <w:r w:rsidRPr="006850B1">
        <w:rPr>
          <w:sz w:val="24"/>
          <w:szCs w:val="24"/>
        </w:rPr>
        <w:t xml:space="preserve"> and other jurisdictions</w:t>
      </w:r>
      <w:r w:rsidR="00800C26" w:rsidRPr="006850B1">
        <w:rPr>
          <w:sz w:val="24"/>
          <w:szCs w:val="24"/>
        </w:rPr>
        <w:t xml:space="preserve"> show</w:t>
      </w:r>
      <w:r w:rsidR="009200FB" w:rsidRPr="006850B1">
        <w:rPr>
          <w:sz w:val="24"/>
          <w:szCs w:val="24"/>
        </w:rPr>
        <w:t>s</w:t>
      </w:r>
      <w:r w:rsidR="00800C26" w:rsidRPr="006850B1">
        <w:rPr>
          <w:sz w:val="24"/>
          <w:szCs w:val="24"/>
        </w:rPr>
        <w:t xml:space="preserve"> that sustained action</w:t>
      </w:r>
      <w:r w:rsidR="00C06D51">
        <w:rPr>
          <w:sz w:val="24"/>
          <w:szCs w:val="24"/>
        </w:rPr>
        <w:t xml:space="preserve"> against multiple websites</w:t>
      </w:r>
      <w:r w:rsidR="00800C26" w:rsidRPr="006850B1">
        <w:rPr>
          <w:sz w:val="24"/>
          <w:szCs w:val="24"/>
        </w:rPr>
        <w:t xml:space="preserve"> over a period of time will</w:t>
      </w:r>
      <w:r w:rsidR="006F2008">
        <w:rPr>
          <w:sz w:val="24"/>
          <w:szCs w:val="24"/>
        </w:rPr>
        <w:t xml:space="preserve"> have</w:t>
      </w:r>
      <w:r w:rsidR="009614EB">
        <w:rPr>
          <w:sz w:val="24"/>
          <w:szCs w:val="24"/>
        </w:rPr>
        <w:t xml:space="preserve"> a </w:t>
      </w:r>
      <w:r w:rsidR="006F2008">
        <w:rPr>
          <w:sz w:val="24"/>
          <w:szCs w:val="24"/>
        </w:rPr>
        <w:t xml:space="preserve">lasting </w:t>
      </w:r>
      <w:r w:rsidR="009614EB">
        <w:rPr>
          <w:sz w:val="24"/>
          <w:szCs w:val="24"/>
        </w:rPr>
        <w:t>impact</w:t>
      </w:r>
      <w:r w:rsidR="00800C26" w:rsidRPr="006850B1">
        <w:rPr>
          <w:sz w:val="24"/>
          <w:szCs w:val="24"/>
        </w:rPr>
        <w:t xml:space="preserve">. </w:t>
      </w:r>
    </w:p>
    <w:p w:rsidR="00800C26" w:rsidRDefault="00554896" w:rsidP="00C14DDE">
      <w:pPr>
        <w:pStyle w:val="ListParagraph"/>
        <w:numPr>
          <w:ilvl w:val="0"/>
          <w:numId w:val="3"/>
        </w:numPr>
        <w:rPr>
          <w:sz w:val="24"/>
          <w:szCs w:val="24"/>
        </w:rPr>
      </w:pPr>
      <w:r>
        <w:rPr>
          <w:sz w:val="24"/>
          <w:szCs w:val="24"/>
        </w:rPr>
        <w:t>D</w:t>
      </w:r>
      <w:r w:rsidR="00800C26" w:rsidRPr="00E97BCB">
        <w:rPr>
          <w:sz w:val="24"/>
          <w:szCs w:val="24"/>
        </w:rPr>
        <w:t>ata indicate</w:t>
      </w:r>
      <w:r w:rsidR="00A26E37" w:rsidRPr="00E97BCB">
        <w:rPr>
          <w:sz w:val="24"/>
          <w:szCs w:val="24"/>
        </w:rPr>
        <w:t>s</w:t>
      </w:r>
      <w:r>
        <w:rPr>
          <w:sz w:val="24"/>
          <w:szCs w:val="24"/>
        </w:rPr>
        <w:t xml:space="preserve"> </w:t>
      </w:r>
      <w:r w:rsidR="00E40CD0">
        <w:rPr>
          <w:sz w:val="24"/>
          <w:szCs w:val="24"/>
        </w:rPr>
        <w:t>s</w:t>
      </w:r>
      <w:r w:rsidR="00A26E37" w:rsidRPr="00E97BCB">
        <w:rPr>
          <w:sz w:val="24"/>
          <w:szCs w:val="24"/>
        </w:rPr>
        <w:t xml:space="preserve">115A </w:t>
      </w:r>
      <w:r>
        <w:rPr>
          <w:sz w:val="24"/>
          <w:szCs w:val="24"/>
        </w:rPr>
        <w:t>cases</w:t>
      </w:r>
      <w:r w:rsidR="00800C26" w:rsidRPr="00E97BCB">
        <w:rPr>
          <w:sz w:val="24"/>
          <w:szCs w:val="24"/>
        </w:rPr>
        <w:t xml:space="preserve"> (including those</w:t>
      </w:r>
      <w:r w:rsidR="009614EB">
        <w:rPr>
          <w:sz w:val="24"/>
          <w:szCs w:val="24"/>
        </w:rPr>
        <w:t xml:space="preserve"> filed</w:t>
      </w:r>
      <w:r w:rsidR="00800C26" w:rsidRPr="00E97BCB">
        <w:rPr>
          <w:sz w:val="24"/>
          <w:szCs w:val="24"/>
        </w:rPr>
        <w:t xml:space="preserve"> by </w:t>
      </w:r>
      <w:r w:rsidR="00A26E37" w:rsidRPr="00E97BCB">
        <w:rPr>
          <w:sz w:val="24"/>
          <w:szCs w:val="24"/>
        </w:rPr>
        <w:t>the film</w:t>
      </w:r>
      <w:r w:rsidR="00336BF1">
        <w:rPr>
          <w:sz w:val="24"/>
          <w:szCs w:val="24"/>
        </w:rPr>
        <w:t xml:space="preserve"> industry</w:t>
      </w:r>
      <w:r w:rsidR="00A26E37" w:rsidRPr="00E97BCB">
        <w:rPr>
          <w:sz w:val="24"/>
          <w:szCs w:val="24"/>
        </w:rPr>
        <w:t xml:space="preserve"> </w:t>
      </w:r>
      <w:r w:rsidR="00800C26" w:rsidRPr="00E97BCB">
        <w:rPr>
          <w:sz w:val="24"/>
          <w:szCs w:val="24"/>
        </w:rPr>
        <w:t>and Foxtel</w:t>
      </w:r>
      <w:r w:rsidR="009200FB">
        <w:rPr>
          <w:rStyle w:val="FootnoteReference"/>
          <w:sz w:val="24"/>
          <w:szCs w:val="24"/>
        </w:rPr>
        <w:footnoteReference w:id="3"/>
      </w:r>
      <w:r w:rsidR="00800C26" w:rsidRPr="00E97BCB">
        <w:rPr>
          <w:sz w:val="24"/>
          <w:szCs w:val="24"/>
        </w:rPr>
        <w:t xml:space="preserve">) have </w:t>
      </w:r>
      <w:r w:rsidR="00F3129A" w:rsidRPr="00E97BCB">
        <w:rPr>
          <w:sz w:val="24"/>
          <w:szCs w:val="24"/>
        </w:rPr>
        <w:t>disrupted</w:t>
      </w:r>
      <w:r w:rsidR="008243C7">
        <w:rPr>
          <w:sz w:val="24"/>
          <w:szCs w:val="24"/>
        </w:rPr>
        <w:t xml:space="preserve"> access to</w:t>
      </w:r>
      <w:r w:rsidR="00F3129A" w:rsidRPr="00E97BCB">
        <w:rPr>
          <w:sz w:val="24"/>
          <w:szCs w:val="24"/>
        </w:rPr>
        <w:t xml:space="preserve"> the sites</w:t>
      </w:r>
      <w:r w:rsidR="00800C26" w:rsidRPr="00E97BCB">
        <w:rPr>
          <w:sz w:val="24"/>
          <w:szCs w:val="24"/>
        </w:rPr>
        <w:t xml:space="preserve"> </w:t>
      </w:r>
      <w:r>
        <w:rPr>
          <w:sz w:val="24"/>
          <w:szCs w:val="24"/>
        </w:rPr>
        <w:t>against which site blocking orders have been made</w:t>
      </w:r>
      <w:r w:rsidR="00800C26" w:rsidRPr="00E97BCB">
        <w:rPr>
          <w:sz w:val="24"/>
          <w:szCs w:val="24"/>
        </w:rPr>
        <w:t xml:space="preserve">.  </w:t>
      </w:r>
      <w:r w:rsidR="00F3129A" w:rsidRPr="00E97BCB">
        <w:rPr>
          <w:sz w:val="24"/>
          <w:szCs w:val="24"/>
        </w:rPr>
        <w:t xml:space="preserve"> However</w:t>
      </w:r>
      <w:r w:rsidR="00C94BA8">
        <w:rPr>
          <w:sz w:val="24"/>
          <w:szCs w:val="24"/>
        </w:rPr>
        <w:t>,</w:t>
      </w:r>
      <w:r w:rsidR="00F3129A" w:rsidRPr="00E97BCB">
        <w:rPr>
          <w:sz w:val="24"/>
          <w:szCs w:val="24"/>
        </w:rPr>
        <w:t xml:space="preserve"> if this trend is to continue</w:t>
      </w:r>
      <w:r w:rsidR="00A26E37" w:rsidRPr="00E97BCB">
        <w:rPr>
          <w:sz w:val="24"/>
          <w:szCs w:val="24"/>
        </w:rPr>
        <w:t xml:space="preserve"> </w:t>
      </w:r>
      <w:r w:rsidR="00F3129A" w:rsidRPr="00E97BCB">
        <w:rPr>
          <w:sz w:val="24"/>
          <w:szCs w:val="24"/>
        </w:rPr>
        <w:t xml:space="preserve">copyright owners will need to take more actions over a longer period. It is only after a </w:t>
      </w:r>
      <w:r w:rsidR="00C94BA8" w:rsidRPr="00E97BCB">
        <w:rPr>
          <w:sz w:val="24"/>
          <w:szCs w:val="24"/>
        </w:rPr>
        <w:t>series of</w:t>
      </w:r>
      <w:r w:rsidR="00F3129A" w:rsidRPr="00E97BCB">
        <w:rPr>
          <w:sz w:val="24"/>
          <w:szCs w:val="24"/>
        </w:rPr>
        <w:t xml:space="preserve"> actions over a period of time that we </w:t>
      </w:r>
      <w:r>
        <w:rPr>
          <w:sz w:val="24"/>
          <w:szCs w:val="24"/>
        </w:rPr>
        <w:t>can</w:t>
      </w:r>
      <w:r w:rsidR="00F3129A" w:rsidRPr="00E97BCB">
        <w:rPr>
          <w:sz w:val="24"/>
          <w:szCs w:val="24"/>
        </w:rPr>
        <w:t xml:space="preserve"> be confident that the trend is </w:t>
      </w:r>
      <w:r w:rsidR="0079599A">
        <w:rPr>
          <w:sz w:val="24"/>
          <w:szCs w:val="24"/>
        </w:rPr>
        <w:t>m</w:t>
      </w:r>
      <w:r w:rsidR="00F3129A" w:rsidRPr="00E97BCB">
        <w:rPr>
          <w:sz w:val="24"/>
          <w:szCs w:val="24"/>
        </w:rPr>
        <w:t>eaningful and the</w:t>
      </w:r>
      <w:r w:rsidR="00264FF9">
        <w:rPr>
          <w:sz w:val="24"/>
          <w:szCs w:val="24"/>
        </w:rPr>
        <w:t xml:space="preserve"> s115A</w:t>
      </w:r>
      <w:r w:rsidR="00E40CD0">
        <w:rPr>
          <w:sz w:val="24"/>
          <w:szCs w:val="24"/>
        </w:rPr>
        <w:t xml:space="preserve"> site blocking remedy </w:t>
      </w:r>
      <w:r w:rsidR="00F3129A" w:rsidRPr="00E97BCB">
        <w:rPr>
          <w:sz w:val="24"/>
          <w:szCs w:val="24"/>
        </w:rPr>
        <w:t>is operating as it was intended to operate</w:t>
      </w:r>
      <w:r w:rsidR="00800C26" w:rsidRPr="00E97BCB">
        <w:rPr>
          <w:sz w:val="24"/>
          <w:szCs w:val="24"/>
        </w:rPr>
        <w:t xml:space="preserve">. </w:t>
      </w:r>
    </w:p>
    <w:p w:rsidR="006F2008" w:rsidRDefault="00EF7075" w:rsidP="00EF7075">
      <w:pPr>
        <w:pStyle w:val="ListParagraph"/>
        <w:numPr>
          <w:ilvl w:val="0"/>
          <w:numId w:val="3"/>
        </w:numPr>
        <w:rPr>
          <w:sz w:val="24"/>
          <w:szCs w:val="24"/>
        </w:rPr>
      </w:pPr>
      <w:r w:rsidRPr="00EF7075">
        <w:rPr>
          <w:sz w:val="24"/>
          <w:szCs w:val="24"/>
        </w:rPr>
        <w:t xml:space="preserve">The current </w:t>
      </w:r>
      <w:r w:rsidR="006F2008">
        <w:rPr>
          <w:sz w:val="24"/>
          <w:szCs w:val="24"/>
        </w:rPr>
        <w:t xml:space="preserve">imposition </w:t>
      </w:r>
      <w:r w:rsidRPr="00EF7075">
        <w:rPr>
          <w:sz w:val="24"/>
          <w:szCs w:val="24"/>
        </w:rPr>
        <w:t>of costs orders for both</w:t>
      </w:r>
      <w:r w:rsidR="006C0A9B">
        <w:rPr>
          <w:sz w:val="24"/>
          <w:szCs w:val="24"/>
        </w:rPr>
        <w:t xml:space="preserve"> compliance </w:t>
      </w:r>
      <w:r w:rsidRPr="00EF7075">
        <w:rPr>
          <w:sz w:val="24"/>
          <w:szCs w:val="24"/>
        </w:rPr>
        <w:t>cost</w:t>
      </w:r>
      <w:r w:rsidR="006C0A9B">
        <w:rPr>
          <w:sz w:val="24"/>
          <w:szCs w:val="24"/>
        </w:rPr>
        <w:t>s</w:t>
      </w:r>
      <w:r w:rsidR="007F08D9">
        <w:rPr>
          <w:sz w:val="24"/>
          <w:szCs w:val="24"/>
        </w:rPr>
        <w:t xml:space="preserve"> </w:t>
      </w:r>
      <w:r w:rsidRPr="00EF7075">
        <w:rPr>
          <w:sz w:val="24"/>
          <w:szCs w:val="24"/>
        </w:rPr>
        <w:t>and legal co</w:t>
      </w:r>
      <w:r w:rsidR="007F08D9">
        <w:rPr>
          <w:sz w:val="24"/>
          <w:szCs w:val="24"/>
        </w:rPr>
        <w:t>sts of the proceedings have the</w:t>
      </w:r>
      <w:r w:rsidRPr="00EF7075">
        <w:rPr>
          <w:sz w:val="24"/>
          <w:szCs w:val="24"/>
        </w:rPr>
        <w:t xml:space="preserve"> </w:t>
      </w:r>
      <w:r w:rsidR="007F08D9">
        <w:rPr>
          <w:sz w:val="24"/>
          <w:szCs w:val="24"/>
        </w:rPr>
        <w:t>potential</w:t>
      </w:r>
      <w:r w:rsidRPr="00EF7075">
        <w:rPr>
          <w:sz w:val="24"/>
          <w:szCs w:val="24"/>
        </w:rPr>
        <w:t xml:space="preserve"> </w:t>
      </w:r>
      <w:r w:rsidR="006F2008">
        <w:rPr>
          <w:sz w:val="24"/>
          <w:szCs w:val="24"/>
        </w:rPr>
        <w:t xml:space="preserve">to </w:t>
      </w:r>
      <w:r w:rsidRPr="00EF7075">
        <w:rPr>
          <w:sz w:val="24"/>
          <w:szCs w:val="24"/>
        </w:rPr>
        <w:t>hamper</w:t>
      </w:r>
      <w:r w:rsidR="006F2008">
        <w:rPr>
          <w:sz w:val="24"/>
          <w:szCs w:val="24"/>
        </w:rPr>
        <w:t xml:space="preserve"> </w:t>
      </w:r>
      <w:r w:rsidR="007F08D9">
        <w:rPr>
          <w:sz w:val="24"/>
          <w:szCs w:val="24"/>
        </w:rPr>
        <w:t>copyright owners’ capacity</w:t>
      </w:r>
      <w:r w:rsidRPr="00EF7075">
        <w:rPr>
          <w:sz w:val="24"/>
          <w:szCs w:val="24"/>
        </w:rPr>
        <w:t xml:space="preserve"> to</w:t>
      </w:r>
      <w:r w:rsidR="006F2008">
        <w:rPr>
          <w:sz w:val="24"/>
          <w:szCs w:val="24"/>
        </w:rPr>
        <w:t xml:space="preserve"> bring a large number of cases.</w:t>
      </w:r>
    </w:p>
    <w:p w:rsidR="006F2008" w:rsidRDefault="006F2008" w:rsidP="00EF7075">
      <w:pPr>
        <w:pStyle w:val="ListParagraph"/>
        <w:numPr>
          <w:ilvl w:val="0"/>
          <w:numId w:val="3"/>
        </w:numPr>
        <w:rPr>
          <w:sz w:val="24"/>
          <w:szCs w:val="24"/>
        </w:rPr>
      </w:pPr>
      <w:r w:rsidRPr="006F2008">
        <w:rPr>
          <w:sz w:val="24"/>
          <w:szCs w:val="24"/>
        </w:rPr>
        <w:t>In the music case</w:t>
      </w:r>
      <w:r>
        <w:rPr>
          <w:sz w:val="24"/>
          <w:szCs w:val="24"/>
        </w:rPr>
        <w:t>,</w:t>
      </w:r>
      <w:r w:rsidRPr="006F2008">
        <w:rPr>
          <w:sz w:val="24"/>
          <w:szCs w:val="24"/>
        </w:rPr>
        <w:t xml:space="preserve"> the Applicants were ordered to pay some aspects of the Respondents’ </w:t>
      </w:r>
      <w:r w:rsidR="00711991">
        <w:rPr>
          <w:sz w:val="24"/>
          <w:szCs w:val="24"/>
        </w:rPr>
        <w:t xml:space="preserve">legal </w:t>
      </w:r>
      <w:r w:rsidRPr="006F2008">
        <w:rPr>
          <w:sz w:val="24"/>
          <w:szCs w:val="24"/>
        </w:rPr>
        <w:t xml:space="preserve">costs. The </w:t>
      </w:r>
      <w:r w:rsidR="00014A81">
        <w:rPr>
          <w:sz w:val="24"/>
          <w:szCs w:val="24"/>
        </w:rPr>
        <w:t xml:space="preserve">risk of adverse </w:t>
      </w:r>
      <w:r w:rsidRPr="006F2008">
        <w:rPr>
          <w:sz w:val="24"/>
          <w:szCs w:val="24"/>
        </w:rPr>
        <w:t xml:space="preserve">costs </w:t>
      </w:r>
      <w:r w:rsidR="004C41B8" w:rsidRPr="006F2008">
        <w:rPr>
          <w:sz w:val="24"/>
          <w:szCs w:val="24"/>
        </w:rPr>
        <w:t>order</w:t>
      </w:r>
      <w:r w:rsidR="00014A81">
        <w:rPr>
          <w:sz w:val="24"/>
          <w:szCs w:val="24"/>
        </w:rPr>
        <w:t>s</w:t>
      </w:r>
      <w:r w:rsidRPr="006F2008">
        <w:rPr>
          <w:sz w:val="24"/>
          <w:szCs w:val="24"/>
        </w:rPr>
        <w:t xml:space="preserve"> will impact </w:t>
      </w:r>
      <w:r w:rsidR="00014A81">
        <w:rPr>
          <w:sz w:val="24"/>
          <w:szCs w:val="24"/>
        </w:rPr>
        <w:t xml:space="preserve">copyright owners </w:t>
      </w:r>
      <w:r w:rsidRPr="006F2008">
        <w:rPr>
          <w:sz w:val="24"/>
          <w:szCs w:val="24"/>
        </w:rPr>
        <w:t>in the future should they seek</w:t>
      </w:r>
      <w:r>
        <w:rPr>
          <w:sz w:val="24"/>
          <w:szCs w:val="24"/>
        </w:rPr>
        <w:t xml:space="preserve"> to</w:t>
      </w:r>
      <w:r w:rsidR="006C0A9B">
        <w:rPr>
          <w:sz w:val="24"/>
          <w:szCs w:val="24"/>
        </w:rPr>
        <w:t xml:space="preserve"> file Applications</w:t>
      </w:r>
      <w:r w:rsidR="007F08D9" w:rsidRPr="006F2008">
        <w:rPr>
          <w:sz w:val="24"/>
          <w:szCs w:val="24"/>
        </w:rPr>
        <w:t xml:space="preserve"> </w:t>
      </w:r>
      <w:r w:rsidR="007F08D9">
        <w:rPr>
          <w:sz w:val="24"/>
          <w:szCs w:val="24"/>
        </w:rPr>
        <w:t>which</w:t>
      </w:r>
      <w:r>
        <w:rPr>
          <w:sz w:val="24"/>
          <w:szCs w:val="24"/>
        </w:rPr>
        <w:t xml:space="preserve"> </w:t>
      </w:r>
      <w:r w:rsidR="00014A81">
        <w:rPr>
          <w:sz w:val="24"/>
          <w:szCs w:val="24"/>
        </w:rPr>
        <w:t xml:space="preserve">the ISPs choose to </w:t>
      </w:r>
      <w:r w:rsidR="007F08D9">
        <w:rPr>
          <w:sz w:val="24"/>
          <w:szCs w:val="24"/>
        </w:rPr>
        <w:t>oppose</w:t>
      </w:r>
      <w:r w:rsidR="007F08D9" w:rsidRPr="006F2008">
        <w:rPr>
          <w:sz w:val="24"/>
          <w:szCs w:val="24"/>
        </w:rPr>
        <w:t>.</w:t>
      </w:r>
    </w:p>
    <w:p w:rsidR="00EF7075" w:rsidRPr="006F2008" w:rsidRDefault="007F08D9" w:rsidP="00EF7075">
      <w:pPr>
        <w:pStyle w:val="ListParagraph"/>
        <w:numPr>
          <w:ilvl w:val="0"/>
          <w:numId w:val="3"/>
        </w:numPr>
        <w:rPr>
          <w:sz w:val="24"/>
          <w:szCs w:val="24"/>
        </w:rPr>
      </w:pPr>
      <w:r>
        <w:rPr>
          <w:sz w:val="24"/>
          <w:szCs w:val="24"/>
        </w:rPr>
        <w:t>Costs</w:t>
      </w:r>
      <w:r w:rsidR="00EF7075" w:rsidRPr="006F2008">
        <w:rPr>
          <w:sz w:val="24"/>
          <w:szCs w:val="24"/>
        </w:rPr>
        <w:t xml:space="preserve"> </w:t>
      </w:r>
      <w:r>
        <w:rPr>
          <w:sz w:val="24"/>
          <w:szCs w:val="24"/>
        </w:rPr>
        <w:t>orders which require copyright</w:t>
      </w:r>
      <w:r w:rsidR="00264FF9">
        <w:rPr>
          <w:sz w:val="24"/>
          <w:szCs w:val="24"/>
        </w:rPr>
        <w:t xml:space="preserve"> owners</w:t>
      </w:r>
      <w:r w:rsidR="00554896">
        <w:rPr>
          <w:sz w:val="24"/>
          <w:szCs w:val="24"/>
        </w:rPr>
        <w:t xml:space="preserve"> to </w:t>
      </w:r>
      <w:r>
        <w:rPr>
          <w:sz w:val="24"/>
          <w:szCs w:val="24"/>
        </w:rPr>
        <w:t>pay ISPs’</w:t>
      </w:r>
      <w:r w:rsidR="00EF7075" w:rsidRPr="006F2008">
        <w:rPr>
          <w:sz w:val="24"/>
          <w:szCs w:val="24"/>
        </w:rPr>
        <w:t xml:space="preserve"> </w:t>
      </w:r>
      <w:r w:rsidR="009D1612">
        <w:rPr>
          <w:sz w:val="24"/>
          <w:szCs w:val="24"/>
        </w:rPr>
        <w:t>compliance</w:t>
      </w:r>
      <w:r w:rsidR="009D1612" w:rsidRPr="006F2008">
        <w:rPr>
          <w:sz w:val="24"/>
          <w:szCs w:val="24"/>
        </w:rPr>
        <w:t xml:space="preserve"> </w:t>
      </w:r>
      <w:r w:rsidR="00EF7075" w:rsidRPr="006F2008">
        <w:rPr>
          <w:sz w:val="24"/>
          <w:szCs w:val="24"/>
        </w:rPr>
        <w:t xml:space="preserve">costs </w:t>
      </w:r>
      <w:r w:rsidR="00F93127">
        <w:rPr>
          <w:sz w:val="24"/>
          <w:szCs w:val="24"/>
        </w:rPr>
        <w:t xml:space="preserve">are </w:t>
      </w:r>
      <w:r w:rsidR="00264FF9">
        <w:rPr>
          <w:sz w:val="24"/>
          <w:szCs w:val="24"/>
        </w:rPr>
        <w:t xml:space="preserve">out of step </w:t>
      </w:r>
      <w:r>
        <w:rPr>
          <w:sz w:val="24"/>
          <w:szCs w:val="24"/>
        </w:rPr>
        <w:t xml:space="preserve">with international precedent </w:t>
      </w:r>
      <w:r w:rsidR="00EF7075" w:rsidRPr="006F2008">
        <w:rPr>
          <w:sz w:val="24"/>
          <w:szCs w:val="24"/>
        </w:rPr>
        <w:t>and</w:t>
      </w:r>
      <w:r w:rsidR="00554896">
        <w:rPr>
          <w:sz w:val="24"/>
          <w:szCs w:val="24"/>
        </w:rPr>
        <w:t xml:space="preserve"> will </w:t>
      </w:r>
      <w:r>
        <w:rPr>
          <w:sz w:val="24"/>
          <w:szCs w:val="24"/>
        </w:rPr>
        <w:t xml:space="preserve">impact </w:t>
      </w:r>
      <w:r w:rsidR="00EF7075" w:rsidRPr="006F2008">
        <w:rPr>
          <w:sz w:val="24"/>
          <w:szCs w:val="24"/>
        </w:rPr>
        <w:t>the effi</w:t>
      </w:r>
      <w:r w:rsidR="004C41B8">
        <w:rPr>
          <w:sz w:val="24"/>
          <w:szCs w:val="24"/>
        </w:rPr>
        <w:t>ciency</w:t>
      </w:r>
      <w:r w:rsidR="009614EB">
        <w:rPr>
          <w:sz w:val="24"/>
          <w:szCs w:val="24"/>
        </w:rPr>
        <w:t xml:space="preserve"> and efficacy </w:t>
      </w:r>
      <w:r w:rsidR="00EF7075" w:rsidRPr="006F2008">
        <w:rPr>
          <w:sz w:val="24"/>
          <w:szCs w:val="24"/>
        </w:rPr>
        <w:t xml:space="preserve">of the </w:t>
      </w:r>
      <w:r w:rsidR="009614EB">
        <w:rPr>
          <w:sz w:val="24"/>
          <w:szCs w:val="24"/>
        </w:rPr>
        <w:t>s</w:t>
      </w:r>
      <w:r w:rsidR="00554896">
        <w:rPr>
          <w:sz w:val="24"/>
          <w:szCs w:val="24"/>
        </w:rPr>
        <w:t>115A regime</w:t>
      </w:r>
      <w:r w:rsidR="00EF7075" w:rsidRPr="006F2008">
        <w:rPr>
          <w:sz w:val="24"/>
          <w:szCs w:val="24"/>
        </w:rPr>
        <w:t xml:space="preserve">. </w:t>
      </w:r>
    </w:p>
    <w:p w:rsidR="00C2146F" w:rsidRPr="00E97BCB" w:rsidRDefault="00495144" w:rsidP="00C14DDE">
      <w:pPr>
        <w:pStyle w:val="ListParagraph"/>
        <w:numPr>
          <w:ilvl w:val="0"/>
          <w:numId w:val="3"/>
        </w:numPr>
        <w:rPr>
          <w:sz w:val="24"/>
          <w:szCs w:val="24"/>
        </w:rPr>
      </w:pPr>
      <w:r>
        <w:rPr>
          <w:sz w:val="24"/>
          <w:szCs w:val="24"/>
        </w:rPr>
        <w:t>At this time, d</w:t>
      </w:r>
      <w:r w:rsidR="00395255" w:rsidRPr="00E97BCB">
        <w:rPr>
          <w:sz w:val="24"/>
          <w:szCs w:val="24"/>
        </w:rPr>
        <w:t>espite</w:t>
      </w:r>
      <w:r w:rsidR="00A26E37" w:rsidRPr="00E97BCB">
        <w:rPr>
          <w:sz w:val="24"/>
          <w:szCs w:val="24"/>
        </w:rPr>
        <w:t xml:space="preserve"> serious concerns about the</w:t>
      </w:r>
      <w:r>
        <w:rPr>
          <w:sz w:val="24"/>
          <w:szCs w:val="24"/>
        </w:rPr>
        <w:t xml:space="preserve"> costs</w:t>
      </w:r>
      <w:r w:rsidR="00A26E37" w:rsidRPr="00E97BCB">
        <w:rPr>
          <w:sz w:val="24"/>
          <w:szCs w:val="24"/>
        </w:rPr>
        <w:t xml:space="preserve"> orders made in the music case</w:t>
      </w:r>
      <w:r w:rsidR="006C0A9B">
        <w:rPr>
          <w:sz w:val="24"/>
          <w:szCs w:val="24"/>
        </w:rPr>
        <w:t>,</w:t>
      </w:r>
      <w:r>
        <w:rPr>
          <w:sz w:val="24"/>
          <w:szCs w:val="24"/>
        </w:rPr>
        <w:t xml:space="preserve"> it is too early to</w:t>
      </w:r>
      <w:r w:rsidR="006C0A9B">
        <w:rPr>
          <w:sz w:val="24"/>
          <w:szCs w:val="24"/>
        </w:rPr>
        <w:t xml:space="preserve"> make specific recommendations to amend the </w:t>
      </w:r>
      <w:r>
        <w:rPr>
          <w:sz w:val="24"/>
          <w:szCs w:val="24"/>
        </w:rPr>
        <w:t>s1</w:t>
      </w:r>
      <w:r w:rsidR="00554896">
        <w:rPr>
          <w:sz w:val="24"/>
          <w:szCs w:val="24"/>
        </w:rPr>
        <w:t>1</w:t>
      </w:r>
      <w:r>
        <w:rPr>
          <w:sz w:val="24"/>
          <w:szCs w:val="24"/>
        </w:rPr>
        <w:t>5A regime</w:t>
      </w:r>
      <w:r w:rsidR="00E40CD0">
        <w:rPr>
          <w:sz w:val="24"/>
          <w:szCs w:val="24"/>
        </w:rPr>
        <w:t xml:space="preserve">. </w:t>
      </w:r>
    </w:p>
    <w:p w:rsidR="00777FF4" w:rsidRPr="00777FF4" w:rsidRDefault="00264FF9" w:rsidP="00264FF9">
      <w:pPr>
        <w:pStyle w:val="ListParagraph"/>
        <w:numPr>
          <w:ilvl w:val="0"/>
          <w:numId w:val="3"/>
        </w:numPr>
        <w:rPr>
          <w:b/>
          <w:sz w:val="24"/>
          <w:szCs w:val="24"/>
        </w:rPr>
      </w:pPr>
      <w:r w:rsidRPr="00264FF9">
        <w:rPr>
          <w:sz w:val="24"/>
          <w:szCs w:val="24"/>
        </w:rPr>
        <w:t>MRA recommends the Government conduct a formal review of all aspects of copyright enforcement within</w:t>
      </w:r>
      <w:r w:rsidR="006C0A9B">
        <w:rPr>
          <w:sz w:val="24"/>
          <w:szCs w:val="24"/>
        </w:rPr>
        <w:t xml:space="preserve"> eighteen months</w:t>
      </w:r>
      <w:r w:rsidRPr="00264FF9">
        <w:rPr>
          <w:sz w:val="24"/>
          <w:szCs w:val="24"/>
        </w:rPr>
        <w:t xml:space="preserve">. </w:t>
      </w:r>
      <w:r>
        <w:rPr>
          <w:sz w:val="24"/>
          <w:szCs w:val="24"/>
        </w:rPr>
        <w:t xml:space="preserve"> Such a review will</w:t>
      </w:r>
      <w:r w:rsidR="007F08D9">
        <w:rPr>
          <w:sz w:val="24"/>
          <w:szCs w:val="24"/>
        </w:rPr>
        <w:t xml:space="preserve"> ensure</w:t>
      </w:r>
      <w:r>
        <w:rPr>
          <w:sz w:val="24"/>
          <w:szCs w:val="24"/>
        </w:rPr>
        <w:t xml:space="preserve"> s115A is an effective and efficient mechanism</w:t>
      </w:r>
      <w:r w:rsidR="00495144">
        <w:rPr>
          <w:sz w:val="24"/>
          <w:szCs w:val="24"/>
        </w:rPr>
        <w:t xml:space="preserve"> in the context of the overall </w:t>
      </w:r>
      <w:r>
        <w:rPr>
          <w:sz w:val="24"/>
          <w:szCs w:val="24"/>
        </w:rPr>
        <w:t xml:space="preserve">rights protection environment. </w:t>
      </w:r>
    </w:p>
    <w:p w:rsidR="00E97BCB" w:rsidRDefault="00E97BCB" w:rsidP="00E97BCB">
      <w:pPr>
        <w:ind w:left="720"/>
        <w:rPr>
          <w:b/>
          <w:sz w:val="24"/>
          <w:szCs w:val="24"/>
        </w:rPr>
      </w:pPr>
      <w:r w:rsidRPr="00E97BCB">
        <w:rPr>
          <w:b/>
          <w:sz w:val="24"/>
          <w:szCs w:val="24"/>
        </w:rPr>
        <w:t xml:space="preserve">Background </w:t>
      </w:r>
    </w:p>
    <w:p w:rsidR="004C41B8" w:rsidRPr="00264FF9" w:rsidRDefault="004C41B8" w:rsidP="00264FF9">
      <w:pPr>
        <w:pStyle w:val="ListParagraph"/>
        <w:numPr>
          <w:ilvl w:val="1"/>
          <w:numId w:val="6"/>
        </w:numPr>
        <w:rPr>
          <w:sz w:val="24"/>
          <w:szCs w:val="24"/>
        </w:rPr>
      </w:pPr>
      <w:r w:rsidRPr="00264FF9">
        <w:rPr>
          <w:sz w:val="24"/>
          <w:szCs w:val="24"/>
        </w:rPr>
        <w:t>There are over 20 online licensed music services in Australia which make music available to consumers across platforms and devices at a range of price points including free on some advertising supported services</w:t>
      </w:r>
      <w:r w:rsidR="00264FF9">
        <w:rPr>
          <w:sz w:val="24"/>
          <w:szCs w:val="24"/>
        </w:rPr>
        <w:t>:</w:t>
      </w:r>
      <w:r w:rsidRPr="00264FF9">
        <w:rPr>
          <w:sz w:val="24"/>
          <w:szCs w:val="24"/>
        </w:rPr>
        <w:t xml:space="preserve"> see</w:t>
      </w:r>
      <w:r w:rsidR="002E5E43">
        <w:rPr>
          <w:sz w:val="24"/>
          <w:szCs w:val="24"/>
        </w:rPr>
        <w:t xml:space="preserve"> www.digitalcontentguide.com.au</w:t>
      </w:r>
      <w:r w:rsidRPr="00264FF9">
        <w:rPr>
          <w:sz w:val="24"/>
          <w:szCs w:val="24"/>
        </w:rPr>
        <w:t>; www.promusic.org.</w:t>
      </w:r>
    </w:p>
    <w:p w:rsidR="00F63366" w:rsidRPr="00264FF9" w:rsidRDefault="00495144" w:rsidP="00264FF9">
      <w:pPr>
        <w:pStyle w:val="ListParagraph"/>
        <w:numPr>
          <w:ilvl w:val="1"/>
          <w:numId w:val="6"/>
        </w:numPr>
        <w:rPr>
          <w:sz w:val="24"/>
          <w:szCs w:val="24"/>
        </w:rPr>
      </w:pPr>
      <w:r>
        <w:rPr>
          <w:sz w:val="24"/>
          <w:szCs w:val="24"/>
        </w:rPr>
        <w:t xml:space="preserve"> Music industry c</w:t>
      </w:r>
      <w:r w:rsidR="00E97BCB" w:rsidRPr="00264FF9">
        <w:rPr>
          <w:sz w:val="24"/>
          <w:szCs w:val="24"/>
        </w:rPr>
        <w:t xml:space="preserve">opyright owners have </w:t>
      </w:r>
      <w:r w:rsidR="00395255" w:rsidRPr="00264FF9">
        <w:rPr>
          <w:sz w:val="24"/>
          <w:szCs w:val="24"/>
        </w:rPr>
        <w:t xml:space="preserve">filed </w:t>
      </w:r>
      <w:r w:rsidR="00F63366" w:rsidRPr="00264FF9">
        <w:rPr>
          <w:sz w:val="24"/>
          <w:szCs w:val="24"/>
        </w:rPr>
        <w:t xml:space="preserve">one </w:t>
      </w:r>
      <w:r w:rsidR="00395255" w:rsidRPr="00264FF9">
        <w:rPr>
          <w:sz w:val="24"/>
          <w:szCs w:val="24"/>
        </w:rPr>
        <w:t>s115A</w:t>
      </w:r>
      <w:r w:rsidR="009614EB">
        <w:rPr>
          <w:sz w:val="24"/>
          <w:szCs w:val="24"/>
        </w:rPr>
        <w:t xml:space="preserve"> case</w:t>
      </w:r>
      <w:r>
        <w:rPr>
          <w:sz w:val="24"/>
          <w:szCs w:val="24"/>
        </w:rPr>
        <w:t>.</w:t>
      </w:r>
      <w:r w:rsidR="00395255" w:rsidRPr="00264FF9">
        <w:rPr>
          <w:sz w:val="24"/>
          <w:szCs w:val="24"/>
        </w:rPr>
        <w:t xml:space="preserve"> The case</w:t>
      </w:r>
      <w:r w:rsidR="00395255" w:rsidRPr="00E97BCB">
        <w:rPr>
          <w:rStyle w:val="FootnoteReference"/>
          <w:sz w:val="24"/>
          <w:szCs w:val="24"/>
        </w:rPr>
        <w:footnoteReference w:id="4"/>
      </w:r>
      <w:r w:rsidR="002E5E43">
        <w:rPr>
          <w:sz w:val="24"/>
          <w:szCs w:val="24"/>
        </w:rPr>
        <w:t xml:space="preserve"> </w:t>
      </w:r>
      <w:r w:rsidR="00E97BCB" w:rsidRPr="00264FF9">
        <w:rPr>
          <w:sz w:val="24"/>
          <w:szCs w:val="24"/>
        </w:rPr>
        <w:t xml:space="preserve"> (the </w:t>
      </w:r>
      <w:r w:rsidR="00E97BCB" w:rsidRPr="00264FF9">
        <w:rPr>
          <w:b/>
          <w:sz w:val="24"/>
          <w:szCs w:val="24"/>
        </w:rPr>
        <w:t>music case</w:t>
      </w:r>
      <w:r w:rsidR="00E97BCB" w:rsidRPr="00264FF9">
        <w:rPr>
          <w:sz w:val="24"/>
          <w:szCs w:val="24"/>
        </w:rPr>
        <w:t xml:space="preserve">) </w:t>
      </w:r>
      <w:r w:rsidR="00395255" w:rsidRPr="00264FF9">
        <w:rPr>
          <w:sz w:val="24"/>
          <w:szCs w:val="24"/>
        </w:rPr>
        <w:t>was fi</w:t>
      </w:r>
      <w:r w:rsidR="00C2146F" w:rsidRPr="00264FF9">
        <w:rPr>
          <w:sz w:val="24"/>
          <w:szCs w:val="24"/>
        </w:rPr>
        <w:t xml:space="preserve">led </w:t>
      </w:r>
      <w:r w:rsidR="00395255" w:rsidRPr="00264FF9">
        <w:rPr>
          <w:sz w:val="24"/>
          <w:szCs w:val="24"/>
        </w:rPr>
        <w:t>against Kick Ass Torrents</w:t>
      </w:r>
      <w:r w:rsidR="00C2146F" w:rsidRPr="00264FF9">
        <w:rPr>
          <w:sz w:val="24"/>
          <w:szCs w:val="24"/>
        </w:rPr>
        <w:t xml:space="preserve"> (</w:t>
      </w:r>
      <w:r w:rsidR="00C2146F" w:rsidRPr="00264FF9">
        <w:rPr>
          <w:b/>
          <w:sz w:val="24"/>
          <w:szCs w:val="24"/>
        </w:rPr>
        <w:t>KAT</w:t>
      </w:r>
      <w:r w:rsidR="00C2146F" w:rsidRPr="00264FF9">
        <w:rPr>
          <w:sz w:val="24"/>
          <w:szCs w:val="24"/>
        </w:rPr>
        <w:t>)</w:t>
      </w:r>
      <w:r w:rsidR="00395255" w:rsidRPr="00264FF9">
        <w:rPr>
          <w:sz w:val="24"/>
          <w:szCs w:val="24"/>
        </w:rPr>
        <w:t xml:space="preserve"> and a number of</w:t>
      </w:r>
      <w:r w:rsidR="006850B1" w:rsidRPr="00264FF9">
        <w:rPr>
          <w:sz w:val="24"/>
          <w:szCs w:val="24"/>
        </w:rPr>
        <w:t xml:space="preserve"> KAT</w:t>
      </w:r>
      <w:r w:rsidR="00395255" w:rsidRPr="00264FF9">
        <w:rPr>
          <w:sz w:val="24"/>
          <w:szCs w:val="24"/>
        </w:rPr>
        <w:t xml:space="preserve"> proxy sites. During the preparation of the</w:t>
      </w:r>
      <w:r w:rsidR="00E97BCB" w:rsidRPr="00264FF9">
        <w:rPr>
          <w:sz w:val="24"/>
          <w:szCs w:val="24"/>
        </w:rPr>
        <w:t xml:space="preserve"> music </w:t>
      </w:r>
      <w:r w:rsidR="00395255" w:rsidRPr="00264FF9">
        <w:rPr>
          <w:sz w:val="24"/>
          <w:szCs w:val="24"/>
        </w:rPr>
        <w:t xml:space="preserve">case, but after </w:t>
      </w:r>
      <w:r w:rsidR="006850B1" w:rsidRPr="00264FF9">
        <w:rPr>
          <w:sz w:val="24"/>
          <w:szCs w:val="24"/>
        </w:rPr>
        <w:t>the Application</w:t>
      </w:r>
      <w:r w:rsidR="00395255" w:rsidRPr="00264FF9">
        <w:rPr>
          <w:sz w:val="24"/>
          <w:szCs w:val="24"/>
        </w:rPr>
        <w:t xml:space="preserve"> had been filed, US authorities shut down the KAT site and the music case proceeded</w:t>
      </w:r>
      <w:r w:rsidR="006850B1" w:rsidRPr="00264FF9">
        <w:rPr>
          <w:sz w:val="24"/>
          <w:szCs w:val="24"/>
        </w:rPr>
        <w:t xml:space="preserve"> against </w:t>
      </w:r>
      <w:r w:rsidR="00395255" w:rsidRPr="00264FF9">
        <w:rPr>
          <w:sz w:val="24"/>
          <w:szCs w:val="24"/>
        </w:rPr>
        <w:t>KAT pro</w:t>
      </w:r>
      <w:r>
        <w:rPr>
          <w:sz w:val="24"/>
          <w:szCs w:val="24"/>
        </w:rPr>
        <w:t>xy</w:t>
      </w:r>
      <w:r w:rsidR="006850B1" w:rsidRPr="00264FF9">
        <w:rPr>
          <w:sz w:val="24"/>
          <w:szCs w:val="24"/>
        </w:rPr>
        <w:t xml:space="preserve"> sites only</w:t>
      </w:r>
      <w:r w:rsidR="00F63366" w:rsidRPr="00264FF9">
        <w:rPr>
          <w:sz w:val="24"/>
          <w:szCs w:val="24"/>
        </w:rPr>
        <w:t>.</w:t>
      </w:r>
    </w:p>
    <w:p w:rsidR="006850B1" w:rsidRPr="00264FF9" w:rsidRDefault="004C41B8" w:rsidP="00264FF9">
      <w:pPr>
        <w:pStyle w:val="ListParagraph"/>
        <w:numPr>
          <w:ilvl w:val="1"/>
          <w:numId w:val="6"/>
        </w:numPr>
        <w:rPr>
          <w:sz w:val="24"/>
          <w:szCs w:val="24"/>
        </w:rPr>
      </w:pPr>
      <w:r w:rsidRPr="00264FF9">
        <w:rPr>
          <w:sz w:val="24"/>
          <w:szCs w:val="24"/>
        </w:rPr>
        <w:t>I</w:t>
      </w:r>
      <w:r w:rsidR="00EF7075" w:rsidRPr="00264FF9">
        <w:rPr>
          <w:sz w:val="24"/>
          <w:szCs w:val="24"/>
        </w:rPr>
        <w:t>n order to narrow the issues between the parties,</w:t>
      </w:r>
      <w:r w:rsidR="00100D06" w:rsidRPr="00264FF9">
        <w:rPr>
          <w:sz w:val="24"/>
          <w:szCs w:val="24"/>
        </w:rPr>
        <w:t xml:space="preserve"> </w:t>
      </w:r>
      <w:r w:rsidR="00395255" w:rsidRPr="00264FF9">
        <w:rPr>
          <w:sz w:val="24"/>
          <w:szCs w:val="24"/>
        </w:rPr>
        <w:t>MRA met</w:t>
      </w:r>
      <w:r w:rsidR="008A2D5A" w:rsidRPr="00264FF9">
        <w:rPr>
          <w:sz w:val="24"/>
          <w:szCs w:val="24"/>
        </w:rPr>
        <w:t xml:space="preserve"> </w:t>
      </w:r>
      <w:r w:rsidR="00395255" w:rsidRPr="00264FF9">
        <w:rPr>
          <w:sz w:val="24"/>
          <w:szCs w:val="24"/>
        </w:rPr>
        <w:t xml:space="preserve">with </w:t>
      </w:r>
      <w:r w:rsidR="008A2D5A" w:rsidRPr="00264FF9">
        <w:rPr>
          <w:sz w:val="24"/>
          <w:szCs w:val="24"/>
        </w:rPr>
        <w:t xml:space="preserve">representatives of </w:t>
      </w:r>
      <w:r w:rsidR="00395255" w:rsidRPr="00264FF9">
        <w:rPr>
          <w:sz w:val="24"/>
          <w:szCs w:val="24"/>
        </w:rPr>
        <w:t xml:space="preserve">some </w:t>
      </w:r>
      <w:r w:rsidR="008A2D5A" w:rsidRPr="00264FF9">
        <w:rPr>
          <w:sz w:val="24"/>
          <w:szCs w:val="24"/>
        </w:rPr>
        <w:t>of</w:t>
      </w:r>
      <w:r w:rsidR="00395255" w:rsidRPr="00264FF9">
        <w:rPr>
          <w:sz w:val="24"/>
          <w:szCs w:val="24"/>
        </w:rPr>
        <w:t xml:space="preserve"> the IS</w:t>
      </w:r>
      <w:r w:rsidR="008A2D5A" w:rsidRPr="00264FF9">
        <w:rPr>
          <w:sz w:val="24"/>
          <w:szCs w:val="24"/>
        </w:rPr>
        <w:t>Ps</w:t>
      </w:r>
      <w:r w:rsidR="00395255" w:rsidRPr="00264FF9">
        <w:rPr>
          <w:sz w:val="24"/>
          <w:szCs w:val="24"/>
        </w:rPr>
        <w:t xml:space="preserve">. </w:t>
      </w:r>
      <w:r w:rsidR="00495144">
        <w:rPr>
          <w:sz w:val="24"/>
          <w:szCs w:val="24"/>
        </w:rPr>
        <w:t xml:space="preserve">Other </w:t>
      </w:r>
      <w:r w:rsidR="00395255" w:rsidRPr="00264FF9">
        <w:rPr>
          <w:sz w:val="24"/>
          <w:szCs w:val="24"/>
        </w:rPr>
        <w:t>IS</w:t>
      </w:r>
      <w:r w:rsidR="008A2D5A" w:rsidRPr="00264FF9">
        <w:rPr>
          <w:sz w:val="24"/>
          <w:szCs w:val="24"/>
        </w:rPr>
        <w:t>P</w:t>
      </w:r>
      <w:r w:rsidR="00395255" w:rsidRPr="00264FF9">
        <w:rPr>
          <w:sz w:val="24"/>
          <w:szCs w:val="24"/>
        </w:rPr>
        <w:t xml:space="preserve">s did </w:t>
      </w:r>
      <w:r w:rsidR="008A2D5A" w:rsidRPr="00264FF9">
        <w:rPr>
          <w:sz w:val="24"/>
          <w:szCs w:val="24"/>
        </w:rPr>
        <w:t>not</w:t>
      </w:r>
      <w:r w:rsidR="00395255" w:rsidRPr="00264FF9">
        <w:rPr>
          <w:sz w:val="24"/>
          <w:szCs w:val="24"/>
        </w:rPr>
        <w:t xml:space="preserve"> agree to the</w:t>
      </w:r>
      <w:r w:rsidR="008A2D5A" w:rsidRPr="00264FF9">
        <w:rPr>
          <w:sz w:val="24"/>
          <w:szCs w:val="24"/>
        </w:rPr>
        <w:t>s</w:t>
      </w:r>
      <w:r w:rsidR="00395255" w:rsidRPr="00264FF9">
        <w:rPr>
          <w:sz w:val="24"/>
          <w:szCs w:val="24"/>
        </w:rPr>
        <w:t>e pre</w:t>
      </w:r>
      <w:r w:rsidR="00762A01">
        <w:rPr>
          <w:sz w:val="24"/>
          <w:szCs w:val="24"/>
        </w:rPr>
        <w:t>-</w:t>
      </w:r>
      <w:r w:rsidR="00495144">
        <w:rPr>
          <w:sz w:val="24"/>
          <w:szCs w:val="24"/>
        </w:rPr>
        <w:t xml:space="preserve">application </w:t>
      </w:r>
      <w:r w:rsidR="00395255" w:rsidRPr="00264FF9">
        <w:rPr>
          <w:sz w:val="24"/>
          <w:szCs w:val="24"/>
        </w:rPr>
        <w:t>discussion</w:t>
      </w:r>
      <w:r w:rsidR="008A2D5A" w:rsidRPr="00264FF9">
        <w:rPr>
          <w:sz w:val="24"/>
          <w:szCs w:val="24"/>
        </w:rPr>
        <w:t>s</w:t>
      </w:r>
      <w:r w:rsidR="00395255" w:rsidRPr="00264FF9">
        <w:rPr>
          <w:sz w:val="24"/>
          <w:szCs w:val="24"/>
        </w:rPr>
        <w:t>.</w:t>
      </w:r>
      <w:r w:rsidR="006850B1" w:rsidRPr="00264FF9">
        <w:rPr>
          <w:sz w:val="24"/>
          <w:szCs w:val="24"/>
        </w:rPr>
        <w:t xml:space="preserve"> </w:t>
      </w:r>
      <w:r w:rsidR="00896936" w:rsidRPr="00264FF9">
        <w:rPr>
          <w:sz w:val="24"/>
          <w:szCs w:val="24"/>
        </w:rPr>
        <w:t>These</w:t>
      </w:r>
      <w:r w:rsidR="006850B1" w:rsidRPr="00264FF9">
        <w:rPr>
          <w:sz w:val="24"/>
          <w:szCs w:val="24"/>
        </w:rPr>
        <w:t xml:space="preserve"> discussion</w:t>
      </w:r>
      <w:r w:rsidR="00896936" w:rsidRPr="00264FF9">
        <w:rPr>
          <w:sz w:val="24"/>
          <w:szCs w:val="24"/>
        </w:rPr>
        <w:t xml:space="preserve">s continued </w:t>
      </w:r>
      <w:r w:rsidR="006850B1" w:rsidRPr="00264FF9">
        <w:rPr>
          <w:sz w:val="24"/>
          <w:szCs w:val="24"/>
        </w:rPr>
        <w:t xml:space="preserve">between the </w:t>
      </w:r>
      <w:r w:rsidRPr="00264FF9">
        <w:rPr>
          <w:sz w:val="24"/>
          <w:szCs w:val="24"/>
        </w:rPr>
        <w:t xml:space="preserve">parties’ </w:t>
      </w:r>
      <w:r w:rsidR="001E570B" w:rsidRPr="00264FF9">
        <w:rPr>
          <w:sz w:val="24"/>
          <w:szCs w:val="24"/>
        </w:rPr>
        <w:t>legal</w:t>
      </w:r>
      <w:r w:rsidR="00896936" w:rsidRPr="00264FF9">
        <w:rPr>
          <w:sz w:val="24"/>
          <w:szCs w:val="24"/>
        </w:rPr>
        <w:t xml:space="preserve"> </w:t>
      </w:r>
      <w:r w:rsidR="001E570B" w:rsidRPr="00264FF9">
        <w:rPr>
          <w:sz w:val="24"/>
          <w:szCs w:val="24"/>
        </w:rPr>
        <w:t>representatives up</w:t>
      </w:r>
      <w:r w:rsidR="006850B1" w:rsidRPr="00264FF9">
        <w:rPr>
          <w:sz w:val="24"/>
          <w:szCs w:val="24"/>
        </w:rPr>
        <w:t xml:space="preserve"> to the h</w:t>
      </w:r>
      <w:r w:rsidR="00896936" w:rsidRPr="00264FF9">
        <w:rPr>
          <w:sz w:val="24"/>
          <w:szCs w:val="24"/>
        </w:rPr>
        <w:t xml:space="preserve">earing </w:t>
      </w:r>
      <w:r w:rsidR="006850B1" w:rsidRPr="00264FF9">
        <w:rPr>
          <w:sz w:val="24"/>
          <w:szCs w:val="24"/>
        </w:rPr>
        <w:t xml:space="preserve">in </w:t>
      </w:r>
      <w:r w:rsidR="00896936" w:rsidRPr="00264FF9">
        <w:rPr>
          <w:sz w:val="24"/>
          <w:szCs w:val="24"/>
        </w:rPr>
        <w:t>October</w:t>
      </w:r>
      <w:r w:rsidR="006850B1" w:rsidRPr="00264FF9">
        <w:rPr>
          <w:sz w:val="24"/>
          <w:szCs w:val="24"/>
        </w:rPr>
        <w:t xml:space="preserve"> 2016</w:t>
      </w:r>
      <w:r w:rsidR="00896936" w:rsidRPr="00264FF9">
        <w:rPr>
          <w:sz w:val="24"/>
          <w:szCs w:val="24"/>
        </w:rPr>
        <w:t>.</w:t>
      </w:r>
      <w:r w:rsidR="001E570B" w:rsidRPr="00264FF9">
        <w:rPr>
          <w:sz w:val="24"/>
          <w:szCs w:val="24"/>
        </w:rPr>
        <w:t xml:space="preserve"> </w:t>
      </w:r>
    </w:p>
    <w:p w:rsidR="00395255" w:rsidRPr="00264FF9" w:rsidRDefault="002832C4" w:rsidP="00264FF9">
      <w:pPr>
        <w:pStyle w:val="ListParagraph"/>
        <w:numPr>
          <w:ilvl w:val="1"/>
          <w:numId w:val="6"/>
        </w:numPr>
        <w:rPr>
          <w:sz w:val="24"/>
          <w:szCs w:val="24"/>
        </w:rPr>
      </w:pPr>
      <w:r w:rsidRPr="00264FF9">
        <w:rPr>
          <w:sz w:val="24"/>
          <w:szCs w:val="24"/>
        </w:rPr>
        <w:t xml:space="preserve">Most </w:t>
      </w:r>
      <w:r w:rsidR="008A2D5A" w:rsidRPr="00264FF9">
        <w:rPr>
          <w:sz w:val="24"/>
          <w:szCs w:val="24"/>
        </w:rPr>
        <w:t>issues</w:t>
      </w:r>
      <w:r w:rsidR="00395255" w:rsidRPr="00264FF9">
        <w:rPr>
          <w:sz w:val="24"/>
          <w:szCs w:val="24"/>
        </w:rPr>
        <w:t xml:space="preserve"> were agreed between the </w:t>
      </w:r>
      <w:r w:rsidR="008A2D5A" w:rsidRPr="00264FF9">
        <w:rPr>
          <w:sz w:val="24"/>
          <w:szCs w:val="24"/>
        </w:rPr>
        <w:t>parties</w:t>
      </w:r>
      <w:r w:rsidRPr="00264FF9">
        <w:rPr>
          <w:sz w:val="24"/>
          <w:szCs w:val="24"/>
        </w:rPr>
        <w:t xml:space="preserve"> prior to the hearing</w:t>
      </w:r>
      <w:r w:rsidR="00395255" w:rsidRPr="00264FF9">
        <w:rPr>
          <w:sz w:val="24"/>
          <w:szCs w:val="24"/>
        </w:rPr>
        <w:t xml:space="preserve">. </w:t>
      </w:r>
    </w:p>
    <w:p w:rsidR="009C33B6" w:rsidRPr="00264FF9" w:rsidRDefault="009C33B6" w:rsidP="00264FF9">
      <w:pPr>
        <w:pStyle w:val="ListParagraph"/>
        <w:numPr>
          <w:ilvl w:val="1"/>
          <w:numId w:val="6"/>
        </w:numPr>
        <w:rPr>
          <w:sz w:val="24"/>
          <w:szCs w:val="24"/>
        </w:rPr>
      </w:pPr>
      <w:r w:rsidRPr="00264FF9">
        <w:rPr>
          <w:sz w:val="24"/>
          <w:szCs w:val="24"/>
        </w:rPr>
        <w:t xml:space="preserve">The ISPs took the position that as this was a no fault remedy they would not contest </w:t>
      </w:r>
      <w:r w:rsidR="00896936" w:rsidRPr="00264FF9">
        <w:rPr>
          <w:sz w:val="24"/>
          <w:szCs w:val="24"/>
        </w:rPr>
        <w:t xml:space="preserve">evidentiary matters as it was for the Applicants to </w:t>
      </w:r>
      <w:r w:rsidR="00EF7075" w:rsidRPr="00264FF9">
        <w:rPr>
          <w:sz w:val="24"/>
          <w:szCs w:val="24"/>
        </w:rPr>
        <w:t xml:space="preserve">prove </w:t>
      </w:r>
      <w:r w:rsidR="00896936" w:rsidRPr="00264FF9">
        <w:rPr>
          <w:sz w:val="24"/>
          <w:szCs w:val="24"/>
        </w:rPr>
        <w:t>their case and s</w:t>
      </w:r>
      <w:r w:rsidR="00524ADF" w:rsidRPr="00264FF9">
        <w:rPr>
          <w:sz w:val="24"/>
          <w:szCs w:val="24"/>
        </w:rPr>
        <w:t xml:space="preserve">atisfy the Court they had </w:t>
      </w:r>
      <w:r w:rsidR="00EF7075" w:rsidRPr="00264FF9">
        <w:rPr>
          <w:sz w:val="24"/>
          <w:szCs w:val="24"/>
        </w:rPr>
        <w:t>met</w:t>
      </w:r>
      <w:r w:rsidR="00524ADF" w:rsidRPr="00264FF9">
        <w:rPr>
          <w:sz w:val="24"/>
          <w:szCs w:val="24"/>
        </w:rPr>
        <w:t xml:space="preserve"> the evidentiary threshold </w:t>
      </w:r>
      <w:r w:rsidR="00495144">
        <w:rPr>
          <w:sz w:val="24"/>
          <w:szCs w:val="24"/>
        </w:rPr>
        <w:t xml:space="preserve">to obtain the </w:t>
      </w:r>
      <w:r w:rsidR="00524ADF" w:rsidRPr="00264FF9">
        <w:rPr>
          <w:sz w:val="24"/>
          <w:szCs w:val="24"/>
        </w:rPr>
        <w:t xml:space="preserve"> blocking orders.</w:t>
      </w:r>
    </w:p>
    <w:p w:rsidR="009C33B6" w:rsidRDefault="009C33B6" w:rsidP="006B13D1">
      <w:pPr>
        <w:pStyle w:val="ListParagraph"/>
        <w:numPr>
          <w:ilvl w:val="0"/>
          <w:numId w:val="3"/>
        </w:numPr>
        <w:rPr>
          <w:sz w:val="24"/>
          <w:szCs w:val="24"/>
        </w:rPr>
      </w:pPr>
      <w:r>
        <w:rPr>
          <w:sz w:val="24"/>
          <w:szCs w:val="24"/>
        </w:rPr>
        <w:t xml:space="preserve"> The Applicants led </w:t>
      </w:r>
      <w:r w:rsidR="00014A81">
        <w:rPr>
          <w:sz w:val="24"/>
          <w:szCs w:val="24"/>
        </w:rPr>
        <w:t xml:space="preserve">substantial </w:t>
      </w:r>
      <w:r>
        <w:rPr>
          <w:sz w:val="24"/>
          <w:szCs w:val="24"/>
        </w:rPr>
        <w:t>evidence</w:t>
      </w:r>
      <w:r w:rsidR="00896936">
        <w:rPr>
          <w:sz w:val="24"/>
          <w:szCs w:val="24"/>
        </w:rPr>
        <w:t>:</w:t>
      </w:r>
      <w:r>
        <w:rPr>
          <w:sz w:val="24"/>
          <w:szCs w:val="24"/>
        </w:rPr>
        <w:t xml:space="preserve">  </w:t>
      </w:r>
      <w:r w:rsidR="006B13D1" w:rsidRPr="00E97BCB">
        <w:rPr>
          <w:sz w:val="24"/>
          <w:szCs w:val="24"/>
        </w:rPr>
        <w:t xml:space="preserve"> </w:t>
      </w:r>
    </w:p>
    <w:p w:rsidR="009C33B6" w:rsidRDefault="009C33B6" w:rsidP="009C33B6">
      <w:pPr>
        <w:pStyle w:val="ListParagraph"/>
        <w:numPr>
          <w:ilvl w:val="1"/>
          <w:numId w:val="3"/>
        </w:numPr>
        <w:rPr>
          <w:sz w:val="24"/>
          <w:szCs w:val="24"/>
        </w:rPr>
      </w:pPr>
      <w:r>
        <w:rPr>
          <w:sz w:val="24"/>
          <w:szCs w:val="24"/>
        </w:rPr>
        <w:t>Of subsistence of copyright</w:t>
      </w:r>
      <w:r w:rsidR="00896936">
        <w:rPr>
          <w:sz w:val="24"/>
          <w:szCs w:val="24"/>
        </w:rPr>
        <w:t>;</w:t>
      </w:r>
    </w:p>
    <w:p w:rsidR="009C33B6" w:rsidRDefault="009C33B6" w:rsidP="009C33B6">
      <w:pPr>
        <w:pStyle w:val="ListParagraph"/>
        <w:numPr>
          <w:ilvl w:val="1"/>
          <w:numId w:val="3"/>
        </w:numPr>
        <w:rPr>
          <w:sz w:val="24"/>
          <w:szCs w:val="24"/>
        </w:rPr>
      </w:pPr>
      <w:r>
        <w:rPr>
          <w:sz w:val="24"/>
          <w:szCs w:val="24"/>
        </w:rPr>
        <w:t>That the carriage service providers provide access to</w:t>
      </w:r>
      <w:r w:rsidR="006C0A9B">
        <w:rPr>
          <w:sz w:val="24"/>
          <w:szCs w:val="24"/>
        </w:rPr>
        <w:t xml:space="preserve"> </w:t>
      </w:r>
      <w:r>
        <w:rPr>
          <w:sz w:val="24"/>
          <w:szCs w:val="24"/>
        </w:rPr>
        <w:t>online location</w:t>
      </w:r>
      <w:r w:rsidR="00896936">
        <w:rPr>
          <w:sz w:val="24"/>
          <w:szCs w:val="24"/>
        </w:rPr>
        <w:t>s</w:t>
      </w:r>
      <w:r>
        <w:rPr>
          <w:sz w:val="24"/>
          <w:szCs w:val="24"/>
        </w:rPr>
        <w:t xml:space="preserve"> outside Australia</w:t>
      </w:r>
      <w:r w:rsidR="00896936">
        <w:rPr>
          <w:sz w:val="24"/>
          <w:szCs w:val="24"/>
        </w:rPr>
        <w:t>;</w:t>
      </w:r>
      <w:r>
        <w:rPr>
          <w:sz w:val="24"/>
          <w:szCs w:val="24"/>
        </w:rPr>
        <w:t xml:space="preserve">  </w:t>
      </w:r>
    </w:p>
    <w:p w:rsidR="009C33B6" w:rsidRDefault="00896936" w:rsidP="009C33B6">
      <w:pPr>
        <w:pStyle w:val="ListParagraph"/>
        <w:numPr>
          <w:ilvl w:val="1"/>
          <w:numId w:val="3"/>
        </w:numPr>
        <w:rPr>
          <w:sz w:val="24"/>
          <w:szCs w:val="24"/>
        </w:rPr>
      </w:pPr>
      <w:r>
        <w:rPr>
          <w:sz w:val="24"/>
          <w:szCs w:val="24"/>
        </w:rPr>
        <w:t>T</w:t>
      </w:r>
      <w:r w:rsidR="009C33B6">
        <w:rPr>
          <w:sz w:val="24"/>
          <w:szCs w:val="24"/>
        </w:rPr>
        <w:t>h</w:t>
      </w:r>
      <w:r w:rsidR="00014A81">
        <w:rPr>
          <w:sz w:val="24"/>
          <w:szCs w:val="24"/>
        </w:rPr>
        <w:t>at th</w:t>
      </w:r>
      <w:r w:rsidR="009C33B6">
        <w:rPr>
          <w:sz w:val="24"/>
          <w:szCs w:val="24"/>
        </w:rPr>
        <w:t>e KAT prox</w:t>
      </w:r>
      <w:r w:rsidR="00495144">
        <w:rPr>
          <w:sz w:val="24"/>
          <w:szCs w:val="24"/>
        </w:rPr>
        <w:t xml:space="preserve">y sites </w:t>
      </w:r>
      <w:r w:rsidR="009C33B6">
        <w:rPr>
          <w:sz w:val="24"/>
          <w:szCs w:val="24"/>
        </w:rPr>
        <w:t>were online locations outside Australia</w:t>
      </w:r>
      <w:r>
        <w:rPr>
          <w:sz w:val="24"/>
          <w:szCs w:val="24"/>
        </w:rPr>
        <w:t>;</w:t>
      </w:r>
      <w:r w:rsidR="009C33B6">
        <w:rPr>
          <w:sz w:val="24"/>
          <w:szCs w:val="24"/>
        </w:rPr>
        <w:t xml:space="preserve">  </w:t>
      </w:r>
    </w:p>
    <w:p w:rsidR="009C33B6" w:rsidRDefault="009C33B6" w:rsidP="009C33B6">
      <w:pPr>
        <w:pStyle w:val="ListParagraph"/>
        <w:numPr>
          <w:ilvl w:val="1"/>
          <w:numId w:val="3"/>
        </w:numPr>
        <w:rPr>
          <w:sz w:val="24"/>
          <w:szCs w:val="24"/>
        </w:rPr>
      </w:pPr>
      <w:r>
        <w:rPr>
          <w:sz w:val="24"/>
          <w:szCs w:val="24"/>
        </w:rPr>
        <w:t>Th</w:t>
      </w:r>
      <w:r w:rsidR="00014A81">
        <w:rPr>
          <w:sz w:val="24"/>
          <w:szCs w:val="24"/>
        </w:rPr>
        <w:t>at th</w:t>
      </w:r>
      <w:r>
        <w:rPr>
          <w:sz w:val="24"/>
          <w:szCs w:val="24"/>
        </w:rPr>
        <w:t>e Applicants had notified the carriage service  providers and the operators of the KAT prox</w:t>
      </w:r>
      <w:r w:rsidR="00495144">
        <w:rPr>
          <w:sz w:val="24"/>
          <w:szCs w:val="24"/>
        </w:rPr>
        <w:t xml:space="preserve">y sites </w:t>
      </w:r>
      <w:r>
        <w:rPr>
          <w:sz w:val="24"/>
          <w:szCs w:val="24"/>
        </w:rPr>
        <w:t>of the Application</w:t>
      </w:r>
      <w:r w:rsidR="004C41B8">
        <w:rPr>
          <w:sz w:val="24"/>
          <w:szCs w:val="24"/>
        </w:rPr>
        <w:t>;</w:t>
      </w:r>
      <w:r>
        <w:rPr>
          <w:sz w:val="24"/>
          <w:szCs w:val="24"/>
        </w:rPr>
        <w:t xml:space="preserve"> </w:t>
      </w:r>
    </w:p>
    <w:p w:rsidR="00896936" w:rsidRDefault="00EF7075" w:rsidP="00896936">
      <w:pPr>
        <w:pStyle w:val="ListParagraph"/>
        <w:numPr>
          <w:ilvl w:val="1"/>
          <w:numId w:val="3"/>
        </w:numPr>
        <w:rPr>
          <w:sz w:val="24"/>
          <w:szCs w:val="24"/>
        </w:rPr>
      </w:pPr>
      <w:r>
        <w:rPr>
          <w:sz w:val="24"/>
          <w:szCs w:val="24"/>
        </w:rPr>
        <w:t>Of f</w:t>
      </w:r>
      <w:r w:rsidR="009C33B6">
        <w:rPr>
          <w:sz w:val="24"/>
          <w:szCs w:val="24"/>
        </w:rPr>
        <w:t>lagrancy</w:t>
      </w:r>
      <w:r w:rsidR="00896936">
        <w:rPr>
          <w:sz w:val="24"/>
          <w:szCs w:val="24"/>
        </w:rPr>
        <w:t xml:space="preserve"> </w:t>
      </w:r>
      <w:r w:rsidR="009C33B6">
        <w:rPr>
          <w:sz w:val="24"/>
          <w:szCs w:val="24"/>
        </w:rPr>
        <w:t>of</w:t>
      </w:r>
      <w:r w:rsidR="00495144">
        <w:rPr>
          <w:sz w:val="24"/>
          <w:szCs w:val="24"/>
        </w:rPr>
        <w:t xml:space="preserve"> copyright i</w:t>
      </w:r>
      <w:r w:rsidR="009C33B6">
        <w:rPr>
          <w:sz w:val="24"/>
          <w:szCs w:val="24"/>
        </w:rPr>
        <w:t xml:space="preserve">nfringement; </w:t>
      </w:r>
      <w:r w:rsidR="00896936">
        <w:rPr>
          <w:sz w:val="24"/>
          <w:szCs w:val="24"/>
        </w:rPr>
        <w:t>instance</w:t>
      </w:r>
      <w:r w:rsidR="004C41B8">
        <w:rPr>
          <w:sz w:val="24"/>
          <w:szCs w:val="24"/>
        </w:rPr>
        <w:t>s of</w:t>
      </w:r>
      <w:r w:rsidR="009C33B6">
        <w:rPr>
          <w:sz w:val="24"/>
          <w:szCs w:val="24"/>
        </w:rPr>
        <w:t xml:space="preserve"> </w:t>
      </w:r>
      <w:r w:rsidR="00896936">
        <w:rPr>
          <w:sz w:val="24"/>
          <w:szCs w:val="24"/>
        </w:rPr>
        <w:t xml:space="preserve">facilitation  </w:t>
      </w:r>
      <w:r w:rsidR="009C33B6">
        <w:rPr>
          <w:sz w:val="24"/>
          <w:szCs w:val="24"/>
        </w:rPr>
        <w:t xml:space="preserve">of </w:t>
      </w:r>
      <w:r w:rsidR="00495144">
        <w:rPr>
          <w:sz w:val="24"/>
          <w:szCs w:val="24"/>
        </w:rPr>
        <w:t xml:space="preserve">copyright </w:t>
      </w:r>
      <w:r w:rsidR="00896936">
        <w:rPr>
          <w:sz w:val="24"/>
          <w:szCs w:val="24"/>
        </w:rPr>
        <w:t>infringement</w:t>
      </w:r>
      <w:r w:rsidR="009C33B6">
        <w:rPr>
          <w:sz w:val="24"/>
          <w:szCs w:val="24"/>
        </w:rPr>
        <w:t xml:space="preserve">; </w:t>
      </w:r>
      <w:r w:rsidR="00896936">
        <w:rPr>
          <w:sz w:val="24"/>
          <w:szCs w:val="24"/>
        </w:rPr>
        <w:t>demonstrated</w:t>
      </w:r>
      <w:r w:rsidR="009C33B6">
        <w:rPr>
          <w:sz w:val="24"/>
          <w:szCs w:val="24"/>
        </w:rPr>
        <w:t xml:space="preserve"> </w:t>
      </w:r>
      <w:r w:rsidR="00896936">
        <w:rPr>
          <w:sz w:val="24"/>
          <w:szCs w:val="24"/>
        </w:rPr>
        <w:t>disregard</w:t>
      </w:r>
      <w:r w:rsidR="009C33B6">
        <w:rPr>
          <w:sz w:val="24"/>
          <w:szCs w:val="24"/>
        </w:rPr>
        <w:t xml:space="preserve"> of </w:t>
      </w:r>
      <w:r w:rsidR="00896936">
        <w:rPr>
          <w:sz w:val="24"/>
          <w:szCs w:val="24"/>
        </w:rPr>
        <w:t xml:space="preserve">copyright </w:t>
      </w:r>
      <w:r w:rsidR="009C33B6">
        <w:rPr>
          <w:sz w:val="24"/>
          <w:szCs w:val="24"/>
        </w:rPr>
        <w:t xml:space="preserve">by the </w:t>
      </w:r>
      <w:r w:rsidR="00896936">
        <w:rPr>
          <w:sz w:val="24"/>
          <w:szCs w:val="24"/>
        </w:rPr>
        <w:t>operator of the KAT prox</w:t>
      </w:r>
      <w:r w:rsidR="00495144">
        <w:rPr>
          <w:sz w:val="24"/>
          <w:szCs w:val="24"/>
        </w:rPr>
        <w:t>y sites</w:t>
      </w:r>
      <w:r w:rsidR="009C33B6">
        <w:rPr>
          <w:sz w:val="24"/>
          <w:szCs w:val="24"/>
        </w:rPr>
        <w:t>;</w:t>
      </w:r>
      <w:r w:rsidR="00896936">
        <w:rPr>
          <w:sz w:val="24"/>
          <w:szCs w:val="24"/>
        </w:rPr>
        <w:t xml:space="preserve"> examples of orders made in other jurisdictions against the KAT</w:t>
      </w:r>
      <w:r w:rsidR="007C7DBC">
        <w:rPr>
          <w:sz w:val="24"/>
          <w:szCs w:val="24"/>
        </w:rPr>
        <w:t xml:space="preserve"> </w:t>
      </w:r>
      <w:r w:rsidR="00896936">
        <w:rPr>
          <w:sz w:val="24"/>
          <w:szCs w:val="24"/>
        </w:rPr>
        <w:t>site; and</w:t>
      </w:r>
    </w:p>
    <w:p w:rsidR="00896936" w:rsidRDefault="00014A81" w:rsidP="00896936">
      <w:pPr>
        <w:pStyle w:val="ListParagraph"/>
        <w:numPr>
          <w:ilvl w:val="1"/>
          <w:numId w:val="3"/>
        </w:numPr>
        <w:rPr>
          <w:sz w:val="24"/>
          <w:szCs w:val="24"/>
        </w:rPr>
      </w:pPr>
      <w:r>
        <w:rPr>
          <w:sz w:val="24"/>
          <w:szCs w:val="24"/>
        </w:rPr>
        <w:t>Of t</w:t>
      </w:r>
      <w:r w:rsidR="00896936">
        <w:rPr>
          <w:sz w:val="24"/>
          <w:szCs w:val="24"/>
        </w:rPr>
        <w:t>he</w:t>
      </w:r>
      <w:r w:rsidR="001E570B">
        <w:rPr>
          <w:sz w:val="24"/>
          <w:szCs w:val="24"/>
        </w:rPr>
        <w:t xml:space="preserve"> negative impact which online copyright infringement ha</w:t>
      </w:r>
      <w:r w:rsidR="00EF7075">
        <w:rPr>
          <w:sz w:val="24"/>
          <w:szCs w:val="24"/>
        </w:rPr>
        <w:t>d</w:t>
      </w:r>
      <w:r w:rsidR="001E570B">
        <w:rPr>
          <w:sz w:val="24"/>
          <w:szCs w:val="24"/>
        </w:rPr>
        <w:t xml:space="preserve"> on the </w:t>
      </w:r>
      <w:r w:rsidR="00896936">
        <w:rPr>
          <w:sz w:val="24"/>
          <w:szCs w:val="24"/>
        </w:rPr>
        <w:t xml:space="preserve">  copyright owners</w:t>
      </w:r>
      <w:r w:rsidR="001E570B">
        <w:rPr>
          <w:sz w:val="24"/>
          <w:szCs w:val="24"/>
        </w:rPr>
        <w:t xml:space="preserve"> </w:t>
      </w:r>
      <w:r w:rsidR="00896936">
        <w:rPr>
          <w:sz w:val="24"/>
          <w:szCs w:val="24"/>
        </w:rPr>
        <w:t>and</w:t>
      </w:r>
      <w:r w:rsidR="00B1590B">
        <w:rPr>
          <w:sz w:val="24"/>
          <w:szCs w:val="24"/>
        </w:rPr>
        <w:t xml:space="preserve"> </w:t>
      </w:r>
      <w:r w:rsidR="007C7DBC">
        <w:rPr>
          <w:sz w:val="24"/>
          <w:szCs w:val="24"/>
        </w:rPr>
        <w:t>the</w:t>
      </w:r>
      <w:r w:rsidR="00896936">
        <w:rPr>
          <w:sz w:val="24"/>
          <w:szCs w:val="24"/>
        </w:rPr>
        <w:t xml:space="preserve"> music industry</w:t>
      </w:r>
      <w:r w:rsidR="00BD7886">
        <w:rPr>
          <w:sz w:val="24"/>
          <w:szCs w:val="24"/>
        </w:rPr>
        <w:t xml:space="preserve"> generally</w:t>
      </w:r>
      <w:r w:rsidR="006C0A9B">
        <w:rPr>
          <w:sz w:val="24"/>
          <w:szCs w:val="24"/>
        </w:rPr>
        <w:t>.</w:t>
      </w:r>
      <w:r w:rsidR="00896936">
        <w:rPr>
          <w:sz w:val="24"/>
          <w:szCs w:val="24"/>
        </w:rPr>
        <w:t xml:space="preserve"> </w:t>
      </w:r>
      <w:r w:rsidR="00896936" w:rsidRPr="00896936">
        <w:rPr>
          <w:sz w:val="24"/>
          <w:szCs w:val="24"/>
        </w:rPr>
        <w:t xml:space="preserve"> </w:t>
      </w:r>
    </w:p>
    <w:p w:rsidR="00896936" w:rsidRDefault="00896936" w:rsidP="00896936">
      <w:pPr>
        <w:pStyle w:val="ListParagraph"/>
        <w:numPr>
          <w:ilvl w:val="0"/>
          <w:numId w:val="3"/>
        </w:numPr>
        <w:rPr>
          <w:sz w:val="24"/>
          <w:szCs w:val="24"/>
        </w:rPr>
      </w:pPr>
      <w:r w:rsidRPr="00896936">
        <w:rPr>
          <w:sz w:val="24"/>
          <w:szCs w:val="24"/>
        </w:rPr>
        <w:t>The</w:t>
      </w:r>
      <w:r w:rsidR="00587AA9">
        <w:rPr>
          <w:sz w:val="24"/>
          <w:szCs w:val="24"/>
        </w:rPr>
        <w:t xml:space="preserve"> Applicant</w:t>
      </w:r>
      <w:r w:rsidRPr="00896936">
        <w:rPr>
          <w:sz w:val="24"/>
          <w:szCs w:val="24"/>
        </w:rPr>
        <w:t>s</w:t>
      </w:r>
      <w:r w:rsidR="00587AA9">
        <w:rPr>
          <w:sz w:val="24"/>
          <w:szCs w:val="24"/>
        </w:rPr>
        <w:t>’</w:t>
      </w:r>
      <w:r w:rsidRPr="00896936">
        <w:rPr>
          <w:sz w:val="24"/>
          <w:szCs w:val="24"/>
        </w:rPr>
        <w:t xml:space="preserve"> evidence was accepted by the Court</w:t>
      </w:r>
      <w:r w:rsidR="00D818B6">
        <w:rPr>
          <w:sz w:val="24"/>
          <w:szCs w:val="24"/>
        </w:rPr>
        <w:t>.</w:t>
      </w:r>
      <w:r w:rsidR="001E570B">
        <w:rPr>
          <w:sz w:val="24"/>
          <w:szCs w:val="24"/>
        </w:rPr>
        <w:t xml:space="preserve"> </w:t>
      </w:r>
    </w:p>
    <w:p w:rsidR="00D818B6" w:rsidRPr="00D818B6" w:rsidRDefault="00D818B6" w:rsidP="00D818B6">
      <w:pPr>
        <w:pStyle w:val="ListParagraph"/>
        <w:numPr>
          <w:ilvl w:val="0"/>
          <w:numId w:val="3"/>
        </w:numPr>
        <w:rPr>
          <w:sz w:val="24"/>
          <w:szCs w:val="24"/>
        </w:rPr>
      </w:pPr>
      <w:r w:rsidRPr="00D818B6">
        <w:rPr>
          <w:sz w:val="24"/>
          <w:szCs w:val="24"/>
        </w:rPr>
        <w:t>In the music case</w:t>
      </w:r>
      <w:r w:rsidR="00762A01">
        <w:rPr>
          <w:sz w:val="24"/>
          <w:szCs w:val="24"/>
        </w:rPr>
        <w:t>,</w:t>
      </w:r>
      <w:r w:rsidRPr="00D818B6">
        <w:rPr>
          <w:sz w:val="24"/>
          <w:szCs w:val="24"/>
        </w:rPr>
        <w:t xml:space="preserve"> the parties had agreed the</w:t>
      </w:r>
      <w:r w:rsidR="00495144">
        <w:rPr>
          <w:sz w:val="24"/>
          <w:szCs w:val="24"/>
        </w:rPr>
        <w:t xml:space="preserve"> blocking </w:t>
      </w:r>
      <w:r w:rsidRPr="00D818B6">
        <w:rPr>
          <w:sz w:val="24"/>
          <w:szCs w:val="24"/>
        </w:rPr>
        <w:t xml:space="preserve">technology which ISPs could use prior to the </w:t>
      </w:r>
      <w:r w:rsidR="00587AA9">
        <w:rPr>
          <w:sz w:val="24"/>
          <w:szCs w:val="24"/>
        </w:rPr>
        <w:t>C</w:t>
      </w:r>
      <w:r w:rsidRPr="00D818B6">
        <w:rPr>
          <w:sz w:val="24"/>
          <w:szCs w:val="24"/>
        </w:rPr>
        <w:t>ourt making the orders</w:t>
      </w:r>
      <w:r w:rsidR="00762A01">
        <w:rPr>
          <w:sz w:val="24"/>
          <w:szCs w:val="24"/>
        </w:rPr>
        <w:t>.</w:t>
      </w:r>
      <w:r w:rsidRPr="00D818B6">
        <w:rPr>
          <w:sz w:val="24"/>
          <w:szCs w:val="24"/>
        </w:rPr>
        <w:t xml:space="preserve"> </w:t>
      </w:r>
    </w:p>
    <w:p w:rsidR="001E570B" w:rsidRDefault="00E97BCB" w:rsidP="006B13D1">
      <w:pPr>
        <w:pStyle w:val="ListParagraph"/>
        <w:numPr>
          <w:ilvl w:val="0"/>
          <w:numId w:val="3"/>
        </w:numPr>
        <w:rPr>
          <w:sz w:val="24"/>
          <w:szCs w:val="24"/>
        </w:rPr>
      </w:pPr>
      <w:r w:rsidRPr="00896936">
        <w:rPr>
          <w:sz w:val="24"/>
          <w:szCs w:val="24"/>
        </w:rPr>
        <w:t>The issue</w:t>
      </w:r>
      <w:r w:rsidR="00E61BFB" w:rsidRPr="00896936">
        <w:rPr>
          <w:sz w:val="24"/>
          <w:szCs w:val="24"/>
        </w:rPr>
        <w:t>s</w:t>
      </w:r>
      <w:r w:rsidRPr="00896936">
        <w:rPr>
          <w:sz w:val="24"/>
          <w:szCs w:val="24"/>
        </w:rPr>
        <w:t xml:space="preserve"> between the parties</w:t>
      </w:r>
      <w:r w:rsidR="00D818B6">
        <w:rPr>
          <w:sz w:val="24"/>
          <w:szCs w:val="24"/>
        </w:rPr>
        <w:t xml:space="preserve"> at the hearing</w:t>
      </w:r>
      <w:r w:rsidRPr="00896936">
        <w:rPr>
          <w:sz w:val="24"/>
          <w:szCs w:val="24"/>
        </w:rPr>
        <w:t xml:space="preserve"> centred on</w:t>
      </w:r>
      <w:r w:rsidR="001E570B">
        <w:rPr>
          <w:sz w:val="24"/>
          <w:szCs w:val="24"/>
        </w:rPr>
        <w:t>:</w:t>
      </w:r>
    </w:p>
    <w:p w:rsidR="001E570B" w:rsidRDefault="00762A01" w:rsidP="001E570B">
      <w:pPr>
        <w:pStyle w:val="ListParagraph"/>
        <w:numPr>
          <w:ilvl w:val="1"/>
          <w:numId w:val="3"/>
        </w:numPr>
        <w:rPr>
          <w:sz w:val="24"/>
          <w:szCs w:val="24"/>
        </w:rPr>
      </w:pPr>
      <w:r>
        <w:rPr>
          <w:sz w:val="24"/>
          <w:szCs w:val="24"/>
        </w:rPr>
        <w:t>C</w:t>
      </w:r>
      <w:r w:rsidR="00E97BCB" w:rsidRPr="00896936">
        <w:rPr>
          <w:sz w:val="24"/>
          <w:szCs w:val="24"/>
        </w:rPr>
        <w:t>osts of</w:t>
      </w:r>
      <w:r w:rsidR="00725A98" w:rsidRPr="00896936">
        <w:rPr>
          <w:sz w:val="24"/>
          <w:szCs w:val="24"/>
        </w:rPr>
        <w:t xml:space="preserve"> implementing the site block</w:t>
      </w:r>
      <w:r w:rsidR="002832C4">
        <w:rPr>
          <w:sz w:val="24"/>
          <w:szCs w:val="24"/>
        </w:rPr>
        <w:t>ing</w:t>
      </w:r>
      <w:r w:rsidR="00CE0DA7">
        <w:rPr>
          <w:sz w:val="24"/>
          <w:szCs w:val="24"/>
        </w:rPr>
        <w:t xml:space="preserve"> (</w:t>
      </w:r>
      <w:r w:rsidR="00920E70">
        <w:rPr>
          <w:sz w:val="24"/>
          <w:szCs w:val="24"/>
        </w:rPr>
        <w:t xml:space="preserve">referred to in the cases as </w:t>
      </w:r>
      <w:r w:rsidR="00B1590B">
        <w:rPr>
          <w:sz w:val="24"/>
          <w:szCs w:val="24"/>
        </w:rPr>
        <w:t>“</w:t>
      </w:r>
      <w:r w:rsidR="00656B59">
        <w:rPr>
          <w:b/>
          <w:sz w:val="24"/>
          <w:szCs w:val="24"/>
        </w:rPr>
        <w:t xml:space="preserve">compliance </w:t>
      </w:r>
      <w:r w:rsidR="00CE0DA7" w:rsidRPr="00CE0DA7">
        <w:rPr>
          <w:b/>
          <w:sz w:val="24"/>
          <w:szCs w:val="24"/>
        </w:rPr>
        <w:t>costs</w:t>
      </w:r>
      <w:r w:rsidR="00920E70">
        <w:rPr>
          <w:b/>
          <w:sz w:val="24"/>
          <w:szCs w:val="24"/>
        </w:rPr>
        <w:t>"</w:t>
      </w:r>
      <w:r w:rsidR="00CE0DA7" w:rsidRPr="00920E70">
        <w:rPr>
          <w:sz w:val="24"/>
          <w:szCs w:val="24"/>
        </w:rPr>
        <w:t>)</w:t>
      </w:r>
      <w:r w:rsidR="001E570B">
        <w:rPr>
          <w:sz w:val="24"/>
          <w:szCs w:val="24"/>
        </w:rPr>
        <w:t>;</w:t>
      </w:r>
    </w:p>
    <w:p w:rsidR="001E570B" w:rsidRDefault="00762A01" w:rsidP="001E570B">
      <w:pPr>
        <w:pStyle w:val="ListParagraph"/>
        <w:numPr>
          <w:ilvl w:val="1"/>
          <w:numId w:val="3"/>
        </w:numPr>
        <w:rPr>
          <w:sz w:val="24"/>
          <w:szCs w:val="24"/>
        </w:rPr>
      </w:pPr>
      <w:r>
        <w:rPr>
          <w:sz w:val="24"/>
          <w:szCs w:val="24"/>
        </w:rPr>
        <w:t>T</w:t>
      </w:r>
      <w:r w:rsidR="00E61BFB" w:rsidRPr="00896936">
        <w:rPr>
          <w:sz w:val="24"/>
          <w:szCs w:val="24"/>
        </w:rPr>
        <w:t>he wording o</w:t>
      </w:r>
      <w:r w:rsidR="001E570B">
        <w:rPr>
          <w:sz w:val="24"/>
          <w:szCs w:val="24"/>
        </w:rPr>
        <w:t>f</w:t>
      </w:r>
      <w:r w:rsidR="00E61BFB" w:rsidRPr="00896936">
        <w:rPr>
          <w:sz w:val="24"/>
          <w:szCs w:val="24"/>
        </w:rPr>
        <w:t xml:space="preserve"> some aspects of the orders, including </w:t>
      </w:r>
      <w:r w:rsidR="00084D75" w:rsidRPr="00896936">
        <w:rPr>
          <w:sz w:val="24"/>
          <w:szCs w:val="24"/>
        </w:rPr>
        <w:t>wording to be used on</w:t>
      </w:r>
      <w:r w:rsidR="00D818B6">
        <w:rPr>
          <w:sz w:val="24"/>
          <w:szCs w:val="24"/>
        </w:rPr>
        <w:t xml:space="preserve"> a</w:t>
      </w:r>
      <w:r w:rsidR="00084D75" w:rsidRPr="00896936">
        <w:rPr>
          <w:sz w:val="24"/>
          <w:szCs w:val="24"/>
        </w:rPr>
        <w:t xml:space="preserve"> landing page </w:t>
      </w:r>
      <w:r w:rsidR="00E61BFB" w:rsidRPr="00896936">
        <w:rPr>
          <w:sz w:val="24"/>
          <w:szCs w:val="24"/>
        </w:rPr>
        <w:t>and use of a</w:t>
      </w:r>
      <w:r w:rsidR="00587AA9">
        <w:rPr>
          <w:sz w:val="24"/>
          <w:szCs w:val="24"/>
        </w:rPr>
        <w:t xml:space="preserve"> single</w:t>
      </w:r>
      <w:r w:rsidR="00E61BFB" w:rsidRPr="00896936">
        <w:rPr>
          <w:sz w:val="24"/>
          <w:szCs w:val="24"/>
        </w:rPr>
        <w:t xml:space="preserve"> landing page</w:t>
      </w:r>
      <w:r w:rsidR="001E570B">
        <w:rPr>
          <w:sz w:val="24"/>
          <w:szCs w:val="24"/>
        </w:rPr>
        <w:t>; and</w:t>
      </w:r>
    </w:p>
    <w:p w:rsidR="00725A98" w:rsidRPr="00896936" w:rsidRDefault="00762A01" w:rsidP="001E570B">
      <w:pPr>
        <w:pStyle w:val="ListParagraph"/>
        <w:numPr>
          <w:ilvl w:val="1"/>
          <w:numId w:val="3"/>
        </w:numPr>
        <w:rPr>
          <w:sz w:val="24"/>
          <w:szCs w:val="24"/>
        </w:rPr>
      </w:pPr>
      <w:r>
        <w:rPr>
          <w:sz w:val="24"/>
          <w:szCs w:val="24"/>
        </w:rPr>
        <w:t>L</w:t>
      </w:r>
      <w:r w:rsidR="001E570B">
        <w:rPr>
          <w:sz w:val="24"/>
          <w:szCs w:val="24"/>
        </w:rPr>
        <w:t>egal costs of the proceedings</w:t>
      </w:r>
      <w:r w:rsidR="00CE0DA7">
        <w:rPr>
          <w:sz w:val="24"/>
          <w:szCs w:val="24"/>
        </w:rPr>
        <w:t xml:space="preserve"> (</w:t>
      </w:r>
      <w:r w:rsidR="00CE0DA7" w:rsidRPr="00CE0DA7">
        <w:rPr>
          <w:b/>
          <w:sz w:val="24"/>
          <w:szCs w:val="24"/>
        </w:rPr>
        <w:t>legal costs</w:t>
      </w:r>
      <w:r w:rsidR="00CE0DA7">
        <w:rPr>
          <w:sz w:val="24"/>
          <w:szCs w:val="24"/>
        </w:rPr>
        <w:t>)</w:t>
      </w:r>
      <w:r w:rsidR="00725A98" w:rsidRPr="00896936">
        <w:rPr>
          <w:sz w:val="24"/>
          <w:szCs w:val="24"/>
        </w:rPr>
        <w:t>.</w:t>
      </w:r>
    </w:p>
    <w:p w:rsidR="001E570B" w:rsidRDefault="00E97BCB" w:rsidP="006B13D1">
      <w:pPr>
        <w:pStyle w:val="ListParagraph"/>
        <w:numPr>
          <w:ilvl w:val="0"/>
          <w:numId w:val="3"/>
        </w:numPr>
        <w:rPr>
          <w:sz w:val="24"/>
          <w:szCs w:val="24"/>
        </w:rPr>
      </w:pPr>
      <w:r w:rsidRPr="001E570B">
        <w:rPr>
          <w:sz w:val="24"/>
          <w:szCs w:val="24"/>
        </w:rPr>
        <w:t>The ISPs did not have</w:t>
      </w:r>
      <w:r w:rsidR="00267296">
        <w:rPr>
          <w:sz w:val="24"/>
          <w:szCs w:val="24"/>
        </w:rPr>
        <w:t xml:space="preserve"> a </w:t>
      </w:r>
      <w:r w:rsidRPr="001E570B">
        <w:rPr>
          <w:sz w:val="24"/>
          <w:szCs w:val="24"/>
        </w:rPr>
        <w:t>single position</w:t>
      </w:r>
      <w:r w:rsidR="001E570B" w:rsidRPr="001E570B">
        <w:rPr>
          <w:sz w:val="24"/>
          <w:szCs w:val="24"/>
        </w:rPr>
        <w:t xml:space="preserve"> on the</w:t>
      </w:r>
      <w:r w:rsidR="00CE0DA7">
        <w:rPr>
          <w:sz w:val="24"/>
          <w:szCs w:val="24"/>
        </w:rPr>
        <w:t xml:space="preserve"> </w:t>
      </w:r>
      <w:r w:rsidR="009D1612">
        <w:rPr>
          <w:sz w:val="24"/>
          <w:szCs w:val="24"/>
        </w:rPr>
        <w:t xml:space="preserve">compliance </w:t>
      </w:r>
      <w:r w:rsidR="001E570B" w:rsidRPr="001E570B">
        <w:rPr>
          <w:sz w:val="24"/>
          <w:szCs w:val="24"/>
        </w:rPr>
        <w:t>costs or the landing page issues</w:t>
      </w:r>
      <w:r w:rsidR="00D818B6">
        <w:rPr>
          <w:sz w:val="24"/>
          <w:szCs w:val="24"/>
        </w:rPr>
        <w:t>.</w:t>
      </w:r>
      <w:r w:rsidR="001E570B" w:rsidRPr="001E570B">
        <w:rPr>
          <w:sz w:val="24"/>
          <w:szCs w:val="24"/>
        </w:rPr>
        <w:t xml:space="preserve"> </w:t>
      </w:r>
    </w:p>
    <w:p w:rsidR="00725A98" w:rsidRPr="001E570B" w:rsidRDefault="00E61BFB" w:rsidP="006B13D1">
      <w:pPr>
        <w:pStyle w:val="ListParagraph"/>
        <w:numPr>
          <w:ilvl w:val="0"/>
          <w:numId w:val="3"/>
        </w:numPr>
        <w:rPr>
          <w:sz w:val="24"/>
          <w:szCs w:val="24"/>
        </w:rPr>
      </w:pPr>
      <w:r w:rsidRPr="001E570B">
        <w:rPr>
          <w:sz w:val="24"/>
          <w:szCs w:val="24"/>
        </w:rPr>
        <w:t xml:space="preserve">The matter ran for </w:t>
      </w:r>
      <w:r w:rsidR="001E570B">
        <w:rPr>
          <w:sz w:val="24"/>
          <w:szCs w:val="24"/>
        </w:rPr>
        <w:t>one and</w:t>
      </w:r>
      <w:r w:rsidR="00587AA9">
        <w:rPr>
          <w:sz w:val="24"/>
          <w:szCs w:val="24"/>
        </w:rPr>
        <w:t xml:space="preserve"> a</w:t>
      </w:r>
      <w:r w:rsidR="001E570B">
        <w:rPr>
          <w:sz w:val="24"/>
          <w:szCs w:val="24"/>
        </w:rPr>
        <w:t xml:space="preserve"> half days from 25 October 2016</w:t>
      </w:r>
      <w:r w:rsidRPr="001E570B">
        <w:rPr>
          <w:sz w:val="24"/>
          <w:szCs w:val="24"/>
        </w:rPr>
        <w:t xml:space="preserve">. </w:t>
      </w:r>
    </w:p>
    <w:p w:rsidR="00CE0DA7" w:rsidRDefault="00E61BFB" w:rsidP="006B13D1">
      <w:pPr>
        <w:pStyle w:val="ListParagraph"/>
        <w:numPr>
          <w:ilvl w:val="0"/>
          <w:numId w:val="3"/>
        </w:numPr>
        <w:rPr>
          <w:sz w:val="24"/>
          <w:szCs w:val="24"/>
        </w:rPr>
      </w:pPr>
      <w:r>
        <w:rPr>
          <w:sz w:val="24"/>
          <w:szCs w:val="24"/>
        </w:rPr>
        <w:t xml:space="preserve">Judgment was delivered </w:t>
      </w:r>
      <w:r w:rsidR="006407B5">
        <w:rPr>
          <w:sz w:val="24"/>
          <w:szCs w:val="24"/>
        </w:rPr>
        <w:t xml:space="preserve">on </w:t>
      </w:r>
      <w:r w:rsidR="001E570B">
        <w:rPr>
          <w:sz w:val="24"/>
          <w:szCs w:val="24"/>
        </w:rPr>
        <w:t>28 April 2017</w:t>
      </w:r>
      <w:r>
        <w:rPr>
          <w:sz w:val="24"/>
          <w:szCs w:val="24"/>
        </w:rPr>
        <w:t xml:space="preserve">. </w:t>
      </w:r>
    </w:p>
    <w:p w:rsidR="00CE0DA7" w:rsidRPr="00CE0DA7" w:rsidRDefault="00CE0DA7" w:rsidP="00CE0DA7">
      <w:pPr>
        <w:pStyle w:val="ListParagraph"/>
        <w:numPr>
          <w:ilvl w:val="0"/>
          <w:numId w:val="3"/>
        </w:numPr>
        <w:rPr>
          <w:sz w:val="24"/>
          <w:szCs w:val="24"/>
        </w:rPr>
      </w:pPr>
      <w:r w:rsidRPr="00CE0DA7">
        <w:rPr>
          <w:sz w:val="24"/>
          <w:szCs w:val="24"/>
        </w:rPr>
        <w:t>The ISPs implemented the blocks within the time period set out in the orders and they remain in place.</w:t>
      </w:r>
    </w:p>
    <w:p w:rsidR="001E570B" w:rsidRDefault="00CE0DA7" w:rsidP="00C14DDE">
      <w:pPr>
        <w:pStyle w:val="ListParagraph"/>
        <w:numPr>
          <w:ilvl w:val="0"/>
          <w:numId w:val="3"/>
        </w:numPr>
        <w:rPr>
          <w:sz w:val="24"/>
          <w:szCs w:val="24"/>
        </w:rPr>
      </w:pPr>
      <w:r>
        <w:rPr>
          <w:sz w:val="24"/>
          <w:szCs w:val="24"/>
        </w:rPr>
        <w:t>Immediately after the film</w:t>
      </w:r>
      <w:r w:rsidR="0079599A">
        <w:rPr>
          <w:sz w:val="24"/>
          <w:szCs w:val="24"/>
        </w:rPr>
        <w:t xml:space="preserve"> industry</w:t>
      </w:r>
      <w:r>
        <w:rPr>
          <w:sz w:val="24"/>
          <w:szCs w:val="24"/>
        </w:rPr>
        <w:t xml:space="preserve"> </w:t>
      </w:r>
      <w:r w:rsidR="001E570B">
        <w:rPr>
          <w:sz w:val="24"/>
          <w:szCs w:val="24"/>
        </w:rPr>
        <w:t>and Foxtel</w:t>
      </w:r>
      <w:r>
        <w:rPr>
          <w:sz w:val="24"/>
          <w:szCs w:val="24"/>
        </w:rPr>
        <w:t xml:space="preserve"> cases were filed</w:t>
      </w:r>
      <w:r w:rsidR="002832C4">
        <w:rPr>
          <w:sz w:val="24"/>
          <w:szCs w:val="24"/>
        </w:rPr>
        <w:t>,</w:t>
      </w:r>
      <w:r w:rsidR="001E570B">
        <w:rPr>
          <w:sz w:val="24"/>
          <w:szCs w:val="24"/>
        </w:rPr>
        <w:t xml:space="preserve"> </w:t>
      </w:r>
      <w:r w:rsidR="008A2D5A" w:rsidRPr="00E97BCB">
        <w:rPr>
          <w:sz w:val="24"/>
          <w:szCs w:val="24"/>
        </w:rPr>
        <w:t>MRA worked</w:t>
      </w:r>
      <w:r w:rsidR="001E570B">
        <w:rPr>
          <w:sz w:val="24"/>
          <w:szCs w:val="24"/>
        </w:rPr>
        <w:t xml:space="preserve"> with the</w:t>
      </w:r>
      <w:r w:rsidR="004C41B8">
        <w:rPr>
          <w:sz w:val="24"/>
          <w:szCs w:val="24"/>
        </w:rPr>
        <w:t xml:space="preserve"> other copyright owners</w:t>
      </w:r>
      <w:r w:rsidR="001E570B">
        <w:rPr>
          <w:sz w:val="24"/>
          <w:szCs w:val="24"/>
        </w:rPr>
        <w:t xml:space="preserve"> </w:t>
      </w:r>
      <w:r w:rsidR="00C2146F" w:rsidRPr="00E97BCB">
        <w:rPr>
          <w:sz w:val="24"/>
          <w:szCs w:val="24"/>
        </w:rPr>
        <w:t>to</w:t>
      </w:r>
      <w:r w:rsidR="002832C4">
        <w:rPr>
          <w:sz w:val="24"/>
          <w:szCs w:val="24"/>
        </w:rPr>
        <w:t xml:space="preserve"> appoint a third party to</w:t>
      </w:r>
      <w:r w:rsidR="008A2D5A" w:rsidRPr="00E97BCB">
        <w:rPr>
          <w:sz w:val="24"/>
          <w:szCs w:val="24"/>
        </w:rPr>
        <w:t xml:space="preserve"> develop and </w:t>
      </w:r>
      <w:r w:rsidR="00C2146F" w:rsidRPr="00E97BCB">
        <w:rPr>
          <w:sz w:val="24"/>
          <w:szCs w:val="24"/>
        </w:rPr>
        <w:t>manage</w:t>
      </w:r>
      <w:r w:rsidR="001E570B">
        <w:rPr>
          <w:sz w:val="24"/>
          <w:szCs w:val="24"/>
        </w:rPr>
        <w:t xml:space="preserve"> a landing page</w:t>
      </w:r>
      <w:r w:rsidR="00D818B6">
        <w:rPr>
          <w:sz w:val="24"/>
          <w:szCs w:val="24"/>
        </w:rPr>
        <w:t xml:space="preserve"> </w:t>
      </w:r>
      <w:r w:rsidR="008A2D5A" w:rsidRPr="00E97BCB">
        <w:rPr>
          <w:sz w:val="24"/>
          <w:szCs w:val="24"/>
        </w:rPr>
        <w:t>which IS</w:t>
      </w:r>
      <w:r w:rsidR="00C2146F" w:rsidRPr="00E97BCB">
        <w:rPr>
          <w:sz w:val="24"/>
          <w:szCs w:val="24"/>
        </w:rPr>
        <w:t>Ps</w:t>
      </w:r>
      <w:r w:rsidR="008A2D5A" w:rsidRPr="00E97BCB">
        <w:rPr>
          <w:sz w:val="24"/>
          <w:szCs w:val="24"/>
        </w:rPr>
        <w:t xml:space="preserve"> c</w:t>
      </w:r>
      <w:r w:rsidR="002832C4">
        <w:rPr>
          <w:sz w:val="24"/>
          <w:szCs w:val="24"/>
        </w:rPr>
        <w:t xml:space="preserve">ould </w:t>
      </w:r>
      <w:r w:rsidR="008A2D5A" w:rsidRPr="00E97BCB">
        <w:rPr>
          <w:sz w:val="24"/>
          <w:szCs w:val="24"/>
        </w:rPr>
        <w:t>use when they</w:t>
      </w:r>
      <w:r w:rsidR="00C2146F" w:rsidRPr="00E97BCB">
        <w:rPr>
          <w:sz w:val="24"/>
          <w:szCs w:val="24"/>
        </w:rPr>
        <w:t xml:space="preserve"> </w:t>
      </w:r>
      <w:r w:rsidR="008A2D5A" w:rsidRPr="00E97BCB">
        <w:rPr>
          <w:sz w:val="24"/>
          <w:szCs w:val="24"/>
        </w:rPr>
        <w:t>block</w:t>
      </w:r>
      <w:r w:rsidR="00587AA9">
        <w:rPr>
          <w:sz w:val="24"/>
          <w:szCs w:val="24"/>
        </w:rPr>
        <w:t>ed</w:t>
      </w:r>
      <w:r w:rsidR="00C2146F" w:rsidRPr="00E97BCB">
        <w:rPr>
          <w:sz w:val="24"/>
          <w:szCs w:val="24"/>
        </w:rPr>
        <w:t xml:space="preserve"> sites</w:t>
      </w:r>
      <w:r w:rsidR="001E570B">
        <w:rPr>
          <w:sz w:val="24"/>
          <w:szCs w:val="24"/>
        </w:rPr>
        <w:t xml:space="preserve"> (the </w:t>
      </w:r>
      <w:r w:rsidR="001E570B" w:rsidRPr="001E570B">
        <w:rPr>
          <w:b/>
          <w:sz w:val="24"/>
          <w:szCs w:val="24"/>
        </w:rPr>
        <w:t>Copyright Landing Page</w:t>
      </w:r>
      <w:r w:rsidR="001E570B">
        <w:rPr>
          <w:sz w:val="24"/>
          <w:szCs w:val="24"/>
        </w:rPr>
        <w:t>)</w:t>
      </w:r>
      <w:r w:rsidR="008A2D5A" w:rsidRPr="00E97BCB">
        <w:rPr>
          <w:sz w:val="24"/>
          <w:szCs w:val="24"/>
        </w:rPr>
        <w:t xml:space="preserve">. </w:t>
      </w:r>
    </w:p>
    <w:p w:rsidR="008A2D5A" w:rsidRDefault="008A2D5A" w:rsidP="00C14DDE">
      <w:pPr>
        <w:pStyle w:val="ListParagraph"/>
        <w:numPr>
          <w:ilvl w:val="0"/>
          <w:numId w:val="3"/>
        </w:numPr>
        <w:rPr>
          <w:sz w:val="24"/>
          <w:szCs w:val="24"/>
        </w:rPr>
      </w:pPr>
      <w:r w:rsidRPr="00E97BCB">
        <w:rPr>
          <w:sz w:val="24"/>
          <w:szCs w:val="24"/>
        </w:rPr>
        <w:t xml:space="preserve">At present it </w:t>
      </w:r>
      <w:r w:rsidR="00C2146F" w:rsidRPr="00E97BCB">
        <w:rPr>
          <w:sz w:val="24"/>
          <w:szCs w:val="24"/>
        </w:rPr>
        <w:t>appears</w:t>
      </w:r>
      <w:r w:rsidRPr="00E97BCB">
        <w:rPr>
          <w:sz w:val="24"/>
          <w:szCs w:val="24"/>
        </w:rPr>
        <w:t xml:space="preserve"> only Optus </w:t>
      </w:r>
      <w:r w:rsidR="00C2146F" w:rsidRPr="00E97BCB">
        <w:rPr>
          <w:sz w:val="24"/>
          <w:szCs w:val="24"/>
        </w:rPr>
        <w:t>a</w:t>
      </w:r>
      <w:r w:rsidRPr="00E97BCB">
        <w:rPr>
          <w:sz w:val="24"/>
          <w:szCs w:val="24"/>
        </w:rPr>
        <w:t xml:space="preserve">nd </w:t>
      </w:r>
      <w:r w:rsidR="00C2146F" w:rsidRPr="00E97BCB">
        <w:rPr>
          <w:sz w:val="24"/>
          <w:szCs w:val="24"/>
        </w:rPr>
        <w:t>Foxtel</w:t>
      </w:r>
      <w:r w:rsidRPr="00E97BCB">
        <w:rPr>
          <w:sz w:val="24"/>
          <w:szCs w:val="24"/>
        </w:rPr>
        <w:t xml:space="preserve"> are using t</w:t>
      </w:r>
      <w:r w:rsidR="001E570B">
        <w:rPr>
          <w:sz w:val="24"/>
          <w:szCs w:val="24"/>
        </w:rPr>
        <w:t>he Copyright Landing P</w:t>
      </w:r>
      <w:r w:rsidRPr="00E97BCB">
        <w:rPr>
          <w:sz w:val="24"/>
          <w:szCs w:val="24"/>
        </w:rPr>
        <w:t>age. The other</w:t>
      </w:r>
      <w:r w:rsidR="00C2146F" w:rsidRPr="00E97BCB">
        <w:rPr>
          <w:sz w:val="24"/>
          <w:szCs w:val="24"/>
        </w:rPr>
        <w:t xml:space="preserve"> ISP</w:t>
      </w:r>
      <w:r w:rsidR="009C6AC2" w:rsidRPr="00E97BCB">
        <w:rPr>
          <w:sz w:val="24"/>
          <w:szCs w:val="24"/>
        </w:rPr>
        <w:t>s</w:t>
      </w:r>
      <w:r w:rsidR="00C2146F" w:rsidRPr="00E97BCB">
        <w:rPr>
          <w:sz w:val="24"/>
          <w:szCs w:val="24"/>
        </w:rPr>
        <w:t xml:space="preserve"> </w:t>
      </w:r>
      <w:r w:rsidR="00A354F1" w:rsidRPr="00E97BCB">
        <w:rPr>
          <w:sz w:val="24"/>
          <w:szCs w:val="24"/>
        </w:rPr>
        <w:t>have</w:t>
      </w:r>
      <w:r w:rsidR="00C2146F" w:rsidRPr="00E97BCB">
        <w:rPr>
          <w:sz w:val="24"/>
          <w:szCs w:val="24"/>
        </w:rPr>
        <w:t xml:space="preserve"> chosen to </w:t>
      </w:r>
      <w:r w:rsidR="00A354F1" w:rsidRPr="00E97BCB">
        <w:rPr>
          <w:sz w:val="24"/>
          <w:szCs w:val="24"/>
        </w:rPr>
        <w:t>implement their</w:t>
      </w:r>
      <w:r w:rsidR="00C2146F" w:rsidRPr="00E97BCB">
        <w:rPr>
          <w:sz w:val="24"/>
          <w:szCs w:val="24"/>
        </w:rPr>
        <w:t xml:space="preserve"> own landing pages</w:t>
      </w:r>
      <w:r w:rsidRPr="00E97BCB">
        <w:rPr>
          <w:sz w:val="24"/>
          <w:szCs w:val="24"/>
        </w:rPr>
        <w:t>.</w:t>
      </w:r>
    </w:p>
    <w:p w:rsidR="00762A01" w:rsidRPr="00762A01" w:rsidRDefault="007E7CD0" w:rsidP="00762A01">
      <w:pPr>
        <w:pStyle w:val="ListParagraph"/>
        <w:numPr>
          <w:ilvl w:val="0"/>
          <w:numId w:val="3"/>
        </w:numPr>
        <w:rPr>
          <w:sz w:val="24"/>
          <w:szCs w:val="24"/>
        </w:rPr>
      </w:pPr>
      <w:r>
        <w:rPr>
          <w:sz w:val="24"/>
          <w:szCs w:val="24"/>
        </w:rPr>
        <w:t xml:space="preserve">The Applicants have paid the </w:t>
      </w:r>
      <w:r w:rsidR="009D1612">
        <w:rPr>
          <w:sz w:val="24"/>
          <w:szCs w:val="24"/>
        </w:rPr>
        <w:t xml:space="preserve">compliance </w:t>
      </w:r>
      <w:r w:rsidR="00762A01" w:rsidRPr="00762A01">
        <w:rPr>
          <w:sz w:val="24"/>
          <w:szCs w:val="24"/>
        </w:rPr>
        <w:t>costs to each ISP for each domain</w:t>
      </w:r>
      <w:r w:rsidR="00BD7886">
        <w:rPr>
          <w:sz w:val="24"/>
          <w:szCs w:val="24"/>
        </w:rPr>
        <w:t xml:space="preserve"> name </w:t>
      </w:r>
      <w:r w:rsidR="00762A01" w:rsidRPr="00762A01">
        <w:rPr>
          <w:sz w:val="24"/>
          <w:szCs w:val="24"/>
        </w:rPr>
        <w:t xml:space="preserve">which has been blocked. </w:t>
      </w:r>
    </w:p>
    <w:p w:rsidR="00D818B6" w:rsidRDefault="00D818B6" w:rsidP="00D818B6">
      <w:pPr>
        <w:pStyle w:val="ListParagraph"/>
        <w:numPr>
          <w:ilvl w:val="0"/>
          <w:numId w:val="3"/>
        </w:numPr>
        <w:rPr>
          <w:sz w:val="24"/>
          <w:szCs w:val="24"/>
        </w:rPr>
      </w:pPr>
      <w:r>
        <w:rPr>
          <w:sz w:val="24"/>
          <w:szCs w:val="24"/>
        </w:rPr>
        <w:t>Prior to the hearing</w:t>
      </w:r>
      <w:r w:rsidR="00814DC2">
        <w:rPr>
          <w:sz w:val="24"/>
          <w:szCs w:val="24"/>
        </w:rPr>
        <w:t>, the</w:t>
      </w:r>
      <w:r w:rsidR="00BD7886">
        <w:rPr>
          <w:sz w:val="24"/>
          <w:szCs w:val="24"/>
        </w:rPr>
        <w:t xml:space="preserve"> Applicants </w:t>
      </w:r>
      <w:r w:rsidRPr="00D818B6">
        <w:rPr>
          <w:sz w:val="24"/>
          <w:szCs w:val="24"/>
        </w:rPr>
        <w:t xml:space="preserve">and the </w:t>
      </w:r>
      <w:r w:rsidR="00BD7886">
        <w:rPr>
          <w:sz w:val="24"/>
          <w:szCs w:val="24"/>
        </w:rPr>
        <w:t>Respondents</w:t>
      </w:r>
      <w:r w:rsidRPr="00D818B6">
        <w:rPr>
          <w:sz w:val="24"/>
          <w:szCs w:val="24"/>
        </w:rPr>
        <w:t xml:space="preserve"> had agreed </w:t>
      </w:r>
      <w:r w:rsidR="00587AA9">
        <w:rPr>
          <w:sz w:val="24"/>
          <w:szCs w:val="24"/>
        </w:rPr>
        <w:t xml:space="preserve">a </w:t>
      </w:r>
      <w:r w:rsidRPr="00D818B6">
        <w:rPr>
          <w:sz w:val="24"/>
          <w:szCs w:val="24"/>
        </w:rPr>
        <w:t>process</w:t>
      </w:r>
      <w:r>
        <w:rPr>
          <w:sz w:val="24"/>
          <w:szCs w:val="24"/>
        </w:rPr>
        <w:t xml:space="preserve"> to apply to the Court</w:t>
      </w:r>
      <w:r w:rsidRPr="00D818B6">
        <w:rPr>
          <w:sz w:val="24"/>
          <w:szCs w:val="24"/>
        </w:rPr>
        <w:t xml:space="preserve"> to add proxy sites to the existing orders</w:t>
      </w:r>
      <w:r>
        <w:rPr>
          <w:sz w:val="24"/>
          <w:szCs w:val="24"/>
        </w:rPr>
        <w:t>.</w:t>
      </w:r>
    </w:p>
    <w:p w:rsidR="00E61BFB" w:rsidRDefault="00D818B6" w:rsidP="00D818B6">
      <w:pPr>
        <w:pStyle w:val="ListParagraph"/>
        <w:numPr>
          <w:ilvl w:val="0"/>
          <w:numId w:val="3"/>
        </w:numPr>
        <w:rPr>
          <w:sz w:val="24"/>
          <w:szCs w:val="24"/>
        </w:rPr>
      </w:pPr>
      <w:r w:rsidRPr="00D818B6">
        <w:rPr>
          <w:sz w:val="24"/>
          <w:szCs w:val="24"/>
        </w:rPr>
        <w:t xml:space="preserve">In effect the music case was against proxy sites </w:t>
      </w:r>
      <w:r w:rsidR="00587AA9">
        <w:rPr>
          <w:sz w:val="24"/>
          <w:szCs w:val="24"/>
        </w:rPr>
        <w:t>because</w:t>
      </w:r>
      <w:r w:rsidRPr="00D818B6">
        <w:rPr>
          <w:sz w:val="24"/>
          <w:szCs w:val="24"/>
        </w:rPr>
        <w:t xml:space="preserve"> the KAT site had been closed down</w:t>
      </w:r>
      <w:r>
        <w:rPr>
          <w:sz w:val="24"/>
          <w:szCs w:val="24"/>
        </w:rPr>
        <w:t>.</w:t>
      </w:r>
      <w:r w:rsidRPr="00D818B6">
        <w:rPr>
          <w:sz w:val="24"/>
          <w:szCs w:val="24"/>
        </w:rPr>
        <w:t xml:space="preserve"> </w:t>
      </w:r>
      <w:r w:rsidR="00E61BFB" w:rsidRPr="00E61BFB">
        <w:rPr>
          <w:sz w:val="24"/>
          <w:szCs w:val="24"/>
        </w:rPr>
        <w:t xml:space="preserve">Therefore, </w:t>
      </w:r>
      <w:r w:rsidR="00CE0DA7">
        <w:rPr>
          <w:sz w:val="24"/>
          <w:szCs w:val="24"/>
        </w:rPr>
        <w:t>the Applicants have</w:t>
      </w:r>
      <w:r w:rsidR="008A2D5A" w:rsidRPr="00E61BFB">
        <w:rPr>
          <w:sz w:val="24"/>
          <w:szCs w:val="24"/>
        </w:rPr>
        <w:t xml:space="preserve"> </w:t>
      </w:r>
      <w:r w:rsidR="009C6AC2" w:rsidRPr="00E61BFB">
        <w:rPr>
          <w:sz w:val="24"/>
          <w:szCs w:val="24"/>
        </w:rPr>
        <w:t>not</w:t>
      </w:r>
      <w:r w:rsidR="008A2D5A" w:rsidRPr="00E61BFB">
        <w:rPr>
          <w:sz w:val="24"/>
          <w:szCs w:val="24"/>
        </w:rPr>
        <w:t xml:space="preserve"> fi</w:t>
      </w:r>
      <w:r w:rsidR="009C6AC2" w:rsidRPr="00E61BFB">
        <w:rPr>
          <w:sz w:val="24"/>
          <w:szCs w:val="24"/>
        </w:rPr>
        <w:t>led</w:t>
      </w:r>
      <w:r w:rsidR="008A2D5A" w:rsidRPr="00E61BFB">
        <w:rPr>
          <w:sz w:val="24"/>
          <w:szCs w:val="24"/>
        </w:rPr>
        <w:t xml:space="preserve"> any </w:t>
      </w:r>
      <w:r w:rsidR="009C6AC2" w:rsidRPr="00E61BFB">
        <w:rPr>
          <w:sz w:val="24"/>
          <w:szCs w:val="24"/>
        </w:rPr>
        <w:t>applications</w:t>
      </w:r>
      <w:r w:rsidR="008A2D5A" w:rsidRPr="00E61BFB">
        <w:rPr>
          <w:sz w:val="24"/>
          <w:szCs w:val="24"/>
        </w:rPr>
        <w:t xml:space="preserve"> to add proxy sites</w:t>
      </w:r>
      <w:r w:rsidR="00E61BFB" w:rsidRPr="00E61BFB">
        <w:rPr>
          <w:sz w:val="24"/>
          <w:szCs w:val="24"/>
        </w:rPr>
        <w:t xml:space="preserve">. </w:t>
      </w:r>
    </w:p>
    <w:p w:rsidR="009C6AC2" w:rsidRPr="00E61BFB" w:rsidRDefault="00587AA9" w:rsidP="00C14DDE">
      <w:pPr>
        <w:pStyle w:val="ListParagraph"/>
        <w:numPr>
          <w:ilvl w:val="0"/>
          <w:numId w:val="3"/>
        </w:numPr>
        <w:rPr>
          <w:sz w:val="24"/>
          <w:szCs w:val="24"/>
        </w:rPr>
      </w:pPr>
      <w:r>
        <w:rPr>
          <w:sz w:val="24"/>
          <w:szCs w:val="24"/>
        </w:rPr>
        <w:t>The Applicants have</w:t>
      </w:r>
      <w:r w:rsidR="009C6AC2" w:rsidRPr="00E61BFB">
        <w:rPr>
          <w:sz w:val="24"/>
          <w:szCs w:val="24"/>
        </w:rPr>
        <w:t xml:space="preserve"> </w:t>
      </w:r>
      <w:r w:rsidR="00C94BA8" w:rsidRPr="00E61BFB">
        <w:rPr>
          <w:sz w:val="24"/>
          <w:szCs w:val="24"/>
        </w:rPr>
        <w:t>not</w:t>
      </w:r>
      <w:r w:rsidR="009C6AC2" w:rsidRPr="00E61BFB">
        <w:rPr>
          <w:sz w:val="24"/>
          <w:szCs w:val="24"/>
        </w:rPr>
        <w:t xml:space="preserve"> fi</w:t>
      </w:r>
      <w:r w:rsidR="00C94BA8">
        <w:rPr>
          <w:sz w:val="24"/>
          <w:szCs w:val="24"/>
        </w:rPr>
        <w:t xml:space="preserve">led </w:t>
      </w:r>
      <w:r w:rsidR="00C94BA8" w:rsidRPr="00E61BFB">
        <w:rPr>
          <w:sz w:val="24"/>
          <w:szCs w:val="24"/>
        </w:rPr>
        <w:t>further</w:t>
      </w:r>
      <w:r w:rsidR="009C6AC2" w:rsidRPr="00E61BFB">
        <w:rPr>
          <w:sz w:val="24"/>
          <w:szCs w:val="24"/>
        </w:rPr>
        <w:t xml:space="preserve"> </w:t>
      </w:r>
      <w:r w:rsidR="00C94BA8" w:rsidRPr="00E61BFB">
        <w:rPr>
          <w:sz w:val="24"/>
          <w:szCs w:val="24"/>
        </w:rPr>
        <w:t>cases</w:t>
      </w:r>
      <w:r w:rsidR="009C6AC2" w:rsidRPr="00E61BFB">
        <w:rPr>
          <w:sz w:val="24"/>
          <w:szCs w:val="24"/>
        </w:rPr>
        <w:t xml:space="preserve"> </w:t>
      </w:r>
      <w:r w:rsidR="00C94BA8">
        <w:rPr>
          <w:sz w:val="24"/>
          <w:szCs w:val="24"/>
        </w:rPr>
        <w:t xml:space="preserve">because </w:t>
      </w:r>
      <w:r w:rsidR="009C6AC2" w:rsidRPr="00E61BFB">
        <w:rPr>
          <w:sz w:val="24"/>
          <w:szCs w:val="24"/>
        </w:rPr>
        <w:t xml:space="preserve">of an ongoing issue about the legal </w:t>
      </w:r>
      <w:r w:rsidR="00C94BA8" w:rsidRPr="00E61BFB">
        <w:rPr>
          <w:sz w:val="24"/>
          <w:szCs w:val="24"/>
        </w:rPr>
        <w:t>costs</w:t>
      </w:r>
      <w:r w:rsidR="009C6AC2" w:rsidRPr="00E61BFB">
        <w:rPr>
          <w:sz w:val="24"/>
          <w:szCs w:val="24"/>
        </w:rPr>
        <w:t xml:space="preserve"> of two ISP</w:t>
      </w:r>
      <w:r w:rsidR="002832C4">
        <w:rPr>
          <w:sz w:val="24"/>
          <w:szCs w:val="24"/>
        </w:rPr>
        <w:t>s</w:t>
      </w:r>
      <w:r w:rsidR="009C6AC2" w:rsidRPr="00E61BFB">
        <w:rPr>
          <w:sz w:val="24"/>
          <w:szCs w:val="24"/>
        </w:rPr>
        <w:t xml:space="preserve">. </w:t>
      </w:r>
      <w:r w:rsidR="00D818B6">
        <w:rPr>
          <w:sz w:val="24"/>
          <w:szCs w:val="24"/>
        </w:rPr>
        <w:t xml:space="preserve"> One of these matters was resolved in late February 201</w:t>
      </w:r>
      <w:r w:rsidR="007C7DBC">
        <w:rPr>
          <w:sz w:val="24"/>
          <w:szCs w:val="24"/>
        </w:rPr>
        <w:t>8</w:t>
      </w:r>
      <w:r w:rsidR="00D818B6">
        <w:rPr>
          <w:sz w:val="24"/>
          <w:szCs w:val="24"/>
        </w:rPr>
        <w:t>, the other is still ongoing.</w:t>
      </w:r>
    </w:p>
    <w:p w:rsidR="00777FF4" w:rsidRPr="00E40CD0" w:rsidRDefault="00777FF4" w:rsidP="00E40CD0">
      <w:pPr>
        <w:ind w:left="720"/>
        <w:rPr>
          <w:sz w:val="24"/>
          <w:szCs w:val="24"/>
        </w:rPr>
      </w:pPr>
    </w:p>
    <w:p w:rsidR="00886CD3" w:rsidRPr="00886CD3" w:rsidRDefault="00886CD3" w:rsidP="008243C7">
      <w:pPr>
        <w:pStyle w:val="ListParagraph"/>
        <w:numPr>
          <w:ilvl w:val="0"/>
          <w:numId w:val="1"/>
        </w:numPr>
        <w:rPr>
          <w:b/>
          <w:color w:val="7030A0"/>
          <w:sz w:val="24"/>
          <w:szCs w:val="24"/>
        </w:rPr>
      </w:pPr>
      <w:r w:rsidRPr="00886CD3">
        <w:rPr>
          <w:b/>
          <w:color w:val="7030A0"/>
          <w:sz w:val="24"/>
          <w:szCs w:val="24"/>
        </w:rPr>
        <w:t>Responding to the Copyright Online Infringement Amendment</w:t>
      </w:r>
    </w:p>
    <w:p w:rsidR="00886CD3" w:rsidRPr="00886CD3" w:rsidRDefault="00886CD3" w:rsidP="008243C7">
      <w:pPr>
        <w:rPr>
          <w:sz w:val="24"/>
          <w:szCs w:val="24"/>
        </w:rPr>
      </w:pPr>
      <w:r w:rsidRPr="00886CD3">
        <w:rPr>
          <w:rFonts w:cs="Calibri"/>
          <w:noProof/>
          <w:color w:val="7030A0"/>
          <w:sz w:val="24"/>
          <w:szCs w:val="24"/>
          <w:lang w:val="en-US"/>
        </w:rPr>
        <mc:AlternateContent>
          <mc:Choice Requires="wps">
            <w:drawing>
              <wp:inline distT="0" distB="0" distL="0" distR="0" wp14:anchorId="77D5ACF9" wp14:editId="5B59D640">
                <wp:extent cx="5731510" cy="493935"/>
                <wp:effectExtent l="0" t="0" r="21590" b="2095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93935"/>
                        </a:xfrm>
                        <a:prstGeom prst="rect">
                          <a:avLst/>
                        </a:prstGeom>
                        <a:solidFill>
                          <a:schemeClr val="accent4">
                            <a:lumMod val="20000"/>
                            <a:lumOff val="80000"/>
                          </a:schemeClr>
                        </a:solidFill>
                        <a:ln w="9525">
                          <a:solidFill>
                            <a:srgbClr val="000000"/>
                          </a:solidFill>
                          <a:miter lim="800000"/>
                          <a:headEnd/>
                          <a:tailEnd/>
                        </a:ln>
                      </wps:spPr>
                      <wps:txbx>
                        <w:txbxContent>
                          <w:p w:rsidR="00A95E14" w:rsidRPr="00426A00" w:rsidRDefault="00A95E14" w:rsidP="00886CD3">
                            <w:pPr>
                              <w:jc w:val="center"/>
                              <w:rPr>
                                <w:b/>
                                <w:i/>
                              </w:rPr>
                            </w:pPr>
                            <w:r w:rsidRPr="00426A00">
                              <w:rPr>
                                <w:b/>
                              </w:rPr>
                              <w:t xml:space="preserve">Question 1: </w:t>
                            </w:r>
                            <w:r>
                              <w:rPr>
                                <w:b/>
                                <w:i/>
                              </w:rPr>
                              <w:t>How effective and efficient is the mechanism introduced by the Online Infringement Amendment</w:t>
                            </w:r>
                            <w:r w:rsidRPr="00426A00">
                              <w:rPr>
                                <w:b/>
                                <w:i/>
                              </w:rP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3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" fillcolor="#e5dfec [663]">
                <v:textbox>
                  <w:txbxContent>
                    <w:p w:rsidR="00A95E14" w:rsidRPr="00426A00" w:rsidRDefault="00A95E14" w:rsidP="00886CD3">
                      <w:pPr>
                        <w:jc w:val="center"/>
                        <w:rPr>
                          <w:b/>
                          <w:i/>
                        </w:rPr>
                      </w:pPr>
                      <w:r w:rsidRPr="00426A00">
                        <w:rPr>
                          <w:b/>
                        </w:rPr>
                        <w:t xml:space="preserve">Question 1: </w:t>
                      </w:r>
                      <w:r>
                        <w:rPr>
                          <w:b/>
                          <w:i/>
                        </w:rPr>
                        <w:t>How effective and efficient is the mechanism introduced by the Online Infringement Amendment</w:t>
                      </w:r>
                      <w:r w:rsidRPr="00426A00">
                        <w:rPr>
                          <w:b/>
                          <w:i/>
                        </w:rPr>
                        <w:t>?</w:t>
                      </w:r>
                    </w:p>
                  </w:txbxContent>
                </v:textbox>
                <w10:anchorlock/>
              </v:shape>
            </w:pict>
          </mc:Fallback>
        </mc:AlternateContent>
      </w:r>
    </w:p>
    <w:p w:rsidR="002C178D" w:rsidRDefault="002C178D" w:rsidP="007E1893">
      <w:pPr>
        <w:tabs>
          <w:tab w:val="left" w:pos="365"/>
        </w:tabs>
        <w:rPr>
          <w:sz w:val="24"/>
          <w:szCs w:val="24"/>
        </w:rPr>
      </w:pPr>
    </w:p>
    <w:p w:rsidR="00CB7D13" w:rsidRDefault="002C178D" w:rsidP="00DB6EF7">
      <w:pPr>
        <w:pStyle w:val="BodyText"/>
        <w:tabs>
          <w:tab w:val="left" w:pos="365"/>
        </w:tabs>
      </w:pPr>
      <w:r>
        <w:t xml:space="preserve">MRA‘s comments are </w:t>
      </w:r>
      <w:r w:rsidR="00A35635">
        <w:t>based on</w:t>
      </w:r>
      <w:r>
        <w:t xml:space="preserve"> its experience</w:t>
      </w:r>
      <w:r w:rsidR="00587AA9">
        <w:t xml:space="preserve"> in developing and managing</w:t>
      </w:r>
      <w:r w:rsidR="00254960">
        <w:t xml:space="preserve"> </w:t>
      </w:r>
      <w:r w:rsidR="00A35635">
        <w:t xml:space="preserve"> on</w:t>
      </w:r>
      <w:r>
        <w:t>e</w:t>
      </w:r>
      <w:r w:rsidR="00A35635">
        <w:t xml:space="preserve"> s115A</w:t>
      </w:r>
      <w:r>
        <w:t xml:space="preserve"> case</w:t>
      </w:r>
      <w:r w:rsidR="00CB7D13">
        <w:t xml:space="preserve"> and</w:t>
      </w:r>
      <w:r w:rsidR="00587AA9">
        <w:t xml:space="preserve"> </w:t>
      </w:r>
      <w:r w:rsidR="00CB7D13">
        <w:t xml:space="preserve"> con</w:t>
      </w:r>
      <w:r w:rsidR="009F79FD">
        <w:t>sultation with</w:t>
      </w:r>
      <w:r w:rsidR="00CB7D13">
        <w:t xml:space="preserve"> in</w:t>
      </w:r>
      <w:r w:rsidR="009F79FD">
        <w:t>ternational associations</w:t>
      </w:r>
      <w:r w:rsidR="00CB7D13">
        <w:t xml:space="preserve"> on the </w:t>
      </w:r>
      <w:r w:rsidR="009F79FD">
        <w:t>operation</w:t>
      </w:r>
      <w:r w:rsidR="00CB7D13">
        <w:t xml:space="preserve"> of site blocking leg</w:t>
      </w:r>
      <w:r w:rsidR="009F79FD">
        <w:t xml:space="preserve">islation </w:t>
      </w:r>
      <w:r w:rsidR="00CB7D13">
        <w:t xml:space="preserve">in other </w:t>
      </w:r>
      <w:r w:rsidR="009F79FD">
        <w:t>jurisdictions</w:t>
      </w:r>
      <w:r w:rsidR="00026C5A">
        <w:t>.</w:t>
      </w:r>
      <w:r w:rsidR="00CB7D13">
        <w:t xml:space="preserve"> </w:t>
      </w:r>
    </w:p>
    <w:p w:rsidR="00A95E14" w:rsidRDefault="00A95E14" w:rsidP="007E1893">
      <w:pPr>
        <w:tabs>
          <w:tab w:val="left" w:pos="365"/>
        </w:tabs>
      </w:pPr>
      <w:r>
        <w:rPr>
          <w:sz w:val="24"/>
          <w:szCs w:val="24"/>
        </w:rPr>
        <w:t xml:space="preserve">The music industry’s </w:t>
      </w:r>
      <w:r w:rsidR="00C06D51">
        <w:rPr>
          <w:sz w:val="24"/>
          <w:szCs w:val="24"/>
        </w:rPr>
        <w:t xml:space="preserve">goals </w:t>
      </w:r>
      <w:r w:rsidR="00026C5A" w:rsidRPr="00026C5A">
        <w:rPr>
          <w:sz w:val="24"/>
          <w:szCs w:val="24"/>
        </w:rPr>
        <w:t>when applying for site blocking orders</w:t>
      </w:r>
      <w:r w:rsidR="004870A5">
        <w:rPr>
          <w:sz w:val="24"/>
          <w:szCs w:val="24"/>
        </w:rPr>
        <w:t xml:space="preserve"> are</w:t>
      </w:r>
      <w:r>
        <w:rPr>
          <w:sz w:val="24"/>
          <w:szCs w:val="24"/>
        </w:rPr>
        <w:t>:</w:t>
      </w:r>
      <w:r w:rsidR="004870A5">
        <w:rPr>
          <w:sz w:val="24"/>
          <w:szCs w:val="24"/>
        </w:rPr>
        <w:t xml:space="preserve">  as</w:t>
      </w:r>
      <w:r w:rsidR="004870A5" w:rsidRPr="004870A5">
        <w:t xml:space="preserve"> </w:t>
      </w:r>
      <w:r w:rsidR="004870A5" w:rsidRPr="004870A5">
        <w:rPr>
          <w:sz w:val="24"/>
          <w:szCs w:val="24"/>
        </w:rPr>
        <w:t>efficiently and effectively as possible</w:t>
      </w:r>
      <w:r>
        <w:rPr>
          <w:sz w:val="24"/>
          <w:szCs w:val="24"/>
        </w:rPr>
        <w:t xml:space="preserve"> to </w:t>
      </w:r>
      <w:r w:rsidR="00C06D51">
        <w:rPr>
          <w:sz w:val="24"/>
          <w:szCs w:val="24"/>
        </w:rPr>
        <w:t>decrease access to a site with the aim of changing user</w:t>
      </w:r>
      <w:r w:rsidR="004870A5">
        <w:rPr>
          <w:sz w:val="24"/>
          <w:szCs w:val="24"/>
        </w:rPr>
        <w:t>s</w:t>
      </w:r>
      <w:r w:rsidR="00C06D51">
        <w:rPr>
          <w:sz w:val="24"/>
          <w:szCs w:val="24"/>
        </w:rPr>
        <w:t>’ behaviour</w:t>
      </w:r>
      <w:r>
        <w:rPr>
          <w:sz w:val="24"/>
          <w:szCs w:val="24"/>
        </w:rPr>
        <w:t>;</w:t>
      </w:r>
      <w:r w:rsidR="00C06D51">
        <w:rPr>
          <w:sz w:val="24"/>
          <w:szCs w:val="24"/>
        </w:rPr>
        <w:t xml:space="preserve"> and to disrupt the</w:t>
      </w:r>
      <w:r w:rsidR="00026C5A" w:rsidRPr="00026C5A">
        <w:rPr>
          <w:sz w:val="24"/>
          <w:szCs w:val="24"/>
        </w:rPr>
        <w:t xml:space="preserve"> business model of</w:t>
      </w:r>
      <w:r w:rsidR="004870A5">
        <w:rPr>
          <w:sz w:val="24"/>
          <w:szCs w:val="24"/>
        </w:rPr>
        <w:t xml:space="preserve"> the </w:t>
      </w:r>
      <w:r w:rsidR="00026C5A" w:rsidRPr="00026C5A">
        <w:rPr>
          <w:sz w:val="24"/>
          <w:szCs w:val="24"/>
        </w:rPr>
        <w:t>illegal site</w:t>
      </w:r>
      <w:r w:rsidR="00C06D51">
        <w:rPr>
          <w:sz w:val="24"/>
          <w:szCs w:val="24"/>
        </w:rPr>
        <w:t xml:space="preserve"> in that jurisdiction</w:t>
      </w:r>
      <w:r w:rsidR="00026C5A" w:rsidRPr="00026C5A">
        <w:rPr>
          <w:sz w:val="24"/>
          <w:szCs w:val="24"/>
        </w:rPr>
        <w:t>.</w:t>
      </w:r>
      <w:r w:rsidR="004C41B8" w:rsidRPr="004C41B8">
        <w:t xml:space="preserve"> </w:t>
      </w:r>
    </w:p>
    <w:p w:rsidR="00026C5A" w:rsidRDefault="004C41B8" w:rsidP="007E1893">
      <w:pPr>
        <w:tabs>
          <w:tab w:val="left" w:pos="365"/>
        </w:tabs>
        <w:rPr>
          <w:sz w:val="24"/>
          <w:szCs w:val="24"/>
        </w:rPr>
      </w:pPr>
      <w:r w:rsidRPr="004C41B8">
        <w:rPr>
          <w:sz w:val="24"/>
          <w:szCs w:val="24"/>
        </w:rPr>
        <w:t>Preliminary data indicates that</w:t>
      </w:r>
      <w:r w:rsidR="00CE0DA7">
        <w:rPr>
          <w:sz w:val="24"/>
          <w:szCs w:val="24"/>
        </w:rPr>
        <w:t xml:space="preserve"> s115A</w:t>
      </w:r>
      <w:r w:rsidRPr="004C41B8">
        <w:rPr>
          <w:sz w:val="24"/>
          <w:szCs w:val="24"/>
        </w:rPr>
        <w:t xml:space="preserve"> blocks are </w:t>
      </w:r>
      <w:r w:rsidR="004870A5">
        <w:rPr>
          <w:sz w:val="24"/>
          <w:szCs w:val="24"/>
        </w:rPr>
        <w:t xml:space="preserve">achieving those goals with respect to the sites which are </w:t>
      </w:r>
      <w:r w:rsidRPr="004C41B8">
        <w:rPr>
          <w:sz w:val="24"/>
          <w:szCs w:val="24"/>
        </w:rPr>
        <w:t>the targets of the orders</w:t>
      </w:r>
      <w:r>
        <w:rPr>
          <w:sz w:val="24"/>
          <w:szCs w:val="24"/>
        </w:rPr>
        <w:t>.</w:t>
      </w:r>
      <w:r w:rsidR="00026C5A" w:rsidRPr="00026C5A">
        <w:rPr>
          <w:sz w:val="24"/>
          <w:szCs w:val="24"/>
        </w:rPr>
        <w:t xml:space="preserve"> The real impact of the site blocking</w:t>
      </w:r>
      <w:r w:rsidR="00026C5A">
        <w:rPr>
          <w:rStyle w:val="FootnoteReference"/>
          <w:sz w:val="24"/>
          <w:szCs w:val="24"/>
        </w:rPr>
        <w:footnoteReference w:id="5"/>
      </w:r>
      <w:r w:rsidR="00026C5A" w:rsidRPr="00026C5A">
        <w:rPr>
          <w:sz w:val="24"/>
          <w:szCs w:val="24"/>
        </w:rPr>
        <w:t xml:space="preserve"> will only be shown over a period of sustained action and while the early data is encouraging it is too early to say conclusively that this impact will be sustained.</w:t>
      </w:r>
    </w:p>
    <w:p w:rsidR="002C178D" w:rsidRDefault="002C178D" w:rsidP="007E1893">
      <w:pPr>
        <w:tabs>
          <w:tab w:val="left" w:pos="365"/>
        </w:tabs>
        <w:rPr>
          <w:sz w:val="24"/>
          <w:szCs w:val="24"/>
        </w:rPr>
      </w:pPr>
      <w:r>
        <w:rPr>
          <w:sz w:val="24"/>
          <w:szCs w:val="24"/>
        </w:rPr>
        <w:t xml:space="preserve">The music </w:t>
      </w:r>
      <w:r w:rsidR="00A35635">
        <w:rPr>
          <w:sz w:val="24"/>
          <w:szCs w:val="24"/>
        </w:rPr>
        <w:t>industry</w:t>
      </w:r>
      <w:r>
        <w:rPr>
          <w:sz w:val="24"/>
          <w:szCs w:val="24"/>
        </w:rPr>
        <w:t xml:space="preserve"> has </w:t>
      </w:r>
      <w:r w:rsidR="00A35635">
        <w:rPr>
          <w:sz w:val="24"/>
          <w:szCs w:val="24"/>
        </w:rPr>
        <w:t>not</w:t>
      </w:r>
      <w:r>
        <w:rPr>
          <w:sz w:val="24"/>
          <w:szCs w:val="24"/>
        </w:rPr>
        <w:t xml:space="preserve"> </w:t>
      </w:r>
      <w:r w:rsidR="00A35635">
        <w:rPr>
          <w:sz w:val="24"/>
          <w:szCs w:val="24"/>
        </w:rPr>
        <w:t>brought</w:t>
      </w:r>
      <w:r>
        <w:rPr>
          <w:sz w:val="24"/>
          <w:szCs w:val="24"/>
        </w:rPr>
        <w:t xml:space="preserve"> a second</w:t>
      </w:r>
      <w:r w:rsidR="00CB7D13">
        <w:rPr>
          <w:sz w:val="24"/>
          <w:szCs w:val="24"/>
        </w:rPr>
        <w:t xml:space="preserve"> </w:t>
      </w:r>
      <w:r w:rsidR="00267296">
        <w:rPr>
          <w:sz w:val="24"/>
          <w:szCs w:val="24"/>
        </w:rPr>
        <w:t>s</w:t>
      </w:r>
      <w:r w:rsidR="00CB7D13">
        <w:rPr>
          <w:sz w:val="24"/>
          <w:szCs w:val="24"/>
        </w:rPr>
        <w:t xml:space="preserve">115A </w:t>
      </w:r>
      <w:r>
        <w:rPr>
          <w:sz w:val="24"/>
          <w:szCs w:val="24"/>
        </w:rPr>
        <w:t>case</w:t>
      </w:r>
      <w:r w:rsidR="00CB7D13">
        <w:rPr>
          <w:sz w:val="24"/>
          <w:szCs w:val="24"/>
        </w:rPr>
        <w:t xml:space="preserve"> because</w:t>
      </w:r>
      <w:r w:rsidR="009F79FD">
        <w:rPr>
          <w:sz w:val="24"/>
          <w:szCs w:val="24"/>
        </w:rPr>
        <w:t xml:space="preserve"> until March of this year it was </w:t>
      </w:r>
      <w:r w:rsidR="00DA4A95">
        <w:rPr>
          <w:sz w:val="24"/>
          <w:szCs w:val="24"/>
        </w:rPr>
        <w:t xml:space="preserve">still </w:t>
      </w:r>
      <w:r w:rsidR="009F79FD">
        <w:rPr>
          <w:sz w:val="24"/>
          <w:szCs w:val="24"/>
        </w:rPr>
        <w:t>dealing with</w:t>
      </w:r>
      <w:r>
        <w:rPr>
          <w:sz w:val="24"/>
          <w:szCs w:val="24"/>
        </w:rPr>
        <w:t xml:space="preserve"> </w:t>
      </w:r>
      <w:r w:rsidR="006407B5">
        <w:rPr>
          <w:sz w:val="24"/>
          <w:szCs w:val="24"/>
        </w:rPr>
        <w:t xml:space="preserve">the legal </w:t>
      </w:r>
      <w:r>
        <w:rPr>
          <w:sz w:val="24"/>
          <w:szCs w:val="24"/>
        </w:rPr>
        <w:t>costs</w:t>
      </w:r>
      <w:r w:rsidR="00A35635">
        <w:rPr>
          <w:sz w:val="24"/>
          <w:szCs w:val="24"/>
        </w:rPr>
        <w:t xml:space="preserve"> claim</w:t>
      </w:r>
      <w:r w:rsidR="006407B5">
        <w:rPr>
          <w:sz w:val="24"/>
          <w:szCs w:val="24"/>
        </w:rPr>
        <w:t>ed</w:t>
      </w:r>
      <w:r w:rsidR="00A35635">
        <w:rPr>
          <w:sz w:val="24"/>
          <w:szCs w:val="24"/>
        </w:rPr>
        <w:t xml:space="preserve"> </w:t>
      </w:r>
      <w:r>
        <w:rPr>
          <w:sz w:val="24"/>
          <w:szCs w:val="24"/>
        </w:rPr>
        <w:t xml:space="preserve">by </w:t>
      </w:r>
      <w:r w:rsidRPr="008243C7">
        <w:rPr>
          <w:sz w:val="24"/>
          <w:szCs w:val="24"/>
        </w:rPr>
        <w:t>two ISPs</w:t>
      </w:r>
      <w:r w:rsidR="008243C7">
        <w:rPr>
          <w:sz w:val="24"/>
          <w:szCs w:val="24"/>
        </w:rPr>
        <w:t>,</w:t>
      </w:r>
      <w:r w:rsidR="009F79FD" w:rsidRPr="008243C7">
        <w:rPr>
          <w:sz w:val="24"/>
          <w:szCs w:val="24"/>
        </w:rPr>
        <w:t xml:space="preserve"> one </w:t>
      </w:r>
      <w:r w:rsidR="00A95E14" w:rsidRPr="008243C7">
        <w:rPr>
          <w:sz w:val="24"/>
          <w:szCs w:val="24"/>
        </w:rPr>
        <w:t xml:space="preserve">of </w:t>
      </w:r>
      <w:r w:rsidR="00A95E14">
        <w:rPr>
          <w:sz w:val="24"/>
          <w:szCs w:val="24"/>
        </w:rPr>
        <w:t>which</w:t>
      </w:r>
      <w:r w:rsidR="008243C7">
        <w:rPr>
          <w:sz w:val="24"/>
          <w:szCs w:val="24"/>
        </w:rPr>
        <w:t xml:space="preserve"> </w:t>
      </w:r>
      <w:r w:rsidR="009F79FD" w:rsidRPr="008243C7">
        <w:rPr>
          <w:sz w:val="24"/>
          <w:szCs w:val="24"/>
        </w:rPr>
        <w:t>recently</w:t>
      </w:r>
      <w:r w:rsidR="009F79FD">
        <w:rPr>
          <w:sz w:val="24"/>
          <w:szCs w:val="24"/>
        </w:rPr>
        <w:t xml:space="preserve"> settled</w:t>
      </w:r>
      <w:r w:rsidR="0093709F">
        <w:rPr>
          <w:sz w:val="24"/>
          <w:szCs w:val="24"/>
        </w:rPr>
        <w:t>.</w:t>
      </w:r>
    </w:p>
    <w:p w:rsidR="00CB7D13" w:rsidRDefault="002C178D" w:rsidP="007E1893">
      <w:pPr>
        <w:tabs>
          <w:tab w:val="left" w:pos="365"/>
        </w:tabs>
        <w:rPr>
          <w:sz w:val="24"/>
          <w:szCs w:val="24"/>
        </w:rPr>
      </w:pPr>
      <w:r w:rsidRPr="002C178D">
        <w:rPr>
          <w:sz w:val="24"/>
          <w:szCs w:val="24"/>
        </w:rPr>
        <w:t xml:space="preserve">It </w:t>
      </w:r>
      <w:r w:rsidR="00026C5A">
        <w:rPr>
          <w:sz w:val="24"/>
          <w:szCs w:val="24"/>
        </w:rPr>
        <w:t xml:space="preserve">has always been </w:t>
      </w:r>
      <w:r w:rsidR="00A35635" w:rsidRPr="002C178D">
        <w:rPr>
          <w:sz w:val="24"/>
          <w:szCs w:val="24"/>
        </w:rPr>
        <w:t>the</w:t>
      </w:r>
      <w:r w:rsidRPr="002C178D">
        <w:rPr>
          <w:sz w:val="24"/>
          <w:szCs w:val="24"/>
        </w:rPr>
        <w:t xml:space="preserve"> music </w:t>
      </w:r>
      <w:r w:rsidR="00CB7D13" w:rsidRPr="002C178D">
        <w:rPr>
          <w:sz w:val="24"/>
          <w:szCs w:val="24"/>
        </w:rPr>
        <w:t>industry’s position</w:t>
      </w:r>
      <w:r w:rsidRPr="002C178D">
        <w:rPr>
          <w:sz w:val="24"/>
          <w:szCs w:val="24"/>
        </w:rPr>
        <w:t xml:space="preserve"> that</w:t>
      </w:r>
      <w:r w:rsidR="00026C5A">
        <w:rPr>
          <w:sz w:val="24"/>
          <w:szCs w:val="24"/>
        </w:rPr>
        <w:t xml:space="preserve"> no </w:t>
      </w:r>
      <w:r w:rsidR="002E5E43">
        <w:rPr>
          <w:sz w:val="24"/>
          <w:szCs w:val="24"/>
        </w:rPr>
        <w:t>fault injunctions</w:t>
      </w:r>
      <w:r w:rsidR="00026C5A">
        <w:rPr>
          <w:sz w:val="24"/>
          <w:szCs w:val="24"/>
        </w:rPr>
        <w:t xml:space="preserve"> which </w:t>
      </w:r>
      <w:r w:rsidR="002E5E43">
        <w:rPr>
          <w:sz w:val="24"/>
          <w:szCs w:val="24"/>
        </w:rPr>
        <w:t>allow copyright</w:t>
      </w:r>
      <w:r w:rsidR="00026C5A">
        <w:rPr>
          <w:sz w:val="24"/>
          <w:szCs w:val="24"/>
        </w:rPr>
        <w:t xml:space="preserve"> owners to </w:t>
      </w:r>
      <w:r w:rsidR="004C41B8">
        <w:rPr>
          <w:sz w:val="24"/>
          <w:szCs w:val="24"/>
        </w:rPr>
        <w:t>obtain</w:t>
      </w:r>
      <w:r w:rsidR="00026C5A">
        <w:rPr>
          <w:sz w:val="24"/>
          <w:szCs w:val="24"/>
        </w:rPr>
        <w:t xml:space="preserve"> orders to </w:t>
      </w:r>
      <w:r w:rsidR="004C3D1B">
        <w:rPr>
          <w:sz w:val="24"/>
          <w:szCs w:val="24"/>
        </w:rPr>
        <w:t>block</w:t>
      </w:r>
      <w:r w:rsidR="00026C5A">
        <w:rPr>
          <w:sz w:val="24"/>
          <w:szCs w:val="24"/>
        </w:rPr>
        <w:t xml:space="preserve"> </w:t>
      </w:r>
      <w:r w:rsidR="004C3D1B">
        <w:rPr>
          <w:sz w:val="24"/>
          <w:szCs w:val="24"/>
        </w:rPr>
        <w:t>illegal</w:t>
      </w:r>
      <w:r w:rsidR="00026C5A">
        <w:rPr>
          <w:sz w:val="24"/>
          <w:szCs w:val="24"/>
        </w:rPr>
        <w:t xml:space="preserve"> sites </w:t>
      </w:r>
      <w:r w:rsidR="0079599A">
        <w:rPr>
          <w:sz w:val="24"/>
          <w:szCs w:val="24"/>
        </w:rPr>
        <w:t>are</w:t>
      </w:r>
      <w:r w:rsidR="00026C5A">
        <w:rPr>
          <w:sz w:val="24"/>
          <w:szCs w:val="24"/>
        </w:rPr>
        <w:t xml:space="preserve"> </w:t>
      </w:r>
      <w:r w:rsidR="00A35635">
        <w:rPr>
          <w:sz w:val="24"/>
          <w:szCs w:val="24"/>
        </w:rPr>
        <w:t>a</w:t>
      </w:r>
      <w:r w:rsidR="00026C5A">
        <w:rPr>
          <w:sz w:val="24"/>
          <w:szCs w:val="24"/>
        </w:rPr>
        <w:t xml:space="preserve">n </w:t>
      </w:r>
      <w:r w:rsidR="004C3D1B">
        <w:rPr>
          <w:sz w:val="24"/>
          <w:szCs w:val="24"/>
        </w:rPr>
        <w:t>efficient</w:t>
      </w:r>
      <w:r w:rsidR="00026C5A">
        <w:rPr>
          <w:sz w:val="24"/>
          <w:szCs w:val="24"/>
        </w:rPr>
        <w:t xml:space="preserve"> and effective </w:t>
      </w:r>
      <w:r w:rsidR="002E5E43">
        <w:rPr>
          <w:sz w:val="24"/>
          <w:szCs w:val="24"/>
        </w:rPr>
        <w:t>mechanism to</w:t>
      </w:r>
      <w:r w:rsidR="00026C5A">
        <w:rPr>
          <w:sz w:val="24"/>
          <w:szCs w:val="24"/>
        </w:rPr>
        <w:t xml:space="preserve"> address the </w:t>
      </w:r>
      <w:r w:rsidR="002E5E43">
        <w:rPr>
          <w:sz w:val="24"/>
          <w:szCs w:val="24"/>
        </w:rPr>
        <w:t>threat such</w:t>
      </w:r>
      <w:r w:rsidR="004C3D1B">
        <w:rPr>
          <w:sz w:val="24"/>
          <w:szCs w:val="24"/>
        </w:rPr>
        <w:t xml:space="preserve"> sites pose to copyright owners’ interests</w:t>
      </w:r>
      <w:r w:rsidR="009F79FD">
        <w:rPr>
          <w:sz w:val="24"/>
          <w:szCs w:val="24"/>
        </w:rPr>
        <w:t xml:space="preserve">.  </w:t>
      </w:r>
      <w:r w:rsidR="00CB7D13">
        <w:rPr>
          <w:sz w:val="24"/>
          <w:szCs w:val="24"/>
        </w:rPr>
        <w:t xml:space="preserve"> </w:t>
      </w:r>
    </w:p>
    <w:p w:rsidR="00CB7D13" w:rsidRDefault="00DE297E" w:rsidP="007E1893">
      <w:pPr>
        <w:tabs>
          <w:tab w:val="left" w:pos="365"/>
        </w:tabs>
        <w:rPr>
          <w:sz w:val="24"/>
          <w:szCs w:val="24"/>
        </w:rPr>
      </w:pPr>
      <w:r>
        <w:rPr>
          <w:sz w:val="24"/>
          <w:szCs w:val="24"/>
        </w:rPr>
        <w:t>In it</w:t>
      </w:r>
      <w:r w:rsidR="0093709F">
        <w:rPr>
          <w:sz w:val="24"/>
          <w:szCs w:val="24"/>
        </w:rPr>
        <w:t>s</w:t>
      </w:r>
      <w:r>
        <w:rPr>
          <w:sz w:val="24"/>
          <w:szCs w:val="24"/>
        </w:rPr>
        <w:t xml:space="preserve"> submission on the draft leg</w:t>
      </w:r>
      <w:r w:rsidR="00884BE7">
        <w:rPr>
          <w:sz w:val="24"/>
          <w:szCs w:val="24"/>
        </w:rPr>
        <w:t>islation</w:t>
      </w:r>
      <w:r>
        <w:rPr>
          <w:sz w:val="24"/>
          <w:szCs w:val="24"/>
        </w:rPr>
        <w:t xml:space="preserve"> MRA</w:t>
      </w:r>
      <w:r w:rsidR="0093709F">
        <w:rPr>
          <w:sz w:val="24"/>
          <w:szCs w:val="24"/>
        </w:rPr>
        <w:t xml:space="preserve"> advocated for</w:t>
      </w:r>
      <w:r w:rsidR="004C3D1B">
        <w:rPr>
          <w:sz w:val="24"/>
          <w:szCs w:val="24"/>
        </w:rPr>
        <w:t xml:space="preserve"> a</w:t>
      </w:r>
      <w:r w:rsidR="0093709F">
        <w:rPr>
          <w:sz w:val="24"/>
          <w:szCs w:val="24"/>
        </w:rPr>
        <w:t xml:space="preserve"> </w:t>
      </w:r>
      <w:r w:rsidR="00A35635">
        <w:rPr>
          <w:sz w:val="24"/>
          <w:szCs w:val="24"/>
        </w:rPr>
        <w:t>less prescriptive model</w:t>
      </w:r>
      <w:r w:rsidR="00CB7D13">
        <w:rPr>
          <w:sz w:val="24"/>
          <w:szCs w:val="24"/>
        </w:rPr>
        <w:t xml:space="preserve"> tha</w:t>
      </w:r>
      <w:r w:rsidR="009F79FD">
        <w:rPr>
          <w:sz w:val="24"/>
          <w:szCs w:val="24"/>
        </w:rPr>
        <w:t>n</w:t>
      </w:r>
      <w:r w:rsidR="00CB7D13">
        <w:rPr>
          <w:sz w:val="24"/>
          <w:szCs w:val="24"/>
        </w:rPr>
        <w:t xml:space="preserve"> that adopted by the Aus</w:t>
      </w:r>
      <w:r w:rsidR="009F79FD">
        <w:rPr>
          <w:sz w:val="24"/>
          <w:szCs w:val="24"/>
        </w:rPr>
        <w:t>tralian Government</w:t>
      </w:r>
      <w:r w:rsidR="00CB7D13">
        <w:rPr>
          <w:sz w:val="24"/>
          <w:szCs w:val="24"/>
        </w:rPr>
        <w:t>. It</w:t>
      </w:r>
      <w:r>
        <w:rPr>
          <w:sz w:val="24"/>
          <w:szCs w:val="24"/>
        </w:rPr>
        <w:t xml:space="preserve"> proposed</w:t>
      </w:r>
      <w:r w:rsidR="00CB7D13">
        <w:rPr>
          <w:sz w:val="24"/>
          <w:szCs w:val="24"/>
        </w:rPr>
        <w:t xml:space="preserve"> a </w:t>
      </w:r>
      <w:r w:rsidR="009F79FD">
        <w:rPr>
          <w:sz w:val="24"/>
          <w:szCs w:val="24"/>
        </w:rPr>
        <w:t>site</w:t>
      </w:r>
      <w:r w:rsidR="00CB7D13">
        <w:rPr>
          <w:sz w:val="24"/>
          <w:szCs w:val="24"/>
        </w:rPr>
        <w:t xml:space="preserve"> </w:t>
      </w:r>
      <w:r w:rsidR="009F79FD">
        <w:rPr>
          <w:sz w:val="24"/>
          <w:szCs w:val="24"/>
        </w:rPr>
        <w:t>blocking</w:t>
      </w:r>
      <w:r w:rsidR="00CB7D13">
        <w:rPr>
          <w:sz w:val="24"/>
          <w:szCs w:val="24"/>
        </w:rPr>
        <w:t xml:space="preserve"> </w:t>
      </w:r>
      <w:r w:rsidR="009F79FD">
        <w:rPr>
          <w:sz w:val="24"/>
          <w:szCs w:val="24"/>
        </w:rPr>
        <w:t>remedy</w:t>
      </w:r>
      <w:r w:rsidR="00CB7D13">
        <w:rPr>
          <w:sz w:val="24"/>
          <w:szCs w:val="24"/>
        </w:rPr>
        <w:t xml:space="preserve"> </w:t>
      </w:r>
      <w:r w:rsidR="00A35635">
        <w:rPr>
          <w:sz w:val="24"/>
          <w:szCs w:val="24"/>
        </w:rPr>
        <w:t>which mirrored the UK legislation</w:t>
      </w:r>
      <w:r w:rsidR="002D0B9F">
        <w:rPr>
          <w:rStyle w:val="FootnoteReference"/>
          <w:sz w:val="24"/>
          <w:szCs w:val="24"/>
        </w:rPr>
        <w:footnoteReference w:id="6"/>
      </w:r>
      <w:r w:rsidR="00A35635">
        <w:rPr>
          <w:sz w:val="24"/>
          <w:szCs w:val="24"/>
        </w:rPr>
        <w:t xml:space="preserve"> and continue</w:t>
      </w:r>
      <w:r w:rsidR="00CB7D13">
        <w:rPr>
          <w:sz w:val="24"/>
          <w:szCs w:val="24"/>
        </w:rPr>
        <w:t>s</w:t>
      </w:r>
      <w:r w:rsidR="00A35635">
        <w:rPr>
          <w:sz w:val="24"/>
          <w:szCs w:val="24"/>
        </w:rPr>
        <w:t xml:space="preserve"> to support this mode</w:t>
      </w:r>
      <w:r>
        <w:rPr>
          <w:sz w:val="24"/>
          <w:szCs w:val="24"/>
        </w:rPr>
        <w:t>l</w:t>
      </w:r>
      <w:r w:rsidR="00A35635">
        <w:rPr>
          <w:sz w:val="24"/>
          <w:szCs w:val="24"/>
        </w:rPr>
        <w:t xml:space="preserve"> as it</w:t>
      </w:r>
      <w:r w:rsidR="00CB7D13">
        <w:rPr>
          <w:sz w:val="24"/>
          <w:szCs w:val="24"/>
        </w:rPr>
        <w:t xml:space="preserve"> has the capacity to</w:t>
      </w:r>
      <w:r w:rsidR="009F79FD">
        <w:rPr>
          <w:sz w:val="24"/>
          <w:szCs w:val="24"/>
        </w:rPr>
        <w:t xml:space="preserve"> </w:t>
      </w:r>
      <w:r>
        <w:rPr>
          <w:sz w:val="24"/>
          <w:szCs w:val="24"/>
        </w:rPr>
        <w:t>more</w:t>
      </w:r>
      <w:r w:rsidR="009F79FD">
        <w:rPr>
          <w:sz w:val="24"/>
          <w:szCs w:val="24"/>
        </w:rPr>
        <w:t xml:space="preserve"> readily address changes </w:t>
      </w:r>
      <w:r w:rsidR="004870A5">
        <w:rPr>
          <w:sz w:val="24"/>
          <w:szCs w:val="24"/>
        </w:rPr>
        <w:t>in</w:t>
      </w:r>
      <w:r w:rsidR="009F79FD">
        <w:rPr>
          <w:sz w:val="24"/>
          <w:szCs w:val="24"/>
        </w:rPr>
        <w:t xml:space="preserve"> the </w:t>
      </w:r>
      <w:r>
        <w:rPr>
          <w:sz w:val="24"/>
          <w:szCs w:val="24"/>
        </w:rPr>
        <w:t>illegal</w:t>
      </w:r>
      <w:r w:rsidR="009F79FD">
        <w:rPr>
          <w:sz w:val="24"/>
          <w:szCs w:val="24"/>
        </w:rPr>
        <w:t xml:space="preserve"> online </w:t>
      </w:r>
      <w:r>
        <w:rPr>
          <w:sz w:val="24"/>
          <w:szCs w:val="24"/>
        </w:rPr>
        <w:t>environment</w:t>
      </w:r>
      <w:r w:rsidR="00CB7D13">
        <w:rPr>
          <w:sz w:val="24"/>
          <w:szCs w:val="24"/>
        </w:rPr>
        <w:t xml:space="preserve">. </w:t>
      </w:r>
    </w:p>
    <w:p w:rsidR="00CB7D13" w:rsidRDefault="00CB7D13" w:rsidP="007E1893">
      <w:pPr>
        <w:tabs>
          <w:tab w:val="left" w:pos="365"/>
        </w:tabs>
        <w:rPr>
          <w:sz w:val="24"/>
          <w:szCs w:val="24"/>
        </w:rPr>
      </w:pPr>
      <w:r>
        <w:rPr>
          <w:sz w:val="24"/>
          <w:szCs w:val="24"/>
        </w:rPr>
        <w:t>However</w:t>
      </w:r>
      <w:r w:rsidR="00DE297E">
        <w:rPr>
          <w:sz w:val="24"/>
          <w:szCs w:val="24"/>
        </w:rPr>
        <w:t>,</w:t>
      </w:r>
      <w:r>
        <w:rPr>
          <w:sz w:val="24"/>
          <w:szCs w:val="24"/>
        </w:rPr>
        <w:t xml:space="preserve"> despite the </w:t>
      </w:r>
      <w:r w:rsidR="009F79FD">
        <w:rPr>
          <w:sz w:val="24"/>
          <w:szCs w:val="24"/>
        </w:rPr>
        <w:t>issues</w:t>
      </w:r>
      <w:r>
        <w:rPr>
          <w:sz w:val="24"/>
          <w:szCs w:val="24"/>
        </w:rPr>
        <w:t xml:space="preserve"> which are </w:t>
      </w:r>
      <w:r w:rsidR="009F79FD">
        <w:rPr>
          <w:sz w:val="24"/>
          <w:szCs w:val="24"/>
        </w:rPr>
        <w:t>highlighted</w:t>
      </w:r>
      <w:r>
        <w:rPr>
          <w:sz w:val="24"/>
          <w:szCs w:val="24"/>
        </w:rPr>
        <w:t xml:space="preserve"> in</w:t>
      </w:r>
      <w:r w:rsidR="009F79FD">
        <w:rPr>
          <w:sz w:val="24"/>
          <w:szCs w:val="24"/>
        </w:rPr>
        <w:t xml:space="preserve"> </w:t>
      </w:r>
      <w:r>
        <w:rPr>
          <w:sz w:val="24"/>
          <w:szCs w:val="24"/>
        </w:rPr>
        <w:t>this submission</w:t>
      </w:r>
      <w:r w:rsidR="004870A5">
        <w:rPr>
          <w:sz w:val="24"/>
          <w:szCs w:val="24"/>
        </w:rPr>
        <w:t>,</w:t>
      </w:r>
      <w:r>
        <w:rPr>
          <w:sz w:val="24"/>
          <w:szCs w:val="24"/>
        </w:rPr>
        <w:t xml:space="preserve"> the music </w:t>
      </w:r>
      <w:r w:rsidR="0093709F">
        <w:rPr>
          <w:sz w:val="24"/>
          <w:szCs w:val="24"/>
        </w:rPr>
        <w:t>i</w:t>
      </w:r>
      <w:r w:rsidR="009F79FD">
        <w:rPr>
          <w:sz w:val="24"/>
          <w:szCs w:val="24"/>
        </w:rPr>
        <w:t xml:space="preserve">ndustry </w:t>
      </w:r>
      <w:r>
        <w:rPr>
          <w:sz w:val="24"/>
          <w:szCs w:val="24"/>
        </w:rPr>
        <w:t>suggests that it is too early to call for</w:t>
      </w:r>
      <w:r w:rsidR="00DE297E">
        <w:rPr>
          <w:sz w:val="24"/>
          <w:szCs w:val="24"/>
        </w:rPr>
        <w:t xml:space="preserve"> amendments to the site blocking regime </w:t>
      </w:r>
      <w:r w:rsidR="0093709F">
        <w:rPr>
          <w:sz w:val="24"/>
          <w:szCs w:val="24"/>
        </w:rPr>
        <w:t>established</w:t>
      </w:r>
      <w:r w:rsidR="00DE297E">
        <w:rPr>
          <w:sz w:val="24"/>
          <w:szCs w:val="24"/>
        </w:rPr>
        <w:t xml:space="preserve"> under s115A</w:t>
      </w:r>
      <w:r w:rsidR="009F79FD">
        <w:rPr>
          <w:sz w:val="24"/>
          <w:szCs w:val="24"/>
        </w:rPr>
        <w:t xml:space="preserve">. </w:t>
      </w:r>
      <w:r w:rsidR="00DE297E">
        <w:rPr>
          <w:sz w:val="24"/>
          <w:szCs w:val="24"/>
        </w:rPr>
        <w:t xml:space="preserve"> MRA </w:t>
      </w:r>
      <w:r w:rsidR="0093709F">
        <w:rPr>
          <w:sz w:val="24"/>
          <w:szCs w:val="24"/>
        </w:rPr>
        <w:t>suggests that</w:t>
      </w:r>
      <w:r w:rsidR="009F79FD">
        <w:rPr>
          <w:sz w:val="24"/>
          <w:szCs w:val="24"/>
        </w:rPr>
        <w:t xml:space="preserve"> some ref</w:t>
      </w:r>
      <w:r w:rsidR="00DE297E">
        <w:rPr>
          <w:sz w:val="24"/>
          <w:szCs w:val="24"/>
        </w:rPr>
        <w:t xml:space="preserve">orm </w:t>
      </w:r>
      <w:r w:rsidR="009F79FD">
        <w:rPr>
          <w:sz w:val="24"/>
          <w:szCs w:val="24"/>
        </w:rPr>
        <w:t>may be necessary</w:t>
      </w:r>
      <w:r w:rsidR="0093709F">
        <w:rPr>
          <w:sz w:val="24"/>
          <w:szCs w:val="24"/>
        </w:rPr>
        <w:t xml:space="preserve"> in the futur</w:t>
      </w:r>
      <w:r w:rsidR="004C41B8">
        <w:rPr>
          <w:sz w:val="24"/>
          <w:szCs w:val="24"/>
        </w:rPr>
        <w:t>e</w:t>
      </w:r>
      <w:r w:rsidR="00524ADF">
        <w:rPr>
          <w:sz w:val="24"/>
          <w:szCs w:val="24"/>
        </w:rPr>
        <w:t>, particularly</w:t>
      </w:r>
      <w:r w:rsidR="004C41B8">
        <w:rPr>
          <w:sz w:val="24"/>
          <w:szCs w:val="24"/>
        </w:rPr>
        <w:t xml:space="preserve"> with respect to the </w:t>
      </w:r>
      <w:r w:rsidR="002F700A">
        <w:rPr>
          <w:sz w:val="24"/>
          <w:szCs w:val="24"/>
        </w:rPr>
        <w:t>issue of costs,</w:t>
      </w:r>
      <w:r w:rsidR="0093709F">
        <w:rPr>
          <w:sz w:val="24"/>
          <w:szCs w:val="24"/>
        </w:rPr>
        <w:t xml:space="preserve"> but </w:t>
      </w:r>
      <w:r w:rsidR="004C41B8">
        <w:rPr>
          <w:sz w:val="24"/>
          <w:szCs w:val="24"/>
        </w:rPr>
        <w:t xml:space="preserve">all </w:t>
      </w:r>
      <w:r w:rsidR="00267296">
        <w:rPr>
          <w:sz w:val="24"/>
          <w:szCs w:val="24"/>
        </w:rPr>
        <w:t xml:space="preserve">aspects of s115A </w:t>
      </w:r>
      <w:r w:rsidR="0093709F">
        <w:rPr>
          <w:sz w:val="24"/>
          <w:szCs w:val="24"/>
        </w:rPr>
        <w:t>should be assessed i</w:t>
      </w:r>
      <w:r w:rsidR="00DE297E">
        <w:rPr>
          <w:sz w:val="24"/>
          <w:szCs w:val="24"/>
        </w:rPr>
        <w:t xml:space="preserve">n a full review </w:t>
      </w:r>
      <w:r w:rsidR="0093709F">
        <w:rPr>
          <w:sz w:val="24"/>
          <w:szCs w:val="24"/>
        </w:rPr>
        <w:t>of</w:t>
      </w:r>
      <w:r w:rsidR="00DE297E">
        <w:rPr>
          <w:sz w:val="24"/>
          <w:szCs w:val="24"/>
        </w:rPr>
        <w:t xml:space="preserve"> </w:t>
      </w:r>
      <w:r w:rsidR="004C3D1B">
        <w:rPr>
          <w:sz w:val="24"/>
          <w:szCs w:val="24"/>
        </w:rPr>
        <w:t>copyright enforcement</w:t>
      </w:r>
      <w:r w:rsidR="0093709F">
        <w:rPr>
          <w:sz w:val="24"/>
          <w:szCs w:val="24"/>
        </w:rPr>
        <w:t xml:space="preserve"> in </w:t>
      </w:r>
      <w:r w:rsidR="00B37CA2">
        <w:rPr>
          <w:sz w:val="24"/>
          <w:szCs w:val="24"/>
        </w:rPr>
        <w:t>eighteen months</w:t>
      </w:r>
      <w:r w:rsidR="0093709F">
        <w:rPr>
          <w:sz w:val="24"/>
          <w:szCs w:val="24"/>
        </w:rPr>
        <w:t>.</w:t>
      </w:r>
    </w:p>
    <w:p w:rsidR="00CB7D13" w:rsidRDefault="0093709F" w:rsidP="007E1893">
      <w:pPr>
        <w:tabs>
          <w:tab w:val="left" w:pos="365"/>
        </w:tabs>
        <w:rPr>
          <w:sz w:val="24"/>
          <w:szCs w:val="24"/>
        </w:rPr>
      </w:pPr>
      <w:r>
        <w:rPr>
          <w:sz w:val="24"/>
          <w:szCs w:val="24"/>
        </w:rPr>
        <w:t>Such a</w:t>
      </w:r>
      <w:r w:rsidR="00CB7D13">
        <w:rPr>
          <w:sz w:val="24"/>
          <w:szCs w:val="24"/>
        </w:rPr>
        <w:t xml:space="preserve"> review w</w:t>
      </w:r>
      <w:r>
        <w:rPr>
          <w:sz w:val="24"/>
          <w:szCs w:val="24"/>
        </w:rPr>
        <w:t>ould</w:t>
      </w:r>
      <w:r w:rsidR="002F700A">
        <w:rPr>
          <w:sz w:val="24"/>
          <w:szCs w:val="24"/>
        </w:rPr>
        <w:t xml:space="preserve"> allow </w:t>
      </w:r>
      <w:r w:rsidR="004C3D1B">
        <w:rPr>
          <w:sz w:val="24"/>
          <w:szCs w:val="24"/>
        </w:rPr>
        <w:t>the affected</w:t>
      </w:r>
      <w:r>
        <w:rPr>
          <w:sz w:val="24"/>
          <w:szCs w:val="24"/>
        </w:rPr>
        <w:t xml:space="preserve"> parties </w:t>
      </w:r>
      <w:r w:rsidR="00DE297E">
        <w:rPr>
          <w:sz w:val="24"/>
          <w:szCs w:val="24"/>
        </w:rPr>
        <w:t>to co</w:t>
      </w:r>
      <w:r>
        <w:rPr>
          <w:sz w:val="24"/>
          <w:szCs w:val="24"/>
        </w:rPr>
        <w:t>nsider s</w:t>
      </w:r>
      <w:r w:rsidR="00DE297E">
        <w:rPr>
          <w:sz w:val="24"/>
          <w:szCs w:val="24"/>
        </w:rPr>
        <w:t>115A in the overall right</w:t>
      </w:r>
      <w:r>
        <w:rPr>
          <w:sz w:val="24"/>
          <w:szCs w:val="24"/>
        </w:rPr>
        <w:t>s</w:t>
      </w:r>
      <w:r w:rsidR="00DE297E">
        <w:rPr>
          <w:sz w:val="24"/>
          <w:szCs w:val="24"/>
        </w:rPr>
        <w:t xml:space="preserve"> pr</w:t>
      </w:r>
      <w:r>
        <w:rPr>
          <w:sz w:val="24"/>
          <w:szCs w:val="24"/>
        </w:rPr>
        <w:t>otection</w:t>
      </w:r>
      <w:r w:rsidR="004C3D1B">
        <w:rPr>
          <w:sz w:val="24"/>
          <w:szCs w:val="24"/>
        </w:rPr>
        <w:t xml:space="preserve"> </w:t>
      </w:r>
      <w:r w:rsidR="002F700A">
        <w:rPr>
          <w:sz w:val="24"/>
          <w:szCs w:val="24"/>
        </w:rPr>
        <w:t xml:space="preserve">environment and </w:t>
      </w:r>
      <w:r w:rsidR="00B37CA2">
        <w:rPr>
          <w:sz w:val="24"/>
          <w:szCs w:val="24"/>
        </w:rPr>
        <w:t>allow</w:t>
      </w:r>
      <w:r w:rsidR="002F700A">
        <w:rPr>
          <w:sz w:val="24"/>
          <w:szCs w:val="24"/>
        </w:rPr>
        <w:t xml:space="preserve"> them to make evidence</w:t>
      </w:r>
      <w:r w:rsidR="00267296">
        <w:rPr>
          <w:sz w:val="24"/>
          <w:szCs w:val="24"/>
        </w:rPr>
        <w:t>-</w:t>
      </w:r>
      <w:r w:rsidR="002F700A">
        <w:rPr>
          <w:sz w:val="24"/>
          <w:szCs w:val="24"/>
        </w:rPr>
        <w:t>based recommendations</w:t>
      </w:r>
      <w:r w:rsidR="004C41B8">
        <w:rPr>
          <w:sz w:val="24"/>
          <w:szCs w:val="24"/>
        </w:rPr>
        <w:t xml:space="preserve"> to ensure s115A is an effective and efficient mechanism</w:t>
      </w:r>
      <w:r w:rsidR="00174F83">
        <w:rPr>
          <w:sz w:val="24"/>
          <w:szCs w:val="24"/>
        </w:rPr>
        <w:t xml:space="preserve"> which </w:t>
      </w:r>
      <w:r w:rsidR="004C41B8">
        <w:rPr>
          <w:sz w:val="24"/>
          <w:szCs w:val="24"/>
        </w:rPr>
        <w:t>address</w:t>
      </w:r>
      <w:r w:rsidR="00CE0DA7">
        <w:rPr>
          <w:sz w:val="24"/>
          <w:szCs w:val="24"/>
        </w:rPr>
        <w:t>es</w:t>
      </w:r>
      <w:r w:rsidR="004C41B8">
        <w:rPr>
          <w:sz w:val="24"/>
          <w:szCs w:val="24"/>
        </w:rPr>
        <w:t xml:space="preserve"> online copyright infringement</w:t>
      </w:r>
      <w:r w:rsidR="002F700A">
        <w:rPr>
          <w:sz w:val="24"/>
          <w:szCs w:val="24"/>
        </w:rPr>
        <w:t>.</w:t>
      </w:r>
      <w:r>
        <w:rPr>
          <w:sz w:val="24"/>
          <w:szCs w:val="24"/>
        </w:rPr>
        <w:t xml:space="preserve"> </w:t>
      </w:r>
      <w:r w:rsidR="00DE297E">
        <w:rPr>
          <w:sz w:val="24"/>
          <w:szCs w:val="24"/>
        </w:rPr>
        <w:t xml:space="preserve"> </w:t>
      </w:r>
    </w:p>
    <w:p w:rsidR="00DE297E" w:rsidRPr="005F47C9" w:rsidRDefault="0093709F" w:rsidP="00CB7D13">
      <w:pPr>
        <w:tabs>
          <w:tab w:val="left" w:pos="365"/>
        </w:tabs>
        <w:rPr>
          <w:b/>
          <w:sz w:val="24"/>
          <w:szCs w:val="24"/>
        </w:rPr>
      </w:pPr>
      <w:r w:rsidRPr="005F47C9">
        <w:rPr>
          <w:b/>
          <w:sz w:val="24"/>
          <w:szCs w:val="24"/>
        </w:rPr>
        <w:t xml:space="preserve">Developing </w:t>
      </w:r>
      <w:r w:rsidR="004C3D1B" w:rsidRPr="005F47C9">
        <w:rPr>
          <w:b/>
          <w:sz w:val="24"/>
          <w:szCs w:val="24"/>
        </w:rPr>
        <w:t>the music c</w:t>
      </w:r>
      <w:r w:rsidRPr="005F47C9">
        <w:rPr>
          <w:b/>
          <w:sz w:val="24"/>
          <w:szCs w:val="24"/>
        </w:rPr>
        <w:t xml:space="preserve">ase </w:t>
      </w:r>
    </w:p>
    <w:p w:rsidR="004C3D1B" w:rsidRPr="004C3D1B" w:rsidRDefault="004C3D1B" w:rsidP="00CB7D13">
      <w:pPr>
        <w:tabs>
          <w:tab w:val="left" w:pos="365"/>
        </w:tabs>
        <w:rPr>
          <w:sz w:val="24"/>
          <w:szCs w:val="24"/>
        </w:rPr>
      </w:pPr>
      <w:r w:rsidRPr="004C3D1B">
        <w:rPr>
          <w:sz w:val="24"/>
          <w:szCs w:val="24"/>
        </w:rPr>
        <w:t>MRA met with re</w:t>
      </w:r>
      <w:r>
        <w:rPr>
          <w:sz w:val="24"/>
          <w:szCs w:val="24"/>
        </w:rPr>
        <w:t xml:space="preserve">presentatives </w:t>
      </w:r>
      <w:r w:rsidRPr="004C3D1B">
        <w:rPr>
          <w:sz w:val="24"/>
          <w:szCs w:val="24"/>
        </w:rPr>
        <w:t xml:space="preserve">of </w:t>
      </w:r>
      <w:r w:rsidR="002F700A">
        <w:rPr>
          <w:sz w:val="24"/>
          <w:szCs w:val="24"/>
        </w:rPr>
        <w:t xml:space="preserve">some </w:t>
      </w:r>
      <w:r w:rsidRPr="004C3D1B">
        <w:rPr>
          <w:sz w:val="24"/>
          <w:szCs w:val="24"/>
        </w:rPr>
        <w:t>IS</w:t>
      </w:r>
      <w:r>
        <w:rPr>
          <w:sz w:val="24"/>
          <w:szCs w:val="24"/>
        </w:rPr>
        <w:t>Ps prior to</w:t>
      </w:r>
      <w:r w:rsidRPr="004C3D1B">
        <w:rPr>
          <w:sz w:val="24"/>
          <w:szCs w:val="24"/>
        </w:rPr>
        <w:t xml:space="preserve"> filing the mu</w:t>
      </w:r>
      <w:r>
        <w:rPr>
          <w:sz w:val="24"/>
          <w:szCs w:val="24"/>
        </w:rPr>
        <w:t>sic</w:t>
      </w:r>
      <w:r w:rsidRPr="004C3D1B">
        <w:rPr>
          <w:sz w:val="24"/>
          <w:szCs w:val="24"/>
        </w:rPr>
        <w:t xml:space="preserve"> case. The meetings were productive</w:t>
      </w:r>
      <w:r>
        <w:rPr>
          <w:sz w:val="24"/>
          <w:szCs w:val="24"/>
        </w:rPr>
        <w:t xml:space="preserve"> and </w:t>
      </w:r>
      <w:r w:rsidR="00762A01">
        <w:rPr>
          <w:sz w:val="24"/>
          <w:szCs w:val="24"/>
        </w:rPr>
        <w:t>the parties c</w:t>
      </w:r>
      <w:r>
        <w:rPr>
          <w:sz w:val="24"/>
          <w:szCs w:val="24"/>
        </w:rPr>
        <w:t>ontinued</w:t>
      </w:r>
      <w:r w:rsidR="00191932">
        <w:rPr>
          <w:sz w:val="24"/>
          <w:szCs w:val="24"/>
        </w:rPr>
        <w:t xml:space="preserve"> to</w:t>
      </w:r>
      <w:r>
        <w:rPr>
          <w:sz w:val="24"/>
          <w:szCs w:val="24"/>
        </w:rPr>
        <w:t xml:space="preserve"> engage to narrow the issues prior to the he</w:t>
      </w:r>
      <w:r w:rsidR="00524ADF">
        <w:rPr>
          <w:sz w:val="24"/>
          <w:szCs w:val="24"/>
        </w:rPr>
        <w:t>aring</w:t>
      </w:r>
      <w:r w:rsidR="00267296">
        <w:rPr>
          <w:sz w:val="24"/>
          <w:szCs w:val="24"/>
        </w:rPr>
        <w:t xml:space="preserve"> through their counsel</w:t>
      </w:r>
      <w:r w:rsidRPr="004C3D1B">
        <w:rPr>
          <w:sz w:val="24"/>
          <w:szCs w:val="24"/>
        </w:rPr>
        <w:t>.</w:t>
      </w:r>
    </w:p>
    <w:p w:rsidR="004C3D1B" w:rsidRDefault="00562D12" w:rsidP="00CB7D13">
      <w:pPr>
        <w:tabs>
          <w:tab w:val="left" w:pos="365"/>
        </w:tabs>
        <w:rPr>
          <w:sz w:val="24"/>
          <w:szCs w:val="24"/>
        </w:rPr>
      </w:pPr>
      <w:r>
        <w:rPr>
          <w:sz w:val="24"/>
          <w:szCs w:val="24"/>
        </w:rPr>
        <w:t xml:space="preserve">The </w:t>
      </w:r>
      <w:r w:rsidR="0093709F">
        <w:rPr>
          <w:sz w:val="24"/>
          <w:szCs w:val="24"/>
        </w:rPr>
        <w:t xml:space="preserve">Respondents </w:t>
      </w:r>
      <w:r w:rsidR="00DE297E">
        <w:rPr>
          <w:sz w:val="24"/>
          <w:szCs w:val="24"/>
        </w:rPr>
        <w:t>adopted</w:t>
      </w:r>
      <w:r>
        <w:rPr>
          <w:sz w:val="24"/>
          <w:szCs w:val="24"/>
        </w:rPr>
        <w:t xml:space="preserve"> the </w:t>
      </w:r>
      <w:r w:rsidR="00DE297E">
        <w:rPr>
          <w:sz w:val="24"/>
          <w:szCs w:val="24"/>
        </w:rPr>
        <w:t>position</w:t>
      </w:r>
      <w:r>
        <w:rPr>
          <w:sz w:val="24"/>
          <w:szCs w:val="24"/>
        </w:rPr>
        <w:t xml:space="preserve"> that as s115A was a no fault </w:t>
      </w:r>
      <w:r w:rsidR="00DE297E">
        <w:rPr>
          <w:sz w:val="24"/>
          <w:szCs w:val="24"/>
        </w:rPr>
        <w:t>remedy</w:t>
      </w:r>
      <w:r>
        <w:rPr>
          <w:sz w:val="24"/>
          <w:szCs w:val="24"/>
        </w:rPr>
        <w:t xml:space="preserve">, they would </w:t>
      </w:r>
      <w:r w:rsidR="00DE297E">
        <w:rPr>
          <w:sz w:val="24"/>
          <w:szCs w:val="24"/>
        </w:rPr>
        <w:t>not</w:t>
      </w:r>
      <w:r>
        <w:rPr>
          <w:sz w:val="24"/>
          <w:szCs w:val="24"/>
        </w:rPr>
        <w:t xml:space="preserve"> comment on of the </w:t>
      </w:r>
      <w:r w:rsidR="00DE297E">
        <w:rPr>
          <w:sz w:val="24"/>
          <w:szCs w:val="24"/>
        </w:rPr>
        <w:t>Applicants</w:t>
      </w:r>
      <w:r>
        <w:rPr>
          <w:sz w:val="24"/>
          <w:szCs w:val="24"/>
        </w:rPr>
        <w:t>’ ev</w:t>
      </w:r>
      <w:r w:rsidR="00DE297E">
        <w:rPr>
          <w:sz w:val="24"/>
          <w:szCs w:val="24"/>
        </w:rPr>
        <w:t>idence</w:t>
      </w:r>
      <w:r>
        <w:rPr>
          <w:sz w:val="24"/>
          <w:szCs w:val="24"/>
        </w:rPr>
        <w:t xml:space="preserve">. This </w:t>
      </w:r>
      <w:r w:rsidR="00DE297E">
        <w:rPr>
          <w:sz w:val="24"/>
          <w:szCs w:val="24"/>
        </w:rPr>
        <w:t xml:space="preserve">approach </w:t>
      </w:r>
      <w:r w:rsidR="004C3D1B">
        <w:rPr>
          <w:sz w:val="24"/>
          <w:szCs w:val="24"/>
        </w:rPr>
        <w:t>assisted</w:t>
      </w:r>
      <w:r w:rsidR="00DE297E">
        <w:rPr>
          <w:sz w:val="24"/>
          <w:szCs w:val="24"/>
        </w:rPr>
        <w:t xml:space="preserve"> the </w:t>
      </w:r>
      <w:r w:rsidR="004C3D1B">
        <w:rPr>
          <w:sz w:val="24"/>
          <w:szCs w:val="24"/>
        </w:rPr>
        <w:t xml:space="preserve">Applicants </w:t>
      </w:r>
      <w:r w:rsidR="00DE297E">
        <w:rPr>
          <w:sz w:val="24"/>
          <w:szCs w:val="24"/>
        </w:rPr>
        <w:t>in the</w:t>
      </w:r>
      <w:r w:rsidR="009D6465">
        <w:rPr>
          <w:sz w:val="24"/>
          <w:szCs w:val="24"/>
        </w:rPr>
        <w:t xml:space="preserve"> </w:t>
      </w:r>
      <w:r w:rsidR="004C3D1B">
        <w:rPr>
          <w:sz w:val="24"/>
          <w:szCs w:val="24"/>
        </w:rPr>
        <w:t>preparation</w:t>
      </w:r>
      <w:r w:rsidR="00267296">
        <w:rPr>
          <w:sz w:val="24"/>
          <w:szCs w:val="24"/>
        </w:rPr>
        <w:t xml:space="preserve"> and conduct </w:t>
      </w:r>
      <w:r w:rsidR="00DE297E">
        <w:rPr>
          <w:sz w:val="24"/>
          <w:szCs w:val="24"/>
        </w:rPr>
        <w:t>of the</w:t>
      </w:r>
      <w:r w:rsidR="00267296">
        <w:rPr>
          <w:sz w:val="24"/>
          <w:szCs w:val="24"/>
        </w:rPr>
        <w:t xml:space="preserve"> matter.</w:t>
      </w:r>
      <w:r>
        <w:rPr>
          <w:sz w:val="24"/>
          <w:szCs w:val="24"/>
        </w:rPr>
        <w:t xml:space="preserve"> </w:t>
      </w:r>
      <w:r w:rsidR="00DE297E">
        <w:rPr>
          <w:sz w:val="24"/>
          <w:szCs w:val="24"/>
        </w:rPr>
        <w:t>M</w:t>
      </w:r>
      <w:r w:rsidR="00884BE7">
        <w:rPr>
          <w:sz w:val="24"/>
          <w:szCs w:val="24"/>
        </w:rPr>
        <w:t>RA</w:t>
      </w:r>
      <w:r w:rsidR="00DE297E">
        <w:rPr>
          <w:sz w:val="24"/>
          <w:szCs w:val="24"/>
        </w:rPr>
        <w:t xml:space="preserve"> </w:t>
      </w:r>
      <w:r w:rsidR="00884BE7">
        <w:rPr>
          <w:sz w:val="24"/>
          <w:szCs w:val="24"/>
        </w:rPr>
        <w:t>anticipate</w:t>
      </w:r>
      <w:r w:rsidR="002F700A">
        <w:rPr>
          <w:sz w:val="24"/>
          <w:szCs w:val="24"/>
        </w:rPr>
        <w:t xml:space="preserve">s </w:t>
      </w:r>
      <w:r w:rsidR="00884BE7">
        <w:rPr>
          <w:sz w:val="24"/>
          <w:szCs w:val="24"/>
        </w:rPr>
        <w:t xml:space="preserve">ISPs will </w:t>
      </w:r>
      <w:r w:rsidR="002F700A">
        <w:rPr>
          <w:sz w:val="24"/>
          <w:szCs w:val="24"/>
        </w:rPr>
        <w:t xml:space="preserve">maintain this position </w:t>
      </w:r>
      <w:r w:rsidR="00884BE7">
        <w:rPr>
          <w:sz w:val="24"/>
          <w:szCs w:val="24"/>
        </w:rPr>
        <w:t xml:space="preserve">in future cases. This should mean </w:t>
      </w:r>
      <w:r w:rsidR="00174F83">
        <w:rPr>
          <w:sz w:val="24"/>
          <w:szCs w:val="24"/>
        </w:rPr>
        <w:t>s</w:t>
      </w:r>
      <w:r w:rsidR="002F700A">
        <w:rPr>
          <w:sz w:val="24"/>
          <w:szCs w:val="24"/>
        </w:rPr>
        <w:t xml:space="preserve">115A cases </w:t>
      </w:r>
      <w:r w:rsidR="00267296">
        <w:rPr>
          <w:sz w:val="24"/>
          <w:szCs w:val="24"/>
        </w:rPr>
        <w:t>can</w:t>
      </w:r>
      <w:r w:rsidR="00DE297E">
        <w:rPr>
          <w:sz w:val="24"/>
          <w:szCs w:val="24"/>
        </w:rPr>
        <w:t xml:space="preserve"> </w:t>
      </w:r>
      <w:r w:rsidR="00884BE7">
        <w:rPr>
          <w:sz w:val="24"/>
          <w:szCs w:val="24"/>
        </w:rPr>
        <w:t>become</w:t>
      </w:r>
      <w:r w:rsidR="00DE297E">
        <w:rPr>
          <w:sz w:val="24"/>
          <w:szCs w:val="24"/>
        </w:rPr>
        <w:t xml:space="preserve"> more </w:t>
      </w:r>
      <w:r w:rsidR="00884BE7">
        <w:rPr>
          <w:sz w:val="24"/>
          <w:szCs w:val="24"/>
        </w:rPr>
        <w:t>streamlined</w:t>
      </w:r>
      <w:r w:rsidR="00DE297E">
        <w:rPr>
          <w:sz w:val="24"/>
          <w:szCs w:val="24"/>
        </w:rPr>
        <w:t xml:space="preserve"> and that orders</w:t>
      </w:r>
      <w:r w:rsidR="00884BE7">
        <w:rPr>
          <w:sz w:val="24"/>
          <w:szCs w:val="24"/>
        </w:rPr>
        <w:t>, including order</w:t>
      </w:r>
      <w:r w:rsidR="004C3D1B">
        <w:rPr>
          <w:sz w:val="24"/>
          <w:szCs w:val="24"/>
        </w:rPr>
        <w:t>s</w:t>
      </w:r>
      <w:r w:rsidR="00884BE7">
        <w:rPr>
          <w:sz w:val="24"/>
          <w:szCs w:val="24"/>
        </w:rPr>
        <w:t xml:space="preserve"> to add proxy sites,</w:t>
      </w:r>
      <w:r w:rsidR="00DE297E">
        <w:rPr>
          <w:sz w:val="24"/>
          <w:szCs w:val="24"/>
        </w:rPr>
        <w:t xml:space="preserve"> can be </w:t>
      </w:r>
      <w:r w:rsidR="00884BE7">
        <w:rPr>
          <w:sz w:val="24"/>
          <w:szCs w:val="24"/>
        </w:rPr>
        <w:t xml:space="preserve">delivered </w:t>
      </w:r>
      <w:r w:rsidR="00DE297E">
        <w:rPr>
          <w:sz w:val="24"/>
          <w:szCs w:val="24"/>
        </w:rPr>
        <w:t>in</w:t>
      </w:r>
      <w:r w:rsidR="006212AC">
        <w:rPr>
          <w:sz w:val="24"/>
          <w:szCs w:val="24"/>
        </w:rPr>
        <w:t xml:space="preserve"> a</w:t>
      </w:r>
      <w:r w:rsidR="00DE297E">
        <w:rPr>
          <w:sz w:val="24"/>
          <w:szCs w:val="24"/>
        </w:rPr>
        <w:t xml:space="preserve"> </w:t>
      </w:r>
      <w:r w:rsidR="00884BE7">
        <w:rPr>
          <w:sz w:val="24"/>
          <w:szCs w:val="24"/>
        </w:rPr>
        <w:t>timely</w:t>
      </w:r>
      <w:r w:rsidR="00DE297E">
        <w:rPr>
          <w:sz w:val="24"/>
          <w:szCs w:val="24"/>
        </w:rPr>
        <w:t xml:space="preserve"> </w:t>
      </w:r>
      <w:r w:rsidR="00884BE7">
        <w:rPr>
          <w:sz w:val="24"/>
          <w:szCs w:val="24"/>
        </w:rPr>
        <w:t>way</w:t>
      </w:r>
      <w:r w:rsidR="00DE297E">
        <w:rPr>
          <w:sz w:val="24"/>
          <w:szCs w:val="24"/>
        </w:rPr>
        <w:t xml:space="preserve">. </w:t>
      </w:r>
      <w:r w:rsidR="00762A01">
        <w:rPr>
          <w:sz w:val="24"/>
          <w:szCs w:val="24"/>
        </w:rPr>
        <w:t xml:space="preserve"> </w:t>
      </w:r>
      <w:r w:rsidR="00B966F0">
        <w:rPr>
          <w:sz w:val="24"/>
          <w:szCs w:val="24"/>
        </w:rPr>
        <w:t xml:space="preserve">However, </w:t>
      </w:r>
      <w:r w:rsidR="00B966F0" w:rsidRPr="006212AC">
        <w:rPr>
          <w:sz w:val="24"/>
          <w:szCs w:val="24"/>
        </w:rPr>
        <w:t>MRA does not anticipate Applicants’ costs to prepare and prove s115A cases will reduce significantly over time as they are required to prove the elements in subsections 1, 4 and 5 in each case.</w:t>
      </w:r>
    </w:p>
    <w:p w:rsidR="00562D12" w:rsidRDefault="00C329AF" w:rsidP="00CB7D13">
      <w:pPr>
        <w:tabs>
          <w:tab w:val="left" w:pos="365"/>
        </w:tabs>
        <w:rPr>
          <w:sz w:val="24"/>
          <w:szCs w:val="24"/>
        </w:rPr>
      </w:pPr>
      <w:r w:rsidRPr="002F700A">
        <w:rPr>
          <w:sz w:val="24"/>
          <w:szCs w:val="24"/>
        </w:rPr>
        <w:t>The problem which s115A is designed to address requires swift action</w:t>
      </w:r>
      <w:r>
        <w:rPr>
          <w:sz w:val="24"/>
          <w:szCs w:val="24"/>
        </w:rPr>
        <w:t>.</w:t>
      </w:r>
      <w:r w:rsidRPr="002F700A">
        <w:rPr>
          <w:sz w:val="24"/>
          <w:szCs w:val="24"/>
        </w:rPr>
        <w:t xml:space="preserve"> </w:t>
      </w:r>
      <w:r w:rsidR="006212AC">
        <w:rPr>
          <w:sz w:val="24"/>
          <w:szCs w:val="24"/>
        </w:rPr>
        <w:t>Judgment in t</w:t>
      </w:r>
      <w:r w:rsidR="00562D12">
        <w:rPr>
          <w:sz w:val="24"/>
          <w:szCs w:val="24"/>
        </w:rPr>
        <w:t xml:space="preserve">he music </w:t>
      </w:r>
      <w:r w:rsidR="000637A1">
        <w:rPr>
          <w:sz w:val="24"/>
          <w:szCs w:val="24"/>
        </w:rPr>
        <w:t>case</w:t>
      </w:r>
      <w:r w:rsidR="00562D12">
        <w:rPr>
          <w:sz w:val="24"/>
          <w:szCs w:val="24"/>
        </w:rPr>
        <w:t xml:space="preserve"> </w:t>
      </w:r>
      <w:r w:rsidR="00884BE7">
        <w:rPr>
          <w:sz w:val="24"/>
          <w:szCs w:val="24"/>
        </w:rPr>
        <w:t>was</w:t>
      </w:r>
      <w:r w:rsidR="00562D12">
        <w:rPr>
          <w:sz w:val="24"/>
          <w:szCs w:val="24"/>
        </w:rPr>
        <w:t xml:space="preserve"> </w:t>
      </w:r>
      <w:r w:rsidR="000637A1">
        <w:rPr>
          <w:sz w:val="24"/>
          <w:szCs w:val="24"/>
        </w:rPr>
        <w:t>delivered</w:t>
      </w:r>
      <w:r w:rsidR="00884BE7">
        <w:rPr>
          <w:sz w:val="24"/>
          <w:szCs w:val="24"/>
        </w:rPr>
        <w:t xml:space="preserve"> on</w:t>
      </w:r>
      <w:r w:rsidR="00562D12">
        <w:rPr>
          <w:sz w:val="24"/>
          <w:szCs w:val="24"/>
        </w:rPr>
        <w:t xml:space="preserve"> 28 </w:t>
      </w:r>
      <w:r w:rsidR="000637A1">
        <w:rPr>
          <w:sz w:val="24"/>
          <w:szCs w:val="24"/>
        </w:rPr>
        <w:t>April</w:t>
      </w:r>
      <w:r w:rsidR="00562D12">
        <w:rPr>
          <w:sz w:val="24"/>
          <w:szCs w:val="24"/>
        </w:rPr>
        <w:t xml:space="preserve"> 2017</w:t>
      </w:r>
      <w:r w:rsidR="00884BE7">
        <w:rPr>
          <w:sz w:val="24"/>
          <w:szCs w:val="24"/>
        </w:rPr>
        <w:t>. T</w:t>
      </w:r>
      <w:r w:rsidR="000637A1">
        <w:rPr>
          <w:sz w:val="24"/>
          <w:szCs w:val="24"/>
        </w:rPr>
        <w:t>he hearing was held over one and half days from 25 October 201</w:t>
      </w:r>
      <w:r w:rsidR="00884BE7">
        <w:rPr>
          <w:sz w:val="24"/>
          <w:szCs w:val="24"/>
        </w:rPr>
        <w:t>6</w:t>
      </w:r>
      <w:r w:rsidR="000637A1">
        <w:rPr>
          <w:sz w:val="24"/>
          <w:szCs w:val="24"/>
        </w:rPr>
        <w:t xml:space="preserve">. </w:t>
      </w:r>
      <w:r>
        <w:rPr>
          <w:sz w:val="24"/>
          <w:szCs w:val="24"/>
        </w:rPr>
        <w:t>Similarly, judgment in the</w:t>
      </w:r>
      <w:r w:rsidR="00CB0352">
        <w:rPr>
          <w:sz w:val="24"/>
          <w:szCs w:val="24"/>
        </w:rPr>
        <w:t xml:space="preserve"> first film and Foxtel cases was</w:t>
      </w:r>
      <w:r>
        <w:rPr>
          <w:sz w:val="24"/>
          <w:szCs w:val="24"/>
        </w:rPr>
        <w:t xml:space="preserve"> delivered six months after the hearings concluded. </w:t>
      </w:r>
      <w:r w:rsidR="00884BE7">
        <w:rPr>
          <w:sz w:val="24"/>
          <w:szCs w:val="24"/>
        </w:rPr>
        <w:t>While</w:t>
      </w:r>
      <w:r w:rsidR="000637A1">
        <w:rPr>
          <w:sz w:val="24"/>
          <w:szCs w:val="24"/>
        </w:rPr>
        <w:t xml:space="preserve"> the</w:t>
      </w:r>
      <w:r w:rsidR="009D6465">
        <w:rPr>
          <w:sz w:val="24"/>
          <w:szCs w:val="24"/>
        </w:rPr>
        <w:t xml:space="preserve"> </w:t>
      </w:r>
      <w:r w:rsidR="00814DC2">
        <w:rPr>
          <w:sz w:val="24"/>
          <w:szCs w:val="24"/>
        </w:rPr>
        <w:t>music</w:t>
      </w:r>
      <w:r w:rsidR="000637A1">
        <w:rPr>
          <w:sz w:val="24"/>
          <w:szCs w:val="24"/>
        </w:rPr>
        <w:t xml:space="preserve"> </w:t>
      </w:r>
      <w:r w:rsidR="00884BE7">
        <w:rPr>
          <w:sz w:val="24"/>
          <w:szCs w:val="24"/>
        </w:rPr>
        <w:t xml:space="preserve">industry appreciates </w:t>
      </w:r>
      <w:r w:rsidR="000637A1">
        <w:rPr>
          <w:sz w:val="24"/>
          <w:szCs w:val="24"/>
        </w:rPr>
        <w:t>that</w:t>
      </w:r>
      <w:r w:rsidR="00884BE7">
        <w:rPr>
          <w:sz w:val="24"/>
          <w:szCs w:val="24"/>
        </w:rPr>
        <w:t xml:space="preserve"> </w:t>
      </w:r>
      <w:r>
        <w:rPr>
          <w:sz w:val="24"/>
          <w:szCs w:val="24"/>
        </w:rPr>
        <w:t>these were the first cases under s115A,</w:t>
      </w:r>
      <w:r w:rsidR="00884BE7">
        <w:rPr>
          <w:sz w:val="24"/>
          <w:szCs w:val="24"/>
        </w:rPr>
        <w:t xml:space="preserve"> </w:t>
      </w:r>
      <w:r w:rsidR="000637A1">
        <w:rPr>
          <w:sz w:val="24"/>
          <w:szCs w:val="24"/>
        </w:rPr>
        <w:t>it is hoped</w:t>
      </w:r>
      <w:r w:rsidR="00884BE7">
        <w:rPr>
          <w:sz w:val="24"/>
          <w:szCs w:val="24"/>
        </w:rPr>
        <w:t xml:space="preserve"> that </w:t>
      </w:r>
      <w:r>
        <w:rPr>
          <w:sz w:val="24"/>
          <w:szCs w:val="24"/>
        </w:rPr>
        <w:t xml:space="preserve">as the case law develops and the processes become more streamlined </w:t>
      </w:r>
      <w:r w:rsidR="00884BE7">
        <w:rPr>
          <w:sz w:val="24"/>
          <w:szCs w:val="24"/>
        </w:rPr>
        <w:t>judgment</w:t>
      </w:r>
      <w:r>
        <w:rPr>
          <w:sz w:val="24"/>
          <w:szCs w:val="24"/>
        </w:rPr>
        <w:t>s in future cases will be delivered much more expeditiously</w:t>
      </w:r>
      <w:r w:rsidR="002376E4">
        <w:rPr>
          <w:sz w:val="24"/>
          <w:szCs w:val="24"/>
        </w:rPr>
        <w:t>.</w:t>
      </w:r>
      <w:r w:rsidR="00884BE7">
        <w:rPr>
          <w:sz w:val="24"/>
          <w:szCs w:val="24"/>
        </w:rPr>
        <w:t xml:space="preserve">  </w:t>
      </w:r>
    </w:p>
    <w:p w:rsidR="006212AC" w:rsidRDefault="006212AC" w:rsidP="004C3D1B">
      <w:pPr>
        <w:tabs>
          <w:tab w:val="left" w:pos="365"/>
        </w:tabs>
        <w:rPr>
          <w:sz w:val="24"/>
          <w:szCs w:val="24"/>
        </w:rPr>
      </w:pPr>
    </w:p>
    <w:p w:rsidR="00282839" w:rsidRPr="00191932" w:rsidRDefault="00191932" w:rsidP="00CB7D13">
      <w:pPr>
        <w:tabs>
          <w:tab w:val="left" w:pos="365"/>
        </w:tabs>
        <w:rPr>
          <w:b/>
          <w:i/>
          <w:sz w:val="24"/>
          <w:szCs w:val="24"/>
        </w:rPr>
      </w:pPr>
      <w:r w:rsidRPr="00191932">
        <w:rPr>
          <w:b/>
          <w:i/>
          <w:sz w:val="24"/>
          <w:szCs w:val="24"/>
        </w:rPr>
        <w:t>Conditions</w:t>
      </w:r>
      <w:r w:rsidR="00282839" w:rsidRPr="00191932">
        <w:rPr>
          <w:b/>
          <w:i/>
          <w:sz w:val="24"/>
          <w:szCs w:val="24"/>
        </w:rPr>
        <w:t xml:space="preserve"> Precedent</w:t>
      </w:r>
      <w:r w:rsidR="00174F83">
        <w:rPr>
          <w:b/>
          <w:i/>
          <w:sz w:val="24"/>
          <w:szCs w:val="24"/>
        </w:rPr>
        <w:t>:</w:t>
      </w:r>
      <w:r w:rsidRPr="00191932">
        <w:rPr>
          <w:b/>
          <w:i/>
          <w:sz w:val="24"/>
          <w:szCs w:val="24"/>
        </w:rPr>
        <w:t xml:space="preserve"> section</w:t>
      </w:r>
      <w:r w:rsidR="00282839" w:rsidRPr="00191932">
        <w:rPr>
          <w:b/>
          <w:i/>
          <w:sz w:val="24"/>
          <w:szCs w:val="24"/>
        </w:rPr>
        <w:t xml:space="preserve"> 115A (1</w:t>
      </w:r>
      <w:r w:rsidR="002376E4">
        <w:rPr>
          <w:b/>
          <w:i/>
          <w:sz w:val="24"/>
          <w:szCs w:val="24"/>
        </w:rPr>
        <w:t>) (</w:t>
      </w:r>
      <w:r w:rsidR="00282839" w:rsidRPr="00191932">
        <w:rPr>
          <w:b/>
          <w:i/>
          <w:sz w:val="24"/>
          <w:szCs w:val="24"/>
        </w:rPr>
        <w:t>a)</w:t>
      </w:r>
      <w:r w:rsidR="00814DC2" w:rsidRPr="00191932">
        <w:rPr>
          <w:b/>
          <w:i/>
          <w:sz w:val="24"/>
          <w:szCs w:val="24"/>
        </w:rPr>
        <w:t>, (</w:t>
      </w:r>
      <w:r w:rsidR="00282839" w:rsidRPr="00191932">
        <w:rPr>
          <w:b/>
          <w:i/>
          <w:sz w:val="24"/>
          <w:szCs w:val="24"/>
        </w:rPr>
        <w:t>b) and (c)</w:t>
      </w:r>
    </w:p>
    <w:p w:rsidR="00F0394C" w:rsidRDefault="00282839" w:rsidP="00CB7D13">
      <w:pPr>
        <w:tabs>
          <w:tab w:val="left" w:pos="365"/>
        </w:tabs>
        <w:rPr>
          <w:sz w:val="24"/>
          <w:szCs w:val="24"/>
        </w:rPr>
      </w:pPr>
      <w:r>
        <w:rPr>
          <w:sz w:val="24"/>
          <w:szCs w:val="24"/>
        </w:rPr>
        <w:t>T</w:t>
      </w:r>
      <w:r w:rsidR="00FB3017">
        <w:rPr>
          <w:sz w:val="24"/>
          <w:szCs w:val="24"/>
        </w:rPr>
        <w:t>he</w:t>
      </w:r>
      <w:r>
        <w:rPr>
          <w:sz w:val="24"/>
          <w:szCs w:val="24"/>
        </w:rPr>
        <w:t xml:space="preserve"> </w:t>
      </w:r>
      <w:r w:rsidR="00FB3017">
        <w:rPr>
          <w:sz w:val="24"/>
          <w:szCs w:val="24"/>
        </w:rPr>
        <w:t>Australian</w:t>
      </w:r>
      <w:r>
        <w:rPr>
          <w:sz w:val="24"/>
          <w:szCs w:val="24"/>
        </w:rPr>
        <w:t xml:space="preserve"> </w:t>
      </w:r>
      <w:r w:rsidR="00FB3017">
        <w:rPr>
          <w:sz w:val="24"/>
          <w:szCs w:val="24"/>
        </w:rPr>
        <w:t>Government</w:t>
      </w:r>
      <w:r>
        <w:rPr>
          <w:sz w:val="24"/>
          <w:szCs w:val="24"/>
        </w:rPr>
        <w:t xml:space="preserve"> </w:t>
      </w:r>
      <w:r w:rsidR="00FB3017">
        <w:rPr>
          <w:sz w:val="24"/>
          <w:szCs w:val="24"/>
        </w:rPr>
        <w:t>adopted</w:t>
      </w:r>
      <w:r>
        <w:rPr>
          <w:sz w:val="24"/>
          <w:szCs w:val="24"/>
        </w:rPr>
        <w:t xml:space="preserve"> a </w:t>
      </w:r>
      <w:r w:rsidR="00FB3017">
        <w:rPr>
          <w:sz w:val="24"/>
          <w:szCs w:val="24"/>
        </w:rPr>
        <w:t>prescriptive</w:t>
      </w:r>
      <w:r>
        <w:rPr>
          <w:sz w:val="24"/>
          <w:szCs w:val="24"/>
        </w:rPr>
        <w:t xml:space="preserve"> </w:t>
      </w:r>
      <w:r w:rsidR="00FB3017">
        <w:rPr>
          <w:sz w:val="24"/>
          <w:szCs w:val="24"/>
        </w:rPr>
        <w:t>mode</w:t>
      </w:r>
      <w:r w:rsidR="002376E4">
        <w:rPr>
          <w:sz w:val="24"/>
          <w:szCs w:val="24"/>
        </w:rPr>
        <w:t xml:space="preserve">l </w:t>
      </w:r>
      <w:r w:rsidR="00267296">
        <w:rPr>
          <w:sz w:val="24"/>
          <w:szCs w:val="24"/>
        </w:rPr>
        <w:t>in</w:t>
      </w:r>
      <w:r w:rsidR="00FB3017">
        <w:rPr>
          <w:sz w:val="24"/>
          <w:szCs w:val="24"/>
        </w:rPr>
        <w:t xml:space="preserve"> s115A</w:t>
      </w:r>
      <w:r>
        <w:rPr>
          <w:sz w:val="24"/>
          <w:szCs w:val="24"/>
        </w:rPr>
        <w:t xml:space="preserve">. </w:t>
      </w:r>
      <w:r w:rsidR="00CC1447">
        <w:rPr>
          <w:sz w:val="24"/>
          <w:szCs w:val="24"/>
        </w:rPr>
        <w:t>T</w:t>
      </w:r>
      <w:r>
        <w:rPr>
          <w:sz w:val="24"/>
          <w:szCs w:val="24"/>
        </w:rPr>
        <w:t xml:space="preserve">his </w:t>
      </w:r>
      <w:r w:rsidR="00FB3017">
        <w:rPr>
          <w:sz w:val="24"/>
          <w:szCs w:val="24"/>
        </w:rPr>
        <w:t>model places additional evidentiary burdens</w:t>
      </w:r>
      <w:r w:rsidR="00CC1447">
        <w:rPr>
          <w:sz w:val="24"/>
          <w:szCs w:val="24"/>
        </w:rPr>
        <w:t xml:space="preserve"> on</w:t>
      </w:r>
      <w:r w:rsidR="00FB3017">
        <w:rPr>
          <w:sz w:val="24"/>
          <w:szCs w:val="24"/>
        </w:rPr>
        <w:t xml:space="preserve"> copyright owners</w:t>
      </w:r>
      <w:r w:rsidR="005F47C9">
        <w:rPr>
          <w:sz w:val="24"/>
          <w:szCs w:val="24"/>
        </w:rPr>
        <w:t xml:space="preserve"> which</w:t>
      </w:r>
      <w:r w:rsidR="00FB3017">
        <w:rPr>
          <w:sz w:val="24"/>
          <w:szCs w:val="24"/>
        </w:rPr>
        <w:t xml:space="preserve"> site blocking legislation</w:t>
      </w:r>
      <w:r w:rsidR="002376E4">
        <w:rPr>
          <w:sz w:val="24"/>
          <w:szCs w:val="24"/>
        </w:rPr>
        <w:t xml:space="preserve"> in other jurisdictions does not require</w:t>
      </w:r>
      <w:r w:rsidR="00FB3017">
        <w:rPr>
          <w:rStyle w:val="FootnoteReference"/>
          <w:sz w:val="24"/>
          <w:szCs w:val="24"/>
        </w:rPr>
        <w:footnoteReference w:id="7"/>
      </w:r>
      <w:r w:rsidR="00FB3017">
        <w:rPr>
          <w:sz w:val="24"/>
          <w:szCs w:val="24"/>
        </w:rPr>
        <w:t xml:space="preserve">. </w:t>
      </w:r>
      <w:r w:rsidR="00F0394C">
        <w:rPr>
          <w:sz w:val="24"/>
          <w:szCs w:val="24"/>
        </w:rPr>
        <w:t>For example</w:t>
      </w:r>
      <w:r w:rsidR="005F47C9">
        <w:rPr>
          <w:sz w:val="24"/>
          <w:szCs w:val="24"/>
        </w:rPr>
        <w:t>:</w:t>
      </w:r>
      <w:r w:rsidR="002376E4">
        <w:rPr>
          <w:sz w:val="24"/>
          <w:szCs w:val="24"/>
        </w:rPr>
        <w:t xml:space="preserve"> the </w:t>
      </w:r>
      <w:r w:rsidR="00CC1447">
        <w:rPr>
          <w:sz w:val="24"/>
          <w:szCs w:val="24"/>
        </w:rPr>
        <w:t>requirement to prove the illegal site is an online location outside Australia.  It was</w:t>
      </w:r>
      <w:r w:rsidR="00FB3017">
        <w:rPr>
          <w:sz w:val="24"/>
          <w:szCs w:val="24"/>
        </w:rPr>
        <w:t xml:space="preserve"> a challenge </w:t>
      </w:r>
      <w:r w:rsidR="00CC1447">
        <w:rPr>
          <w:sz w:val="24"/>
          <w:szCs w:val="24"/>
        </w:rPr>
        <w:t>to</w:t>
      </w:r>
      <w:r w:rsidR="00FB3017">
        <w:rPr>
          <w:sz w:val="24"/>
          <w:szCs w:val="24"/>
        </w:rPr>
        <w:t xml:space="preserve"> </w:t>
      </w:r>
      <w:r w:rsidR="00CC1447">
        <w:rPr>
          <w:sz w:val="24"/>
          <w:szCs w:val="24"/>
        </w:rPr>
        <w:t>discharge the evidentiary burden to establish this element</w:t>
      </w:r>
      <w:r w:rsidR="00FB3017">
        <w:rPr>
          <w:sz w:val="24"/>
          <w:szCs w:val="24"/>
        </w:rPr>
        <w:t>.</w:t>
      </w:r>
      <w:r w:rsidR="00CC1447">
        <w:rPr>
          <w:sz w:val="24"/>
          <w:szCs w:val="24"/>
        </w:rPr>
        <w:t xml:space="preserve"> While t</w:t>
      </w:r>
      <w:r w:rsidR="00FB3017">
        <w:rPr>
          <w:sz w:val="24"/>
          <w:szCs w:val="24"/>
        </w:rPr>
        <w:t xml:space="preserve">he </w:t>
      </w:r>
      <w:r w:rsidR="00CC1447">
        <w:rPr>
          <w:sz w:val="24"/>
          <w:szCs w:val="24"/>
        </w:rPr>
        <w:t>A</w:t>
      </w:r>
      <w:r w:rsidR="00FB3017">
        <w:rPr>
          <w:sz w:val="24"/>
          <w:szCs w:val="24"/>
        </w:rPr>
        <w:t>pplicants</w:t>
      </w:r>
      <w:r w:rsidR="004870A5">
        <w:rPr>
          <w:sz w:val="24"/>
          <w:szCs w:val="24"/>
        </w:rPr>
        <w:t>’</w:t>
      </w:r>
      <w:r w:rsidR="00FB3017">
        <w:rPr>
          <w:sz w:val="24"/>
          <w:szCs w:val="24"/>
        </w:rPr>
        <w:t xml:space="preserve"> evidence was accepted by the Court</w:t>
      </w:r>
      <w:r w:rsidR="006212AC">
        <w:rPr>
          <w:sz w:val="24"/>
          <w:szCs w:val="24"/>
        </w:rPr>
        <w:t>,</w:t>
      </w:r>
      <w:r w:rsidR="00CC1447">
        <w:rPr>
          <w:sz w:val="24"/>
          <w:szCs w:val="24"/>
        </w:rPr>
        <w:t xml:space="preserve"> in the future it may become a barrier to legitimate applications particularly as the illegal</w:t>
      </w:r>
      <w:r w:rsidR="00F0394C">
        <w:rPr>
          <w:sz w:val="24"/>
          <w:szCs w:val="24"/>
        </w:rPr>
        <w:t xml:space="preserve"> sites</w:t>
      </w:r>
      <w:r w:rsidR="00FB3017">
        <w:rPr>
          <w:sz w:val="24"/>
          <w:szCs w:val="24"/>
        </w:rPr>
        <w:t xml:space="preserve"> adapt </w:t>
      </w:r>
      <w:r w:rsidR="00CC1447">
        <w:rPr>
          <w:sz w:val="24"/>
          <w:szCs w:val="24"/>
        </w:rPr>
        <w:t>to avoid</w:t>
      </w:r>
      <w:r w:rsidR="00F0394C">
        <w:rPr>
          <w:sz w:val="24"/>
          <w:szCs w:val="24"/>
        </w:rPr>
        <w:t xml:space="preserve"> site blocking </w:t>
      </w:r>
      <w:r w:rsidR="00CC1447">
        <w:rPr>
          <w:sz w:val="24"/>
          <w:szCs w:val="24"/>
        </w:rPr>
        <w:t>legislation</w:t>
      </w:r>
      <w:r w:rsidR="006212AC">
        <w:rPr>
          <w:sz w:val="24"/>
          <w:szCs w:val="24"/>
        </w:rPr>
        <w:t xml:space="preserve"> here and </w:t>
      </w:r>
      <w:r w:rsidR="00CC1447">
        <w:rPr>
          <w:sz w:val="24"/>
          <w:szCs w:val="24"/>
        </w:rPr>
        <w:t>in other jurisdictions.</w:t>
      </w:r>
    </w:p>
    <w:p w:rsidR="00FB3017" w:rsidRDefault="00B8623D" w:rsidP="00CB7D13">
      <w:pPr>
        <w:tabs>
          <w:tab w:val="left" w:pos="365"/>
        </w:tabs>
        <w:rPr>
          <w:sz w:val="24"/>
          <w:szCs w:val="24"/>
        </w:rPr>
      </w:pPr>
      <w:r>
        <w:rPr>
          <w:sz w:val="24"/>
          <w:szCs w:val="24"/>
        </w:rPr>
        <w:t xml:space="preserve">At this time, </w:t>
      </w:r>
      <w:r w:rsidR="002376E4">
        <w:rPr>
          <w:sz w:val="24"/>
          <w:szCs w:val="24"/>
        </w:rPr>
        <w:t>MRA does not</w:t>
      </w:r>
      <w:r>
        <w:rPr>
          <w:sz w:val="24"/>
          <w:szCs w:val="24"/>
        </w:rPr>
        <w:t xml:space="preserve"> wish to recommend </w:t>
      </w:r>
      <w:r w:rsidR="002376E4">
        <w:rPr>
          <w:sz w:val="24"/>
          <w:szCs w:val="24"/>
        </w:rPr>
        <w:t xml:space="preserve">changes to subsection </w:t>
      </w:r>
      <w:r w:rsidR="00174F83">
        <w:rPr>
          <w:sz w:val="24"/>
          <w:szCs w:val="24"/>
        </w:rPr>
        <w:t>(</w:t>
      </w:r>
      <w:r w:rsidR="002376E4">
        <w:rPr>
          <w:sz w:val="24"/>
          <w:szCs w:val="24"/>
        </w:rPr>
        <w:t>1</w:t>
      </w:r>
      <w:r w:rsidR="00174F83">
        <w:rPr>
          <w:sz w:val="24"/>
          <w:szCs w:val="24"/>
        </w:rPr>
        <w:t>)</w:t>
      </w:r>
      <w:r w:rsidR="002376E4">
        <w:rPr>
          <w:sz w:val="24"/>
          <w:szCs w:val="24"/>
        </w:rPr>
        <w:t xml:space="preserve"> but </w:t>
      </w:r>
      <w:r>
        <w:rPr>
          <w:sz w:val="24"/>
          <w:szCs w:val="24"/>
        </w:rPr>
        <w:t>suggests</w:t>
      </w:r>
      <w:r w:rsidR="00F0394C">
        <w:rPr>
          <w:sz w:val="24"/>
          <w:szCs w:val="24"/>
        </w:rPr>
        <w:t xml:space="preserve"> </w:t>
      </w:r>
      <w:r w:rsidR="00267296">
        <w:rPr>
          <w:sz w:val="24"/>
          <w:szCs w:val="24"/>
        </w:rPr>
        <w:t xml:space="preserve">all </w:t>
      </w:r>
      <w:r w:rsidR="00F0394C">
        <w:rPr>
          <w:sz w:val="24"/>
          <w:szCs w:val="24"/>
        </w:rPr>
        <w:t>the conditions precedent</w:t>
      </w:r>
      <w:r w:rsidR="00174F83">
        <w:rPr>
          <w:sz w:val="24"/>
          <w:szCs w:val="24"/>
        </w:rPr>
        <w:t xml:space="preserve"> should be</w:t>
      </w:r>
      <w:r w:rsidR="00CC1447">
        <w:rPr>
          <w:sz w:val="24"/>
          <w:szCs w:val="24"/>
        </w:rPr>
        <w:t xml:space="preserve"> </w:t>
      </w:r>
      <w:r w:rsidR="00F0394C">
        <w:rPr>
          <w:sz w:val="24"/>
          <w:szCs w:val="24"/>
        </w:rPr>
        <w:t xml:space="preserve">reviewed in the </w:t>
      </w:r>
      <w:r w:rsidR="00CC1447">
        <w:rPr>
          <w:sz w:val="24"/>
          <w:szCs w:val="24"/>
        </w:rPr>
        <w:t xml:space="preserve">future to </w:t>
      </w:r>
      <w:r w:rsidR="002376E4">
        <w:rPr>
          <w:sz w:val="24"/>
          <w:szCs w:val="24"/>
        </w:rPr>
        <w:t>ensure</w:t>
      </w:r>
      <w:r w:rsidR="00CC1447">
        <w:rPr>
          <w:sz w:val="24"/>
          <w:szCs w:val="24"/>
        </w:rPr>
        <w:t xml:space="preserve"> s115A</w:t>
      </w:r>
      <w:r w:rsidR="009D6465">
        <w:rPr>
          <w:sz w:val="24"/>
          <w:szCs w:val="24"/>
        </w:rPr>
        <w:t xml:space="preserve"> is</w:t>
      </w:r>
      <w:r w:rsidR="00CC1447">
        <w:rPr>
          <w:sz w:val="24"/>
          <w:szCs w:val="24"/>
        </w:rPr>
        <w:t xml:space="preserve"> an effective</w:t>
      </w:r>
      <w:r w:rsidR="002376E4">
        <w:rPr>
          <w:sz w:val="24"/>
          <w:szCs w:val="24"/>
        </w:rPr>
        <w:t xml:space="preserve"> and </w:t>
      </w:r>
      <w:r w:rsidR="00CC1447">
        <w:rPr>
          <w:sz w:val="24"/>
          <w:szCs w:val="24"/>
        </w:rPr>
        <w:t>eff</w:t>
      </w:r>
      <w:r w:rsidR="002376E4">
        <w:rPr>
          <w:sz w:val="24"/>
          <w:szCs w:val="24"/>
        </w:rPr>
        <w:t>icient</w:t>
      </w:r>
      <w:r w:rsidR="00CC1447">
        <w:rPr>
          <w:sz w:val="24"/>
          <w:szCs w:val="24"/>
        </w:rPr>
        <w:t xml:space="preserve"> </w:t>
      </w:r>
      <w:r w:rsidR="002376E4">
        <w:rPr>
          <w:sz w:val="24"/>
          <w:szCs w:val="24"/>
        </w:rPr>
        <w:t>mechanism</w:t>
      </w:r>
      <w:r w:rsidR="00CC1447">
        <w:rPr>
          <w:sz w:val="24"/>
          <w:szCs w:val="24"/>
        </w:rPr>
        <w:t xml:space="preserve"> </w:t>
      </w:r>
      <w:r w:rsidR="002376E4">
        <w:rPr>
          <w:sz w:val="24"/>
          <w:szCs w:val="24"/>
        </w:rPr>
        <w:t>to address online copyright infringement</w:t>
      </w:r>
      <w:r w:rsidR="00CC1447">
        <w:rPr>
          <w:sz w:val="24"/>
          <w:szCs w:val="24"/>
        </w:rPr>
        <w:t xml:space="preserve">. </w:t>
      </w:r>
    </w:p>
    <w:p w:rsidR="00282839" w:rsidRPr="002376E4" w:rsidRDefault="00562D12" w:rsidP="00DB6EF7">
      <w:pPr>
        <w:keepNext/>
        <w:tabs>
          <w:tab w:val="left" w:pos="365"/>
        </w:tabs>
        <w:rPr>
          <w:b/>
          <w:sz w:val="24"/>
          <w:szCs w:val="24"/>
        </w:rPr>
      </w:pPr>
      <w:r w:rsidRPr="002376E4">
        <w:rPr>
          <w:b/>
          <w:sz w:val="24"/>
          <w:szCs w:val="24"/>
        </w:rPr>
        <w:t>Notices</w:t>
      </w:r>
      <w:r w:rsidR="00174F83">
        <w:rPr>
          <w:b/>
          <w:sz w:val="24"/>
          <w:szCs w:val="24"/>
        </w:rPr>
        <w:t>:</w:t>
      </w:r>
      <w:r w:rsidR="002376E4" w:rsidRPr="002376E4">
        <w:rPr>
          <w:b/>
          <w:sz w:val="24"/>
          <w:szCs w:val="24"/>
        </w:rPr>
        <w:t xml:space="preserve"> </w:t>
      </w:r>
      <w:r w:rsidR="002376E4">
        <w:rPr>
          <w:b/>
          <w:sz w:val="24"/>
          <w:szCs w:val="24"/>
        </w:rPr>
        <w:t>s</w:t>
      </w:r>
      <w:r w:rsidR="002376E4" w:rsidRPr="002376E4">
        <w:rPr>
          <w:b/>
          <w:sz w:val="24"/>
          <w:szCs w:val="24"/>
        </w:rPr>
        <w:t>ection 115A (</w:t>
      </w:r>
      <w:r w:rsidR="00282839" w:rsidRPr="002376E4">
        <w:rPr>
          <w:b/>
          <w:sz w:val="24"/>
          <w:szCs w:val="24"/>
        </w:rPr>
        <w:t>4</w:t>
      </w:r>
      <w:r w:rsidR="002376E4" w:rsidRPr="002376E4">
        <w:rPr>
          <w:b/>
          <w:sz w:val="24"/>
          <w:szCs w:val="24"/>
        </w:rPr>
        <w:t>)</w:t>
      </w:r>
    </w:p>
    <w:p w:rsidR="00854E7D" w:rsidRDefault="00B8623D" w:rsidP="00CB7D13">
      <w:pPr>
        <w:tabs>
          <w:tab w:val="left" w:pos="365"/>
        </w:tabs>
        <w:rPr>
          <w:sz w:val="24"/>
          <w:szCs w:val="24"/>
        </w:rPr>
      </w:pPr>
      <w:r>
        <w:rPr>
          <w:sz w:val="24"/>
          <w:szCs w:val="24"/>
        </w:rPr>
        <w:t>The site operators are difficult to contact. The sites are structured to make contact difficult if not impossible</w:t>
      </w:r>
      <w:r w:rsidR="00267296">
        <w:rPr>
          <w:sz w:val="24"/>
          <w:szCs w:val="24"/>
        </w:rPr>
        <w:t>. T</w:t>
      </w:r>
      <w:r w:rsidR="005F47C9" w:rsidRPr="005F47C9">
        <w:rPr>
          <w:sz w:val="24"/>
          <w:szCs w:val="24"/>
        </w:rPr>
        <w:t>he Court took a pragmatic approach to this condition</w:t>
      </w:r>
      <w:r w:rsidR="005F47C9">
        <w:rPr>
          <w:sz w:val="24"/>
          <w:szCs w:val="24"/>
        </w:rPr>
        <w:t>. MRA does not anticipate this will change</w:t>
      </w:r>
      <w:r w:rsidR="00267296">
        <w:rPr>
          <w:sz w:val="24"/>
          <w:szCs w:val="24"/>
        </w:rPr>
        <w:t xml:space="preserve"> and does not consider this condition problematic</w:t>
      </w:r>
      <w:r w:rsidR="005F47C9">
        <w:rPr>
          <w:sz w:val="24"/>
          <w:szCs w:val="24"/>
        </w:rPr>
        <w:t xml:space="preserve">. </w:t>
      </w:r>
    </w:p>
    <w:p w:rsidR="00144B97" w:rsidRPr="00854E7D" w:rsidRDefault="00144B97" w:rsidP="00DB6EF7">
      <w:pPr>
        <w:keepNext/>
        <w:tabs>
          <w:tab w:val="left" w:pos="365"/>
        </w:tabs>
        <w:rPr>
          <w:b/>
          <w:sz w:val="24"/>
          <w:szCs w:val="24"/>
        </w:rPr>
      </w:pPr>
      <w:r w:rsidRPr="00854E7D">
        <w:rPr>
          <w:b/>
          <w:sz w:val="24"/>
          <w:szCs w:val="24"/>
        </w:rPr>
        <w:t>The eleven</w:t>
      </w:r>
      <w:r w:rsidR="00562D12" w:rsidRPr="00854E7D">
        <w:rPr>
          <w:b/>
          <w:sz w:val="24"/>
          <w:szCs w:val="24"/>
        </w:rPr>
        <w:t xml:space="preserve"> factors which the </w:t>
      </w:r>
      <w:r w:rsidR="006212AC">
        <w:rPr>
          <w:b/>
          <w:sz w:val="24"/>
          <w:szCs w:val="24"/>
        </w:rPr>
        <w:t>C</w:t>
      </w:r>
      <w:r w:rsidR="00562D12" w:rsidRPr="00854E7D">
        <w:rPr>
          <w:b/>
          <w:sz w:val="24"/>
          <w:szCs w:val="24"/>
        </w:rPr>
        <w:t xml:space="preserve">ourt may </w:t>
      </w:r>
      <w:r w:rsidRPr="00854E7D">
        <w:rPr>
          <w:b/>
          <w:sz w:val="24"/>
          <w:szCs w:val="24"/>
        </w:rPr>
        <w:t>take</w:t>
      </w:r>
      <w:r w:rsidR="00562D12" w:rsidRPr="00854E7D">
        <w:rPr>
          <w:b/>
          <w:sz w:val="24"/>
          <w:szCs w:val="24"/>
        </w:rPr>
        <w:t xml:space="preserve"> into account</w:t>
      </w:r>
      <w:r w:rsidR="00174F83">
        <w:rPr>
          <w:b/>
          <w:sz w:val="24"/>
          <w:szCs w:val="24"/>
        </w:rPr>
        <w:t>:</w:t>
      </w:r>
      <w:r w:rsidR="00562D12" w:rsidRPr="00854E7D">
        <w:rPr>
          <w:b/>
          <w:sz w:val="24"/>
          <w:szCs w:val="24"/>
        </w:rPr>
        <w:t xml:space="preserve"> </w:t>
      </w:r>
      <w:r w:rsidRPr="00854E7D">
        <w:rPr>
          <w:b/>
          <w:sz w:val="24"/>
          <w:szCs w:val="24"/>
        </w:rPr>
        <w:t>section 115A</w:t>
      </w:r>
      <w:r w:rsidR="00DD10B9">
        <w:rPr>
          <w:b/>
          <w:sz w:val="24"/>
          <w:szCs w:val="24"/>
        </w:rPr>
        <w:t xml:space="preserve"> </w:t>
      </w:r>
      <w:r w:rsidRPr="00854E7D">
        <w:rPr>
          <w:b/>
          <w:sz w:val="24"/>
          <w:szCs w:val="24"/>
        </w:rPr>
        <w:t xml:space="preserve">(5) </w:t>
      </w:r>
    </w:p>
    <w:p w:rsidR="00144B97" w:rsidRDefault="00144B97" w:rsidP="00CB7D13">
      <w:pPr>
        <w:tabs>
          <w:tab w:val="left" w:pos="365"/>
        </w:tabs>
        <w:rPr>
          <w:sz w:val="24"/>
          <w:szCs w:val="24"/>
        </w:rPr>
      </w:pPr>
      <w:r>
        <w:rPr>
          <w:sz w:val="24"/>
          <w:szCs w:val="24"/>
        </w:rPr>
        <w:t>As this was the first music case</w:t>
      </w:r>
      <w:r w:rsidR="00DD10B9">
        <w:rPr>
          <w:sz w:val="24"/>
          <w:szCs w:val="24"/>
        </w:rPr>
        <w:t>,</w:t>
      </w:r>
      <w:r>
        <w:rPr>
          <w:sz w:val="24"/>
          <w:szCs w:val="24"/>
        </w:rPr>
        <w:t xml:space="preserve"> the Applicants lead evidence which went to each of the 11 factor</w:t>
      </w:r>
      <w:r w:rsidR="005F47C9">
        <w:rPr>
          <w:sz w:val="24"/>
          <w:szCs w:val="24"/>
        </w:rPr>
        <w:t>s</w:t>
      </w:r>
      <w:r>
        <w:rPr>
          <w:sz w:val="24"/>
          <w:szCs w:val="24"/>
        </w:rPr>
        <w:t xml:space="preserve">. </w:t>
      </w:r>
      <w:r w:rsidRPr="00144B97">
        <w:rPr>
          <w:sz w:val="24"/>
          <w:szCs w:val="24"/>
        </w:rPr>
        <w:t>The Applicants</w:t>
      </w:r>
      <w:r w:rsidR="00854E7D">
        <w:rPr>
          <w:sz w:val="24"/>
          <w:szCs w:val="24"/>
        </w:rPr>
        <w:t>’</w:t>
      </w:r>
      <w:r w:rsidRPr="00144B97">
        <w:rPr>
          <w:sz w:val="24"/>
          <w:szCs w:val="24"/>
        </w:rPr>
        <w:t xml:space="preserve"> evidence was accepted by the</w:t>
      </w:r>
      <w:r w:rsidR="00267296">
        <w:rPr>
          <w:sz w:val="24"/>
          <w:szCs w:val="24"/>
        </w:rPr>
        <w:t xml:space="preserve"> </w:t>
      </w:r>
      <w:r w:rsidRPr="00144B97">
        <w:rPr>
          <w:sz w:val="24"/>
          <w:szCs w:val="24"/>
        </w:rPr>
        <w:t>Court</w:t>
      </w:r>
      <w:r w:rsidR="006C3425">
        <w:rPr>
          <w:sz w:val="24"/>
          <w:szCs w:val="24"/>
        </w:rPr>
        <w:t>.</w:t>
      </w:r>
    </w:p>
    <w:p w:rsidR="00144B97" w:rsidRDefault="00144B97" w:rsidP="00CB7D13">
      <w:pPr>
        <w:tabs>
          <w:tab w:val="left" w:pos="365"/>
        </w:tabs>
        <w:rPr>
          <w:sz w:val="24"/>
          <w:szCs w:val="24"/>
        </w:rPr>
      </w:pPr>
      <w:r>
        <w:rPr>
          <w:sz w:val="24"/>
          <w:szCs w:val="24"/>
        </w:rPr>
        <w:t>At this</w:t>
      </w:r>
      <w:r w:rsidR="000637A1">
        <w:rPr>
          <w:sz w:val="24"/>
          <w:szCs w:val="24"/>
        </w:rPr>
        <w:t xml:space="preserve"> time</w:t>
      </w:r>
      <w:r w:rsidR="005F47C9">
        <w:rPr>
          <w:sz w:val="24"/>
          <w:szCs w:val="24"/>
        </w:rPr>
        <w:t>,</w:t>
      </w:r>
      <w:r w:rsidR="000637A1">
        <w:rPr>
          <w:sz w:val="24"/>
          <w:szCs w:val="24"/>
        </w:rPr>
        <w:t xml:space="preserve"> </w:t>
      </w:r>
      <w:r>
        <w:rPr>
          <w:sz w:val="24"/>
          <w:szCs w:val="24"/>
        </w:rPr>
        <w:t xml:space="preserve">MRA </w:t>
      </w:r>
      <w:r w:rsidR="000637A1">
        <w:rPr>
          <w:sz w:val="24"/>
          <w:szCs w:val="24"/>
        </w:rPr>
        <w:t>do</w:t>
      </w:r>
      <w:r w:rsidR="00854E7D">
        <w:rPr>
          <w:sz w:val="24"/>
          <w:szCs w:val="24"/>
        </w:rPr>
        <w:t>es</w:t>
      </w:r>
      <w:r w:rsidR="000637A1">
        <w:rPr>
          <w:sz w:val="24"/>
          <w:szCs w:val="24"/>
        </w:rPr>
        <w:t xml:space="preserve"> no</w:t>
      </w:r>
      <w:r>
        <w:rPr>
          <w:sz w:val="24"/>
          <w:szCs w:val="24"/>
        </w:rPr>
        <w:t>t</w:t>
      </w:r>
      <w:r w:rsidR="000637A1">
        <w:rPr>
          <w:sz w:val="24"/>
          <w:szCs w:val="24"/>
        </w:rPr>
        <w:t xml:space="preserve"> have any</w:t>
      </w:r>
      <w:r w:rsidR="00F66590">
        <w:rPr>
          <w:sz w:val="24"/>
          <w:szCs w:val="24"/>
        </w:rPr>
        <w:t xml:space="preserve"> specific </w:t>
      </w:r>
      <w:r>
        <w:rPr>
          <w:sz w:val="24"/>
          <w:szCs w:val="24"/>
        </w:rPr>
        <w:t>comment</w:t>
      </w:r>
      <w:r w:rsidR="00F66590">
        <w:rPr>
          <w:sz w:val="24"/>
          <w:szCs w:val="24"/>
        </w:rPr>
        <w:t>s</w:t>
      </w:r>
      <w:r w:rsidR="000637A1">
        <w:rPr>
          <w:sz w:val="24"/>
          <w:szCs w:val="24"/>
        </w:rPr>
        <w:t xml:space="preserve"> on</w:t>
      </w:r>
      <w:r>
        <w:rPr>
          <w:sz w:val="24"/>
          <w:szCs w:val="24"/>
        </w:rPr>
        <w:t xml:space="preserve"> this </w:t>
      </w:r>
      <w:r w:rsidR="00854E7D">
        <w:rPr>
          <w:sz w:val="24"/>
          <w:szCs w:val="24"/>
        </w:rPr>
        <w:t>subsection.</w:t>
      </w:r>
      <w:r w:rsidR="000637A1">
        <w:rPr>
          <w:sz w:val="24"/>
          <w:szCs w:val="24"/>
        </w:rPr>
        <w:t xml:space="preserve"> </w:t>
      </w:r>
      <w:r>
        <w:rPr>
          <w:sz w:val="24"/>
          <w:szCs w:val="24"/>
        </w:rPr>
        <w:t>O</w:t>
      </w:r>
      <w:r w:rsidR="000637A1">
        <w:rPr>
          <w:sz w:val="24"/>
          <w:szCs w:val="24"/>
        </w:rPr>
        <w:t>ver time</w:t>
      </w:r>
      <w:r>
        <w:rPr>
          <w:sz w:val="24"/>
          <w:szCs w:val="24"/>
        </w:rPr>
        <w:t xml:space="preserve"> MRA </w:t>
      </w:r>
      <w:r w:rsidR="00854E7D">
        <w:rPr>
          <w:sz w:val="24"/>
          <w:szCs w:val="24"/>
        </w:rPr>
        <w:t>anticipates</w:t>
      </w:r>
      <w:r>
        <w:rPr>
          <w:sz w:val="24"/>
          <w:szCs w:val="24"/>
        </w:rPr>
        <w:t xml:space="preserve"> that</w:t>
      </w:r>
      <w:r w:rsidR="000637A1">
        <w:rPr>
          <w:sz w:val="24"/>
          <w:szCs w:val="24"/>
        </w:rPr>
        <w:t xml:space="preserve"> some </w:t>
      </w:r>
      <w:r w:rsidR="00854E7D">
        <w:rPr>
          <w:sz w:val="24"/>
          <w:szCs w:val="24"/>
        </w:rPr>
        <w:t>factors</w:t>
      </w:r>
      <w:r w:rsidR="000637A1">
        <w:rPr>
          <w:sz w:val="24"/>
          <w:szCs w:val="24"/>
        </w:rPr>
        <w:t xml:space="preserve"> </w:t>
      </w:r>
      <w:r>
        <w:rPr>
          <w:sz w:val="24"/>
          <w:szCs w:val="24"/>
        </w:rPr>
        <w:t>may</w:t>
      </w:r>
      <w:r w:rsidR="00854E7D">
        <w:rPr>
          <w:sz w:val="24"/>
          <w:szCs w:val="24"/>
        </w:rPr>
        <w:t xml:space="preserve"> </w:t>
      </w:r>
      <w:r>
        <w:rPr>
          <w:sz w:val="24"/>
          <w:szCs w:val="24"/>
        </w:rPr>
        <w:t xml:space="preserve">become </w:t>
      </w:r>
      <w:r w:rsidR="005F47C9">
        <w:rPr>
          <w:sz w:val="24"/>
          <w:szCs w:val="24"/>
        </w:rPr>
        <w:t>redundant</w:t>
      </w:r>
      <w:r w:rsidR="00F66590">
        <w:rPr>
          <w:sz w:val="24"/>
          <w:szCs w:val="24"/>
        </w:rPr>
        <w:t>, for example s115A (5</w:t>
      </w:r>
      <w:r w:rsidR="00814DC2">
        <w:rPr>
          <w:sz w:val="24"/>
          <w:szCs w:val="24"/>
        </w:rPr>
        <w:t>) (</w:t>
      </w:r>
      <w:r w:rsidR="00F66590">
        <w:rPr>
          <w:sz w:val="24"/>
          <w:szCs w:val="24"/>
        </w:rPr>
        <w:t>d)</w:t>
      </w:r>
      <w:r w:rsidR="005F47C9">
        <w:rPr>
          <w:sz w:val="24"/>
          <w:szCs w:val="24"/>
        </w:rPr>
        <w:t xml:space="preserve">. </w:t>
      </w:r>
      <w:r w:rsidR="00854E7D">
        <w:rPr>
          <w:sz w:val="24"/>
          <w:szCs w:val="24"/>
        </w:rPr>
        <w:t>However</w:t>
      </w:r>
      <w:r w:rsidR="005F47C9">
        <w:rPr>
          <w:sz w:val="24"/>
          <w:szCs w:val="24"/>
        </w:rPr>
        <w:t>,</w:t>
      </w:r>
      <w:r w:rsidR="00854E7D">
        <w:rPr>
          <w:sz w:val="24"/>
          <w:szCs w:val="24"/>
        </w:rPr>
        <w:t xml:space="preserve"> as the </w:t>
      </w:r>
      <w:r w:rsidR="005F47C9">
        <w:rPr>
          <w:sz w:val="24"/>
          <w:szCs w:val="24"/>
        </w:rPr>
        <w:t>C</w:t>
      </w:r>
      <w:r>
        <w:rPr>
          <w:sz w:val="24"/>
          <w:szCs w:val="24"/>
        </w:rPr>
        <w:t>our</w:t>
      </w:r>
      <w:r w:rsidR="00F66590">
        <w:rPr>
          <w:sz w:val="24"/>
          <w:szCs w:val="24"/>
        </w:rPr>
        <w:t>t has discretion about which factors it may take into account</w:t>
      </w:r>
      <w:r w:rsidR="006212AC">
        <w:rPr>
          <w:sz w:val="24"/>
          <w:szCs w:val="24"/>
        </w:rPr>
        <w:t xml:space="preserve"> this </w:t>
      </w:r>
      <w:r>
        <w:rPr>
          <w:sz w:val="24"/>
          <w:szCs w:val="24"/>
        </w:rPr>
        <w:t xml:space="preserve">should </w:t>
      </w:r>
      <w:r w:rsidR="00854E7D">
        <w:rPr>
          <w:sz w:val="24"/>
          <w:szCs w:val="24"/>
        </w:rPr>
        <w:t>not</w:t>
      </w:r>
      <w:r>
        <w:rPr>
          <w:sz w:val="24"/>
          <w:szCs w:val="24"/>
        </w:rPr>
        <w:t xml:space="preserve"> be an issue. </w:t>
      </w:r>
    </w:p>
    <w:p w:rsidR="000637A1" w:rsidRDefault="00144B97" w:rsidP="00CB7D13">
      <w:pPr>
        <w:tabs>
          <w:tab w:val="left" w:pos="365"/>
        </w:tabs>
        <w:rPr>
          <w:sz w:val="24"/>
          <w:szCs w:val="24"/>
        </w:rPr>
      </w:pPr>
      <w:r>
        <w:rPr>
          <w:sz w:val="24"/>
          <w:szCs w:val="24"/>
        </w:rPr>
        <w:t xml:space="preserve">MRA </w:t>
      </w:r>
      <w:r w:rsidR="00F66590">
        <w:rPr>
          <w:sz w:val="24"/>
          <w:szCs w:val="24"/>
        </w:rPr>
        <w:t xml:space="preserve">recommends the </w:t>
      </w:r>
      <w:r w:rsidR="00854E7D">
        <w:rPr>
          <w:sz w:val="24"/>
          <w:szCs w:val="24"/>
        </w:rPr>
        <w:t>eleven factors are reviewed</w:t>
      </w:r>
      <w:r w:rsidR="00F66590">
        <w:rPr>
          <w:sz w:val="24"/>
          <w:szCs w:val="24"/>
        </w:rPr>
        <w:t xml:space="preserve"> as part of a full review of copyright </w:t>
      </w:r>
      <w:r w:rsidR="00A74D0F">
        <w:rPr>
          <w:sz w:val="24"/>
          <w:szCs w:val="24"/>
        </w:rPr>
        <w:t>enforcement</w:t>
      </w:r>
      <w:r w:rsidR="00854E7D" w:rsidRPr="00854E7D">
        <w:rPr>
          <w:sz w:val="24"/>
          <w:szCs w:val="24"/>
        </w:rPr>
        <w:t xml:space="preserve"> to</w:t>
      </w:r>
      <w:r w:rsidR="002C1580">
        <w:rPr>
          <w:sz w:val="24"/>
          <w:szCs w:val="24"/>
        </w:rPr>
        <w:t xml:space="preserve"> </w:t>
      </w:r>
      <w:r w:rsidR="00854E7D" w:rsidRPr="00854E7D">
        <w:rPr>
          <w:sz w:val="24"/>
          <w:szCs w:val="24"/>
        </w:rPr>
        <w:t>ensure s</w:t>
      </w:r>
      <w:r w:rsidR="00B8623D">
        <w:rPr>
          <w:sz w:val="24"/>
          <w:szCs w:val="24"/>
        </w:rPr>
        <w:t>1</w:t>
      </w:r>
      <w:r w:rsidR="00854E7D" w:rsidRPr="00854E7D">
        <w:rPr>
          <w:sz w:val="24"/>
          <w:szCs w:val="24"/>
        </w:rPr>
        <w:t>15A is an effective and efficient mechanism to address online copyright infringement</w:t>
      </w:r>
      <w:r w:rsidR="00854E7D">
        <w:rPr>
          <w:sz w:val="24"/>
          <w:szCs w:val="24"/>
        </w:rPr>
        <w:t>.</w:t>
      </w:r>
    </w:p>
    <w:p w:rsidR="00854E7D" w:rsidRPr="00854E7D" w:rsidRDefault="00854E7D" w:rsidP="00DB6EF7">
      <w:pPr>
        <w:keepNext/>
        <w:tabs>
          <w:tab w:val="left" w:pos="365"/>
        </w:tabs>
        <w:rPr>
          <w:b/>
          <w:sz w:val="24"/>
          <w:szCs w:val="24"/>
        </w:rPr>
      </w:pPr>
      <w:r w:rsidRPr="00854E7D">
        <w:rPr>
          <w:b/>
          <w:sz w:val="24"/>
          <w:szCs w:val="24"/>
        </w:rPr>
        <w:t>Rescinding and varying injunctions</w:t>
      </w:r>
      <w:r w:rsidR="006212AC">
        <w:rPr>
          <w:b/>
          <w:sz w:val="24"/>
          <w:szCs w:val="24"/>
        </w:rPr>
        <w:t>:</w:t>
      </w:r>
      <w:r w:rsidRPr="00854E7D">
        <w:rPr>
          <w:b/>
          <w:sz w:val="24"/>
          <w:szCs w:val="24"/>
        </w:rPr>
        <w:t xml:space="preserve"> section 115A</w:t>
      </w:r>
      <w:r w:rsidR="006B5592">
        <w:rPr>
          <w:b/>
          <w:sz w:val="24"/>
          <w:szCs w:val="24"/>
        </w:rPr>
        <w:t xml:space="preserve"> </w:t>
      </w:r>
      <w:r w:rsidRPr="00854E7D">
        <w:rPr>
          <w:b/>
          <w:sz w:val="24"/>
          <w:szCs w:val="24"/>
        </w:rPr>
        <w:t>(7)</w:t>
      </w:r>
    </w:p>
    <w:p w:rsidR="00854E7D" w:rsidRDefault="00F66590" w:rsidP="00CB7D13">
      <w:pPr>
        <w:tabs>
          <w:tab w:val="left" w:pos="365"/>
        </w:tabs>
        <w:rPr>
          <w:sz w:val="24"/>
          <w:szCs w:val="24"/>
        </w:rPr>
      </w:pPr>
      <w:r>
        <w:rPr>
          <w:sz w:val="24"/>
          <w:szCs w:val="24"/>
        </w:rPr>
        <w:t>T</w:t>
      </w:r>
      <w:r w:rsidR="00854E7D" w:rsidRPr="00854E7D">
        <w:rPr>
          <w:sz w:val="24"/>
          <w:szCs w:val="24"/>
        </w:rPr>
        <w:t>he</w:t>
      </w:r>
      <w:r>
        <w:rPr>
          <w:sz w:val="24"/>
          <w:szCs w:val="24"/>
        </w:rPr>
        <w:t xml:space="preserve"> orders in the </w:t>
      </w:r>
      <w:r w:rsidR="00854E7D" w:rsidRPr="00854E7D">
        <w:rPr>
          <w:sz w:val="24"/>
          <w:szCs w:val="24"/>
        </w:rPr>
        <w:t>music case</w:t>
      </w:r>
      <w:r>
        <w:rPr>
          <w:sz w:val="24"/>
          <w:szCs w:val="24"/>
        </w:rPr>
        <w:t xml:space="preserve"> were made </w:t>
      </w:r>
      <w:r w:rsidR="00854E7D" w:rsidRPr="00854E7D">
        <w:rPr>
          <w:sz w:val="24"/>
          <w:szCs w:val="24"/>
        </w:rPr>
        <w:t>against proxy sites</w:t>
      </w:r>
      <w:r>
        <w:rPr>
          <w:sz w:val="24"/>
          <w:szCs w:val="24"/>
        </w:rPr>
        <w:t xml:space="preserve"> because</w:t>
      </w:r>
      <w:r w:rsidR="00854E7D" w:rsidRPr="00854E7D">
        <w:rPr>
          <w:sz w:val="24"/>
          <w:szCs w:val="24"/>
        </w:rPr>
        <w:t xml:space="preserve"> the KAT site had been closed down. </w:t>
      </w:r>
      <w:r w:rsidR="00854E7D">
        <w:rPr>
          <w:sz w:val="24"/>
          <w:szCs w:val="24"/>
        </w:rPr>
        <w:t xml:space="preserve">Prior to the </w:t>
      </w:r>
      <w:r w:rsidR="006B5592">
        <w:rPr>
          <w:sz w:val="24"/>
          <w:szCs w:val="24"/>
        </w:rPr>
        <w:t>hearing</w:t>
      </w:r>
      <w:r w:rsidR="00A74D0F">
        <w:rPr>
          <w:sz w:val="24"/>
          <w:szCs w:val="24"/>
        </w:rPr>
        <w:t>,</w:t>
      </w:r>
      <w:r w:rsidR="00854E7D">
        <w:rPr>
          <w:sz w:val="24"/>
          <w:szCs w:val="24"/>
        </w:rPr>
        <w:t xml:space="preserve"> the </w:t>
      </w:r>
      <w:r w:rsidR="006B5592">
        <w:rPr>
          <w:sz w:val="24"/>
          <w:szCs w:val="24"/>
        </w:rPr>
        <w:t>Applicants</w:t>
      </w:r>
      <w:r>
        <w:rPr>
          <w:sz w:val="24"/>
          <w:szCs w:val="24"/>
        </w:rPr>
        <w:t xml:space="preserve"> </w:t>
      </w:r>
      <w:r w:rsidR="00B37CA2">
        <w:rPr>
          <w:sz w:val="24"/>
          <w:szCs w:val="24"/>
        </w:rPr>
        <w:t xml:space="preserve">and Respondents had </w:t>
      </w:r>
      <w:r w:rsidR="00854E7D">
        <w:rPr>
          <w:sz w:val="24"/>
          <w:szCs w:val="24"/>
        </w:rPr>
        <w:t>agree</w:t>
      </w:r>
      <w:r>
        <w:rPr>
          <w:sz w:val="24"/>
          <w:szCs w:val="24"/>
        </w:rPr>
        <w:t>d</w:t>
      </w:r>
      <w:r w:rsidR="00A74D0F">
        <w:rPr>
          <w:sz w:val="24"/>
          <w:szCs w:val="24"/>
        </w:rPr>
        <w:t xml:space="preserve"> </w:t>
      </w:r>
      <w:r w:rsidR="00854E7D">
        <w:rPr>
          <w:sz w:val="24"/>
          <w:szCs w:val="24"/>
        </w:rPr>
        <w:t>a process</w:t>
      </w:r>
      <w:r>
        <w:rPr>
          <w:sz w:val="24"/>
          <w:szCs w:val="24"/>
        </w:rPr>
        <w:t xml:space="preserve"> to</w:t>
      </w:r>
      <w:r w:rsidR="00854E7D">
        <w:rPr>
          <w:sz w:val="24"/>
          <w:szCs w:val="24"/>
        </w:rPr>
        <w:t xml:space="preserve"> add proxy sites to the existing orders</w:t>
      </w:r>
      <w:r w:rsidR="006C3425">
        <w:rPr>
          <w:sz w:val="24"/>
          <w:szCs w:val="24"/>
        </w:rPr>
        <w:t>.</w:t>
      </w:r>
      <w:r w:rsidR="00854E7D">
        <w:rPr>
          <w:sz w:val="24"/>
          <w:szCs w:val="24"/>
        </w:rPr>
        <w:t xml:space="preserve"> </w:t>
      </w:r>
      <w:r w:rsidR="00A74D0F">
        <w:rPr>
          <w:sz w:val="24"/>
          <w:szCs w:val="24"/>
        </w:rPr>
        <w:t xml:space="preserve"> The Court made orders reflecting that process. </w:t>
      </w:r>
    </w:p>
    <w:p w:rsidR="00F66590" w:rsidRDefault="00B37CA2" w:rsidP="00CB7D13">
      <w:pPr>
        <w:tabs>
          <w:tab w:val="left" w:pos="365"/>
        </w:tabs>
        <w:rPr>
          <w:sz w:val="24"/>
          <w:szCs w:val="24"/>
        </w:rPr>
      </w:pPr>
      <w:r>
        <w:rPr>
          <w:sz w:val="24"/>
          <w:szCs w:val="24"/>
        </w:rPr>
        <w:t>As t</w:t>
      </w:r>
      <w:r w:rsidR="00854E7D">
        <w:rPr>
          <w:sz w:val="24"/>
          <w:szCs w:val="24"/>
        </w:rPr>
        <w:t xml:space="preserve">he </w:t>
      </w:r>
      <w:r w:rsidR="006B5592">
        <w:rPr>
          <w:sz w:val="24"/>
          <w:szCs w:val="24"/>
        </w:rPr>
        <w:t>Applicants</w:t>
      </w:r>
      <w:r w:rsidR="00854E7D">
        <w:rPr>
          <w:sz w:val="24"/>
          <w:szCs w:val="24"/>
        </w:rPr>
        <w:t xml:space="preserve"> </w:t>
      </w:r>
      <w:r w:rsidR="00854E7D" w:rsidRPr="00854E7D">
        <w:rPr>
          <w:sz w:val="24"/>
          <w:szCs w:val="24"/>
        </w:rPr>
        <w:t>ha</w:t>
      </w:r>
      <w:r w:rsidR="00854E7D">
        <w:rPr>
          <w:sz w:val="24"/>
          <w:szCs w:val="24"/>
        </w:rPr>
        <w:t>ve</w:t>
      </w:r>
      <w:r w:rsidR="00854E7D" w:rsidRPr="00854E7D">
        <w:rPr>
          <w:sz w:val="24"/>
          <w:szCs w:val="24"/>
        </w:rPr>
        <w:t xml:space="preserve"> not </w:t>
      </w:r>
      <w:r w:rsidR="00854E7D">
        <w:rPr>
          <w:sz w:val="24"/>
          <w:szCs w:val="24"/>
        </w:rPr>
        <w:t>made an</w:t>
      </w:r>
      <w:r w:rsidR="00854E7D" w:rsidRPr="00854E7D">
        <w:rPr>
          <w:sz w:val="24"/>
          <w:szCs w:val="24"/>
        </w:rPr>
        <w:t xml:space="preserve"> application</w:t>
      </w:r>
      <w:r w:rsidR="00854E7D">
        <w:rPr>
          <w:sz w:val="24"/>
          <w:szCs w:val="24"/>
        </w:rPr>
        <w:t xml:space="preserve"> under this </w:t>
      </w:r>
      <w:r w:rsidR="00854E7D" w:rsidRPr="00854E7D">
        <w:rPr>
          <w:sz w:val="24"/>
          <w:szCs w:val="24"/>
        </w:rPr>
        <w:t>p</w:t>
      </w:r>
      <w:r w:rsidR="00854E7D">
        <w:rPr>
          <w:sz w:val="24"/>
          <w:szCs w:val="24"/>
        </w:rPr>
        <w:t>rocess</w:t>
      </w:r>
      <w:r w:rsidR="00F66590">
        <w:rPr>
          <w:sz w:val="24"/>
          <w:szCs w:val="24"/>
        </w:rPr>
        <w:t xml:space="preserve"> MRA is unable to comment on its efficiency or efficacy at this time. </w:t>
      </w:r>
    </w:p>
    <w:p w:rsidR="006B5592" w:rsidRDefault="006C3425" w:rsidP="00CB7D13">
      <w:pPr>
        <w:tabs>
          <w:tab w:val="left" w:pos="365"/>
        </w:tabs>
        <w:rPr>
          <w:sz w:val="24"/>
          <w:szCs w:val="24"/>
        </w:rPr>
      </w:pPr>
      <w:r>
        <w:rPr>
          <w:sz w:val="24"/>
          <w:szCs w:val="24"/>
        </w:rPr>
        <w:t>As i</w:t>
      </w:r>
      <w:r w:rsidR="00854E7D" w:rsidRPr="00D818B6">
        <w:rPr>
          <w:sz w:val="24"/>
          <w:szCs w:val="24"/>
        </w:rPr>
        <w:t>t</w:t>
      </w:r>
      <w:r w:rsidR="00D818B6" w:rsidRPr="00D818B6">
        <w:rPr>
          <w:sz w:val="24"/>
          <w:szCs w:val="24"/>
        </w:rPr>
        <w:t xml:space="preserve"> is imperative that this process works effectively and efficiently to suppress proxy sites before they can attract significant traff</w:t>
      </w:r>
      <w:r>
        <w:rPr>
          <w:sz w:val="24"/>
          <w:szCs w:val="24"/>
        </w:rPr>
        <w:t xml:space="preserve">ic, </w:t>
      </w:r>
      <w:r w:rsidR="006B5592" w:rsidRPr="006B5592">
        <w:rPr>
          <w:sz w:val="24"/>
          <w:szCs w:val="24"/>
        </w:rPr>
        <w:t xml:space="preserve">MRA recommends </w:t>
      </w:r>
      <w:r w:rsidR="00F66590">
        <w:rPr>
          <w:sz w:val="24"/>
          <w:szCs w:val="24"/>
        </w:rPr>
        <w:t xml:space="preserve">the </w:t>
      </w:r>
      <w:r w:rsidR="006B5592">
        <w:rPr>
          <w:sz w:val="24"/>
          <w:szCs w:val="24"/>
        </w:rPr>
        <w:t>proxy application process is</w:t>
      </w:r>
      <w:r w:rsidR="006B5592" w:rsidRPr="006B5592">
        <w:rPr>
          <w:sz w:val="24"/>
          <w:szCs w:val="24"/>
        </w:rPr>
        <w:t xml:space="preserve"> reviewed</w:t>
      </w:r>
      <w:r>
        <w:rPr>
          <w:sz w:val="24"/>
          <w:szCs w:val="24"/>
        </w:rPr>
        <w:t xml:space="preserve"> in a full review of copyright enforcement </w:t>
      </w:r>
      <w:r w:rsidR="006B5592" w:rsidRPr="006B5592">
        <w:rPr>
          <w:sz w:val="24"/>
          <w:szCs w:val="24"/>
        </w:rPr>
        <w:t xml:space="preserve"> to ensure s115A </w:t>
      </w:r>
      <w:r w:rsidR="00A74D0F">
        <w:rPr>
          <w:sz w:val="24"/>
          <w:szCs w:val="24"/>
        </w:rPr>
        <w:t xml:space="preserve"> is </w:t>
      </w:r>
      <w:r w:rsidR="006B5592" w:rsidRPr="006B5592">
        <w:rPr>
          <w:sz w:val="24"/>
          <w:szCs w:val="24"/>
        </w:rPr>
        <w:t xml:space="preserve">an effective and efficient mechanism </w:t>
      </w:r>
      <w:r w:rsidR="00B37CA2">
        <w:rPr>
          <w:sz w:val="24"/>
          <w:szCs w:val="24"/>
        </w:rPr>
        <w:t>which can</w:t>
      </w:r>
      <w:r w:rsidR="006B5592" w:rsidRPr="006B5592">
        <w:rPr>
          <w:sz w:val="24"/>
          <w:szCs w:val="24"/>
        </w:rPr>
        <w:t xml:space="preserve"> address online copyright infringement</w:t>
      </w:r>
      <w:r>
        <w:rPr>
          <w:sz w:val="24"/>
          <w:szCs w:val="24"/>
        </w:rPr>
        <w:t>.</w:t>
      </w:r>
    </w:p>
    <w:p w:rsidR="00854E7D" w:rsidRPr="00DB6EF7" w:rsidRDefault="00453764" w:rsidP="00DB6EF7">
      <w:pPr>
        <w:keepNext/>
        <w:tabs>
          <w:tab w:val="left" w:pos="365"/>
        </w:tabs>
        <w:rPr>
          <w:b/>
          <w:sz w:val="24"/>
          <w:szCs w:val="24"/>
        </w:rPr>
      </w:pPr>
      <w:r>
        <w:rPr>
          <w:b/>
          <w:sz w:val="24"/>
          <w:szCs w:val="24"/>
        </w:rPr>
        <w:t>Costs</w:t>
      </w:r>
      <w:r w:rsidR="006C3425" w:rsidRPr="00DB6EF7">
        <w:rPr>
          <w:b/>
          <w:sz w:val="24"/>
          <w:szCs w:val="24"/>
        </w:rPr>
        <w:t>: s</w:t>
      </w:r>
      <w:r>
        <w:rPr>
          <w:b/>
          <w:sz w:val="24"/>
          <w:szCs w:val="24"/>
        </w:rPr>
        <w:t>ection 115A (9)</w:t>
      </w:r>
    </w:p>
    <w:p w:rsidR="00656B59" w:rsidRDefault="005F51C8" w:rsidP="00345BD7">
      <w:pPr>
        <w:pStyle w:val="BodyText"/>
      </w:pPr>
      <w:r w:rsidRPr="00345BD7">
        <w:t>Under s115A</w:t>
      </w:r>
      <w:r w:rsidR="00B37CA2">
        <w:t xml:space="preserve"> </w:t>
      </w:r>
      <w:r w:rsidRPr="00345BD7">
        <w:t xml:space="preserve">(9), an ISP is not liable </w:t>
      </w:r>
      <w:r w:rsidR="002301CA" w:rsidRPr="00345BD7">
        <w:t xml:space="preserve">for </w:t>
      </w:r>
      <w:r w:rsidRPr="00345BD7">
        <w:t xml:space="preserve">any costs in </w:t>
      </w:r>
      <w:r w:rsidR="002301CA" w:rsidRPr="00345BD7">
        <w:t xml:space="preserve">relation to s115A proceedings </w:t>
      </w:r>
      <w:r w:rsidRPr="00345BD7">
        <w:t xml:space="preserve">unless it enters an appearance and takes part in the proceedings. </w:t>
      </w:r>
      <w:r w:rsidR="002C1580" w:rsidRPr="00345BD7">
        <w:t xml:space="preserve">The </w:t>
      </w:r>
      <w:r w:rsidR="00B37CA2" w:rsidRPr="00345BD7">
        <w:t>E</w:t>
      </w:r>
      <w:r w:rsidR="00B37CA2">
        <w:t xml:space="preserve">xplanatory </w:t>
      </w:r>
      <w:r w:rsidR="002C1580" w:rsidRPr="00345BD7">
        <w:t>M</w:t>
      </w:r>
      <w:r w:rsidR="00B37CA2">
        <w:t>emorandum</w:t>
      </w:r>
      <w:r w:rsidR="002C1580" w:rsidRPr="00345BD7">
        <w:t xml:space="preserve"> states that this was "intended to ensure that a party will not be penalised and required to bear unnecessary costs where it is fully cooperating, or not frustrating proceedings.</w:t>
      </w:r>
      <w:r w:rsidR="00CB3A83">
        <w:t xml:space="preserve"> </w:t>
      </w:r>
      <w:r w:rsidRPr="00345BD7">
        <w:t>Each of the ISPs in the music case entered an appearance and took part in the proceedings.</w:t>
      </w:r>
      <w:r w:rsidR="00CB3A83">
        <w:t xml:space="preserve"> </w:t>
      </w:r>
      <w:r w:rsidR="00DB6EF7">
        <w:t xml:space="preserve">Without </w:t>
      </w:r>
      <w:r w:rsidR="002C1580">
        <w:t>criticising them for doing so, t</w:t>
      </w:r>
      <w:r w:rsidR="002301CA" w:rsidRPr="00345BD7">
        <w:t xml:space="preserve">he Applicants submitted that </w:t>
      </w:r>
      <w:r w:rsidR="00DB6EF7">
        <w:t xml:space="preserve">the most equitable outcome would be for </w:t>
      </w:r>
      <w:r w:rsidR="002301CA" w:rsidRPr="00345BD7">
        <w:t xml:space="preserve">each party </w:t>
      </w:r>
      <w:r w:rsidR="00DB6EF7">
        <w:t xml:space="preserve">to </w:t>
      </w:r>
      <w:r w:rsidR="002301CA" w:rsidRPr="00345BD7">
        <w:t>pay its own costs of the proceedings</w:t>
      </w:r>
      <w:r w:rsidR="00DB6EF7">
        <w:t>. T</w:t>
      </w:r>
      <w:r w:rsidR="00C04957" w:rsidRPr="00345BD7">
        <w:t xml:space="preserve">he Respondents </w:t>
      </w:r>
      <w:r w:rsidR="00A420A9">
        <w:t xml:space="preserve">all </w:t>
      </w:r>
      <w:r w:rsidR="00DB6EF7">
        <w:t xml:space="preserve">sought </w:t>
      </w:r>
      <w:r w:rsidR="00C04957" w:rsidRPr="00345BD7">
        <w:t xml:space="preserve">orders requiring the Applicants to pay all of their </w:t>
      </w:r>
      <w:r w:rsidR="002C1580">
        <w:t xml:space="preserve">legal </w:t>
      </w:r>
      <w:r w:rsidR="00C04957" w:rsidRPr="00345BD7">
        <w:t>costs. Consistent with the costs orders made in the first film</w:t>
      </w:r>
      <w:r w:rsidR="0079599A">
        <w:t xml:space="preserve"> industry</w:t>
      </w:r>
      <w:r w:rsidR="00C04957" w:rsidRPr="00345BD7">
        <w:t xml:space="preserve"> and Foxtel cases, t</w:t>
      </w:r>
      <w:r w:rsidRPr="00345BD7">
        <w:t xml:space="preserve">he </w:t>
      </w:r>
      <w:r w:rsidR="00B91B47" w:rsidRPr="00345BD7">
        <w:t>A</w:t>
      </w:r>
      <w:r w:rsidRPr="00345BD7">
        <w:t xml:space="preserve">pplicants were ordered to pay </w:t>
      </w:r>
      <w:r w:rsidR="00711991">
        <w:t>"</w:t>
      </w:r>
      <w:r w:rsidRPr="00345BD7">
        <w:t xml:space="preserve">the </w:t>
      </w:r>
      <w:r w:rsidR="00C04957" w:rsidRPr="00345BD7">
        <w:t>R</w:t>
      </w:r>
      <w:r w:rsidRPr="00345BD7">
        <w:t>espondents</w:t>
      </w:r>
      <w:r w:rsidR="00C04957" w:rsidRPr="00345BD7">
        <w:t>' costs</w:t>
      </w:r>
      <w:r w:rsidRPr="00345BD7">
        <w:t xml:space="preserve"> </w:t>
      </w:r>
      <w:r w:rsidR="00C04957" w:rsidRPr="00345BD7">
        <w:t xml:space="preserve">(as agreed or taxed) </w:t>
      </w:r>
      <w:r w:rsidRPr="00345BD7">
        <w:t>of and incidental to the preparation of evidence and submissions and the making of oral submissions, in relation to the issue of compliance costs (excluding set-up costs)</w:t>
      </w:r>
      <w:r w:rsidR="00711991">
        <w:t>"</w:t>
      </w:r>
      <w:r w:rsidR="00656B59">
        <w:t xml:space="preserve"> on the basis that the</w:t>
      </w:r>
      <w:r w:rsidR="00711991">
        <w:t xml:space="preserve"> </w:t>
      </w:r>
      <w:r w:rsidR="00656B59">
        <w:t xml:space="preserve">Respondents </w:t>
      </w:r>
      <w:r w:rsidR="00711991">
        <w:t>"</w:t>
      </w:r>
      <w:r w:rsidR="00656B59">
        <w:t xml:space="preserve">were successful on the question of principle as to whether or not the Applicants should pay the </w:t>
      </w:r>
      <w:r w:rsidR="009D1612">
        <w:t>compliance</w:t>
      </w:r>
      <w:r w:rsidR="00656B59">
        <w:t xml:space="preserve"> costs</w:t>
      </w:r>
      <w:r w:rsidR="00711991">
        <w:t>"</w:t>
      </w:r>
      <w:r w:rsidR="00DB6EF7">
        <w:rPr>
          <w:rStyle w:val="FootnoteReference"/>
        </w:rPr>
        <w:footnoteReference w:id="8"/>
      </w:r>
      <w:r w:rsidRPr="00345BD7">
        <w:t>.</w:t>
      </w:r>
      <w:r w:rsidR="00656B59">
        <w:t xml:space="preserve"> </w:t>
      </w:r>
      <w:r w:rsidR="00C04957">
        <w:t xml:space="preserve">As noted above, the </w:t>
      </w:r>
      <w:r w:rsidR="00CB3A83">
        <w:t xml:space="preserve">quantum </w:t>
      </w:r>
      <w:r w:rsidR="00C04957">
        <w:t xml:space="preserve">of costs payable under the order could not be agreed with two of the ISPs, </w:t>
      </w:r>
      <w:r w:rsidR="00A420A9">
        <w:t xml:space="preserve">leading to </w:t>
      </w:r>
      <w:r w:rsidR="00C04957">
        <w:t>a lengt</w:t>
      </w:r>
      <w:r w:rsidR="009D1612">
        <w:t xml:space="preserve">hy and </w:t>
      </w:r>
      <w:r w:rsidR="00A420A9">
        <w:t xml:space="preserve">expensive </w:t>
      </w:r>
      <w:r w:rsidR="009D1612">
        <w:t>taxation process</w:t>
      </w:r>
      <w:r w:rsidR="00A420A9">
        <w:t xml:space="preserve"> which, in one case, is still ongoing</w:t>
      </w:r>
      <w:r w:rsidR="009D1612">
        <w:t>.</w:t>
      </w:r>
    </w:p>
    <w:p w:rsidR="00B91B47" w:rsidRDefault="00CB3A83" w:rsidP="00345BD7">
      <w:pPr>
        <w:pStyle w:val="BodyText"/>
      </w:pPr>
      <w:r>
        <w:t>In the first music case, e</w:t>
      </w:r>
      <w:r w:rsidR="00E33D7C">
        <w:t xml:space="preserve">ach of </w:t>
      </w:r>
      <w:r w:rsidR="005F51C8" w:rsidRPr="00345BD7">
        <w:t xml:space="preserve">the </w:t>
      </w:r>
      <w:r w:rsidR="00E33D7C">
        <w:t xml:space="preserve">ISPs </w:t>
      </w:r>
      <w:r w:rsidR="00C04957">
        <w:t xml:space="preserve">sought different </w:t>
      </w:r>
      <w:r w:rsidR="005F51C8" w:rsidRPr="00345BD7">
        <w:t xml:space="preserve">amounts </w:t>
      </w:r>
      <w:r w:rsidR="00E33D7C">
        <w:t>for their compliance costs, and led evidence and made submissions in support of their claimed amount</w:t>
      </w:r>
      <w:r w:rsidR="00DB6EF7">
        <w:t>,</w:t>
      </w:r>
      <w:r>
        <w:t xml:space="preserve"> which added to the length</w:t>
      </w:r>
      <w:r w:rsidR="00DB6EF7">
        <w:t xml:space="preserve"> and cost</w:t>
      </w:r>
      <w:r>
        <w:t xml:space="preserve"> of the hearing</w:t>
      </w:r>
      <w:r w:rsidR="00E33D7C">
        <w:t xml:space="preserve">. Ultimately, </w:t>
      </w:r>
      <w:r w:rsidR="002C1580">
        <w:t xml:space="preserve">the Judge </w:t>
      </w:r>
      <w:r w:rsidR="00B91B47">
        <w:t xml:space="preserve">followed the approach taken in the first film </w:t>
      </w:r>
      <w:r w:rsidR="0079599A">
        <w:t xml:space="preserve">industry </w:t>
      </w:r>
      <w:r w:rsidR="00B91B47">
        <w:t xml:space="preserve">and Foxtel cases and </w:t>
      </w:r>
      <w:r w:rsidR="00E33D7C">
        <w:t xml:space="preserve">adopted what </w:t>
      </w:r>
      <w:r>
        <w:t xml:space="preserve">was </w:t>
      </w:r>
      <w:r w:rsidR="00E33D7C">
        <w:t xml:space="preserve">described </w:t>
      </w:r>
      <w:r w:rsidR="00DB6EF7">
        <w:t>as "</w:t>
      </w:r>
      <w:r w:rsidR="00E33D7C">
        <w:t>a uniform approach to fixing a "tariff" for the grant of such orders</w:t>
      </w:r>
      <w:r w:rsidR="00DB6EF7">
        <w:t>"</w:t>
      </w:r>
      <w:r w:rsidR="00B91B47">
        <w:t>.</w:t>
      </w:r>
      <w:r w:rsidR="00B91B47">
        <w:rPr>
          <w:rStyle w:val="FootnoteReference"/>
        </w:rPr>
        <w:footnoteReference w:id="9"/>
      </w:r>
    </w:p>
    <w:p w:rsidR="005F51C8" w:rsidRDefault="002C1580" w:rsidP="005F51C8">
      <w:pPr>
        <w:rPr>
          <w:sz w:val="24"/>
          <w:szCs w:val="24"/>
        </w:rPr>
      </w:pPr>
      <w:r>
        <w:rPr>
          <w:sz w:val="24"/>
          <w:szCs w:val="24"/>
        </w:rPr>
        <w:t xml:space="preserve">Given that </w:t>
      </w:r>
      <w:r w:rsidR="005F51C8" w:rsidRPr="00345BD7">
        <w:rPr>
          <w:sz w:val="24"/>
          <w:szCs w:val="24"/>
        </w:rPr>
        <w:t>the $50 figure</w:t>
      </w:r>
      <w:r>
        <w:rPr>
          <w:sz w:val="24"/>
          <w:szCs w:val="24"/>
        </w:rPr>
        <w:t xml:space="preserve"> did not reflect the actual </w:t>
      </w:r>
      <w:r w:rsidR="005F51C8" w:rsidRPr="00345BD7">
        <w:rPr>
          <w:sz w:val="24"/>
          <w:szCs w:val="24"/>
        </w:rPr>
        <w:t xml:space="preserve">compliance costs of </w:t>
      </w:r>
      <w:r>
        <w:rPr>
          <w:sz w:val="24"/>
          <w:szCs w:val="24"/>
        </w:rPr>
        <w:t xml:space="preserve">the individual </w:t>
      </w:r>
      <w:r w:rsidRPr="00345BD7">
        <w:rPr>
          <w:sz w:val="24"/>
          <w:szCs w:val="24"/>
        </w:rPr>
        <w:t xml:space="preserve">ISPs, </w:t>
      </w:r>
      <w:r>
        <w:rPr>
          <w:sz w:val="24"/>
          <w:szCs w:val="24"/>
        </w:rPr>
        <w:t xml:space="preserve">and it has now been ordered in </w:t>
      </w:r>
      <w:r w:rsidR="00A420A9">
        <w:rPr>
          <w:sz w:val="24"/>
          <w:szCs w:val="24"/>
        </w:rPr>
        <w:t xml:space="preserve">multiple </w:t>
      </w:r>
      <w:r>
        <w:rPr>
          <w:sz w:val="24"/>
          <w:szCs w:val="24"/>
        </w:rPr>
        <w:t xml:space="preserve">proceedings, </w:t>
      </w:r>
      <w:r w:rsidR="00A420A9">
        <w:rPr>
          <w:sz w:val="24"/>
          <w:szCs w:val="24"/>
        </w:rPr>
        <w:t xml:space="preserve">MRA is concerned that </w:t>
      </w:r>
      <w:r w:rsidRPr="00345BD7">
        <w:rPr>
          <w:sz w:val="24"/>
          <w:szCs w:val="24"/>
        </w:rPr>
        <w:t>th</w:t>
      </w:r>
      <w:r>
        <w:rPr>
          <w:sz w:val="24"/>
          <w:szCs w:val="24"/>
        </w:rPr>
        <w:t>is</w:t>
      </w:r>
      <w:r w:rsidR="005F51C8" w:rsidRPr="00345BD7">
        <w:rPr>
          <w:sz w:val="24"/>
          <w:szCs w:val="24"/>
        </w:rPr>
        <w:t xml:space="preserve"> figure will be difficult to challenge</w:t>
      </w:r>
      <w:r>
        <w:rPr>
          <w:sz w:val="24"/>
          <w:szCs w:val="24"/>
        </w:rPr>
        <w:t xml:space="preserve"> in future cases</w:t>
      </w:r>
      <w:r w:rsidR="00ED2FA8">
        <w:rPr>
          <w:sz w:val="24"/>
          <w:szCs w:val="24"/>
        </w:rPr>
        <w:t xml:space="preserve">, even though it could be expected that the actual costs to ISPs </w:t>
      </w:r>
      <w:r w:rsidR="00A420A9">
        <w:rPr>
          <w:sz w:val="24"/>
          <w:szCs w:val="24"/>
        </w:rPr>
        <w:t xml:space="preserve">will </w:t>
      </w:r>
      <w:r w:rsidR="00ED2FA8">
        <w:rPr>
          <w:sz w:val="24"/>
          <w:szCs w:val="24"/>
        </w:rPr>
        <w:t>decrease over time</w:t>
      </w:r>
      <w:r w:rsidR="00DB6EF7">
        <w:rPr>
          <w:sz w:val="24"/>
          <w:szCs w:val="24"/>
        </w:rPr>
        <w:t xml:space="preserve"> as technology advances. Further, t</w:t>
      </w:r>
      <w:r w:rsidR="00CB3A83">
        <w:rPr>
          <w:sz w:val="24"/>
          <w:szCs w:val="24"/>
        </w:rPr>
        <w:t xml:space="preserve">he risk of an adverse costs order may deter copyright owners from </w:t>
      </w:r>
      <w:r w:rsidR="00DB6EF7">
        <w:rPr>
          <w:sz w:val="24"/>
          <w:szCs w:val="24"/>
        </w:rPr>
        <w:t>agitating this issue again</w:t>
      </w:r>
      <w:r w:rsidR="00CB3A83">
        <w:rPr>
          <w:sz w:val="24"/>
          <w:szCs w:val="24"/>
        </w:rPr>
        <w:t xml:space="preserve">. </w:t>
      </w:r>
      <w:r w:rsidR="00ED2FA8">
        <w:rPr>
          <w:sz w:val="24"/>
          <w:szCs w:val="24"/>
        </w:rPr>
        <w:t xml:space="preserve">Unlike legislatively imposed tariffs, there is no mechanism in s115A for copyright owners or ISPs to seek to have </w:t>
      </w:r>
      <w:r w:rsidR="00453764">
        <w:rPr>
          <w:sz w:val="24"/>
          <w:szCs w:val="24"/>
        </w:rPr>
        <w:t>t</w:t>
      </w:r>
      <w:r w:rsidR="00ED2FA8">
        <w:rPr>
          <w:sz w:val="24"/>
          <w:szCs w:val="24"/>
        </w:rPr>
        <w:t xml:space="preserve">he </w:t>
      </w:r>
      <w:r w:rsidR="00453764">
        <w:rPr>
          <w:sz w:val="24"/>
          <w:szCs w:val="24"/>
        </w:rPr>
        <w:t>"</w:t>
      </w:r>
      <w:r w:rsidR="00ED2FA8">
        <w:rPr>
          <w:sz w:val="24"/>
          <w:szCs w:val="24"/>
        </w:rPr>
        <w:t>tariff</w:t>
      </w:r>
      <w:r w:rsidR="00453764">
        <w:rPr>
          <w:sz w:val="24"/>
          <w:szCs w:val="24"/>
        </w:rPr>
        <w:t>"</w:t>
      </w:r>
      <w:r w:rsidR="00ED2FA8">
        <w:rPr>
          <w:sz w:val="24"/>
          <w:szCs w:val="24"/>
        </w:rPr>
        <w:t xml:space="preserve"> reviewed in an efficient and cost effective manner.</w:t>
      </w:r>
    </w:p>
    <w:p w:rsidR="005F51C8" w:rsidRDefault="00F66E25" w:rsidP="00345BD7">
      <w:pPr>
        <w:rPr>
          <w:sz w:val="24"/>
          <w:szCs w:val="24"/>
        </w:rPr>
      </w:pPr>
      <w:r>
        <w:rPr>
          <w:sz w:val="24"/>
          <w:szCs w:val="24"/>
        </w:rPr>
        <w:t>Further, w</w:t>
      </w:r>
      <w:r w:rsidR="006A2C9D">
        <w:rPr>
          <w:sz w:val="24"/>
          <w:szCs w:val="24"/>
        </w:rPr>
        <w:t xml:space="preserve">hile </w:t>
      </w:r>
      <w:r w:rsidR="00905C7F">
        <w:rPr>
          <w:sz w:val="24"/>
          <w:szCs w:val="24"/>
        </w:rPr>
        <w:t xml:space="preserve">a tariff amount </w:t>
      </w:r>
      <w:r w:rsidR="00445C8B">
        <w:rPr>
          <w:sz w:val="24"/>
          <w:szCs w:val="24"/>
        </w:rPr>
        <w:t>of $50</w:t>
      </w:r>
      <w:r w:rsidR="00905C7F">
        <w:rPr>
          <w:sz w:val="24"/>
          <w:szCs w:val="24"/>
        </w:rPr>
        <w:t xml:space="preserve"> </w:t>
      </w:r>
      <w:r w:rsidR="006A2C9D">
        <w:rPr>
          <w:sz w:val="24"/>
          <w:szCs w:val="24"/>
        </w:rPr>
        <w:t xml:space="preserve">may appear to be minimal, it </w:t>
      </w:r>
      <w:r>
        <w:rPr>
          <w:sz w:val="24"/>
          <w:szCs w:val="24"/>
        </w:rPr>
        <w:t xml:space="preserve">is </w:t>
      </w:r>
      <w:r w:rsidR="006A2C9D">
        <w:rPr>
          <w:sz w:val="24"/>
          <w:szCs w:val="24"/>
        </w:rPr>
        <w:t xml:space="preserve">imposed on a </w:t>
      </w:r>
      <w:r w:rsidR="009619C9">
        <w:rPr>
          <w:sz w:val="24"/>
          <w:szCs w:val="24"/>
        </w:rPr>
        <w:t>'</w:t>
      </w:r>
      <w:r w:rsidR="006A2C9D">
        <w:rPr>
          <w:sz w:val="24"/>
          <w:szCs w:val="24"/>
        </w:rPr>
        <w:t>per ISP, per domain name</w:t>
      </w:r>
      <w:r w:rsidR="009619C9">
        <w:rPr>
          <w:sz w:val="24"/>
          <w:szCs w:val="24"/>
        </w:rPr>
        <w:t>'</w:t>
      </w:r>
      <w:r w:rsidR="006A2C9D">
        <w:rPr>
          <w:sz w:val="24"/>
          <w:szCs w:val="24"/>
        </w:rPr>
        <w:t xml:space="preserve"> basis. </w:t>
      </w:r>
      <w:r>
        <w:rPr>
          <w:sz w:val="24"/>
          <w:szCs w:val="24"/>
        </w:rPr>
        <w:t xml:space="preserve">There are </w:t>
      </w:r>
      <w:r w:rsidR="000D77B6">
        <w:rPr>
          <w:sz w:val="24"/>
          <w:szCs w:val="24"/>
        </w:rPr>
        <w:t>hundreds of different ISPs in Australia</w:t>
      </w:r>
      <w:r>
        <w:rPr>
          <w:sz w:val="24"/>
          <w:szCs w:val="24"/>
        </w:rPr>
        <w:t xml:space="preserve"> </w:t>
      </w:r>
      <w:r w:rsidR="009619C9">
        <w:rPr>
          <w:sz w:val="24"/>
          <w:szCs w:val="24"/>
        </w:rPr>
        <w:t xml:space="preserve">and </w:t>
      </w:r>
      <w:r w:rsidR="00453764">
        <w:rPr>
          <w:sz w:val="24"/>
          <w:szCs w:val="24"/>
        </w:rPr>
        <w:t xml:space="preserve">a </w:t>
      </w:r>
      <w:r w:rsidR="009619C9">
        <w:rPr>
          <w:sz w:val="24"/>
          <w:szCs w:val="24"/>
        </w:rPr>
        <w:t xml:space="preserve">pirate </w:t>
      </w:r>
      <w:r w:rsidR="00453764">
        <w:rPr>
          <w:sz w:val="24"/>
          <w:szCs w:val="24"/>
        </w:rPr>
        <w:t>web</w:t>
      </w:r>
      <w:r w:rsidR="009619C9">
        <w:rPr>
          <w:sz w:val="24"/>
          <w:szCs w:val="24"/>
        </w:rPr>
        <w:t xml:space="preserve">site </w:t>
      </w:r>
      <w:r w:rsidR="00CB3A83">
        <w:rPr>
          <w:sz w:val="24"/>
          <w:szCs w:val="24"/>
        </w:rPr>
        <w:t xml:space="preserve">may be </w:t>
      </w:r>
      <w:r w:rsidR="009619C9">
        <w:rPr>
          <w:sz w:val="24"/>
          <w:szCs w:val="24"/>
        </w:rPr>
        <w:t xml:space="preserve">available from </w:t>
      </w:r>
      <w:r w:rsidR="00CB3A83">
        <w:rPr>
          <w:sz w:val="24"/>
          <w:szCs w:val="24"/>
        </w:rPr>
        <w:t xml:space="preserve">tens, or </w:t>
      </w:r>
      <w:r w:rsidR="009619C9">
        <w:rPr>
          <w:sz w:val="24"/>
          <w:szCs w:val="24"/>
        </w:rPr>
        <w:t xml:space="preserve">hundreds, of proxy </w:t>
      </w:r>
      <w:r w:rsidR="00453764">
        <w:rPr>
          <w:sz w:val="24"/>
          <w:szCs w:val="24"/>
        </w:rPr>
        <w:t>web</w:t>
      </w:r>
      <w:r w:rsidR="009619C9">
        <w:rPr>
          <w:sz w:val="24"/>
          <w:szCs w:val="24"/>
        </w:rPr>
        <w:t xml:space="preserve">sites. In order to have maximum effect, the orders </w:t>
      </w:r>
      <w:r w:rsidR="0079599A">
        <w:rPr>
          <w:sz w:val="24"/>
          <w:szCs w:val="24"/>
        </w:rPr>
        <w:t>sh</w:t>
      </w:r>
      <w:r w:rsidR="009619C9">
        <w:rPr>
          <w:sz w:val="24"/>
          <w:szCs w:val="24"/>
        </w:rPr>
        <w:t xml:space="preserve">ould cover all </w:t>
      </w:r>
      <w:r>
        <w:rPr>
          <w:sz w:val="24"/>
          <w:szCs w:val="24"/>
        </w:rPr>
        <w:t xml:space="preserve">Australian ISPs </w:t>
      </w:r>
      <w:r w:rsidR="009619C9">
        <w:rPr>
          <w:sz w:val="24"/>
          <w:szCs w:val="24"/>
        </w:rPr>
        <w:t xml:space="preserve">and all relevant </w:t>
      </w:r>
      <w:r w:rsidR="000D77B6">
        <w:rPr>
          <w:sz w:val="24"/>
          <w:szCs w:val="24"/>
        </w:rPr>
        <w:t>domain names</w:t>
      </w:r>
      <w:r w:rsidR="009619C9">
        <w:rPr>
          <w:sz w:val="24"/>
          <w:szCs w:val="24"/>
        </w:rPr>
        <w:t>, but the cost of doing so w</w:t>
      </w:r>
      <w:r w:rsidR="005F51C8" w:rsidRPr="00345BD7">
        <w:rPr>
          <w:sz w:val="24"/>
          <w:szCs w:val="24"/>
        </w:rPr>
        <w:t>ould be</w:t>
      </w:r>
      <w:r w:rsidRPr="00345BD7">
        <w:rPr>
          <w:sz w:val="24"/>
          <w:szCs w:val="24"/>
        </w:rPr>
        <w:t xml:space="preserve"> prohibitive</w:t>
      </w:r>
      <w:r>
        <w:rPr>
          <w:sz w:val="24"/>
          <w:szCs w:val="24"/>
        </w:rPr>
        <w:t>.</w:t>
      </w:r>
    </w:p>
    <w:p w:rsidR="00830409" w:rsidRDefault="00830409" w:rsidP="00345BD7">
      <w:pPr>
        <w:rPr>
          <w:b/>
          <w:i/>
          <w:sz w:val="24"/>
          <w:szCs w:val="24"/>
        </w:rPr>
      </w:pPr>
      <w:r w:rsidRPr="00830409">
        <w:rPr>
          <w:b/>
          <w:i/>
          <w:sz w:val="24"/>
          <w:szCs w:val="24"/>
        </w:rPr>
        <w:t>International experience</w:t>
      </w:r>
    </w:p>
    <w:p w:rsidR="00C06D51" w:rsidRDefault="00830409" w:rsidP="00345BD7">
      <w:pPr>
        <w:rPr>
          <w:sz w:val="24"/>
          <w:szCs w:val="24"/>
        </w:rPr>
      </w:pPr>
      <w:r>
        <w:rPr>
          <w:sz w:val="24"/>
          <w:szCs w:val="24"/>
        </w:rPr>
        <w:t>The requirement that the Applicants pay compliance costs is also out of step with international precedent. I</w:t>
      </w:r>
      <w:r w:rsidR="0079599A">
        <w:rPr>
          <w:sz w:val="24"/>
          <w:szCs w:val="24"/>
        </w:rPr>
        <w:t xml:space="preserve">nternet </w:t>
      </w:r>
      <w:r>
        <w:rPr>
          <w:sz w:val="24"/>
          <w:szCs w:val="24"/>
        </w:rPr>
        <w:t>S</w:t>
      </w:r>
      <w:r w:rsidR="0079599A">
        <w:rPr>
          <w:sz w:val="24"/>
          <w:szCs w:val="24"/>
        </w:rPr>
        <w:t xml:space="preserve">ervice </w:t>
      </w:r>
      <w:r>
        <w:rPr>
          <w:sz w:val="24"/>
          <w:szCs w:val="24"/>
        </w:rPr>
        <w:t>P</w:t>
      </w:r>
      <w:r w:rsidR="0079599A">
        <w:rPr>
          <w:sz w:val="24"/>
          <w:szCs w:val="24"/>
        </w:rPr>
        <w:t>roviders</w:t>
      </w:r>
      <w:r>
        <w:rPr>
          <w:sz w:val="24"/>
          <w:szCs w:val="24"/>
        </w:rPr>
        <w:t xml:space="preserve"> in over 27 countries have been ordered to implement site blocking in relation to approximately 2,800 individual URL</w:t>
      </w:r>
      <w:r w:rsidR="008243C7">
        <w:rPr>
          <w:sz w:val="24"/>
          <w:szCs w:val="24"/>
        </w:rPr>
        <w:t>s</w:t>
      </w:r>
      <w:r>
        <w:rPr>
          <w:sz w:val="24"/>
          <w:szCs w:val="24"/>
        </w:rPr>
        <w:t xml:space="preserve"> and in most cases they have done so without seeking costs of</w:t>
      </w:r>
      <w:r w:rsidR="00D01FEA">
        <w:rPr>
          <w:sz w:val="24"/>
          <w:szCs w:val="24"/>
        </w:rPr>
        <w:t xml:space="preserve"> </w:t>
      </w:r>
      <w:r>
        <w:rPr>
          <w:sz w:val="24"/>
          <w:szCs w:val="24"/>
        </w:rPr>
        <w:t>implementing the site blocking. In the</w:t>
      </w:r>
      <w:r w:rsidR="00C06D51">
        <w:rPr>
          <w:sz w:val="24"/>
          <w:szCs w:val="24"/>
        </w:rPr>
        <w:t xml:space="preserve"> overwhelming</w:t>
      </w:r>
      <w:r>
        <w:rPr>
          <w:sz w:val="24"/>
          <w:szCs w:val="24"/>
        </w:rPr>
        <w:t xml:space="preserve"> majority of cases</w:t>
      </w:r>
      <w:r w:rsidR="007322C8">
        <w:rPr>
          <w:sz w:val="24"/>
          <w:szCs w:val="24"/>
        </w:rPr>
        <w:t>,</w:t>
      </w:r>
      <w:r>
        <w:rPr>
          <w:sz w:val="24"/>
          <w:szCs w:val="24"/>
        </w:rPr>
        <w:t xml:space="preserve"> where the issue has been considered by a court, ISPs have been ordered to bear the compliance costs and their own legal costs, even though it was acknowledged they were not responsible for the copyright infringements.  </w:t>
      </w:r>
      <w:r w:rsidR="007322C8">
        <w:rPr>
          <w:sz w:val="24"/>
          <w:szCs w:val="24"/>
        </w:rPr>
        <w:t>These c</w:t>
      </w:r>
      <w:r w:rsidR="00C06D51">
        <w:rPr>
          <w:sz w:val="24"/>
          <w:szCs w:val="24"/>
        </w:rPr>
        <w:t>osts have been characterised as</w:t>
      </w:r>
      <w:r w:rsidR="008243C7">
        <w:rPr>
          <w:sz w:val="24"/>
          <w:szCs w:val="24"/>
        </w:rPr>
        <w:t xml:space="preserve"> “</w:t>
      </w:r>
      <w:r w:rsidR="00C06D51">
        <w:rPr>
          <w:sz w:val="24"/>
          <w:szCs w:val="24"/>
        </w:rPr>
        <w:t>a cost of doing business”</w:t>
      </w:r>
      <w:r w:rsidR="008243C7">
        <w:rPr>
          <w:sz w:val="24"/>
          <w:szCs w:val="24"/>
        </w:rPr>
        <w:t xml:space="preserve"> </w:t>
      </w:r>
      <w:r w:rsidR="00C06D51">
        <w:rPr>
          <w:sz w:val="24"/>
          <w:szCs w:val="24"/>
        </w:rPr>
        <w:t xml:space="preserve">for the ISPs. </w:t>
      </w:r>
    </w:p>
    <w:p w:rsidR="00830409" w:rsidRDefault="00830409" w:rsidP="00345BD7">
      <w:pPr>
        <w:rPr>
          <w:sz w:val="24"/>
          <w:szCs w:val="24"/>
        </w:rPr>
      </w:pPr>
      <w:r>
        <w:rPr>
          <w:sz w:val="24"/>
          <w:szCs w:val="24"/>
        </w:rPr>
        <w:t>S</w:t>
      </w:r>
      <w:r w:rsidR="00E069F2">
        <w:rPr>
          <w:sz w:val="24"/>
          <w:szCs w:val="24"/>
        </w:rPr>
        <w:t>ection 115A(9)</w:t>
      </w:r>
      <w:r>
        <w:rPr>
          <w:sz w:val="24"/>
          <w:szCs w:val="24"/>
        </w:rPr>
        <w:t xml:space="preserve"> and the issue of compliance costs must </w:t>
      </w:r>
      <w:r w:rsidR="001862A4">
        <w:rPr>
          <w:sz w:val="24"/>
          <w:szCs w:val="24"/>
        </w:rPr>
        <w:t>be reviewed as part</w:t>
      </w:r>
      <w:r w:rsidRPr="00830409">
        <w:rPr>
          <w:sz w:val="24"/>
          <w:szCs w:val="24"/>
        </w:rPr>
        <w:t xml:space="preserve"> a full review of copyright enforcement to ensure s115A is an effective and efficient mechanism to address online copyright infringement.</w:t>
      </w:r>
    </w:p>
    <w:p w:rsidR="009D6465" w:rsidRDefault="007F08D9" w:rsidP="00CB7D13">
      <w:pPr>
        <w:tabs>
          <w:tab w:val="left" w:pos="365"/>
        </w:tabs>
        <w:rPr>
          <w:sz w:val="24"/>
          <w:szCs w:val="24"/>
        </w:rPr>
      </w:pPr>
      <w:r w:rsidRPr="00886CD3">
        <w:rPr>
          <w:rFonts w:cs="Calibri"/>
          <w:noProof/>
          <w:color w:val="7030A0"/>
          <w:sz w:val="24"/>
          <w:szCs w:val="24"/>
          <w:lang w:val="en-US"/>
        </w:rPr>
        <mc:AlternateContent>
          <mc:Choice Requires="wps">
            <w:drawing>
              <wp:inline distT="0" distB="0" distL="0" distR="0" wp14:anchorId="0FB8F6CC" wp14:editId="45E09BB8">
                <wp:extent cx="5731510" cy="493395"/>
                <wp:effectExtent l="0" t="0" r="21590" b="2095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93395"/>
                        </a:xfrm>
                        <a:prstGeom prst="rect">
                          <a:avLst/>
                        </a:prstGeom>
                        <a:solidFill>
                          <a:schemeClr val="accent4">
                            <a:lumMod val="20000"/>
                            <a:lumOff val="80000"/>
                          </a:schemeClr>
                        </a:solidFill>
                        <a:ln w="9525">
                          <a:solidFill>
                            <a:srgbClr val="000000"/>
                          </a:solidFill>
                          <a:miter lim="800000"/>
                          <a:headEnd/>
                          <a:tailEnd/>
                        </a:ln>
                      </wps:spPr>
                      <wps:txbx>
                        <w:txbxContent>
                          <w:p w:rsidR="00A95E14" w:rsidRPr="00872B2A" w:rsidRDefault="00A95E14" w:rsidP="007F08D9">
                            <w:pPr>
                              <w:jc w:val="center"/>
                              <w:rPr>
                                <w:b/>
                                <w:i/>
                              </w:rPr>
                            </w:pPr>
                            <w:r w:rsidRPr="00426A00">
                              <w:rPr>
                                <w:b/>
                              </w:rPr>
                              <w:t xml:space="preserve">Question </w:t>
                            </w:r>
                            <w:r>
                              <w:rPr>
                                <w:b/>
                              </w:rPr>
                              <w:t xml:space="preserve">2: </w:t>
                            </w:r>
                            <w:r>
                              <w:rPr>
                                <w:b/>
                                <w:i/>
                              </w:rPr>
                              <w:t>Is the application process working well for all parties and are the injunctions operating well once granted?</w:t>
                            </w:r>
                          </w:p>
                        </w:txbxContent>
                      </wps:txbx>
                      <wps:bodyPr rot="0" vert="horz" wrap="square" lIns="91440" tIns="45720" rIns="91440" bIns="45720" anchor="t" anchorCtr="0">
                        <a:noAutofit/>
                      </wps:bodyPr>
                    </wps:wsp>
                  </a:graphicData>
                </a:graphic>
              </wp:inline>
            </w:drawing>
          </mc:Choice>
          <mc:Fallback>
            <w:pict>
              <v:shape id="_x0000_s1027" type="#_x0000_t202" style="width:451.3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" fillcolor="#e5dfec [663]">
                <v:textbox>
                  <w:txbxContent>
                    <w:p w:rsidR="00A95E14" w:rsidRPr="00872B2A" w:rsidRDefault="00A95E14" w:rsidP="007F08D9">
                      <w:pPr>
                        <w:jc w:val="center"/>
                        <w:rPr>
                          <w:b/>
                          <w:i/>
                        </w:rPr>
                      </w:pPr>
                      <w:r w:rsidRPr="00426A00">
                        <w:rPr>
                          <w:b/>
                        </w:rPr>
                        <w:t xml:space="preserve">Question </w:t>
                      </w:r>
                      <w:r>
                        <w:rPr>
                          <w:b/>
                        </w:rPr>
                        <w:t xml:space="preserve">2: </w:t>
                      </w:r>
                      <w:r>
                        <w:rPr>
                          <w:b/>
                          <w:i/>
                        </w:rPr>
                        <w:t>Is the application process working well for all parties and are the injunctions operating well once granted?</w:t>
                      </w:r>
                    </w:p>
                  </w:txbxContent>
                </v:textbox>
                <w10:anchorlock/>
              </v:shape>
            </w:pict>
          </mc:Fallback>
        </mc:AlternateContent>
      </w:r>
    </w:p>
    <w:p w:rsidR="002E5E43" w:rsidRDefault="002E5E43" w:rsidP="00CB7D13">
      <w:pPr>
        <w:tabs>
          <w:tab w:val="left" w:pos="365"/>
        </w:tabs>
        <w:rPr>
          <w:sz w:val="24"/>
          <w:szCs w:val="24"/>
        </w:rPr>
      </w:pPr>
    </w:p>
    <w:p w:rsidR="000637A1" w:rsidRDefault="00100D06" w:rsidP="00CB7D13">
      <w:pPr>
        <w:tabs>
          <w:tab w:val="left" w:pos="365"/>
        </w:tabs>
        <w:rPr>
          <w:sz w:val="24"/>
          <w:szCs w:val="24"/>
        </w:rPr>
      </w:pPr>
      <w:r>
        <w:rPr>
          <w:sz w:val="24"/>
          <w:szCs w:val="24"/>
        </w:rPr>
        <w:t>The parties had agreed the</w:t>
      </w:r>
      <w:r w:rsidR="00B8623D">
        <w:rPr>
          <w:sz w:val="24"/>
          <w:szCs w:val="24"/>
        </w:rPr>
        <w:t xml:space="preserve"> blocking</w:t>
      </w:r>
      <w:r>
        <w:rPr>
          <w:sz w:val="24"/>
          <w:szCs w:val="24"/>
        </w:rPr>
        <w:t xml:space="preserve"> technology issues prior to the hearing. </w:t>
      </w:r>
      <w:r w:rsidR="000637A1">
        <w:rPr>
          <w:sz w:val="24"/>
          <w:szCs w:val="24"/>
        </w:rPr>
        <w:t>On</w:t>
      </w:r>
      <w:r w:rsidR="006B5592">
        <w:rPr>
          <w:sz w:val="24"/>
          <w:szCs w:val="24"/>
        </w:rPr>
        <w:t xml:space="preserve">ce the orders </w:t>
      </w:r>
      <w:r w:rsidR="00F66590">
        <w:rPr>
          <w:sz w:val="24"/>
          <w:szCs w:val="24"/>
        </w:rPr>
        <w:t xml:space="preserve">were </w:t>
      </w:r>
      <w:r w:rsidR="000637A1">
        <w:rPr>
          <w:sz w:val="24"/>
          <w:szCs w:val="24"/>
        </w:rPr>
        <w:t xml:space="preserve">made </w:t>
      </w:r>
      <w:r w:rsidR="006B5592">
        <w:rPr>
          <w:sz w:val="24"/>
          <w:szCs w:val="24"/>
        </w:rPr>
        <w:t>t</w:t>
      </w:r>
      <w:r w:rsidR="000637A1">
        <w:rPr>
          <w:sz w:val="24"/>
          <w:szCs w:val="24"/>
        </w:rPr>
        <w:t xml:space="preserve">he </w:t>
      </w:r>
      <w:r w:rsidR="006B5592">
        <w:rPr>
          <w:sz w:val="24"/>
          <w:szCs w:val="24"/>
        </w:rPr>
        <w:t>Respondents implemented the</w:t>
      </w:r>
      <w:r w:rsidR="006911CB">
        <w:rPr>
          <w:sz w:val="24"/>
          <w:szCs w:val="24"/>
        </w:rPr>
        <w:t xml:space="preserve"> site</w:t>
      </w:r>
      <w:r w:rsidR="006B5592">
        <w:rPr>
          <w:sz w:val="24"/>
          <w:szCs w:val="24"/>
        </w:rPr>
        <w:t xml:space="preserve"> block</w:t>
      </w:r>
      <w:r w:rsidR="006911CB">
        <w:rPr>
          <w:sz w:val="24"/>
          <w:szCs w:val="24"/>
        </w:rPr>
        <w:t>ing</w:t>
      </w:r>
      <w:r w:rsidR="006B5592">
        <w:rPr>
          <w:sz w:val="24"/>
          <w:szCs w:val="24"/>
        </w:rPr>
        <w:t xml:space="preserve"> within</w:t>
      </w:r>
      <w:r w:rsidR="006911CB">
        <w:rPr>
          <w:sz w:val="24"/>
          <w:szCs w:val="24"/>
        </w:rPr>
        <w:t xml:space="preserve"> </w:t>
      </w:r>
      <w:r w:rsidR="006B5592">
        <w:rPr>
          <w:sz w:val="24"/>
          <w:szCs w:val="24"/>
        </w:rPr>
        <w:t>the time frame set out in the orders</w:t>
      </w:r>
      <w:r w:rsidR="000637A1">
        <w:rPr>
          <w:sz w:val="24"/>
          <w:szCs w:val="24"/>
        </w:rPr>
        <w:t>.</w:t>
      </w:r>
    </w:p>
    <w:p w:rsidR="006B5592" w:rsidRDefault="006B5592" w:rsidP="00CB7D13">
      <w:pPr>
        <w:tabs>
          <w:tab w:val="left" w:pos="365"/>
        </w:tabs>
        <w:rPr>
          <w:sz w:val="24"/>
          <w:szCs w:val="24"/>
        </w:rPr>
      </w:pPr>
      <w:r>
        <w:rPr>
          <w:sz w:val="24"/>
          <w:szCs w:val="24"/>
        </w:rPr>
        <w:t xml:space="preserve">The blocks remain in place and MRA is not aware of any instance or allegation of </w:t>
      </w:r>
      <w:r w:rsidR="00100D06">
        <w:rPr>
          <w:sz w:val="24"/>
          <w:szCs w:val="24"/>
        </w:rPr>
        <w:t>“</w:t>
      </w:r>
      <w:r>
        <w:rPr>
          <w:sz w:val="24"/>
          <w:szCs w:val="24"/>
        </w:rPr>
        <w:t>over blocking</w:t>
      </w:r>
      <w:r w:rsidR="00100D06">
        <w:rPr>
          <w:sz w:val="24"/>
          <w:szCs w:val="24"/>
        </w:rPr>
        <w:t>”</w:t>
      </w:r>
      <w:r>
        <w:rPr>
          <w:sz w:val="24"/>
          <w:szCs w:val="24"/>
        </w:rPr>
        <w:t xml:space="preserve"> with respect to the orders made in the music case</w:t>
      </w:r>
      <w:r w:rsidR="00F66590">
        <w:rPr>
          <w:sz w:val="24"/>
          <w:szCs w:val="24"/>
        </w:rPr>
        <w:t>.</w:t>
      </w:r>
      <w:r>
        <w:rPr>
          <w:sz w:val="24"/>
          <w:szCs w:val="24"/>
        </w:rPr>
        <w:t xml:space="preserve">  </w:t>
      </w:r>
    </w:p>
    <w:p w:rsidR="00B8623D" w:rsidRDefault="00B8623D" w:rsidP="00CB7D13">
      <w:pPr>
        <w:tabs>
          <w:tab w:val="left" w:pos="365"/>
        </w:tabs>
        <w:rPr>
          <w:sz w:val="24"/>
          <w:szCs w:val="24"/>
        </w:rPr>
      </w:pPr>
      <w:r w:rsidRPr="00B8623D">
        <w:rPr>
          <w:sz w:val="24"/>
          <w:szCs w:val="24"/>
        </w:rPr>
        <w:t xml:space="preserve">All the s115A cases have included orders that </w:t>
      </w:r>
      <w:r w:rsidR="001862A4">
        <w:rPr>
          <w:sz w:val="24"/>
          <w:szCs w:val="24"/>
        </w:rPr>
        <w:t>the ISP</w:t>
      </w:r>
      <w:r w:rsidR="009D6465">
        <w:rPr>
          <w:sz w:val="24"/>
          <w:szCs w:val="24"/>
        </w:rPr>
        <w:t>s</w:t>
      </w:r>
      <w:r w:rsidR="001862A4">
        <w:rPr>
          <w:sz w:val="24"/>
          <w:szCs w:val="24"/>
        </w:rPr>
        <w:t xml:space="preserve"> </w:t>
      </w:r>
      <w:r w:rsidRPr="00B8623D">
        <w:rPr>
          <w:sz w:val="24"/>
          <w:szCs w:val="24"/>
        </w:rPr>
        <w:t xml:space="preserve">either direct their subscribers </w:t>
      </w:r>
      <w:r>
        <w:rPr>
          <w:sz w:val="24"/>
          <w:szCs w:val="24"/>
        </w:rPr>
        <w:t xml:space="preserve">to </w:t>
      </w:r>
      <w:r w:rsidRPr="00B8623D">
        <w:rPr>
          <w:sz w:val="24"/>
          <w:szCs w:val="24"/>
        </w:rPr>
        <w:t>the Copyright Landing Page or to another site of their choice.</w:t>
      </w:r>
    </w:p>
    <w:p w:rsidR="000637A1" w:rsidRDefault="006B5592" w:rsidP="00CB7D13">
      <w:pPr>
        <w:tabs>
          <w:tab w:val="left" w:pos="365"/>
        </w:tabs>
        <w:rPr>
          <w:sz w:val="24"/>
          <w:szCs w:val="24"/>
        </w:rPr>
      </w:pPr>
      <w:r>
        <w:rPr>
          <w:sz w:val="24"/>
          <w:szCs w:val="24"/>
        </w:rPr>
        <w:t>The graph below</w:t>
      </w:r>
      <w:r w:rsidR="000637A1">
        <w:rPr>
          <w:sz w:val="24"/>
          <w:szCs w:val="24"/>
        </w:rPr>
        <w:t xml:space="preserve"> shows </w:t>
      </w:r>
      <w:r>
        <w:rPr>
          <w:sz w:val="24"/>
          <w:szCs w:val="24"/>
        </w:rPr>
        <w:t>traffic to the Copyright Landing Page</w:t>
      </w:r>
      <w:r w:rsidR="000637A1">
        <w:rPr>
          <w:sz w:val="24"/>
          <w:szCs w:val="24"/>
        </w:rPr>
        <w:t xml:space="preserve"> (including fr</w:t>
      </w:r>
      <w:r>
        <w:rPr>
          <w:sz w:val="24"/>
          <w:szCs w:val="24"/>
        </w:rPr>
        <w:t>o</w:t>
      </w:r>
      <w:r w:rsidR="000637A1">
        <w:rPr>
          <w:sz w:val="24"/>
          <w:szCs w:val="24"/>
        </w:rPr>
        <w:t xml:space="preserve">m the period </w:t>
      </w:r>
      <w:r>
        <w:rPr>
          <w:sz w:val="24"/>
          <w:szCs w:val="24"/>
        </w:rPr>
        <w:t>when the orders were ma</w:t>
      </w:r>
      <w:r w:rsidR="00F66590">
        <w:rPr>
          <w:sz w:val="24"/>
          <w:szCs w:val="24"/>
        </w:rPr>
        <w:t>de</w:t>
      </w:r>
      <w:r>
        <w:rPr>
          <w:sz w:val="24"/>
          <w:szCs w:val="24"/>
        </w:rPr>
        <w:t xml:space="preserve"> in the </w:t>
      </w:r>
      <w:r w:rsidR="006911CB">
        <w:rPr>
          <w:sz w:val="24"/>
          <w:szCs w:val="24"/>
        </w:rPr>
        <w:t>film</w:t>
      </w:r>
      <w:r w:rsidR="0079599A">
        <w:rPr>
          <w:sz w:val="24"/>
          <w:szCs w:val="24"/>
        </w:rPr>
        <w:t xml:space="preserve"> industry</w:t>
      </w:r>
      <w:r w:rsidR="006911CB">
        <w:rPr>
          <w:sz w:val="24"/>
          <w:szCs w:val="24"/>
        </w:rPr>
        <w:t xml:space="preserve"> </w:t>
      </w:r>
      <w:r w:rsidR="000637A1">
        <w:rPr>
          <w:sz w:val="24"/>
          <w:szCs w:val="24"/>
        </w:rPr>
        <w:t xml:space="preserve">and </w:t>
      </w:r>
      <w:r>
        <w:rPr>
          <w:sz w:val="24"/>
          <w:szCs w:val="24"/>
        </w:rPr>
        <w:t>Foxtel</w:t>
      </w:r>
      <w:r w:rsidR="000637A1">
        <w:rPr>
          <w:sz w:val="24"/>
          <w:szCs w:val="24"/>
        </w:rPr>
        <w:t xml:space="preserve"> </w:t>
      </w:r>
      <w:r>
        <w:rPr>
          <w:sz w:val="24"/>
          <w:szCs w:val="24"/>
        </w:rPr>
        <w:t>cases).</w:t>
      </w:r>
      <w:r w:rsidR="000637A1">
        <w:rPr>
          <w:sz w:val="24"/>
          <w:szCs w:val="24"/>
        </w:rPr>
        <w:t xml:space="preserve"> </w:t>
      </w:r>
    </w:p>
    <w:p w:rsidR="000637A1" w:rsidRDefault="000637A1" w:rsidP="00CB7D13">
      <w:pPr>
        <w:tabs>
          <w:tab w:val="left" w:pos="365"/>
        </w:tabs>
        <w:rPr>
          <w:sz w:val="24"/>
          <w:szCs w:val="24"/>
        </w:rPr>
      </w:pPr>
      <w:r>
        <w:rPr>
          <w:sz w:val="24"/>
          <w:szCs w:val="24"/>
        </w:rPr>
        <w:t>It is our unde</w:t>
      </w:r>
      <w:r w:rsidR="006B5592">
        <w:rPr>
          <w:sz w:val="24"/>
          <w:szCs w:val="24"/>
        </w:rPr>
        <w:t xml:space="preserve">rstanding that only </w:t>
      </w:r>
      <w:r>
        <w:rPr>
          <w:sz w:val="24"/>
          <w:szCs w:val="24"/>
        </w:rPr>
        <w:t xml:space="preserve">Optus and Foxtel </w:t>
      </w:r>
      <w:r w:rsidR="006B5592">
        <w:rPr>
          <w:sz w:val="24"/>
          <w:szCs w:val="24"/>
        </w:rPr>
        <w:t>are using the Copyright Landing Page</w:t>
      </w:r>
      <w:r>
        <w:rPr>
          <w:sz w:val="24"/>
          <w:szCs w:val="24"/>
        </w:rPr>
        <w:t xml:space="preserve">. </w:t>
      </w:r>
      <w:r w:rsidR="00AD0844">
        <w:rPr>
          <w:sz w:val="24"/>
          <w:szCs w:val="24"/>
        </w:rPr>
        <w:t xml:space="preserve">The graph below only captures the traffic to the Copyright Landing Page from those two carriage service </w:t>
      </w:r>
      <w:r w:rsidR="00F66590">
        <w:rPr>
          <w:sz w:val="24"/>
          <w:szCs w:val="24"/>
        </w:rPr>
        <w:t xml:space="preserve">providers. </w:t>
      </w:r>
    </w:p>
    <w:p w:rsidR="006911CB" w:rsidRDefault="007F08D9" w:rsidP="00AD0844">
      <w:pPr>
        <w:tabs>
          <w:tab w:val="left" w:pos="365"/>
        </w:tabs>
        <w:rPr>
          <w:sz w:val="24"/>
          <w:szCs w:val="24"/>
        </w:rPr>
      </w:pPr>
      <w:r>
        <w:rPr>
          <w:noProof/>
          <w:sz w:val="24"/>
          <w:szCs w:val="24"/>
          <w:lang w:val="en-US"/>
        </w:rPr>
        <w:drawing>
          <wp:inline distT="0" distB="0" distL="0" distR="0" wp14:anchorId="54C2B0BE" wp14:editId="4C034D21">
            <wp:extent cx="6065350" cy="26340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9219" cy="2640041"/>
                    </a:xfrm>
                    <a:prstGeom prst="rect">
                      <a:avLst/>
                    </a:prstGeom>
                    <a:noFill/>
                    <a:ln>
                      <a:noFill/>
                    </a:ln>
                  </pic:spPr>
                </pic:pic>
              </a:graphicData>
            </a:graphic>
          </wp:inline>
        </w:drawing>
      </w:r>
    </w:p>
    <w:p w:rsidR="002E5E43" w:rsidRDefault="002E5E43" w:rsidP="00AD0844">
      <w:pPr>
        <w:tabs>
          <w:tab w:val="left" w:pos="365"/>
        </w:tabs>
        <w:rPr>
          <w:sz w:val="24"/>
          <w:szCs w:val="24"/>
        </w:rPr>
      </w:pPr>
      <w:r w:rsidRPr="002E5E43">
        <w:rPr>
          <w:noProof/>
          <w:sz w:val="24"/>
          <w:szCs w:val="24"/>
          <w:lang w:val="en-US"/>
        </w:rPr>
        <w:drawing>
          <wp:inline distT="0" distB="0" distL="0" distR="0" wp14:anchorId="4C607BE8" wp14:editId="2C7E487A">
            <wp:extent cx="5731510" cy="3748138"/>
            <wp:effectExtent l="0" t="0" r="2540" b="508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5731510" cy="3748138"/>
                    </a:xfrm>
                    <a:prstGeom prst="rect">
                      <a:avLst/>
                    </a:prstGeom>
                  </pic:spPr>
                </pic:pic>
              </a:graphicData>
            </a:graphic>
          </wp:inline>
        </w:drawing>
      </w:r>
    </w:p>
    <w:p w:rsidR="002E5E43" w:rsidRDefault="001862A4" w:rsidP="00AD0844">
      <w:pPr>
        <w:tabs>
          <w:tab w:val="left" w:pos="365"/>
        </w:tabs>
        <w:rPr>
          <w:sz w:val="24"/>
          <w:szCs w:val="24"/>
        </w:rPr>
      </w:pPr>
      <w:r>
        <w:rPr>
          <w:sz w:val="24"/>
          <w:szCs w:val="24"/>
        </w:rPr>
        <w:t>This graph shows traffic to the KAT site after</w:t>
      </w:r>
      <w:r w:rsidR="00844D5F">
        <w:rPr>
          <w:sz w:val="24"/>
          <w:szCs w:val="24"/>
        </w:rPr>
        <w:t xml:space="preserve"> the</w:t>
      </w:r>
      <w:r>
        <w:rPr>
          <w:sz w:val="24"/>
          <w:szCs w:val="24"/>
        </w:rPr>
        <w:t xml:space="preserve"> US action and the </w:t>
      </w:r>
      <w:r w:rsidR="00844D5F">
        <w:rPr>
          <w:sz w:val="24"/>
          <w:szCs w:val="24"/>
        </w:rPr>
        <w:t xml:space="preserve">traffic </w:t>
      </w:r>
      <w:r>
        <w:rPr>
          <w:sz w:val="24"/>
          <w:szCs w:val="24"/>
        </w:rPr>
        <w:t xml:space="preserve">to the KAT proxy sites once the ISPs </w:t>
      </w:r>
      <w:r w:rsidR="00844D5F">
        <w:rPr>
          <w:sz w:val="24"/>
          <w:szCs w:val="24"/>
        </w:rPr>
        <w:t>implemented the site</w:t>
      </w:r>
      <w:r>
        <w:rPr>
          <w:sz w:val="24"/>
          <w:szCs w:val="24"/>
        </w:rPr>
        <w:t xml:space="preserve"> blocks.</w:t>
      </w:r>
    </w:p>
    <w:p w:rsidR="001862A4" w:rsidRDefault="002E5E43" w:rsidP="00AD0844">
      <w:pPr>
        <w:tabs>
          <w:tab w:val="left" w:pos="365"/>
        </w:tabs>
        <w:rPr>
          <w:sz w:val="24"/>
          <w:szCs w:val="24"/>
        </w:rPr>
      </w:pPr>
      <w:r w:rsidRPr="002E5E43">
        <w:rPr>
          <w:noProof/>
          <w:sz w:val="24"/>
          <w:szCs w:val="24"/>
          <w:highlight w:val="yellow"/>
          <w:lang w:val="en-US"/>
        </w:rPr>
        <w:drawing>
          <wp:inline distT="0" distB="0" distL="0" distR="0" wp14:anchorId="3751FDE7" wp14:editId="5F8649E7">
            <wp:extent cx="5731510" cy="3737728"/>
            <wp:effectExtent l="0" t="0" r="254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5731510" cy="3737728"/>
                    </a:xfrm>
                    <a:prstGeom prst="rect">
                      <a:avLst/>
                    </a:prstGeom>
                  </pic:spPr>
                </pic:pic>
              </a:graphicData>
            </a:graphic>
          </wp:inline>
        </w:drawing>
      </w:r>
    </w:p>
    <w:p w:rsidR="001862A4" w:rsidRDefault="001862A4" w:rsidP="00AD0844">
      <w:pPr>
        <w:tabs>
          <w:tab w:val="left" w:pos="365"/>
        </w:tabs>
        <w:rPr>
          <w:sz w:val="24"/>
          <w:szCs w:val="24"/>
        </w:rPr>
      </w:pPr>
      <w:r>
        <w:rPr>
          <w:sz w:val="24"/>
          <w:szCs w:val="24"/>
        </w:rPr>
        <w:t>This graph shows traffic to the four sites which were subject to blocking orders in the Foxtel case in December 2016.</w:t>
      </w:r>
    </w:p>
    <w:p w:rsidR="002E5E43" w:rsidRDefault="002E5E43" w:rsidP="00AD0844">
      <w:pPr>
        <w:tabs>
          <w:tab w:val="left" w:pos="365"/>
        </w:tabs>
        <w:rPr>
          <w:sz w:val="24"/>
          <w:szCs w:val="24"/>
        </w:rPr>
      </w:pPr>
      <w:r w:rsidRPr="002E5E43">
        <w:rPr>
          <w:noProof/>
          <w:sz w:val="24"/>
          <w:szCs w:val="24"/>
          <w:highlight w:val="yellow"/>
          <w:lang w:val="en-US"/>
        </w:rPr>
        <w:drawing>
          <wp:inline distT="0" distB="0" distL="0" distR="0" wp14:anchorId="10BFC206" wp14:editId="27831575">
            <wp:extent cx="5731510" cy="3737116"/>
            <wp:effectExtent l="0" t="0" r="254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stretch>
                      <a:fillRect/>
                    </a:stretch>
                  </pic:blipFill>
                  <pic:spPr>
                    <a:xfrm>
                      <a:off x="0" y="0"/>
                      <a:ext cx="5731510" cy="3737116"/>
                    </a:xfrm>
                    <a:prstGeom prst="rect">
                      <a:avLst/>
                    </a:prstGeom>
                  </pic:spPr>
                </pic:pic>
              </a:graphicData>
            </a:graphic>
          </wp:inline>
        </w:drawing>
      </w:r>
    </w:p>
    <w:p w:rsidR="002E5E43" w:rsidRDefault="001862A4" w:rsidP="00AD0844">
      <w:pPr>
        <w:tabs>
          <w:tab w:val="left" w:pos="365"/>
        </w:tabs>
        <w:rPr>
          <w:sz w:val="24"/>
          <w:szCs w:val="24"/>
        </w:rPr>
      </w:pPr>
      <w:r>
        <w:rPr>
          <w:sz w:val="24"/>
          <w:szCs w:val="24"/>
        </w:rPr>
        <w:t>This graph shows</w:t>
      </w:r>
      <w:r w:rsidR="00844D5F">
        <w:rPr>
          <w:sz w:val="24"/>
          <w:szCs w:val="24"/>
        </w:rPr>
        <w:t xml:space="preserve"> </w:t>
      </w:r>
      <w:r>
        <w:rPr>
          <w:sz w:val="24"/>
          <w:szCs w:val="24"/>
        </w:rPr>
        <w:t>there has been an overall decline</w:t>
      </w:r>
      <w:r w:rsidR="00E069F2">
        <w:rPr>
          <w:sz w:val="24"/>
          <w:szCs w:val="24"/>
        </w:rPr>
        <w:t xml:space="preserve"> in </w:t>
      </w:r>
      <w:r>
        <w:rPr>
          <w:sz w:val="24"/>
          <w:szCs w:val="24"/>
        </w:rPr>
        <w:t>bittorrrent activity</w:t>
      </w:r>
      <w:r w:rsidR="00844D5F">
        <w:rPr>
          <w:sz w:val="24"/>
          <w:szCs w:val="24"/>
        </w:rPr>
        <w:t xml:space="preserve"> during the period when the site blocking orders have been in place</w:t>
      </w:r>
      <w:r>
        <w:rPr>
          <w:sz w:val="24"/>
          <w:szCs w:val="24"/>
        </w:rPr>
        <w:t>.</w:t>
      </w:r>
    </w:p>
    <w:p w:rsidR="002E5E43" w:rsidRDefault="002E5E43" w:rsidP="00AD0844">
      <w:pPr>
        <w:tabs>
          <w:tab w:val="left" w:pos="365"/>
        </w:tabs>
        <w:rPr>
          <w:sz w:val="24"/>
          <w:szCs w:val="24"/>
        </w:rPr>
      </w:pPr>
      <w:r w:rsidRPr="002E5E43">
        <w:rPr>
          <w:noProof/>
          <w:sz w:val="24"/>
          <w:szCs w:val="24"/>
          <w:highlight w:val="yellow"/>
          <w:lang w:val="en-US"/>
        </w:rPr>
        <w:drawing>
          <wp:inline distT="0" distB="0" distL="0" distR="0" wp14:anchorId="59CD4A4C" wp14:editId="33A81A6E">
            <wp:extent cx="5731510" cy="3740178"/>
            <wp:effectExtent l="0" t="0" r="254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a:stretch>
                      <a:fillRect/>
                    </a:stretch>
                  </pic:blipFill>
                  <pic:spPr>
                    <a:xfrm>
                      <a:off x="0" y="0"/>
                      <a:ext cx="5731510" cy="3740178"/>
                    </a:xfrm>
                    <a:prstGeom prst="rect">
                      <a:avLst/>
                    </a:prstGeom>
                  </pic:spPr>
                </pic:pic>
              </a:graphicData>
            </a:graphic>
          </wp:inline>
        </w:drawing>
      </w:r>
    </w:p>
    <w:p w:rsidR="001862A4" w:rsidRDefault="001862A4" w:rsidP="00AD0844">
      <w:pPr>
        <w:tabs>
          <w:tab w:val="left" w:pos="365"/>
        </w:tabs>
        <w:rPr>
          <w:sz w:val="24"/>
          <w:szCs w:val="24"/>
        </w:rPr>
      </w:pPr>
      <w:r>
        <w:rPr>
          <w:sz w:val="24"/>
          <w:szCs w:val="24"/>
        </w:rPr>
        <w:t xml:space="preserve">This </w:t>
      </w:r>
      <w:r w:rsidR="00844D5F">
        <w:rPr>
          <w:sz w:val="24"/>
          <w:szCs w:val="24"/>
        </w:rPr>
        <w:t>graph</w:t>
      </w:r>
      <w:r>
        <w:rPr>
          <w:sz w:val="24"/>
          <w:szCs w:val="24"/>
        </w:rPr>
        <w:t xml:space="preserve"> shows the growth of unique Spotify users over the period September 2016 to December 2017 </w:t>
      </w:r>
    </w:p>
    <w:p w:rsidR="00AD0844" w:rsidRDefault="00D01FEA" w:rsidP="00AD0844">
      <w:pPr>
        <w:tabs>
          <w:tab w:val="left" w:pos="365"/>
        </w:tabs>
        <w:rPr>
          <w:sz w:val="24"/>
          <w:szCs w:val="24"/>
        </w:rPr>
      </w:pPr>
      <w:r w:rsidRPr="00D01FEA">
        <w:rPr>
          <w:sz w:val="24"/>
          <w:szCs w:val="24"/>
        </w:rPr>
        <w:t>This data shows the site blocking orders are effective.</w:t>
      </w:r>
      <w:r>
        <w:rPr>
          <w:sz w:val="24"/>
          <w:szCs w:val="24"/>
        </w:rPr>
        <w:t xml:space="preserve"> However, while </w:t>
      </w:r>
      <w:r w:rsidR="00AD0844">
        <w:rPr>
          <w:sz w:val="24"/>
          <w:szCs w:val="24"/>
        </w:rPr>
        <w:t xml:space="preserve">the preliminary data is positive and promising, </w:t>
      </w:r>
      <w:r w:rsidR="00AD0844" w:rsidRPr="00AD0844">
        <w:rPr>
          <w:sz w:val="24"/>
          <w:szCs w:val="24"/>
        </w:rPr>
        <w:t>MRA recommends</w:t>
      </w:r>
      <w:r w:rsidR="00AD0844">
        <w:rPr>
          <w:sz w:val="24"/>
          <w:szCs w:val="24"/>
        </w:rPr>
        <w:t xml:space="preserve"> the Government undertake a full review of copyright enforcement</w:t>
      </w:r>
      <w:r w:rsidR="00E0100F">
        <w:rPr>
          <w:sz w:val="24"/>
          <w:szCs w:val="24"/>
        </w:rPr>
        <w:t xml:space="preserve"> within </w:t>
      </w:r>
      <w:r w:rsidR="00E069F2">
        <w:rPr>
          <w:sz w:val="24"/>
          <w:szCs w:val="24"/>
        </w:rPr>
        <w:t>eighteen months</w:t>
      </w:r>
      <w:r w:rsidR="00E0100F">
        <w:rPr>
          <w:sz w:val="24"/>
          <w:szCs w:val="24"/>
        </w:rPr>
        <w:t xml:space="preserve">. The review </w:t>
      </w:r>
      <w:r w:rsidR="00AD0844">
        <w:rPr>
          <w:sz w:val="24"/>
          <w:szCs w:val="24"/>
        </w:rPr>
        <w:t xml:space="preserve">should include a </w:t>
      </w:r>
      <w:r w:rsidR="00100D06">
        <w:rPr>
          <w:sz w:val="24"/>
          <w:szCs w:val="24"/>
        </w:rPr>
        <w:t xml:space="preserve">full </w:t>
      </w:r>
      <w:r w:rsidR="00AD0844">
        <w:rPr>
          <w:sz w:val="24"/>
          <w:szCs w:val="24"/>
        </w:rPr>
        <w:t xml:space="preserve">review of s115A </w:t>
      </w:r>
      <w:r w:rsidR="00E0100F">
        <w:rPr>
          <w:sz w:val="24"/>
          <w:szCs w:val="24"/>
        </w:rPr>
        <w:t xml:space="preserve">to </w:t>
      </w:r>
      <w:r w:rsidR="00AD0844" w:rsidRPr="00AD0844">
        <w:rPr>
          <w:sz w:val="24"/>
          <w:szCs w:val="24"/>
        </w:rPr>
        <w:t>ensure</w:t>
      </w:r>
      <w:r w:rsidR="00C74E7E">
        <w:rPr>
          <w:sz w:val="24"/>
          <w:szCs w:val="24"/>
        </w:rPr>
        <w:t xml:space="preserve"> it </w:t>
      </w:r>
      <w:r w:rsidR="00AD0844" w:rsidRPr="00AD0844">
        <w:rPr>
          <w:sz w:val="24"/>
          <w:szCs w:val="24"/>
        </w:rPr>
        <w:t>is an effective and efficient mechanism to address online copyright infringement</w:t>
      </w:r>
      <w:r w:rsidR="00E0100F">
        <w:rPr>
          <w:sz w:val="24"/>
          <w:szCs w:val="24"/>
        </w:rPr>
        <w:t>.</w:t>
      </w:r>
    </w:p>
    <w:p w:rsidR="002C178D" w:rsidRPr="002C178D" w:rsidRDefault="002C178D" w:rsidP="002C178D">
      <w:pPr>
        <w:tabs>
          <w:tab w:val="left" w:pos="365"/>
        </w:tabs>
        <w:rPr>
          <w:sz w:val="24"/>
          <w:szCs w:val="24"/>
        </w:rPr>
      </w:pPr>
    </w:p>
    <w:p w:rsidR="00886CD3" w:rsidRDefault="00886CD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Default="002E5E43" w:rsidP="00886CD3">
      <w:pPr>
        <w:jc w:val="center"/>
        <w:rPr>
          <w:sz w:val="24"/>
          <w:szCs w:val="24"/>
        </w:rPr>
      </w:pPr>
    </w:p>
    <w:p w:rsidR="002E5E43" w:rsidRPr="00886CD3" w:rsidRDefault="002E5E43" w:rsidP="00886CD3">
      <w:pPr>
        <w:jc w:val="center"/>
        <w:rPr>
          <w:sz w:val="24"/>
          <w:szCs w:val="24"/>
        </w:rPr>
      </w:pPr>
    </w:p>
    <w:p w:rsidR="00886CD3" w:rsidRPr="00886CD3" w:rsidRDefault="00886CD3" w:rsidP="00886CD3">
      <w:pPr>
        <w:jc w:val="center"/>
        <w:rPr>
          <w:sz w:val="24"/>
          <w:szCs w:val="24"/>
        </w:rPr>
      </w:pPr>
      <w:r w:rsidRPr="00886CD3">
        <w:rPr>
          <w:rFonts w:cs="Calibri"/>
          <w:noProof/>
          <w:color w:val="7030A0"/>
          <w:sz w:val="24"/>
          <w:szCs w:val="24"/>
          <w:lang w:val="en-US"/>
        </w:rPr>
        <mc:AlternateContent>
          <mc:Choice Requires="wps">
            <w:drawing>
              <wp:inline distT="0" distB="0" distL="0" distR="0" wp14:anchorId="35B2B83E" wp14:editId="2452E06B">
                <wp:extent cx="5731510" cy="493935"/>
                <wp:effectExtent l="0" t="0" r="21590" b="2095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93935"/>
                        </a:xfrm>
                        <a:prstGeom prst="rect">
                          <a:avLst/>
                        </a:prstGeom>
                        <a:solidFill>
                          <a:schemeClr val="accent4">
                            <a:lumMod val="20000"/>
                            <a:lumOff val="80000"/>
                          </a:schemeClr>
                        </a:solidFill>
                        <a:ln w="9525">
                          <a:solidFill>
                            <a:srgbClr val="000000"/>
                          </a:solidFill>
                          <a:miter lim="800000"/>
                          <a:headEnd/>
                          <a:tailEnd/>
                        </a:ln>
                      </wps:spPr>
                      <wps:txbx>
                        <w:txbxContent>
                          <w:p w:rsidR="00A95E14" w:rsidRPr="00426A00" w:rsidRDefault="00A95E14" w:rsidP="00886CD3">
                            <w:pPr>
                              <w:jc w:val="center"/>
                              <w:rPr>
                                <w:b/>
                                <w:i/>
                              </w:rPr>
                            </w:pPr>
                            <w:r w:rsidRPr="00426A00">
                              <w:rPr>
                                <w:b/>
                              </w:rPr>
                              <w:t xml:space="preserve">Question </w:t>
                            </w:r>
                            <w:r>
                              <w:rPr>
                                <w:b/>
                              </w:rPr>
                              <w:t>3</w:t>
                            </w:r>
                            <w:r w:rsidRPr="00426A00">
                              <w:rPr>
                                <w:b/>
                              </w:rPr>
                              <w:t xml:space="preserve">: </w:t>
                            </w:r>
                            <w:r>
                              <w:rPr>
                                <w:b/>
                                <w:i/>
                              </w:rPr>
                              <w:t>Are any amendments required to improve the operation of the Online Infringement Amendment?</w:t>
                            </w:r>
                          </w:p>
                        </w:txbxContent>
                      </wps:txbx>
                      <wps:bodyPr rot="0" vert="horz" wrap="square" lIns="91440" tIns="45720" rIns="91440" bIns="45720" anchor="t" anchorCtr="0">
                        <a:noAutofit/>
                      </wps:bodyPr>
                    </wps:wsp>
                  </a:graphicData>
                </a:graphic>
              </wp:inline>
            </w:drawing>
          </mc:Choice>
          <mc:Fallback>
            <w:pict>
              <v:shape id="Text Box 4" o:spid="_x0000_s1028" type="#_x0000_t202" style="width:451.3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" fillcolor="#e5dfec [663]">
                <v:textbox>
                  <w:txbxContent>
                    <w:p w:rsidR="00A95E14" w:rsidRPr="00426A00" w:rsidRDefault="00A95E14" w:rsidP="00886CD3">
                      <w:pPr>
                        <w:jc w:val="center"/>
                        <w:rPr>
                          <w:b/>
                          <w:i/>
                        </w:rPr>
                      </w:pPr>
                      <w:r w:rsidRPr="00426A00">
                        <w:rPr>
                          <w:b/>
                        </w:rPr>
                        <w:t xml:space="preserve">Question </w:t>
                      </w:r>
                      <w:r>
                        <w:rPr>
                          <w:b/>
                        </w:rPr>
                        <w:t>3</w:t>
                      </w:r>
                      <w:r w:rsidRPr="00426A00">
                        <w:rPr>
                          <w:b/>
                        </w:rPr>
                        <w:t xml:space="preserve">: </w:t>
                      </w:r>
                      <w:r>
                        <w:rPr>
                          <w:b/>
                          <w:i/>
                        </w:rPr>
                        <w:t>Are any amendments required to improve the operation of the Online Infringement Amendment?</w:t>
                      </w:r>
                    </w:p>
                  </w:txbxContent>
                </v:textbox>
                <w10:anchorlock/>
              </v:shape>
            </w:pict>
          </mc:Fallback>
        </mc:AlternateContent>
      </w:r>
    </w:p>
    <w:p w:rsidR="00C74E7E" w:rsidRDefault="00C74E7E" w:rsidP="007F08D9">
      <w:pPr>
        <w:rPr>
          <w:sz w:val="24"/>
          <w:szCs w:val="24"/>
        </w:rPr>
      </w:pPr>
      <w:r w:rsidRPr="00C74E7E">
        <w:rPr>
          <w:sz w:val="24"/>
          <w:szCs w:val="24"/>
        </w:rPr>
        <w:t>Despite serious concerns about the implications of the</w:t>
      </w:r>
      <w:r w:rsidR="00B8623D">
        <w:rPr>
          <w:sz w:val="24"/>
          <w:szCs w:val="24"/>
        </w:rPr>
        <w:t xml:space="preserve"> </w:t>
      </w:r>
      <w:r w:rsidR="009D1612">
        <w:rPr>
          <w:sz w:val="24"/>
          <w:szCs w:val="24"/>
        </w:rPr>
        <w:t>compliance</w:t>
      </w:r>
      <w:r w:rsidR="008243C7">
        <w:rPr>
          <w:sz w:val="24"/>
          <w:szCs w:val="24"/>
        </w:rPr>
        <w:t xml:space="preserve"> costs</w:t>
      </w:r>
      <w:r w:rsidR="00100D06">
        <w:rPr>
          <w:sz w:val="24"/>
          <w:szCs w:val="24"/>
        </w:rPr>
        <w:t xml:space="preserve"> orders which require copyright owners to pay $50 per domain name per ISP </w:t>
      </w:r>
      <w:r>
        <w:rPr>
          <w:sz w:val="24"/>
          <w:szCs w:val="24"/>
        </w:rPr>
        <w:t xml:space="preserve">and </w:t>
      </w:r>
      <w:r w:rsidR="00B8623D">
        <w:rPr>
          <w:sz w:val="24"/>
          <w:szCs w:val="24"/>
        </w:rPr>
        <w:t xml:space="preserve">legal costs </w:t>
      </w:r>
      <w:r w:rsidR="00100D06">
        <w:rPr>
          <w:sz w:val="24"/>
          <w:szCs w:val="24"/>
        </w:rPr>
        <w:t xml:space="preserve">orders which required </w:t>
      </w:r>
      <w:r w:rsidR="00B8623D">
        <w:rPr>
          <w:sz w:val="24"/>
          <w:szCs w:val="24"/>
        </w:rPr>
        <w:t xml:space="preserve">the Applicants </w:t>
      </w:r>
      <w:r w:rsidR="00100D06">
        <w:rPr>
          <w:sz w:val="24"/>
          <w:szCs w:val="24"/>
        </w:rPr>
        <w:t>to pay some aspects of the ISPs’ legal costs of the proceedings</w:t>
      </w:r>
      <w:r>
        <w:rPr>
          <w:sz w:val="24"/>
          <w:szCs w:val="24"/>
        </w:rPr>
        <w:t xml:space="preserve">, </w:t>
      </w:r>
      <w:r w:rsidR="005D1B0C">
        <w:rPr>
          <w:sz w:val="24"/>
          <w:szCs w:val="24"/>
        </w:rPr>
        <w:t>MR</w:t>
      </w:r>
      <w:r>
        <w:rPr>
          <w:sz w:val="24"/>
          <w:szCs w:val="24"/>
        </w:rPr>
        <w:t>A</w:t>
      </w:r>
      <w:r w:rsidR="005D1B0C">
        <w:rPr>
          <w:sz w:val="24"/>
          <w:szCs w:val="24"/>
        </w:rPr>
        <w:t xml:space="preserve"> an</w:t>
      </w:r>
      <w:r w:rsidR="00E0100F">
        <w:rPr>
          <w:sz w:val="24"/>
          <w:szCs w:val="24"/>
        </w:rPr>
        <w:t>d</w:t>
      </w:r>
      <w:r w:rsidR="005D1B0C">
        <w:rPr>
          <w:sz w:val="24"/>
          <w:szCs w:val="24"/>
        </w:rPr>
        <w:t xml:space="preserve"> </w:t>
      </w:r>
      <w:r>
        <w:rPr>
          <w:sz w:val="24"/>
          <w:szCs w:val="24"/>
        </w:rPr>
        <w:t>i</w:t>
      </w:r>
      <w:r w:rsidR="005D1B0C">
        <w:rPr>
          <w:sz w:val="24"/>
          <w:szCs w:val="24"/>
        </w:rPr>
        <w:t>ts</w:t>
      </w:r>
      <w:r w:rsidR="00E0100F">
        <w:rPr>
          <w:sz w:val="24"/>
          <w:szCs w:val="24"/>
        </w:rPr>
        <w:t xml:space="preserve"> stakeholder</w:t>
      </w:r>
      <w:r w:rsidR="00B8623D">
        <w:rPr>
          <w:sz w:val="24"/>
          <w:szCs w:val="24"/>
        </w:rPr>
        <w:t>s</w:t>
      </w:r>
      <w:r w:rsidR="00E0100F">
        <w:rPr>
          <w:sz w:val="24"/>
          <w:szCs w:val="24"/>
        </w:rPr>
        <w:t xml:space="preserve"> do not </w:t>
      </w:r>
      <w:r w:rsidR="00B8623D">
        <w:rPr>
          <w:sz w:val="24"/>
          <w:szCs w:val="24"/>
        </w:rPr>
        <w:t xml:space="preserve">recommend </w:t>
      </w:r>
      <w:r w:rsidR="00E0100F">
        <w:rPr>
          <w:sz w:val="24"/>
          <w:szCs w:val="24"/>
        </w:rPr>
        <w:t xml:space="preserve">amendments to </w:t>
      </w:r>
      <w:r>
        <w:rPr>
          <w:sz w:val="24"/>
          <w:szCs w:val="24"/>
        </w:rPr>
        <w:t>s115A at this time.</w:t>
      </w:r>
    </w:p>
    <w:p w:rsidR="00C74E7E" w:rsidRDefault="00C74E7E" w:rsidP="007F08D9">
      <w:pPr>
        <w:rPr>
          <w:sz w:val="24"/>
          <w:szCs w:val="24"/>
        </w:rPr>
      </w:pPr>
      <w:r w:rsidRPr="00C74E7E">
        <w:rPr>
          <w:sz w:val="24"/>
          <w:szCs w:val="24"/>
        </w:rPr>
        <w:t xml:space="preserve">MRA recommends the Government undertake a full review of copyright enforcement within </w:t>
      </w:r>
      <w:r w:rsidR="00E069F2">
        <w:rPr>
          <w:sz w:val="24"/>
          <w:szCs w:val="24"/>
        </w:rPr>
        <w:t>eighteen months</w:t>
      </w:r>
      <w:r w:rsidRPr="00C74E7E">
        <w:rPr>
          <w:sz w:val="24"/>
          <w:szCs w:val="24"/>
        </w:rPr>
        <w:t>. The review should include a review of s115A to ensure it is an effective and efficient mechanism to address online copyright infringement.</w:t>
      </w:r>
    </w:p>
    <w:p w:rsidR="002E5E43" w:rsidRDefault="002E5E43" w:rsidP="00886CD3">
      <w:pPr>
        <w:rPr>
          <w:sz w:val="24"/>
          <w:szCs w:val="24"/>
        </w:rPr>
      </w:pPr>
    </w:p>
    <w:p w:rsidR="00886CD3" w:rsidRDefault="00886CD3" w:rsidP="00886CD3">
      <w:pPr>
        <w:rPr>
          <w:sz w:val="24"/>
          <w:szCs w:val="24"/>
        </w:rPr>
      </w:pPr>
      <w:r w:rsidRPr="00886CD3">
        <w:rPr>
          <w:sz w:val="24"/>
          <w:szCs w:val="24"/>
        </w:rPr>
        <w:t xml:space="preserve">Should the Department have any questions about the MRA submission, please contact Vanessa Hutley General Manager MRA at </w:t>
      </w:r>
      <w:hyperlink r:id="rId16" w:history="1">
        <w:r w:rsidRPr="00886CD3">
          <w:rPr>
            <w:rStyle w:val="Hyperlink"/>
            <w:sz w:val="24"/>
            <w:szCs w:val="24"/>
          </w:rPr>
          <w:t>vhutley@musicrights.com.au</w:t>
        </w:r>
      </w:hyperlink>
      <w:r w:rsidRPr="00886CD3">
        <w:rPr>
          <w:sz w:val="24"/>
          <w:szCs w:val="24"/>
        </w:rPr>
        <w:t xml:space="preserve">. </w:t>
      </w:r>
    </w:p>
    <w:sectPr w:rsidR="00886CD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37" w:rsidRDefault="00DD6037" w:rsidP="00886CD3">
      <w:pPr>
        <w:spacing w:after="0" w:line="240" w:lineRule="auto"/>
      </w:pPr>
      <w:r>
        <w:separator/>
      </w:r>
    </w:p>
  </w:endnote>
  <w:endnote w:type="continuationSeparator" w:id="0">
    <w:p w:rsidR="00DD6037" w:rsidRDefault="00DD6037" w:rsidP="0088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283017"/>
      <w:docPartObj>
        <w:docPartGallery w:val="Page Numbers (Bottom of Page)"/>
        <w:docPartUnique/>
      </w:docPartObj>
    </w:sdtPr>
    <w:sdtEndPr>
      <w:rPr>
        <w:noProof/>
      </w:rPr>
    </w:sdtEndPr>
    <w:sdtContent>
      <w:p w:rsidR="00A95E14" w:rsidRDefault="00A95E14">
        <w:pPr>
          <w:pStyle w:val="Footer"/>
          <w:jc w:val="center"/>
        </w:pPr>
        <w:r>
          <w:fldChar w:fldCharType="begin"/>
        </w:r>
        <w:r>
          <w:instrText xml:space="preserve"> PAGE   \* MERGEFORMAT </w:instrText>
        </w:r>
        <w:r>
          <w:fldChar w:fldCharType="separate"/>
        </w:r>
        <w:r w:rsidR="00B54DB9">
          <w:rPr>
            <w:noProof/>
          </w:rPr>
          <w:t>2</w:t>
        </w:r>
        <w:r>
          <w:rPr>
            <w:noProof/>
          </w:rPr>
          <w:fldChar w:fldCharType="end"/>
        </w:r>
      </w:p>
    </w:sdtContent>
  </w:sdt>
  <w:p w:rsidR="00A95E14" w:rsidRDefault="00A95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37" w:rsidRDefault="00DD6037" w:rsidP="00886CD3">
      <w:pPr>
        <w:spacing w:after="0" w:line="240" w:lineRule="auto"/>
      </w:pPr>
      <w:r>
        <w:separator/>
      </w:r>
    </w:p>
  </w:footnote>
  <w:footnote w:type="continuationSeparator" w:id="0">
    <w:p w:rsidR="00DD6037" w:rsidRDefault="00DD6037" w:rsidP="00886CD3">
      <w:pPr>
        <w:spacing w:after="0" w:line="240" w:lineRule="auto"/>
      </w:pPr>
      <w:r>
        <w:continuationSeparator/>
      </w:r>
    </w:p>
  </w:footnote>
  <w:footnote w:id="1">
    <w:p w:rsidR="00A95E14" w:rsidRDefault="00A95E14">
      <w:pPr>
        <w:pStyle w:val="FootnoteText"/>
      </w:pPr>
      <w:r>
        <w:rPr>
          <w:rStyle w:val="FootnoteReference"/>
        </w:rPr>
        <w:footnoteRef/>
      </w:r>
      <w:r>
        <w:t xml:space="preserve"> See </w:t>
      </w:r>
      <w:hyperlink r:id="rId1" w:history="1">
        <w:r w:rsidRPr="007A2C3B">
          <w:rPr>
            <w:rStyle w:val="Hyperlink"/>
          </w:rPr>
          <w:t>www.apraamcos.com.au</w:t>
        </w:r>
      </w:hyperlink>
      <w:r>
        <w:t xml:space="preserve"> </w:t>
      </w:r>
    </w:p>
  </w:footnote>
  <w:footnote w:id="2">
    <w:p w:rsidR="00A95E14" w:rsidRDefault="00A95E14">
      <w:pPr>
        <w:pStyle w:val="FootnoteText"/>
      </w:pPr>
      <w:r>
        <w:rPr>
          <w:rStyle w:val="FootnoteReference"/>
        </w:rPr>
        <w:footnoteRef/>
      </w:r>
      <w:r>
        <w:t xml:space="preserve"> See </w:t>
      </w:r>
      <w:hyperlink r:id="rId2" w:history="1">
        <w:r w:rsidRPr="007A2C3B">
          <w:rPr>
            <w:rStyle w:val="Hyperlink"/>
          </w:rPr>
          <w:t>www.aria.com.au</w:t>
        </w:r>
      </w:hyperlink>
      <w:r>
        <w:t xml:space="preserve"> </w:t>
      </w:r>
    </w:p>
  </w:footnote>
  <w:footnote w:id="3">
    <w:p w:rsidR="00A95E14" w:rsidRDefault="00A95E14">
      <w:pPr>
        <w:pStyle w:val="FootnoteText"/>
      </w:pPr>
      <w:r>
        <w:rPr>
          <w:rStyle w:val="FootnoteReference"/>
        </w:rPr>
        <w:footnoteRef/>
      </w:r>
      <w:r>
        <w:t xml:space="preserve"> Roadshow Films Pty Ltd v Telstra Corporation Ltd [2016]FCA1503; Roadshow Films Pty Ltd v Telstra Corporation  Ltd [2017] FCA 965; Foxtel Management v TPG Internet Pty Ltd [2017] FCA 1041</w:t>
      </w:r>
    </w:p>
  </w:footnote>
  <w:footnote w:id="4">
    <w:p w:rsidR="00A95E14" w:rsidRDefault="00A95E14">
      <w:pPr>
        <w:pStyle w:val="FootnoteText"/>
      </w:pPr>
      <w:r>
        <w:rPr>
          <w:rStyle w:val="FootnoteReference"/>
        </w:rPr>
        <w:footnoteRef/>
      </w:r>
      <w:r>
        <w:t xml:space="preserve"> </w:t>
      </w:r>
      <w:r w:rsidRPr="00395255">
        <w:t xml:space="preserve">  Universal Music Pty Limited and Ors v TPG Internet Pty Ltd and Ors</w:t>
      </w:r>
      <w:r w:rsidR="003F545A">
        <w:t xml:space="preserve"> </w:t>
      </w:r>
      <w:r w:rsidRPr="00395255">
        <w:t>[2017]FCA 435</w:t>
      </w:r>
    </w:p>
  </w:footnote>
  <w:footnote w:id="5">
    <w:p w:rsidR="00A95E14" w:rsidRDefault="00A95E14">
      <w:pPr>
        <w:pStyle w:val="FootnoteText"/>
      </w:pPr>
      <w:r>
        <w:rPr>
          <w:rStyle w:val="FootnoteReference"/>
        </w:rPr>
        <w:footnoteRef/>
      </w:r>
      <w:r>
        <w:t xml:space="preserve"> </w:t>
      </w:r>
      <w:r w:rsidRPr="00026C5A">
        <w:t>Evidence fr</w:t>
      </w:r>
      <w:r>
        <w:t>o</w:t>
      </w:r>
      <w:r w:rsidRPr="00026C5A">
        <w:t xml:space="preserve">m the UK </w:t>
      </w:r>
      <w:r w:rsidRPr="00587AA9">
        <w:t>Andrew Forces, The Music, (July 30th 2014) ‘Does Illegal Website Blocking Break the Internet’, http://themusic.com.au/opinion/music/2014/07/30/does-blocking-illegal-websites-break-the-internet/</w:t>
      </w:r>
    </w:p>
  </w:footnote>
  <w:footnote w:id="6">
    <w:p w:rsidR="00A95E14" w:rsidRDefault="00A95E14">
      <w:pPr>
        <w:pStyle w:val="FootnoteText"/>
      </w:pPr>
      <w:r>
        <w:rPr>
          <w:rStyle w:val="FootnoteReference"/>
        </w:rPr>
        <w:footnoteRef/>
      </w:r>
      <w:r>
        <w:t xml:space="preserve"> </w:t>
      </w:r>
      <w:r w:rsidRPr="002D0B9F">
        <w:t>Copyright, Designs and Patents Act 1988 (Cth)</w:t>
      </w:r>
      <w:r>
        <w:t xml:space="preserve"> section 97A</w:t>
      </w:r>
    </w:p>
  </w:footnote>
  <w:footnote w:id="7">
    <w:p w:rsidR="00A95E14" w:rsidRDefault="00A95E14">
      <w:pPr>
        <w:pStyle w:val="FootnoteText"/>
      </w:pPr>
      <w:r>
        <w:rPr>
          <w:rStyle w:val="FootnoteReference"/>
        </w:rPr>
        <w:footnoteRef/>
      </w:r>
      <w:r>
        <w:t xml:space="preserve"> See: </w:t>
      </w:r>
      <w:r w:rsidRPr="006212AC">
        <w:t>Copyright, Designs and Patents Act 1988 (Cth) section 97A</w:t>
      </w:r>
    </w:p>
  </w:footnote>
  <w:footnote w:id="8">
    <w:p w:rsidR="00A95E14" w:rsidRDefault="00A95E14">
      <w:pPr>
        <w:pStyle w:val="FootnoteText"/>
      </w:pPr>
      <w:r>
        <w:rPr>
          <w:rStyle w:val="FootnoteReference"/>
        </w:rPr>
        <w:footnoteRef/>
      </w:r>
      <w:r>
        <w:t xml:space="preserve"> </w:t>
      </w:r>
      <w:r w:rsidRPr="00395255">
        <w:t>Universal Music Pty Limited and Ors v TPG Internet Pty Ltd and Ors[2017]</w:t>
      </w:r>
      <w:r>
        <w:t xml:space="preserve"> </w:t>
      </w:r>
      <w:r w:rsidRPr="00395255">
        <w:t>FCA 435</w:t>
      </w:r>
      <w:r>
        <w:t xml:space="preserve"> at [108]</w:t>
      </w:r>
    </w:p>
  </w:footnote>
  <w:footnote w:id="9">
    <w:p w:rsidR="00A95E14" w:rsidRDefault="00A95E14" w:rsidP="00B91B47">
      <w:pPr>
        <w:pStyle w:val="FootnoteText"/>
      </w:pPr>
      <w:r>
        <w:rPr>
          <w:rStyle w:val="FootnoteReference"/>
        </w:rPr>
        <w:footnoteRef/>
      </w:r>
      <w:r>
        <w:t xml:space="preserve"> </w:t>
      </w:r>
      <w:r w:rsidRPr="00395255">
        <w:t>Universal Music Pty Limited and Ors v TPG Internet Pty Ltd and Ors[2017]</w:t>
      </w:r>
      <w:r>
        <w:t xml:space="preserve"> </w:t>
      </w:r>
      <w:r w:rsidRPr="00395255">
        <w:t>FCA 435</w:t>
      </w:r>
      <w:r>
        <w:t xml:space="preserve"> at [105]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C31"/>
    <w:multiLevelType w:val="hybridMultilevel"/>
    <w:tmpl w:val="7FD45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937F3F"/>
    <w:multiLevelType w:val="hybridMultilevel"/>
    <w:tmpl w:val="F5960228"/>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AE0D8C"/>
    <w:multiLevelType w:val="hybridMultilevel"/>
    <w:tmpl w:val="D7CC4F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CE2CDE"/>
    <w:multiLevelType w:val="hybridMultilevel"/>
    <w:tmpl w:val="F0A81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087BC7"/>
    <w:multiLevelType w:val="hybridMultilevel"/>
    <w:tmpl w:val="400EE4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F34689E"/>
    <w:multiLevelType w:val="hybridMultilevel"/>
    <w:tmpl w:val="69764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D3"/>
    <w:rsid w:val="00014A81"/>
    <w:rsid w:val="00023B78"/>
    <w:rsid w:val="00026C5A"/>
    <w:rsid w:val="0005257C"/>
    <w:rsid w:val="000637A1"/>
    <w:rsid w:val="00084D75"/>
    <w:rsid w:val="000D77B6"/>
    <w:rsid w:val="00100D06"/>
    <w:rsid w:val="00144B97"/>
    <w:rsid w:val="00153504"/>
    <w:rsid w:val="00174F83"/>
    <w:rsid w:val="001862A4"/>
    <w:rsid w:val="00191932"/>
    <w:rsid w:val="001D0588"/>
    <w:rsid w:val="001E570B"/>
    <w:rsid w:val="002200E5"/>
    <w:rsid w:val="002301CA"/>
    <w:rsid w:val="002376E4"/>
    <w:rsid w:val="00254960"/>
    <w:rsid w:val="00264FF9"/>
    <w:rsid w:val="00267296"/>
    <w:rsid w:val="00282839"/>
    <w:rsid w:val="002832C4"/>
    <w:rsid w:val="002A0F0C"/>
    <w:rsid w:val="002C1580"/>
    <w:rsid w:val="002C178D"/>
    <w:rsid w:val="002D0B9F"/>
    <w:rsid w:val="002E5E43"/>
    <w:rsid w:val="002E6F97"/>
    <w:rsid w:val="002F700A"/>
    <w:rsid w:val="0031237B"/>
    <w:rsid w:val="00330B44"/>
    <w:rsid w:val="00336BF1"/>
    <w:rsid w:val="00345BD7"/>
    <w:rsid w:val="00395255"/>
    <w:rsid w:val="003C2828"/>
    <w:rsid w:val="003F545A"/>
    <w:rsid w:val="004009AE"/>
    <w:rsid w:val="00445C8B"/>
    <w:rsid w:val="00453764"/>
    <w:rsid w:val="004870A5"/>
    <w:rsid w:val="00495144"/>
    <w:rsid w:val="004B50E1"/>
    <w:rsid w:val="004C3D1B"/>
    <w:rsid w:val="004C41B8"/>
    <w:rsid w:val="004D566F"/>
    <w:rsid w:val="00524ADF"/>
    <w:rsid w:val="00554896"/>
    <w:rsid w:val="00562D12"/>
    <w:rsid w:val="00587AA9"/>
    <w:rsid w:val="005A6A48"/>
    <w:rsid w:val="005D1B0C"/>
    <w:rsid w:val="005F47C9"/>
    <w:rsid w:val="005F51C8"/>
    <w:rsid w:val="00620CEF"/>
    <w:rsid w:val="006212AC"/>
    <w:rsid w:val="006407B5"/>
    <w:rsid w:val="00656B59"/>
    <w:rsid w:val="006850B1"/>
    <w:rsid w:val="006865B0"/>
    <w:rsid w:val="006911CB"/>
    <w:rsid w:val="006A2C9D"/>
    <w:rsid w:val="006A392D"/>
    <w:rsid w:val="006A437C"/>
    <w:rsid w:val="006B13D1"/>
    <w:rsid w:val="006B173C"/>
    <w:rsid w:val="006B5592"/>
    <w:rsid w:val="006C0A9B"/>
    <w:rsid w:val="006C3425"/>
    <w:rsid w:val="006E4F35"/>
    <w:rsid w:val="006F2008"/>
    <w:rsid w:val="00711991"/>
    <w:rsid w:val="00725A98"/>
    <w:rsid w:val="007322C8"/>
    <w:rsid w:val="00762A01"/>
    <w:rsid w:val="00777FF4"/>
    <w:rsid w:val="0079599A"/>
    <w:rsid w:val="007C7DBC"/>
    <w:rsid w:val="007E1893"/>
    <w:rsid w:val="007E7CD0"/>
    <w:rsid w:val="007F08D9"/>
    <w:rsid w:val="007F2B54"/>
    <w:rsid w:val="00800C26"/>
    <w:rsid w:val="00814DC2"/>
    <w:rsid w:val="008243C7"/>
    <w:rsid w:val="00830409"/>
    <w:rsid w:val="00834F22"/>
    <w:rsid w:val="00844D5F"/>
    <w:rsid w:val="0084730D"/>
    <w:rsid w:val="00854E7D"/>
    <w:rsid w:val="00863722"/>
    <w:rsid w:val="00884BE7"/>
    <w:rsid w:val="00886CD3"/>
    <w:rsid w:val="00896936"/>
    <w:rsid w:val="008A2D5A"/>
    <w:rsid w:val="008A5B67"/>
    <w:rsid w:val="00905C7F"/>
    <w:rsid w:val="009200FB"/>
    <w:rsid w:val="00920E70"/>
    <w:rsid w:val="0092190E"/>
    <w:rsid w:val="00925277"/>
    <w:rsid w:val="0093709F"/>
    <w:rsid w:val="009614EB"/>
    <w:rsid w:val="009619C9"/>
    <w:rsid w:val="00963ADC"/>
    <w:rsid w:val="009979F2"/>
    <w:rsid w:val="009C33B6"/>
    <w:rsid w:val="009C6AC2"/>
    <w:rsid w:val="009D1612"/>
    <w:rsid w:val="009D6465"/>
    <w:rsid w:val="009F79FD"/>
    <w:rsid w:val="00A1016C"/>
    <w:rsid w:val="00A26E37"/>
    <w:rsid w:val="00A354F1"/>
    <w:rsid w:val="00A35635"/>
    <w:rsid w:val="00A420A9"/>
    <w:rsid w:val="00A74D0F"/>
    <w:rsid w:val="00A95E14"/>
    <w:rsid w:val="00AD0844"/>
    <w:rsid w:val="00B01C9B"/>
    <w:rsid w:val="00B1590B"/>
    <w:rsid w:val="00B32108"/>
    <w:rsid w:val="00B37CA2"/>
    <w:rsid w:val="00B54DB9"/>
    <w:rsid w:val="00B8623D"/>
    <w:rsid w:val="00B91B47"/>
    <w:rsid w:val="00B9270E"/>
    <w:rsid w:val="00B92D76"/>
    <w:rsid w:val="00B966F0"/>
    <w:rsid w:val="00BA62D0"/>
    <w:rsid w:val="00BD7886"/>
    <w:rsid w:val="00BE68B6"/>
    <w:rsid w:val="00C04957"/>
    <w:rsid w:val="00C06D51"/>
    <w:rsid w:val="00C14DDE"/>
    <w:rsid w:val="00C2146F"/>
    <w:rsid w:val="00C329AF"/>
    <w:rsid w:val="00C74E7E"/>
    <w:rsid w:val="00C94BA8"/>
    <w:rsid w:val="00CA1960"/>
    <w:rsid w:val="00CB0352"/>
    <w:rsid w:val="00CB3A83"/>
    <w:rsid w:val="00CB7D13"/>
    <w:rsid w:val="00CC1447"/>
    <w:rsid w:val="00CE0DA7"/>
    <w:rsid w:val="00D00345"/>
    <w:rsid w:val="00D01FEA"/>
    <w:rsid w:val="00D818B6"/>
    <w:rsid w:val="00DA4A95"/>
    <w:rsid w:val="00DB6EF7"/>
    <w:rsid w:val="00DD10B9"/>
    <w:rsid w:val="00DD6037"/>
    <w:rsid w:val="00DE297E"/>
    <w:rsid w:val="00E0100F"/>
    <w:rsid w:val="00E069F2"/>
    <w:rsid w:val="00E33D7C"/>
    <w:rsid w:val="00E40CD0"/>
    <w:rsid w:val="00E41559"/>
    <w:rsid w:val="00E57851"/>
    <w:rsid w:val="00E61BFB"/>
    <w:rsid w:val="00E726D3"/>
    <w:rsid w:val="00E77D76"/>
    <w:rsid w:val="00E97BCB"/>
    <w:rsid w:val="00ED2FA8"/>
    <w:rsid w:val="00EE3195"/>
    <w:rsid w:val="00EF34C2"/>
    <w:rsid w:val="00EF3F7B"/>
    <w:rsid w:val="00EF7075"/>
    <w:rsid w:val="00F0394C"/>
    <w:rsid w:val="00F14667"/>
    <w:rsid w:val="00F3129A"/>
    <w:rsid w:val="00F63366"/>
    <w:rsid w:val="00F64716"/>
    <w:rsid w:val="00F66590"/>
    <w:rsid w:val="00F66E25"/>
    <w:rsid w:val="00F93127"/>
    <w:rsid w:val="00FA2FB2"/>
    <w:rsid w:val="00FB3017"/>
    <w:rsid w:val="00FE2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D3"/>
    <w:rPr>
      <w:rFonts w:ascii="Tahoma" w:hAnsi="Tahoma" w:cs="Tahoma"/>
      <w:sz w:val="16"/>
      <w:szCs w:val="16"/>
    </w:rPr>
  </w:style>
  <w:style w:type="paragraph" w:styleId="ListParagraph">
    <w:name w:val="List Paragraph"/>
    <w:basedOn w:val="Normal"/>
    <w:uiPriority w:val="34"/>
    <w:qFormat/>
    <w:rsid w:val="00886CD3"/>
    <w:pPr>
      <w:ind w:left="720"/>
      <w:contextualSpacing/>
    </w:pPr>
  </w:style>
  <w:style w:type="paragraph" w:styleId="FootnoteText">
    <w:name w:val="footnote text"/>
    <w:basedOn w:val="Normal"/>
    <w:link w:val="FootnoteTextChar"/>
    <w:uiPriority w:val="99"/>
    <w:semiHidden/>
    <w:unhideWhenUsed/>
    <w:rsid w:val="00886C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CD3"/>
    <w:rPr>
      <w:sz w:val="20"/>
      <w:szCs w:val="20"/>
    </w:rPr>
  </w:style>
  <w:style w:type="character" w:styleId="FootnoteReference">
    <w:name w:val="footnote reference"/>
    <w:basedOn w:val="DefaultParagraphFont"/>
    <w:uiPriority w:val="99"/>
    <w:semiHidden/>
    <w:unhideWhenUsed/>
    <w:rsid w:val="00886CD3"/>
    <w:rPr>
      <w:vertAlign w:val="superscript"/>
    </w:rPr>
  </w:style>
  <w:style w:type="character" w:styleId="Hyperlink">
    <w:name w:val="Hyperlink"/>
    <w:basedOn w:val="DefaultParagraphFont"/>
    <w:uiPriority w:val="99"/>
    <w:unhideWhenUsed/>
    <w:rsid w:val="00886CD3"/>
    <w:rPr>
      <w:color w:val="0000FF" w:themeColor="hyperlink"/>
      <w:u w:val="single"/>
    </w:rPr>
  </w:style>
  <w:style w:type="paragraph" w:styleId="Header">
    <w:name w:val="header"/>
    <w:basedOn w:val="Normal"/>
    <w:link w:val="HeaderChar"/>
    <w:uiPriority w:val="99"/>
    <w:unhideWhenUsed/>
    <w:rsid w:val="00F14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667"/>
  </w:style>
  <w:style w:type="paragraph" w:styleId="Footer">
    <w:name w:val="footer"/>
    <w:basedOn w:val="Normal"/>
    <w:link w:val="FooterChar"/>
    <w:uiPriority w:val="99"/>
    <w:unhideWhenUsed/>
    <w:rsid w:val="00F14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67"/>
  </w:style>
  <w:style w:type="paragraph" w:styleId="NormalWeb">
    <w:name w:val="Normal (Web)"/>
    <w:basedOn w:val="Normal"/>
    <w:uiPriority w:val="99"/>
    <w:unhideWhenUsed/>
    <w:rsid w:val="002C15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2C1580"/>
    <w:rPr>
      <w:sz w:val="24"/>
      <w:szCs w:val="24"/>
    </w:rPr>
  </w:style>
  <w:style w:type="character" w:customStyle="1" w:styleId="BodyTextChar">
    <w:name w:val="Body Text Char"/>
    <w:basedOn w:val="DefaultParagraphFont"/>
    <w:link w:val="BodyText"/>
    <w:uiPriority w:val="99"/>
    <w:rsid w:val="002C15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6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D3"/>
    <w:rPr>
      <w:rFonts w:ascii="Tahoma" w:hAnsi="Tahoma" w:cs="Tahoma"/>
      <w:sz w:val="16"/>
      <w:szCs w:val="16"/>
    </w:rPr>
  </w:style>
  <w:style w:type="paragraph" w:styleId="ListParagraph">
    <w:name w:val="List Paragraph"/>
    <w:basedOn w:val="Normal"/>
    <w:uiPriority w:val="34"/>
    <w:qFormat/>
    <w:rsid w:val="00886CD3"/>
    <w:pPr>
      <w:ind w:left="720"/>
      <w:contextualSpacing/>
    </w:pPr>
  </w:style>
  <w:style w:type="paragraph" w:styleId="FootnoteText">
    <w:name w:val="footnote text"/>
    <w:basedOn w:val="Normal"/>
    <w:link w:val="FootnoteTextChar"/>
    <w:uiPriority w:val="99"/>
    <w:semiHidden/>
    <w:unhideWhenUsed/>
    <w:rsid w:val="00886C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CD3"/>
    <w:rPr>
      <w:sz w:val="20"/>
      <w:szCs w:val="20"/>
    </w:rPr>
  </w:style>
  <w:style w:type="character" w:styleId="FootnoteReference">
    <w:name w:val="footnote reference"/>
    <w:basedOn w:val="DefaultParagraphFont"/>
    <w:uiPriority w:val="99"/>
    <w:semiHidden/>
    <w:unhideWhenUsed/>
    <w:rsid w:val="00886CD3"/>
    <w:rPr>
      <w:vertAlign w:val="superscript"/>
    </w:rPr>
  </w:style>
  <w:style w:type="character" w:styleId="Hyperlink">
    <w:name w:val="Hyperlink"/>
    <w:basedOn w:val="DefaultParagraphFont"/>
    <w:uiPriority w:val="99"/>
    <w:unhideWhenUsed/>
    <w:rsid w:val="00886CD3"/>
    <w:rPr>
      <w:color w:val="0000FF" w:themeColor="hyperlink"/>
      <w:u w:val="single"/>
    </w:rPr>
  </w:style>
  <w:style w:type="paragraph" w:styleId="Header">
    <w:name w:val="header"/>
    <w:basedOn w:val="Normal"/>
    <w:link w:val="HeaderChar"/>
    <w:uiPriority w:val="99"/>
    <w:unhideWhenUsed/>
    <w:rsid w:val="00F14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667"/>
  </w:style>
  <w:style w:type="paragraph" w:styleId="Footer">
    <w:name w:val="footer"/>
    <w:basedOn w:val="Normal"/>
    <w:link w:val="FooterChar"/>
    <w:uiPriority w:val="99"/>
    <w:unhideWhenUsed/>
    <w:rsid w:val="00F14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67"/>
  </w:style>
  <w:style w:type="paragraph" w:styleId="NormalWeb">
    <w:name w:val="Normal (Web)"/>
    <w:basedOn w:val="Normal"/>
    <w:uiPriority w:val="99"/>
    <w:unhideWhenUsed/>
    <w:rsid w:val="002C15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2C1580"/>
    <w:rPr>
      <w:sz w:val="24"/>
      <w:szCs w:val="24"/>
    </w:rPr>
  </w:style>
  <w:style w:type="character" w:customStyle="1" w:styleId="BodyTextChar">
    <w:name w:val="Body Text Char"/>
    <w:basedOn w:val="DefaultParagraphFont"/>
    <w:link w:val="BodyText"/>
    <w:uiPriority w:val="99"/>
    <w:rsid w:val="002C15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54693">
      <w:bodyDiv w:val="1"/>
      <w:marLeft w:val="0"/>
      <w:marRight w:val="0"/>
      <w:marTop w:val="0"/>
      <w:marBottom w:val="0"/>
      <w:divBdr>
        <w:top w:val="none" w:sz="0" w:space="0" w:color="auto"/>
        <w:left w:val="none" w:sz="0" w:space="0" w:color="auto"/>
        <w:bottom w:val="none" w:sz="0" w:space="0" w:color="auto"/>
        <w:right w:val="none" w:sz="0" w:space="0" w:color="auto"/>
      </w:divBdr>
    </w:div>
    <w:div w:id="1649899958">
      <w:bodyDiv w:val="1"/>
      <w:marLeft w:val="0"/>
      <w:marRight w:val="0"/>
      <w:marTop w:val="0"/>
      <w:marBottom w:val="0"/>
      <w:divBdr>
        <w:top w:val="none" w:sz="0" w:space="0" w:color="auto"/>
        <w:left w:val="none" w:sz="0" w:space="0" w:color="auto"/>
        <w:bottom w:val="none" w:sz="0" w:space="0" w:color="auto"/>
        <w:right w:val="none" w:sz="0" w:space="0" w:color="auto"/>
      </w:divBdr>
      <w:divsChild>
        <w:div w:id="1774589913">
          <w:marLeft w:val="0"/>
          <w:marRight w:val="0"/>
          <w:marTop w:val="0"/>
          <w:marBottom w:val="0"/>
          <w:divBdr>
            <w:top w:val="none" w:sz="0" w:space="0" w:color="auto"/>
            <w:left w:val="none" w:sz="0" w:space="0" w:color="auto"/>
            <w:bottom w:val="none" w:sz="0" w:space="0" w:color="auto"/>
            <w:right w:val="none" w:sz="0" w:space="0" w:color="auto"/>
          </w:divBdr>
          <w:divsChild>
            <w:div w:id="15579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1674">
      <w:bodyDiv w:val="1"/>
      <w:marLeft w:val="0"/>
      <w:marRight w:val="0"/>
      <w:marTop w:val="0"/>
      <w:marBottom w:val="0"/>
      <w:divBdr>
        <w:top w:val="none" w:sz="0" w:space="0" w:color="auto"/>
        <w:left w:val="none" w:sz="0" w:space="0" w:color="auto"/>
        <w:bottom w:val="none" w:sz="0" w:space="0" w:color="auto"/>
        <w:right w:val="none" w:sz="0" w:space="0" w:color="auto"/>
      </w:divBdr>
      <w:divsChild>
        <w:div w:id="1644653912">
          <w:marLeft w:val="0"/>
          <w:marRight w:val="0"/>
          <w:marTop w:val="0"/>
          <w:marBottom w:val="0"/>
          <w:divBdr>
            <w:top w:val="none" w:sz="0" w:space="0" w:color="auto"/>
            <w:left w:val="none" w:sz="0" w:space="0" w:color="auto"/>
            <w:bottom w:val="none" w:sz="0" w:space="0" w:color="auto"/>
            <w:right w:val="none" w:sz="0" w:space="0" w:color="auto"/>
          </w:divBdr>
          <w:divsChild>
            <w:div w:id="14244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hutley@musicrights.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2" Type="http://schemas.openxmlformats.org/officeDocument/2006/relationships/hyperlink" Target="http://www.aria.com.au" TargetMode="External"/><Relationship Id="rId1" Type="http://schemas.openxmlformats.org/officeDocument/2006/relationships/hyperlink" Target="http://www.apraamco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6106-83D0-47B6-AD93-FE86DC4B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41A1BE2</Template>
  <TotalTime>1</TotalTime>
  <Pages>1</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PPCA</Company>
  <LinksUpToDate>false</LinksUpToDate>
  <CharactersWithSpaces>19653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2018-03-13T00:31:00Z</cp:lastPrinted>
  <dcterms:created xsi:type="dcterms:W3CDTF">2018-03-14T01:59:00Z</dcterms:created>
  <dcterms:modified xsi:type="dcterms:W3CDTF">2018-03-14T01:59:00Z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mnss A0142064230v1 120538555 </vt:lpwstr>
  </property>
  <property fmtid="{D5CDD505-2E9C-101B-9397-08002B2CF9AE}" pid="3" name="DOCSDocNumber">
    <vt:lpwstr>42064230</vt:lpwstr>
  </property>
  <property fmtid="{D5CDD505-2E9C-101B-9397-08002B2CF9AE}" pid="4" name="DOCSDocumentID">
    <vt:lpwstr>A0142064230</vt:lpwstr>
  </property>
</Properties>
</file>