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46D56C" w14:textId="088E5924" w:rsidR="00C1424A" w:rsidRDefault="00C1424A" w:rsidP="00882729">
      <w:pPr>
        <w:jc w:val="center"/>
      </w:pPr>
    </w:p>
    <w:p w14:paraId="13765C4A" w14:textId="77777777" w:rsidR="00C1424A" w:rsidRDefault="009D7FB9" w:rsidP="00882729">
      <w:pPr>
        <w:spacing w:after="2880"/>
        <w:jc w:val="center"/>
        <w:rPr>
          <w:rFonts w:ascii="Garamond Premr Pro Smbd Disp" w:hAnsi="Garamond Premr Pro Smbd Disp" w:cs="Arial"/>
          <w:color w:val="244061"/>
          <w:sz w:val="36"/>
        </w:rPr>
      </w:pPr>
      <w:r>
        <w:rPr>
          <w:noProof/>
          <w:lang w:eastAsia="zh-TW" w:bidi="hi-IN"/>
        </w:rPr>
        <w:drawing>
          <wp:inline distT="0" distB="0" distL="0" distR="0" wp14:anchorId="45E4E1F8" wp14:editId="78BDC0A1">
            <wp:extent cx="1447800" cy="2514600"/>
            <wp:effectExtent l="0" t="0" r="0" b="0"/>
            <wp:docPr id="8" name="Picture 5" descr="Logo: Financial Counselling Australia, sub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ubmiss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47800" cy="2514600"/>
                    </a:xfrm>
                    <a:prstGeom prst="rect">
                      <a:avLst/>
                    </a:prstGeom>
                    <a:noFill/>
                    <a:ln>
                      <a:noFill/>
                    </a:ln>
                  </pic:spPr>
                </pic:pic>
              </a:graphicData>
            </a:graphic>
          </wp:inline>
        </w:drawing>
      </w:r>
    </w:p>
    <w:p w14:paraId="0EBB694A" w14:textId="77777777" w:rsidR="00C1424A" w:rsidRDefault="00FC69EA" w:rsidP="00C1424A">
      <w:pPr>
        <w:pStyle w:val="BodyText3"/>
        <w:jc w:val="center"/>
        <w:rPr>
          <w:rFonts w:ascii="Arial" w:hAnsi="Arial" w:cs="Arial"/>
          <w:b/>
          <w:color w:val="244061"/>
          <w:sz w:val="36"/>
        </w:rPr>
      </w:pPr>
      <w:r w:rsidRPr="00FC69EA">
        <w:rPr>
          <w:rFonts w:ascii="Arial" w:hAnsi="Arial" w:cs="Arial"/>
          <w:b/>
          <w:color w:val="244061"/>
          <w:sz w:val="36"/>
        </w:rPr>
        <w:t xml:space="preserve">Consumer representation: Review of section 593 of the </w:t>
      </w:r>
      <w:r w:rsidRPr="00FC69EA">
        <w:rPr>
          <w:rFonts w:ascii="Arial" w:hAnsi="Arial" w:cs="Arial"/>
          <w:b/>
          <w:i/>
          <w:color w:val="244061"/>
          <w:sz w:val="36"/>
        </w:rPr>
        <w:t xml:space="preserve">Telecommunications Act 1997 </w:t>
      </w:r>
      <w:r w:rsidRPr="00FC69EA">
        <w:rPr>
          <w:rFonts w:ascii="Arial" w:hAnsi="Arial" w:cs="Arial"/>
          <w:b/>
          <w:color w:val="244061"/>
          <w:sz w:val="36"/>
        </w:rPr>
        <w:t>Issues paper</w:t>
      </w:r>
    </w:p>
    <w:p w14:paraId="46C2F43B" w14:textId="77777777" w:rsidR="00FC69EA" w:rsidRDefault="00FC69EA" w:rsidP="00882729"/>
    <w:p w14:paraId="402045B0" w14:textId="77777777" w:rsidR="00FC69EA" w:rsidRDefault="00017EB1" w:rsidP="00882729">
      <w:pPr>
        <w:pStyle w:val="BodyText3"/>
        <w:spacing w:before="240" w:after="840"/>
        <w:jc w:val="center"/>
        <w:rPr>
          <w:rFonts w:ascii="Arial" w:hAnsi="Arial" w:cs="Arial"/>
          <w:b/>
          <w:sz w:val="28"/>
        </w:rPr>
      </w:pPr>
      <w:r>
        <w:rPr>
          <w:rFonts w:ascii="Arial" w:hAnsi="Arial" w:cs="Arial"/>
          <w:b/>
          <w:color w:val="244061"/>
          <w:sz w:val="36"/>
        </w:rPr>
        <w:t>20</w:t>
      </w:r>
      <w:r w:rsidR="00FC69EA">
        <w:rPr>
          <w:rFonts w:ascii="Arial" w:hAnsi="Arial" w:cs="Arial"/>
          <w:b/>
          <w:color w:val="244061"/>
          <w:sz w:val="36"/>
        </w:rPr>
        <w:t xml:space="preserve"> November 2016</w:t>
      </w:r>
    </w:p>
    <w:p w14:paraId="6267F245" w14:textId="77777777" w:rsidR="00C1424A" w:rsidRPr="00567557" w:rsidRDefault="00097F8A" w:rsidP="00C1424A">
      <w:pPr>
        <w:widowControl w:val="0"/>
        <w:autoSpaceDE w:val="0"/>
        <w:autoSpaceDN w:val="0"/>
        <w:adjustRightInd w:val="0"/>
        <w:ind w:left="1985" w:right="1985"/>
        <w:jc w:val="center"/>
        <w:rPr>
          <w:rFonts w:ascii="Calibri" w:hAnsi="Calibri"/>
        </w:rPr>
      </w:pPr>
      <w:r>
        <w:rPr>
          <w:rFonts w:ascii="Calibri" w:hAnsi="Calibri"/>
          <w:b/>
        </w:rPr>
        <w:t>F</w:t>
      </w:r>
      <w:r w:rsidR="00C1424A" w:rsidRPr="00567557">
        <w:rPr>
          <w:rFonts w:ascii="Calibri" w:hAnsi="Calibri"/>
          <w:b/>
        </w:rPr>
        <w:t>inancial Counselling Australia</w:t>
      </w:r>
      <w:r w:rsidR="00C1424A" w:rsidRPr="00567557">
        <w:rPr>
          <w:rFonts w:ascii="Calibri" w:hAnsi="Calibri"/>
        </w:rPr>
        <w:t xml:space="preserve"> (FCA) is the peak body for financial counsellors in Australia.</w:t>
      </w:r>
    </w:p>
    <w:p w14:paraId="7606505A" w14:textId="3AD166F5" w:rsidR="00882729" w:rsidRPr="00322E44" w:rsidRDefault="00882729" w:rsidP="00882729">
      <w:pPr>
        <w:pStyle w:val="FootnoteText"/>
        <w:spacing w:before="800" w:line="240" w:lineRule="auto"/>
        <w:jc w:val="center"/>
      </w:pPr>
      <w:r w:rsidRPr="00322E44">
        <w:t xml:space="preserve">info@financialcounsellingaustralia.org.au </w:t>
      </w:r>
      <w:r>
        <w:t>|</w:t>
      </w:r>
      <w:r w:rsidRPr="00322E44">
        <w:t xml:space="preserve"> www.financialcounsellingaustralia.org.au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Contact details."/>
      </w:tblPr>
      <w:tblGrid>
        <w:gridCol w:w="2064"/>
        <w:gridCol w:w="2065"/>
        <w:gridCol w:w="2097"/>
        <w:gridCol w:w="2080"/>
      </w:tblGrid>
      <w:tr w:rsidR="00882729" w14:paraId="7C722493" w14:textId="77777777" w:rsidTr="00BF6BC0">
        <w:tc>
          <w:tcPr>
            <w:tcW w:w="2064" w:type="dxa"/>
          </w:tcPr>
          <w:p w14:paraId="7A7C3BAA" w14:textId="77777777" w:rsidR="00882729" w:rsidRPr="00F32B16" w:rsidRDefault="00882729" w:rsidP="00882729">
            <w:pPr>
              <w:pStyle w:val="FootnoteText"/>
              <w:ind w:left="142"/>
            </w:pPr>
            <w:r w:rsidRPr="00F32B16">
              <w:t>Ground Floor, River Tower</w:t>
            </w:r>
          </w:p>
          <w:p w14:paraId="0B09D808" w14:textId="77777777" w:rsidR="00882729" w:rsidRPr="00F32B16" w:rsidRDefault="00882729" w:rsidP="00882729">
            <w:pPr>
              <w:pStyle w:val="FootnoteText"/>
              <w:ind w:left="142"/>
            </w:pPr>
            <w:r w:rsidRPr="00F32B16">
              <w:t>20 Pidgeon Close</w:t>
            </w:r>
          </w:p>
          <w:p w14:paraId="03C9AC4B" w14:textId="3CCEBE71" w:rsidR="00882729" w:rsidRDefault="00882729" w:rsidP="00882729">
            <w:pPr>
              <w:pStyle w:val="FootnoteText"/>
              <w:ind w:left="142"/>
              <w:rPr>
                <w:sz w:val="28"/>
              </w:rPr>
            </w:pPr>
            <w:r w:rsidRPr="00F32B16">
              <w:t>West End Q 4101</w:t>
            </w:r>
          </w:p>
        </w:tc>
        <w:tc>
          <w:tcPr>
            <w:tcW w:w="2065" w:type="dxa"/>
          </w:tcPr>
          <w:p w14:paraId="68E52AFD" w14:textId="77777777" w:rsidR="00882729" w:rsidRPr="00F32B16" w:rsidRDefault="00882729" w:rsidP="00882729">
            <w:pPr>
              <w:pStyle w:val="FootnoteText"/>
              <w:ind w:left="138"/>
            </w:pPr>
            <w:r w:rsidRPr="00F32B16">
              <w:t>PO Box 3482</w:t>
            </w:r>
          </w:p>
          <w:p w14:paraId="3AAF0FA4" w14:textId="77777777" w:rsidR="00882729" w:rsidRPr="00F32B16" w:rsidRDefault="00882729" w:rsidP="00882729">
            <w:pPr>
              <w:pStyle w:val="FootnoteText"/>
              <w:ind w:left="138"/>
            </w:pPr>
            <w:r w:rsidRPr="00F32B16">
              <w:t>South Brisbane BC</w:t>
            </w:r>
          </w:p>
          <w:p w14:paraId="6AE36D52" w14:textId="0047752A" w:rsidR="00882729" w:rsidRDefault="00882729" w:rsidP="00882729">
            <w:pPr>
              <w:pStyle w:val="FootnoteText"/>
              <w:ind w:left="138"/>
              <w:rPr>
                <w:sz w:val="28"/>
              </w:rPr>
            </w:pPr>
            <w:r w:rsidRPr="00F32B16">
              <w:t>Q 4101</w:t>
            </w:r>
          </w:p>
        </w:tc>
        <w:tc>
          <w:tcPr>
            <w:tcW w:w="2097" w:type="dxa"/>
          </w:tcPr>
          <w:p w14:paraId="012CCFC0" w14:textId="77777777" w:rsidR="00882729" w:rsidRPr="00137F62" w:rsidRDefault="00882729" w:rsidP="00882729">
            <w:pPr>
              <w:pStyle w:val="FootnoteText"/>
              <w:ind w:left="135"/>
            </w:pPr>
            <w:r w:rsidRPr="00137F62">
              <w:t>p: 07 3004 6911</w:t>
            </w:r>
          </w:p>
          <w:p w14:paraId="2F2AB345" w14:textId="77777777" w:rsidR="00882729" w:rsidRPr="00137F62" w:rsidRDefault="00882729" w:rsidP="00882729">
            <w:pPr>
              <w:pStyle w:val="FootnoteText"/>
              <w:ind w:left="135"/>
            </w:pPr>
            <w:r w:rsidRPr="00137F62">
              <w:t>f: 07 3004 6999</w:t>
            </w:r>
          </w:p>
          <w:p w14:paraId="31E5C5D8" w14:textId="2BDDC5A8" w:rsidR="00882729" w:rsidRDefault="00882729" w:rsidP="00882729">
            <w:pPr>
              <w:pStyle w:val="FootnoteText"/>
              <w:ind w:left="135"/>
              <w:rPr>
                <w:sz w:val="28"/>
              </w:rPr>
            </w:pPr>
            <w:r w:rsidRPr="00137F62">
              <w:t>tw:@FCAupdate</w:t>
            </w:r>
          </w:p>
        </w:tc>
        <w:tc>
          <w:tcPr>
            <w:tcW w:w="2080" w:type="dxa"/>
          </w:tcPr>
          <w:p w14:paraId="73984302" w14:textId="77777777" w:rsidR="00882729" w:rsidRPr="006E77EF" w:rsidRDefault="00882729" w:rsidP="00882729">
            <w:pPr>
              <w:pStyle w:val="FootnoteText"/>
              <w:ind w:left="130"/>
              <w:rPr>
                <w:b/>
                <w:szCs w:val="16"/>
              </w:rPr>
            </w:pPr>
            <w:r w:rsidRPr="006E77EF">
              <w:rPr>
                <w:b/>
              </w:rPr>
              <w:t>submission contact</w:t>
            </w:r>
          </w:p>
          <w:p w14:paraId="56E3CE67" w14:textId="47C80376" w:rsidR="00882729" w:rsidRDefault="00882729" w:rsidP="00882729">
            <w:pPr>
              <w:pStyle w:val="FootnoteText"/>
              <w:ind w:left="130"/>
              <w:rPr>
                <w:sz w:val="28"/>
              </w:rPr>
            </w:pPr>
            <w:r w:rsidRPr="00137F62">
              <w:t>Fiona Guthrie</w:t>
            </w:r>
          </w:p>
        </w:tc>
      </w:tr>
    </w:tbl>
    <w:p w14:paraId="43CB6ECD" w14:textId="5484C18B" w:rsidR="00BF6BC0" w:rsidRDefault="00BF6BC0" w:rsidP="00BF6BC0">
      <w:pPr>
        <w:ind w:left="0"/>
        <w:rPr>
          <w:sz w:val="28"/>
        </w:rPr>
      </w:pPr>
      <w:r>
        <w:rPr>
          <w:rFonts w:ascii="Arial" w:hAnsi="Arial" w:cs="Arial"/>
          <w:b/>
          <w:noProof/>
          <w:color w:val="244061"/>
          <w:sz w:val="36"/>
          <w:lang w:eastAsia="zh-TW" w:bidi="hi-IN"/>
        </w:rPr>
        <mc:AlternateContent>
          <mc:Choice Requires="wps">
            <w:drawing>
              <wp:inline distT="0" distB="0" distL="0" distR="0" wp14:anchorId="0401C425" wp14:editId="5E8CDA7F">
                <wp:extent cx="5274310" cy="0"/>
                <wp:effectExtent l="0" t="0" r="21590" b="19050"/>
                <wp:docPr id="4" name="Line 13" descr="Decorative. Horizontal blue line.&#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74310" cy="0"/>
                        </a:xfrm>
                        <a:prstGeom prst="line">
                          <a:avLst/>
                        </a:prstGeom>
                        <a:noFill/>
                        <a:ln w="6350">
                          <a:solidFill>
                            <a:srgbClr val="4A7EBB"/>
                          </a:solidFill>
                          <a:round/>
                          <a:headEnd/>
                          <a:tailEnd/>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blurRad="38100" dist="26940" dir="5400000" algn="ctr" rotWithShape="0">
                                  <a:srgbClr val="000000">
                                    <a:alpha val="35001"/>
                                  </a:srgbClr>
                                </a:outerShdw>
                              </a:effectLst>
                            </a14:hiddenEffects>
                          </a:ext>
                        </a:extLst>
                      </wps:spPr>
                      <wps:bodyPr/>
                    </wps:wsp>
                  </a:graphicData>
                </a:graphic>
              </wp:inline>
            </w:drawing>
          </mc:Choice>
          <mc:Fallback>
            <w:pict>
              <v:line w14:anchorId="295A8780" id="Line 13" o:spid="_x0000_s1026" alt="Decorative. Horizontal blue line.&#10;" style="visibility:visible;mso-wrap-style:square;mso-left-percent:-10001;mso-top-percent:-10001;mso-position-horizontal:absolute;mso-position-horizontal-relative:char;mso-position-vertical:absolute;mso-position-vertical-relative:line;mso-left-percent:-10001;mso-top-percent:-10001" from="0,0" to="415.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" strokecolor="#4a7ebb" strokeweight=".5pt">
                <w10:anchorlock/>
              </v:line>
            </w:pict>
          </mc:Fallback>
        </mc:AlternateContent>
      </w:r>
    </w:p>
    <w:p w14:paraId="3ABB9348" w14:textId="71F13DD5" w:rsidR="009D7FB9" w:rsidRPr="00D76365" w:rsidRDefault="00C1424A" w:rsidP="009D7FB9">
      <w:pPr>
        <w:rPr>
          <w:b/>
          <w:sz w:val="32"/>
          <w:szCs w:val="32"/>
        </w:rPr>
      </w:pPr>
      <w:r>
        <w:rPr>
          <w:sz w:val="28"/>
        </w:rPr>
        <w:br w:type="page"/>
      </w:r>
      <w:bookmarkStart w:id="0" w:name="_Toc285650685"/>
      <w:bookmarkStart w:id="1" w:name="_Toc285650848"/>
      <w:r w:rsidR="009D7FB9" w:rsidRPr="00D76365">
        <w:rPr>
          <w:b/>
          <w:color w:val="17365D" w:themeColor="text2" w:themeShade="BF"/>
          <w:sz w:val="32"/>
          <w:szCs w:val="32"/>
        </w:rPr>
        <w:lastRenderedPageBreak/>
        <w:t>About Financial Counselling</w:t>
      </w:r>
      <w:bookmarkEnd w:id="0"/>
      <w:bookmarkEnd w:id="1"/>
    </w:p>
    <w:p w14:paraId="490E0573" w14:textId="77777777" w:rsidR="009D7FB9" w:rsidRPr="008C5F1B" w:rsidRDefault="009D7FB9" w:rsidP="00BF6BC0"/>
    <w:p w14:paraId="39F3F3E1" w14:textId="77777777" w:rsidR="009D7FB9" w:rsidRDefault="009D7FB9" w:rsidP="00B977B9">
      <w:pPr>
        <w:pStyle w:val="NormalWeb"/>
      </w:pPr>
      <w:r w:rsidRPr="00881CBA">
        <w:t>Financial counsellors assist consumers in financial difficulty. They provide information, support and advocacy to help consumers deal with their immediate financial situation and minimise the risk of future financial problems. The majority of financial counsellors work in community organisations, although some are employed by government. Their services are free, confidential and independent.</w:t>
      </w:r>
    </w:p>
    <w:p w14:paraId="5EDFD62E" w14:textId="77777777" w:rsidR="00B977B9" w:rsidRDefault="00B977B9" w:rsidP="00B977B9">
      <w:pPr>
        <w:pStyle w:val="NormalWeb"/>
      </w:pPr>
    </w:p>
    <w:p w14:paraId="4C287B93" w14:textId="77777777" w:rsidR="009D7FB9" w:rsidRPr="0029454F" w:rsidRDefault="009D7FB9" w:rsidP="00B977B9">
      <w:pPr>
        <w:pStyle w:val="NormalWeb"/>
      </w:pPr>
    </w:p>
    <w:p w14:paraId="4819A093" w14:textId="77777777" w:rsidR="009D7FB9" w:rsidRPr="00D76365" w:rsidRDefault="009D7FB9" w:rsidP="009D7FB9">
      <w:pPr>
        <w:rPr>
          <w:b/>
          <w:color w:val="17365D" w:themeColor="text2" w:themeShade="BF"/>
          <w:sz w:val="32"/>
          <w:szCs w:val="32"/>
        </w:rPr>
      </w:pPr>
      <w:bookmarkStart w:id="2" w:name="_Toc285650686"/>
      <w:bookmarkStart w:id="3" w:name="_Toc285650849"/>
      <w:r w:rsidRPr="00D76365">
        <w:rPr>
          <w:b/>
          <w:color w:val="17365D" w:themeColor="text2" w:themeShade="BF"/>
          <w:sz w:val="32"/>
          <w:szCs w:val="32"/>
        </w:rPr>
        <w:t>Financial Counselling Australia</w:t>
      </w:r>
      <w:bookmarkEnd w:id="2"/>
      <w:bookmarkEnd w:id="3"/>
    </w:p>
    <w:p w14:paraId="1A321001" w14:textId="77777777" w:rsidR="009D7FB9" w:rsidRDefault="009D7FB9" w:rsidP="009D7FB9">
      <w:pPr>
        <w:autoSpaceDE w:val="0"/>
        <w:autoSpaceDN w:val="0"/>
        <w:adjustRightInd w:val="0"/>
        <w:jc w:val="both"/>
        <w:rPr>
          <w:rFonts w:ascii="Calibri" w:hAnsi="Calibri"/>
          <w:highlight w:val="yellow"/>
        </w:rPr>
      </w:pPr>
    </w:p>
    <w:p w14:paraId="0D9CBFB9" w14:textId="77777777" w:rsidR="009D7FB9" w:rsidRDefault="009D7FB9" w:rsidP="009D7FB9">
      <w:pPr>
        <w:autoSpaceDE w:val="0"/>
        <w:autoSpaceDN w:val="0"/>
        <w:adjustRightInd w:val="0"/>
        <w:ind w:left="1134"/>
        <w:jc w:val="both"/>
        <w:rPr>
          <w:rFonts w:ascii="Calibri" w:hAnsi="Calibri"/>
        </w:rPr>
      </w:pPr>
      <w:r>
        <w:rPr>
          <w:rFonts w:ascii="Calibri" w:hAnsi="Calibri"/>
        </w:rPr>
        <w:t>FCA is the peak body for financial counsellors in Australia. FCA’s member groups are the eight State and Territory financial counselling associations.</w:t>
      </w:r>
    </w:p>
    <w:p w14:paraId="61F369C1" w14:textId="77777777" w:rsidR="009D7FB9" w:rsidRDefault="009D7FB9" w:rsidP="009D7FB9">
      <w:pPr>
        <w:autoSpaceDE w:val="0"/>
        <w:autoSpaceDN w:val="0"/>
        <w:adjustRightInd w:val="0"/>
        <w:jc w:val="both"/>
        <w:rPr>
          <w:rFonts w:ascii="Calibri" w:hAnsi="Calibri"/>
        </w:rPr>
      </w:pPr>
    </w:p>
    <w:p w14:paraId="522D0002" w14:textId="77777777" w:rsidR="0033031E" w:rsidRDefault="0033031E">
      <w:pPr>
        <w:spacing w:after="0"/>
        <w:ind w:left="0"/>
        <w:rPr>
          <w:rFonts w:ascii="Calibri" w:hAnsi="Calibri"/>
          <w:b/>
          <w:sz w:val="28"/>
          <w:szCs w:val="16"/>
        </w:rPr>
      </w:pPr>
      <w:r>
        <w:rPr>
          <w:rFonts w:ascii="Calibri" w:hAnsi="Calibri"/>
          <w:b/>
          <w:sz w:val="28"/>
          <w:szCs w:val="16"/>
        </w:rPr>
        <w:br w:type="page"/>
      </w:r>
    </w:p>
    <w:p w14:paraId="23661FF9" w14:textId="77777777" w:rsidR="009D7FB9" w:rsidRDefault="009D7FB9">
      <w:pPr>
        <w:spacing w:after="0"/>
        <w:ind w:left="0"/>
        <w:rPr>
          <w:rFonts w:ascii="Calibri" w:hAnsi="Calibri"/>
          <w:b/>
          <w:sz w:val="28"/>
          <w:szCs w:val="16"/>
        </w:rPr>
      </w:pPr>
    </w:p>
    <w:p w14:paraId="1FE565BB" w14:textId="77777777" w:rsidR="00C1424A" w:rsidRDefault="00C1424A" w:rsidP="00C1424A">
      <w:pPr>
        <w:pStyle w:val="BodyText3"/>
        <w:rPr>
          <w:rFonts w:ascii="Calibri" w:hAnsi="Calibri"/>
          <w:b/>
          <w:caps/>
          <w:sz w:val="28"/>
        </w:rPr>
      </w:pPr>
      <w:r w:rsidRPr="00F675E1">
        <w:rPr>
          <w:rFonts w:ascii="Calibri" w:hAnsi="Calibri"/>
          <w:b/>
          <w:caps/>
          <w:sz w:val="28"/>
        </w:rPr>
        <w:t>Table of Contents</w:t>
      </w:r>
    </w:p>
    <w:p w14:paraId="3E7C7B58" w14:textId="77777777" w:rsidR="00F675E1" w:rsidRDefault="00F675E1" w:rsidP="00C1424A">
      <w:pPr>
        <w:pStyle w:val="BodyText3"/>
        <w:rPr>
          <w:rFonts w:ascii="Calibri" w:hAnsi="Calibri"/>
          <w:b/>
          <w:caps/>
          <w:sz w:val="28"/>
        </w:rPr>
      </w:pPr>
    </w:p>
    <w:p w14:paraId="4894B297" w14:textId="77777777" w:rsidR="00E47AA7" w:rsidRDefault="00E47AA7" w:rsidP="00E47AA7">
      <w:pPr>
        <w:pStyle w:val="TOC1"/>
        <w:rPr>
          <w:rFonts w:eastAsiaTheme="minorEastAsia" w:cstheme="minorBidi"/>
          <w:noProof/>
          <w:sz w:val="24"/>
          <w:szCs w:val="24"/>
          <w:lang w:val="en-US"/>
        </w:rPr>
      </w:pPr>
      <w:r>
        <w:rPr>
          <w:rFonts w:ascii="Calibri" w:hAnsi="Calibri"/>
          <w:sz w:val="28"/>
        </w:rPr>
        <w:fldChar w:fldCharType="begin"/>
      </w:r>
      <w:r>
        <w:rPr>
          <w:rFonts w:ascii="Calibri" w:hAnsi="Calibri"/>
          <w:sz w:val="28"/>
        </w:rPr>
        <w:instrText xml:space="preserve"> TOC \o "1-3" </w:instrText>
      </w:r>
      <w:r>
        <w:rPr>
          <w:rFonts w:ascii="Calibri" w:hAnsi="Calibri"/>
          <w:sz w:val="28"/>
        </w:rPr>
        <w:fldChar w:fldCharType="separate"/>
      </w:r>
      <w:r>
        <w:rPr>
          <w:noProof/>
        </w:rPr>
        <w:t>1.</w:t>
      </w:r>
      <w:r>
        <w:rPr>
          <w:rFonts w:eastAsiaTheme="minorEastAsia" w:cstheme="minorBidi"/>
          <w:noProof/>
          <w:sz w:val="24"/>
          <w:szCs w:val="24"/>
          <w:lang w:val="en-US"/>
        </w:rPr>
        <w:t xml:space="preserve">  </w:t>
      </w:r>
      <w:r>
        <w:rPr>
          <w:noProof/>
        </w:rPr>
        <w:t>ACCAN funding analysis from FCA’s perspective</w:t>
      </w:r>
      <w:r>
        <w:rPr>
          <w:noProof/>
        </w:rPr>
        <w:tab/>
      </w:r>
      <w:r>
        <w:rPr>
          <w:noProof/>
        </w:rPr>
        <w:fldChar w:fldCharType="begin"/>
      </w:r>
      <w:r>
        <w:rPr>
          <w:noProof/>
        </w:rPr>
        <w:instrText xml:space="preserve"> PAGEREF _Toc467360952 \h </w:instrText>
      </w:r>
      <w:r>
        <w:rPr>
          <w:noProof/>
        </w:rPr>
      </w:r>
      <w:r>
        <w:rPr>
          <w:noProof/>
        </w:rPr>
        <w:fldChar w:fldCharType="separate"/>
      </w:r>
      <w:r>
        <w:rPr>
          <w:noProof/>
        </w:rPr>
        <w:t>1</w:t>
      </w:r>
      <w:r>
        <w:rPr>
          <w:noProof/>
        </w:rPr>
        <w:fldChar w:fldCharType="end"/>
      </w:r>
    </w:p>
    <w:p w14:paraId="0B94199C" w14:textId="77777777" w:rsidR="00E47AA7" w:rsidRDefault="00E47AA7" w:rsidP="00E47AA7">
      <w:pPr>
        <w:pStyle w:val="TOC1"/>
        <w:rPr>
          <w:rFonts w:eastAsiaTheme="minorEastAsia" w:cstheme="minorBidi"/>
          <w:noProof/>
          <w:sz w:val="24"/>
          <w:szCs w:val="24"/>
          <w:lang w:val="en-US"/>
        </w:rPr>
      </w:pPr>
      <w:r>
        <w:rPr>
          <w:noProof/>
        </w:rPr>
        <w:t>2.  Independent Grants Program</w:t>
      </w:r>
      <w:r>
        <w:rPr>
          <w:noProof/>
        </w:rPr>
        <w:tab/>
      </w:r>
      <w:r>
        <w:rPr>
          <w:noProof/>
        </w:rPr>
        <w:fldChar w:fldCharType="begin"/>
      </w:r>
      <w:r>
        <w:rPr>
          <w:noProof/>
        </w:rPr>
        <w:instrText xml:space="preserve"> PAGEREF _Toc467360953 \h </w:instrText>
      </w:r>
      <w:r>
        <w:rPr>
          <w:noProof/>
        </w:rPr>
      </w:r>
      <w:r>
        <w:rPr>
          <w:noProof/>
        </w:rPr>
        <w:fldChar w:fldCharType="separate"/>
      </w:r>
      <w:r>
        <w:rPr>
          <w:noProof/>
        </w:rPr>
        <w:t>5</w:t>
      </w:r>
      <w:r>
        <w:rPr>
          <w:noProof/>
        </w:rPr>
        <w:fldChar w:fldCharType="end"/>
      </w:r>
    </w:p>
    <w:p w14:paraId="4BA7257A" w14:textId="77777777" w:rsidR="00E47AA7" w:rsidRDefault="00E47AA7" w:rsidP="00E47AA7">
      <w:pPr>
        <w:pStyle w:val="TOC1"/>
        <w:rPr>
          <w:rFonts w:eastAsiaTheme="minorEastAsia" w:cstheme="minorBidi"/>
          <w:noProof/>
          <w:sz w:val="24"/>
          <w:szCs w:val="24"/>
          <w:lang w:val="en-US"/>
        </w:rPr>
      </w:pPr>
      <w:r>
        <w:rPr>
          <w:noProof/>
        </w:rPr>
        <w:t>3.</w:t>
      </w:r>
      <w:r>
        <w:rPr>
          <w:rFonts w:eastAsiaTheme="minorEastAsia" w:cstheme="minorBidi"/>
          <w:noProof/>
          <w:sz w:val="24"/>
          <w:szCs w:val="24"/>
          <w:lang w:val="en-US"/>
        </w:rPr>
        <w:t xml:space="preserve"> </w:t>
      </w:r>
      <w:r>
        <w:rPr>
          <w:noProof/>
        </w:rPr>
        <w:t>Section 593 and Other Comments</w:t>
      </w:r>
      <w:r>
        <w:rPr>
          <w:noProof/>
        </w:rPr>
        <w:tab/>
      </w:r>
      <w:r>
        <w:rPr>
          <w:noProof/>
        </w:rPr>
        <w:fldChar w:fldCharType="begin"/>
      </w:r>
      <w:r>
        <w:rPr>
          <w:noProof/>
        </w:rPr>
        <w:instrText xml:space="preserve"> PAGEREF _Toc467360954 \h </w:instrText>
      </w:r>
      <w:r>
        <w:rPr>
          <w:noProof/>
        </w:rPr>
      </w:r>
      <w:r>
        <w:rPr>
          <w:noProof/>
        </w:rPr>
        <w:fldChar w:fldCharType="separate"/>
      </w:r>
      <w:r>
        <w:rPr>
          <w:noProof/>
        </w:rPr>
        <w:t>7</w:t>
      </w:r>
      <w:r>
        <w:rPr>
          <w:noProof/>
        </w:rPr>
        <w:fldChar w:fldCharType="end"/>
      </w:r>
    </w:p>
    <w:p w14:paraId="66558ED0" w14:textId="77777777" w:rsidR="00F675E1" w:rsidRPr="00F675E1" w:rsidRDefault="00E47AA7" w:rsidP="00F675E1">
      <w:pPr>
        <w:pStyle w:val="BodyText3"/>
        <w:ind w:left="1134"/>
        <w:rPr>
          <w:rFonts w:ascii="Calibri" w:hAnsi="Calibri"/>
          <w:b/>
          <w:caps/>
          <w:sz w:val="28"/>
        </w:rPr>
      </w:pPr>
      <w:r>
        <w:rPr>
          <w:rFonts w:ascii="Calibri" w:hAnsi="Calibri"/>
          <w:bCs/>
          <w:sz w:val="28"/>
          <w:szCs w:val="22"/>
        </w:rPr>
        <w:fldChar w:fldCharType="end"/>
      </w:r>
    </w:p>
    <w:p w14:paraId="7B54A510" w14:textId="77777777" w:rsidR="00F675E1" w:rsidRPr="00F675E1" w:rsidRDefault="00F675E1" w:rsidP="00C1424A">
      <w:pPr>
        <w:pStyle w:val="BodyText3"/>
        <w:rPr>
          <w:rFonts w:ascii="Calibri" w:hAnsi="Calibri"/>
          <w:b/>
          <w:caps/>
          <w:sz w:val="28"/>
        </w:rPr>
        <w:sectPr w:rsidR="00F675E1" w:rsidRPr="00F675E1" w:rsidSect="00C1424A">
          <w:footerReference w:type="default" r:id="rId12"/>
          <w:pgSz w:w="11906" w:h="16838"/>
          <w:pgMar w:top="1440" w:right="1800" w:bottom="1440" w:left="1800" w:header="708" w:footer="708" w:gutter="0"/>
          <w:pgNumType w:start="1"/>
          <w:cols w:space="708"/>
          <w:docGrid w:linePitch="360"/>
        </w:sectPr>
      </w:pPr>
    </w:p>
    <w:p w14:paraId="794D5F67" w14:textId="77777777" w:rsidR="00C1424A" w:rsidRPr="00602E2C" w:rsidRDefault="00602E2C" w:rsidP="00235DAF">
      <w:pPr>
        <w:pStyle w:val="Heading1"/>
      </w:pPr>
      <w:bookmarkStart w:id="4" w:name="_Toc466996022"/>
      <w:bookmarkStart w:id="5" w:name="_Toc467360952"/>
      <w:r>
        <w:t>ACCAN funding analysis from FCA’s perspective</w:t>
      </w:r>
      <w:bookmarkEnd w:id="4"/>
      <w:bookmarkEnd w:id="5"/>
    </w:p>
    <w:p w14:paraId="2851F7B8" w14:textId="77777777" w:rsidR="00602E2C" w:rsidRDefault="00602E2C" w:rsidP="00BF6BC0">
      <w:pPr>
        <w:pStyle w:val="Heading2"/>
      </w:pPr>
      <w:r w:rsidRPr="00602E2C">
        <w:t xml:space="preserve">Has ACCAN effectively performed the role of representing the interests of </w:t>
      </w:r>
      <w:r w:rsidRPr="00BF6BC0">
        <w:t>consumers</w:t>
      </w:r>
      <w:r w:rsidRPr="00602E2C">
        <w:t xml:space="preserve"> in relation to telecommunications?</w:t>
      </w:r>
    </w:p>
    <w:p w14:paraId="6B9906B6" w14:textId="77777777" w:rsidR="004D20F5" w:rsidRDefault="004D20F5" w:rsidP="001167E4">
      <w:r>
        <w:t xml:space="preserve">FCA has been involved </w:t>
      </w:r>
      <w:r w:rsidR="001167E4">
        <w:t>closely with ACCAN since its inception</w:t>
      </w:r>
      <w:r w:rsidR="004A2B65">
        <w:t xml:space="preserve">. </w:t>
      </w:r>
      <w:r w:rsidR="001167E4">
        <w:t xml:space="preserve"> </w:t>
      </w:r>
      <w:r w:rsidR="004A2B65">
        <w:t>We</w:t>
      </w:r>
      <w:r w:rsidR="001167E4">
        <w:t xml:space="preserve"> have seen</w:t>
      </w:r>
      <w:r>
        <w:t xml:space="preserve"> ACCAN </w:t>
      </w:r>
      <w:r w:rsidR="001167E4">
        <w:t xml:space="preserve">develop into a highly competent advocacy organisation, </w:t>
      </w:r>
      <w:r w:rsidR="004A2B65">
        <w:t>representing</w:t>
      </w:r>
      <w:r w:rsidR="001167E4">
        <w:t xml:space="preserve"> a range of consumers – including </w:t>
      </w:r>
      <w:r w:rsidR="004A2B65">
        <w:t>those in financial difficulty, I</w:t>
      </w:r>
      <w:r w:rsidR="001167E4">
        <w:t>ndigenous consumers and those with disabilities.</w:t>
      </w:r>
    </w:p>
    <w:p w14:paraId="68A36F26" w14:textId="77777777" w:rsidR="00AC68E7" w:rsidRDefault="00C34CEF" w:rsidP="00AC68E7">
      <w:r>
        <w:t>Since ACCAN</w:t>
      </w:r>
      <w:r w:rsidR="004A2B65">
        <w:t>’s inception</w:t>
      </w:r>
      <w:r>
        <w:t>, there have been ma</w:t>
      </w:r>
      <w:r w:rsidR="004A2B65">
        <w:t xml:space="preserve">jor changes for the better. We </w:t>
      </w:r>
      <w:r>
        <w:t xml:space="preserve">now have </w:t>
      </w:r>
      <w:r w:rsidR="0056741D">
        <w:t xml:space="preserve">an </w:t>
      </w:r>
      <w:r w:rsidR="00097F8A">
        <w:t xml:space="preserve">improved </w:t>
      </w:r>
      <w:r>
        <w:t xml:space="preserve">TCP Code, complaints to </w:t>
      </w:r>
      <w:r w:rsidR="004A2B65">
        <w:t>the TIO are on a downward trend</w:t>
      </w:r>
      <w:r>
        <w:t xml:space="preserve"> and telcos engage more readily with the financial counselling sector.</w:t>
      </w:r>
    </w:p>
    <w:p w14:paraId="60EBE888" w14:textId="77777777" w:rsidR="00AC68E7" w:rsidRDefault="00AC68E7" w:rsidP="00AC68E7">
      <w:r>
        <w:t>Specific examples include:</w:t>
      </w:r>
    </w:p>
    <w:p w14:paraId="5544A08B" w14:textId="77777777" w:rsidR="00AC68E7" w:rsidRDefault="00AC68E7" w:rsidP="00E47AA7">
      <w:pPr>
        <w:pStyle w:val="ListParagraph"/>
        <w:numPr>
          <w:ilvl w:val="0"/>
          <w:numId w:val="14"/>
        </w:numPr>
      </w:pPr>
      <w:r>
        <w:t xml:space="preserve">ACCAN’s role in </w:t>
      </w:r>
      <w:r w:rsidR="00E30197">
        <w:t xml:space="preserve">negotiating “Responding to Customers in Financial Hardship: Principles and Practices for Telecommunications Providers”, was pivotal. This process was facilitated by the TIO between consumer organisations and the telecommunications industry. The document was released in 2014 and has seen </w:t>
      </w:r>
      <w:r w:rsidR="00E47AA7">
        <w:t>important changes in hardship practices by the industry as a result. ACCAN</w:t>
      </w:r>
      <w:r w:rsidR="00017EB1">
        <w:t>’s</w:t>
      </w:r>
      <w:r w:rsidR="00E47AA7">
        <w:t xml:space="preserve"> considered suggestions to the 2016 review will lead to a strengthened framework in the next version.</w:t>
      </w:r>
    </w:p>
    <w:p w14:paraId="44CFC6FE" w14:textId="77777777" w:rsidR="0056741D" w:rsidRDefault="00097F8A" w:rsidP="00E47AA7">
      <w:pPr>
        <w:pStyle w:val="ListParagraph"/>
        <w:numPr>
          <w:ilvl w:val="0"/>
          <w:numId w:val="14"/>
        </w:numPr>
      </w:pPr>
      <w:r>
        <w:t xml:space="preserve">ACCAN’s work on reforming call charges for mobile calls to 1800/13/1300 numbers has </w:t>
      </w:r>
      <w:r w:rsidR="0056741D">
        <w:t xml:space="preserve">been particularly important for the clients of financial counsellors. This work has </w:t>
      </w:r>
      <w:r>
        <w:t xml:space="preserve">resulted in zero </w:t>
      </w:r>
      <w:r w:rsidR="00017EB1">
        <w:t>cost</w:t>
      </w:r>
      <w:r>
        <w:t xml:space="preserve"> 1800 calls, and most plans </w:t>
      </w:r>
      <w:r w:rsidR="0056741D">
        <w:t xml:space="preserve">now </w:t>
      </w:r>
      <w:r w:rsidR="00017EB1">
        <w:t>include</w:t>
      </w:r>
      <w:r>
        <w:t xml:space="preserve"> 13/1300 calls within an ‘unlimited</w:t>
      </w:r>
      <w:r w:rsidR="00CB75C7">
        <w:t xml:space="preserve"> value’ package. </w:t>
      </w:r>
      <w:r w:rsidR="00017EB1">
        <w:t xml:space="preserve"> The impact of this is huge, as low income consumers can now afford to call organisations like Centrelink, where there is a significant waiting time.</w:t>
      </w:r>
    </w:p>
    <w:p w14:paraId="7211D796" w14:textId="77777777" w:rsidR="00097F8A" w:rsidRDefault="00E47AA7" w:rsidP="00E47AA7">
      <w:pPr>
        <w:pStyle w:val="ListParagraph"/>
        <w:numPr>
          <w:ilvl w:val="0"/>
          <w:numId w:val="14"/>
        </w:numPr>
      </w:pPr>
      <w:r>
        <w:t xml:space="preserve">The </w:t>
      </w:r>
      <w:r w:rsidR="00CB75C7">
        <w:t xml:space="preserve">ACCAN/SACOSS </w:t>
      </w:r>
      <w:r w:rsidR="00967AE0">
        <w:t>Connectivity</w:t>
      </w:r>
      <w:r w:rsidR="00CB75C7">
        <w:t xml:space="preserve"> Costs report </w:t>
      </w:r>
      <w:r w:rsidR="0056741D">
        <w:t xml:space="preserve">highlighted </w:t>
      </w:r>
      <w:r w:rsidR="00CB75C7">
        <w:t>the need for reform of the current inadequate Centrelink Telecommunications Allowance, a policy reform supported and endorsed by FCA earlier this year</w:t>
      </w:r>
      <w:r w:rsidR="00CB75C7">
        <w:rPr>
          <w:rStyle w:val="FootnoteReference"/>
        </w:rPr>
        <w:footnoteReference w:id="1"/>
      </w:r>
      <w:r w:rsidR="00CB75C7">
        <w:t xml:space="preserve">. </w:t>
      </w:r>
    </w:p>
    <w:p w14:paraId="3188831D" w14:textId="77777777" w:rsidR="006869E4" w:rsidRDefault="006869E4" w:rsidP="00E47AA7">
      <w:pPr>
        <w:pStyle w:val="ListParagraph"/>
        <w:numPr>
          <w:ilvl w:val="0"/>
          <w:numId w:val="14"/>
        </w:numPr>
      </w:pPr>
      <w:r>
        <w:t>ACCAN has been developing proposals for broad indus</w:t>
      </w:r>
      <w:r w:rsidR="00967AE0">
        <w:t>try-</w:t>
      </w:r>
      <w:r>
        <w:t>wide affordability measures</w:t>
      </w:r>
      <w:r w:rsidR="0042752B">
        <w:t xml:space="preserve">, </w:t>
      </w:r>
      <w:r w:rsidR="00967AE0">
        <w:t>expanding</w:t>
      </w:r>
      <w:r w:rsidR="0042752B">
        <w:t xml:space="preserve"> a role </w:t>
      </w:r>
      <w:r>
        <w:t>currently only undertaken by Telstra’s Low Income Measures Advisory Committee.  This will give low income consumers greater choice of prov</w:t>
      </w:r>
      <w:r w:rsidR="00A46738">
        <w:t>ider. This</w:t>
      </w:r>
      <w:r w:rsidR="0042752B">
        <w:t xml:space="preserve"> initiative</w:t>
      </w:r>
      <w:r>
        <w:t xml:space="preserve"> has been identified as an area of need by the financial counselling sector</w:t>
      </w:r>
      <w:r w:rsidR="00A46738">
        <w:t xml:space="preserve">, </w:t>
      </w:r>
      <w:r w:rsidR="0042752B">
        <w:t xml:space="preserve">most recently </w:t>
      </w:r>
      <w:r w:rsidR="00A46738">
        <w:t xml:space="preserve">at our 2016 conference, and at a workshop </w:t>
      </w:r>
      <w:r w:rsidR="00967AE0">
        <w:t xml:space="preserve">of Victorian financial counsellors </w:t>
      </w:r>
      <w:r w:rsidR="00A46738">
        <w:t>in June 2016</w:t>
      </w:r>
      <w:r>
        <w:t xml:space="preserve">. </w:t>
      </w:r>
    </w:p>
    <w:p w14:paraId="5D1ABF7B" w14:textId="77777777" w:rsidR="00E47AA7" w:rsidRPr="004D20F5" w:rsidRDefault="00E47AA7" w:rsidP="00E47AA7">
      <w:pPr>
        <w:pStyle w:val="ListParagraph"/>
        <w:ind w:left="1440"/>
      </w:pPr>
    </w:p>
    <w:p w14:paraId="6630CA9E" w14:textId="77777777" w:rsidR="00B970D3" w:rsidRDefault="00602E2C" w:rsidP="00BF6BC0">
      <w:pPr>
        <w:pStyle w:val="Heading2"/>
      </w:pPr>
      <w:r w:rsidRPr="00602E2C">
        <w:t>Does ACCAN effectively engage with a broad range of stakeholders, including industry, government agencies and other consumer groups?</w:t>
      </w:r>
    </w:p>
    <w:p w14:paraId="78D9EFAE" w14:textId="77777777" w:rsidR="001167E4" w:rsidRDefault="001167E4" w:rsidP="001167E4">
      <w:r>
        <w:t>We have directly observed ACCAN engage with industry and consumer groups. FCA runs a large, annual national conference for financial counsellors, and ACCAN attends each year. Additionally, ACCAN staff participate as guest speakers, sharing information with the financial counsellors.</w:t>
      </w:r>
      <w:r w:rsidR="00017EB1">
        <w:t xml:space="preserve"> Last year, </w:t>
      </w:r>
      <w:r w:rsidR="00C34CEF">
        <w:t xml:space="preserve">ACCAN </w:t>
      </w:r>
      <w:r w:rsidR="006869E4">
        <w:t xml:space="preserve">had a strong presence at </w:t>
      </w:r>
      <w:r w:rsidR="00C34CEF">
        <w:t xml:space="preserve">our conference, </w:t>
      </w:r>
      <w:r w:rsidR="006869E4">
        <w:t>both in presenting to delegates,</w:t>
      </w:r>
      <w:r w:rsidR="00A46738">
        <w:t xml:space="preserve"> and</w:t>
      </w:r>
      <w:r w:rsidR="006869E4">
        <w:t xml:space="preserve"> </w:t>
      </w:r>
      <w:r w:rsidR="00017EB1">
        <w:t xml:space="preserve">having an exhibitor presence </w:t>
      </w:r>
      <w:r w:rsidR="006869E4">
        <w:t>providing consumer information to financial counsellors to assist them in their work with clients</w:t>
      </w:r>
      <w:r w:rsidR="00A46738">
        <w:t xml:space="preserve">. ACCAN’s engagement at the conference resulted in it subsequently distributing information materials to </w:t>
      </w:r>
      <w:r w:rsidR="00017EB1">
        <w:t>many</w:t>
      </w:r>
      <w:r w:rsidR="00A46738">
        <w:t xml:space="preserve"> financial counselling organisations across the country. </w:t>
      </w:r>
      <w:r w:rsidR="0098376C">
        <w:t>.</w:t>
      </w:r>
    </w:p>
    <w:p w14:paraId="5BCCCFB5" w14:textId="77777777" w:rsidR="001167E4" w:rsidRDefault="001167E4" w:rsidP="001167E4">
      <w:r>
        <w:t>We also run strategic planning and problems so</w:t>
      </w:r>
      <w:r w:rsidR="004A2B65">
        <w:t>lving in ‘</w:t>
      </w:r>
      <w:r>
        <w:t xml:space="preserve">cross industry forums’, where we bring together </w:t>
      </w:r>
      <w:r w:rsidR="004A2B65">
        <w:t>senior leaders</w:t>
      </w:r>
      <w:r>
        <w:t xml:space="preserve"> from all of the major creditor industries that financial counsellors interact with - banking, </w:t>
      </w:r>
      <w:r w:rsidR="005333CD">
        <w:t>telecommunication companies</w:t>
      </w:r>
      <w:r>
        <w:t>, utilities, debt collection. ACCAN management attend these forums and provide</w:t>
      </w:r>
      <w:r w:rsidR="005333CD">
        <w:t>s</w:t>
      </w:r>
      <w:r>
        <w:t xml:space="preserve"> valuable input.</w:t>
      </w:r>
    </w:p>
    <w:p w14:paraId="5B49495D" w14:textId="77777777" w:rsidR="00A46738" w:rsidRDefault="00A46738" w:rsidP="001167E4">
      <w:r>
        <w:t xml:space="preserve">ACCAN consults with FCA on a regular basis and has represented our views on hardship policy reform, 1800/13/1300 reform, reform of the Centrelink Telephone Allowance, and reviews of the TCP Code, particularly in </w:t>
      </w:r>
      <w:r w:rsidR="00CD1CFD">
        <w:t xml:space="preserve">the </w:t>
      </w:r>
      <w:r>
        <w:t xml:space="preserve">areas of billing and credit and debt management. </w:t>
      </w:r>
    </w:p>
    <w:p w14:paraId="2590633B" w14:textId="77777777" w:rsidR="00CD1CFD" w:rsidRDefault="00CD1CFD" w:rsidP="00BF6BC0"/>
    <w:p w14:paraId="2F3B9E3C" w14:textId="77777777" w:rsidR="00602E2C" w:rsidRDefault="00602E2C" w:rsidP="00BF6BC0">
      <w:pPr>
        <w:pStyle w:val="Heading2"/>
      </w:pPr>
      <w:r w:rsidRPr="00B970D3">
        <w:t>Considering the consumer representation role performed by ACCAN, has ACCAN adopted an appropriate balance between representation of general consumers and representation of those with particular needs?</w:t>
      </w:r>
    </w:p>
    <w:p w14:paraId="1D32286F" w14:textId="77777777" w:rsidR="001167E4" w:rsidRDefault="001167E4" w:rsidP="001167E4">
      <w:r>
        <w:t xml:space="preserve">Yes, one only has to look at ACCAN’s webnews to see that </w:t>
      </w:r>
      <w:r w:rsidR="005333CD">
        <w:t>the organisation</w:t>
      </w:r>
      <w:r>
        <w:t xml:space="preserve"> works hard to represent a range of consumer needs – youth, CALD, disability, low income and general </w:t>
      </w:r>
      <w:r w:rsidR="00BD3B9D">
        <w:t xml:space="preserve">consumers. It is appropriate to work across all those sub-groups, as they are all equally legitimate in requiring fair and affordable products. </w:t>
      </w:r>
    </w:p>
    <w:p w14:paraId="2845EC7D" w14:textId="77777777" w:rsidR="00CD1CFD" w:rsidRDefault="00CD1CFD">
      <w:pPr>
        <w:spacing w:after="0"/>
        <w:ind w:left="0"/>
      </w:pPr>
      <w:r>
        <w:br w:type="page"/>
      </w:r>
    </w:p>
    <w:p w14:paraId="1D8E39CD" w14:textId="77777777" w:rsidR="001167E4" w:rsidRPr="001167E4" w:rsidRDefault="001167E4" w:rsidP="001167E4"/>
    <w:p w14:paraId="744C1E66" w14:textId="77777777" w:rsidR="00C1424A" w:rsidRPr="0098376C" w:rsidRDefault="00602E2C" w:rsidP="00BF6BC0">
      <w:pPr>
        <w:pStyle w:val="Heading2"/>
      </w:pPr>
      <w:r w:rsidRPr="00602E2C">
        <w:t>Is a telecommunications specific consumer representative body funded by Government required or:</w:t>
      </w:r>
    </w:p>
    <w:p w14:paraId="27372059" w14:textId="77777777" w:rsidR="00602E2C" w:rsidRPr="0098376C" w:rsidRDefault="00602E2C" w:rsidP="005333CD">
      <w:pPr>
        <w:ind w:left="1778"/>
        <w:rPr>
          <w:rFonts w:ascii="Calibri" w:eastAsia="Calibri" w:hAnsi="Calibri"/>
          <w:lang w:eastAsia="en-AU"/>
        </w:rPr>
      </w:pPr>
      <w:r w:rsidRPr="00602E2C">
        <w:rPr>
          <w:rFonts w:ascii="Calibri" w:eastAsia="Calibri" w:hAnsi="Calibri"/>
          <w:lang w:eastAsia="en-AU"/>
        </w:rPr>
        <w:t>a) Should Government fund representation only for a body or bodies representing consumers with particular needs?</w:t>
      </w:r>
    </w:p>
    <w:p w14:paraId="08E0C263" w14:textId="77777777" w:rsidR="00602E2C" w:rsidRPr="0098376C" w:rsidRDefault="00602E2C" w:rsidP="005333CD">
      <w:pPr>
        <w:ind w:left="1778"/>
        <w:rPr>
          <w:rFonts w:ascii="Calibri" w:eastAsia="Calibri" w:hAnsi="Calibri"/>
          <w:lang w:eastAsia="en-AU"/>
        </w:rPr>
      </w:pPr>
      <w:r w:rsidRPr="00602E2C">
        <w:rPr>
          <w:rFonts w:ascii="Calibri" w:eastAsia="Calibri" w:hAnsi="Calibri"/>
          <w:lang w:eastAsia="en-AU"/>
        </w:rPr>
        <w:t>b) Could a telecommunications representation function be carried out by a general consumer body?</w:t>
      </w:r>
    </w:p>
    <w:p w14:paraId="318E1174" w14:textId="77777777" w:rsidR="00602E2C" w:rsidRPr="0098376C" w:rsidRDefault="00602E2C" w:rsidP="005333CD">
      <w:pPr>
        <w:ind w:left="1778"/>
        <w:rPr>
          <w:rFonts w:ascii="Calibri" w:eastAsia="Calibri" w:hAnsi="Calibri"/>
          <w:lang w:eastAsia="en-AU"/>
        </w:rPr>
      </w:pPr>
      <w:r w:rsidRPr="00602E2C">
        <w:rPr>
          <w:rFonts w:ascii="Calibri" w:eastAsia="Calibri" w:hAnsi="Calibri"/>
          <w:lang w:eastAsia="en-AU"/>
        </w:rPr>
        <w:t>c) Could Government more directly measure consumer views by undertaking its own consumer research?</w:t>
      </w:r>
    </w:p>
    <w:p w14:paraId="32405F8A" w14:textId="77777777" w:rsidR="0098376C" w:rsidRDefault="0098376C" w:rsidP="0098376C">
      <w:pPr>
        <w:rPr>
          <w:rFonts w:ascii="Calibri" w:eastAsia="Calibri" w:hAnsi="Calibri"/>
          <w:lang w:eastAsia="en-AU"/>
        </w:rPr>
      </w:pPr>
      <w:r>
        <w:rPr>
          <w:rFonts w:ascii="Calibri" w:eastAsia="Calibri" w:hAnsi="Calibri"/>
          <w:lang w:eastAsia="en-AU"/>
        </w:rPr>
        <w:t xml:space="preserve">It takes many years to build expertise and a sophisticated understanding of the </w:t>
      </w:r>
      <w:r w:rsidR="005333CD">
        <w:rPr>
          <w:rFonts w:ascii="Calibri" w:eastAsia="Calibri" w:hAnsi="Calibri"/>
          <w:lang w:eastAsia="en-AU"/>
        </w:rPr>
        <w:t>needs of telecommunications consumers. We are</w:t>
      </w:r>
      <w:r>
        <w:rPr>
          <w:rFonts w:ascii="Calibri" w:eastAsia="Calibri" w:hAnsi="Calibri"/>
          <w:lang w:eastAsia="en-AU"/>
        </w:rPr>
        <w:t xml:space="preserve"> of the strong opinion that the Government’s investment to date has been justified, and to not continue funding will result in signi</w:t>
      </w:r>
      <w:r w:rsidR="005333CD">
        <w:rPr>
          <w:rFonts w:ascii="Calibri" w:eastAsia="Calibri" w:hAnsi="Calibri"/>
          <w:lang w:eastAsia="en-AU"/>
        </w:rPr>
        <w:t>ficant lost corporate knowledge</w:t>
      </w:r>
      <w:r>
        <w:rPr>
          <w:rFonts w:ascii="Calibri" w:eastAsia="Calibri" w:hAnsi="Calibri"/>
          <w:lang w:eastAsia="en-AU"/>
        </w:rPr>
        <w:t xml:space="preserve"> and loss of economies of scale. Prior to ACCAN there was a fragmented group of poorly funded smaller organisations, and the well-funded ACCAN model was a significant achievement.</w:t>
      </w:r>
    </w:p>
    <w:p w14:paraId="6A9E0726" w14:textId="77777777" w:rsidR="0098376C" w:rsidRDefault="0098376C" w:rsidP="0098376C">
      <w:pPr>
        <w:rPr>
          <w:rFonts w:ascii="Calibri" w:eastAsia="Calibri" w:hAnsi="Calibri"/>
          <w:lang w:eastAsia="en-AU"/>
        </w:rPr>
      </w:pPr>
      <w:r>
        <w:rPr>
          <w:rFonts w:ascii="Calibri" w:eastAsia="Calibri" w:hAnsi="Calibri"/>
          <w:lang w:eastAsia="en-AU"/>
        </w:rPr>
        <w:t xml:space="preserve">We do not believe that Government undertaking its own consumer research will have the same impact. It is our experience that Government engages external research organisations, who start </w:t>
      </w:r>
      <w:r w:rsidR="005333CD">
        <w:rPr>
          <w:rFonts w:ascii="Calibri" w:eastAsia="Calibri" w:hAnsi="Calibri"/>
          <w:lang w:eastAsia="en-AU"/>
        </w:rPr>
        <w:t>from</w:t>
      </w:r>
      <w:r>
        <w:rPr>
          <w:rFonts w:ascii="Calibri" w:eastAsia="Calibri" w:hAnsi="Calibri"/>
          <w:lang w:eastAsia="en-AU"/>
        </w:rPr>
        <w:t xml:space="preserve"> a low knowledge base. The existing consumer groups have to spend significant time giving them the information (at our own time </w:t>
      </w:r>
      <w:r w:rsidR="006857D9">
        <w:rPr>
          <w:rFonts w:ascii="Calibri" w:eastAsia="Calibri" w:hAnsi="Calibri"/>
          <w:lang w:eastAsia="en-AU"/>
        </w:rPr>
        <w:t xml:space="preserve">and </w:t>
      </w:r>
      <w:r>
        <w:rPr>
          <w:rFonts w:ascii="Calibri" w:eastAsia="Calibri" w:hAnsi="Calibri"/>
          <w:lang w:eastAsia="en-AU"/>
        </w:rPr>
        <w:t>cost). The external consultants write up the reports, which we never get to see … and little or nothing of benefit comes back to our stakeholders.</w:t>
      </w:r>
      <w:r w:rsidR="00A82E4C">
        <w:rPr>
          <w:rFonts w:ascii="Calibri" w:eastAsia="Calibri" w:hAnsi="Calibri"/>
          <w:lang w:eastAsia="en-AU"/>
        </w:rPr>
        <w:t xml:space="preserve"> </w:t>
      </w:r>
    </w:p>
    <w:p w14:paraId="4B852AB9" w14:textId="77777777" w:rsidR="0098376C" w:rsidRDefault="0098376C" w:rsidP="0098376C">
      <w:pPr>
        <w:rPr>
          <w:rFonts w:ascii="Calibri" w:eastAsia="Calibri" w:hAnsi="Calibri"/>
          <w:lang w:eastAsia="en-AU"/>
        </w:rPr>
      </w:pPr>
      <w:r>
        <w:rPr>
          <w:rFonts w:ascii="Calibri" w:eastAsia="Calibri" w:hAnsi="Calibri"/>
          <w:lang w:eastAsia="en-AU"/>
        </w:rPr>
        <w:t xml:space="preserve">In contrast, when ACCAN does work, </w:t>
      </w:r>
      <w:r w:rsidR="00907315">
        <w:rPr>
          <w:rFonts w:ascii="Calibri" w:eastAsia="Calibri" w:hAnsi="Calibri"/>
          <w:lang w:eastAsia="en-AU"/>
        </w:rPr>
        <w:t xml:space="preserve">we know that it provides an independent consumer voice informed by its numerous stakeholders who work at the grassroots, </w:t>
      </w:r>
      <w:r>
        <w:rPr>
          <w:rFonts w:ascii="Calibri" w:eastAsia="Calibri" w:hAnsi="Calibri"/>
          <w:lang w:eastAsia="en-AU"/>
        </w:rPr>
        <w:t xml:space="preserve">the reports are public, and the </w:t>
      </w:r>
      <w:r w:rsidR="00907315">
        <w:rPr>
          <w:rFonts w:ascii="Calibri" w:eastAsia="Calibri" w:hAnsi="Calibri"/>
          <w:lang w:eastAsia="en-AU"/>
        </w:rPr>
        <w:t>learning/</w:t>
      </w:r>
      <w:r>
        <w:rPr>
          <w:rFonts w:ascii="Calibri" w:eastAsia="Calibri" w:hAnsi="Calibri"/>
          <w:lang w:eastAsia="en-AU"/>
        </w:rPr>
        <w:t xml:space="preserve">information feeds back to our sector. We then </w:t>
      </w:r>
      <w:r w:rsidR="00907315">
        <w:rPr>
          <w:rFonts w:ascii="Calibri" w:eastAsia="Calibri" w:hAnsi="Calibri"/>
          <w:lang w:eastAsia="en-AU"/>
        </w:rPr>
        <w:t xml:space="preserve">have the opportunity to </w:t>
      </w:r>
      <w:r>
        <w:rPr>
          <w:rFonts w:ascii="Calibri" w:eastAsia="Calibri" w:hAnsi="Calibri"/>
          <w:lang w:eastAsia="en-AU"/>
        </w:rPr>
        <w:t>work collaboratively on mutual policy issues.</w:t>
      </w:r>
    </w:p>
    <w:p w14:paraId="4EC4E6F4" w14:textId="77777777" w:rsidR="00A82E4C" w:rsidRDefault="00A82E4C" w:rsidP="0098376C">
      <w:pPr>
        <w:rPr>
          <w:rFonts w:ascii="Calibri" w:eastAsia="Calibri" w:hAnsi="Calibri"/>
          <w:lang w:eastAsia="en-AU"/>
        </w:rPr>
      </w:pPr>
      <w:r>
        <w:rPr>
          <w:rFonts w:ascii="Calibri" w:eastAsia="Calibri" w:hAnsi="Calibri"/>
          <w:lang w:eastAsia="en-AU"/>
        </w:rPr>
        <w:t>Government research agendas may also be completely different to those thought important by consumers. And how the government uses the research will also be seriously constrained, as it will be unable to take a position that would advocate for consumers.</w:t>
      </w:r>
    </w:p>
    <w:p w14:paraId="72DD001F" w14:textId="77777777" w:rsidR="005B594A" w:rsidRPr="00602E2C" w:rsidRDefault="005B594A" w:rsidP="00235DAF">
      <w:pPr>
        <w:pStyle w:val="Heading1"/>
      </w:pPr>
      <w:bookmarkStart w:id="6" w:name="_Toc466996023"/>
      <w:bookmarkStart w:id="7" w:name="_Toc467360953"/>
      <w:r>
        <w:t>Independent Grants Program</w:t>
      </w:r>
      <w:bookmarkEnd w:id="6"/>
      <w:bookmarkEnd w:id="7"/>
    </w:p>
    <w:p w14:paraId="6399A54B" w14:textId="77777777" w:rsidR="00907315" w:rsidRDefault="00602E2C" w:rsidP="00BF6BC0">
      <w:pPr>
        <w:pStyle w:val="Heading2"/>
        <w:rPr>
          <w:rFonts w:eastAsia="Calibri"/>
          <w:lang w:eastAsia="en-AU"/>
        </w:rPr>
      </w:pPr>
      <w:r w:rsidRPr="00602E2C">
        <w:rPr>
          <w:rFonts w:eastAsia="Calibri"/>
          <w:lang w:eastAsia="en-AU"/>
        </w:rPr>
        <w:t xml:space="preserve">Have you seen any examples of how research funded through the Independent Grants Program (IGP) has influenced Government policy or the behaviour of industry?  </w:t>
      </w:r>
    </w:p>
    <w:p w14:paraId="186722B0" w14:textId="77777777" w:rsidR="00907315" w:rsidRDefault="00907315" w:rsidP="00907315">
      <w:pPr>
        <w:rPr>
          <w:rFonts w:eastAsia="Calibri"/>
          <w:lang w:eastAsia="en-AU"/>
        </w:rPr>
      </w:pPr>
      <w:r>
        <w:rPr>
          <w:rFonts w:eastAsia="Calibri"/>
          <w:lang w:eastAsia="en-AU"/>
        </w:rPr>
        <w:t>FCA re</w:t>
      </w:r>
      <w:r w:rsidR="006857D9">
        <w:rPr>
          <w:rFonts w:eastAsia="Calibri"/>
          <w:lang w:eastAsia="en-AU"/>
        </w:rPr>
        <w:t>ceived a research grant in 2012-</w:t>
      </w:r>
      <w:r>
        <w:rPr>
          <w:rFonts w:eastAsia="Calibri"/>
          <w:lang w:eastAsia="en-AU"/>
        </w:rPr>
        <w:t xml:space="preserve">13.  </w:t>
      </w:r>
      <w:r w:rsidR="006857D9">
        <w:rPr>
          <w:rFonts w:eastAsia="Calibri"/>
          <w:lang w:eastAsia="en-AU"/>
        </w:rPr>
        <w:t>This was to undertake research comparing ‘what works</w:t>
      </w:r>
      <w:r>
        <w:rPr>
          <w:rFonts w:eastAsia="Calibri"/>
          <w:lang w:eastAsia="en-AU"/>
        </w:rPr>
        <w:t xml:space="preserve">’ in </w:t>
      </w:r>
      <w:r w:rsidR="006857D9">
        <w:rPr>
          <w:rFonts w:eastAsia="Calibri"/>
          <w:lang w:eastAsia="en-AU"/>
        </w:rPr>
        <w:t xml:space="preserve">relation to financial hardship in </w:t>
      </w:r>
      <w:r>
        <w:rPr>
          <w:rFonts w:eastAsia="Calibri"/>
          <w:lang w:eastAsia="en-AU"/>
        </w:rPr>
        <w:t>the various ind</w:t>
      </w:r>
      <w:r w:rsidR="00A82E4C">
        <w:rPr>
          <w:rFonts w:eastAsia="Calibri"/>
          <w:lang w:eastAsia="en-AU"/>
        </w:rPr>
        <w:t>ustries that financial counsellors</w:t>
      </w:r>
      <w:r w:rsidR="006857D9">
        <w:rPr>
          <w:rFonts w:eastAsia="Calibri"/>
          <w:lang w:eastAsia="en-AU"/>
        </w:rPr>
        <w:t xml:space="preserve"> work</w:t>
      </w:r>
      <w:r>
        <w:rPr>
          <w:rFonts w:eastAsia="Calibri"/>
          <w:lang w:eastAsia="en-AU"/>
        </w:rPr>
        <w:t xml:space="preserve"> with – banking, utilities, </w:t>
      </w:r>
      <w:r w:rsidR="00A82E4C">
        <w:rPr>
          <w:rFonts w:eastAsia="Calibri"/>
          <w:lang w:eastAsia="en-AU"/>
        </w:rPr>
        <w:t>telecommunication companies</w:t>
      </w:r>
      <w:r>
        <w:rPr>
          <w:rFonts w:eastAsia="Calibri"/>
          <w:lang w:eastAsia="en-AU"/>
        </w:rPr>
        <w:t xml:space="preserve"> and debt </w:t>
      </w:r>
      <w:r w:rsidR="00A82E4C">
        <w:rPr>
          <w:rFonts w:eastAsia="Calibri"/>
          <w:lang w:eastAsia="en-AU"/>
        </w:rPr>
        <w:t>collectors</w:t>
      </w:r>
      <w:r>
        <w:rPr>
          <w:rFonts w:eastAsia="Calibri"/>
          <w:lang w:eastAsia="en-AU"/>
        </w:rPr>
        <w:t xml:space="preserve">. We workshopped our report with </w:t>
      </w:r>
      <w:r w:rsidR="00A82E4C">
        <w:rPr>
          <w:rFonts w:eastAsia="Calibri"/>
          <w:lang w:eastAsia="en-AU"/>
        </w:rPr>
        <w:t xml:space="preserve">senior leaders in those industries as well as </w:t>
      </w:r>
      <w:r>
        <w:rPr>
          <w:rFonts w:eastAsia="Calibri"/>
          <w:lang w:eastAsia="en-AU"/>
        </w:rPr>
        <w:t>the relevant government departments, regulators, ombudsmen and consumer o</w:t>
      </w:r>
      <w:r w:rsidR="006857D9">
        <w:rPr>
          <w:rFonts w:eastAsia="Calibri"/>
          <w:lang w:eastAsia="en-AU"/>
        </w:rPr>
        <w:t>rganisations. Since then this ‘</w:t>
      </w:r>
      <w:r>
        <w:rPr>
          <w:rFonts w:eastAsia="Calibri"/>
          <w:lang w:eastAsia="en-AU"/>
        </w:rPr>
        <w:t>cross industry approach’ has paid dividends. The new norm in the ‘financial hardship space’ is learning from the achievements (and failures) in other industries, and collaborating for better outcomes. This is a paradigm shift from combative advocacy to collaboration advocacy for mutual benefit.</w:t>
      </w:r>
    </w:p>
    <w:p w14:paraId="47AA77C1" w14:textId="77777777" w:rsidR="00907315" w:rsidRDefault="00907315" w:rsidP="00907315">
      <w:pPr>
        <w:rPr>
          <w:rFonts w:eastAsia="Calibri"/>
          <w:lang w:eastAsia="en-AU"/>
        </w:rPr>
      </w:pPr>
      <w:r>
        <w:rPr>
          <w:rFonts w:eastAsia="Calibri"/>
          <w:lang w:eastAsia="en-AU"/>
        </w:rPr>
        <w:t xml:space="preserve">The basis for this was from what we learnt in undertaking the research, and what we all realised we could achieve by working together and sharing learning. </w:t>
      </w:r>
    </w:p>
    <w:p w14:paraId="71C0FB54" w14:textId="77777777" w:rsidR="00E9754F" w:rsidRDefault="00E9754F" w:rsidP="00BF6BC0">
      <w:pPr>
        <w:rPr>
          <w:rFonts w:eastAsia="Calibri"/>
          <w:lang w:eastAsia="en-AU"/>
        </w:rPr>
      </w:pPr>
    </w:p>
    <w:p w14:paraId="1376CC04" w14:textId="77777777" w:rsidR="00602E2C" w:rsidRDefault="00602E2C" w:rsidP="00BF6BC0">
      <w:pPr>
        <w:pStyle w:val="Heading2"/>
        <w:rPr>
          <w:b/>
        </w:rPr>
      </w:pPr>
      <w:r w:rsidRPr="00602E2C">
        <w:rPr>
          <w:rFonts w:eastAsia="Calibri"/>
          <w:lang w:eastAsia="en-AU"/>
        </w:rPr>
        <w:t>Could changes be made to the IGP to make the funded research projects more influential?</w:t>
      </w:r>
      <w:r w:rsidRPr="00602E2C">
        <w:rPr>
          <w:b/>
        </w:rPr>
        <w:t xml:space="preserve"> </w:t>
      </w:r>
    </w:p>
    <w:p w14:paraId="4F7D6ABA" w14:textId="77777777" w:rsidR="00907315" w:rsidRDefault="00912C10" w:rsidP="00907315">
      <w:r>
        <w:t xml:space="preserve">We recently had a grant from another organisation where we were encouraged to present a multi-stage approach, across a much longer period of up to 3 years.  What this allows applicants to do is to firstly have a good scoping period, where you do a whole lot of ground work, test your ideas, formulate them with a </w:t>
      </w:r>
      <w:r w:rsidR="00B64202">
        <w:t xml:space="preserve">program </w:t>
      </w:r>
      <w:r>
        <w:t>logic model and evaluation framework, then cost the implementation and evaluation. At each stage there is opportunity for learning, trialling and refining. This leads to a superior outcome than a ‘quick best guess’ approach in a shorter period.</w:t>
      </w:r>
    </w:p>
    <w:p w14:paraId="7EC2EBDB" w14:textId="13738FF1" w:rsidR="006C24FC" w:rsidRDefault="00912C10" w:rsidP="00BF6BC0">
      <w:pPr>
        <w:spacing w:after="600"/>
        <w:rPr>
          <w:rFonts w:eastAsia="Calibri"/>
          <w:lang w:eastAsia="en-AU"/>
        </w:rPr>
      </w:pPr>
      <w:r>
        <w:t>The ACCAN grants are all one year, across a single financial year, so this limits the scope of applicants and projects.</w:t>
      </w:r>
      <w:r w:rsidR="00BF6BC0">
        <w:rPr>
          <w:rFonts w:eastAsia="Calibri"/>
          <w:lang w:eastAsia="en-AU"/>
        </w:rPr>
        <w:t xml:space="preserve"> </w:t>
      </w:r>
    </w:p>
    <w:p w14:paraId="16DF2719" w14:textId="77777777" w:rsidR="00602E2C" w:rsidRPr="00602E2C" w:rsidRDefault="00602E2C" w:rsidP="00BF6BC0">
      <w:pPr>
        <w:pStyle w:val="Heading2"/>
        <w:rPr>
          <w:rFonts w:eastAsia="Calibri"/>
          <w:lang w:eastAsia="en-AU"/>
        </w:rPr>
      </w:pPr>
      <w:r w:rsidRPr="00602E2C">
        <w:rPr>
          <w:rFonts w:eastAsia="Calibri"/>
          <w:lang w:eastAsia="en-AU"/>
        </w:rPr>
        <w:t>Could changes be made to the IGP to make the funded research projects more useful to consumers?</w:t>
      </w:r>
    </w:p>
    <w:p w14:paraId="09EBAB59" w14:textId="77777777" w:rsidR="00912C10" w:rsidRDefault="00912C10" w:rsidP="00912C10">
      <w:r>
        <w:t>It would be useful to have a little bit of extra money available for some completed projects to take them to the next level. This would generate leverage from the investment in the initial project. Not every project would need it, but more successful projects often prove a concept, which with a bit of extra funding could be taken to a much wider audience.</w:t>
      </w:r>
    </w:p>
    <w:p w14:paraId="311930D4" w14:textId="77777777" w:rsidR="00912C10" w:rsidRPr="00907315" w:rsidRDefault="00912C10" w:rsidP="00912C10">
      <w:r>
        <w:t xml:space="preserve">ACCAN should have the discretion to pick the projects that are suitable for top-up funding at the end of the project. </w:t>
      </w:r>
    </w:p>
    <w:p w14:paraId="2E72F109" w14:textId="77777777" w:rsidR="00602E2C" w:rsidRPr="00602E2C" w:rsidRDefault="00602E2C" w:rsidP="00BF6BC0">
      <w:pPr>
        <w:rPr>
          <w:rFonts w:eastAsia="Calibri"/>
          <w:lang w:eastAsia="en-AU"/>
        </w:rPr>
      </w:pPr>
    </w:p>
    <w:p w14:paraId="0A95ACB5" w14:textId="77777777" w:rsidR="00602E2C" w:rsidRPr="00602E2C" w:rsidRDefault="00602E2C" w:rsidP="00BF6BC0">
      <w:pPr>
        <w:pStyle w:val="Heading2"/>
        <w:rPr>
          <w:rFonts w:eastAsia="Calibri"/>
          <w:lang w:eastAsia="en-AU"/>
        </w:rPr>
      </w:pPr>
      <w:r w:rsidRPr="00602E2C">
        <w:rPr>
          <w:rFonts w:eastAsia="Calibri"/>
          <w:lang w:eastAsia="en-AU"/>
        </w:rPr>
        <w:t>Is it appropriate for the Government to continue to provide grants to a consumer representative group (or any other non-government body) to undertake research into telecommunications issues?</w:t>
      </w:r>
    </w:p>
    <w:p w14:paraId="2B0F4557" w14:textId="77777777" w:rsidR="00602E2C" w:rsidRPr="00602E2C" w:rsidRDefault="00B64202" w:rsidP="00235DAF">
      <w:pPr>
        <w:rPr>
          <w:rFonts w:ascii="Calibri" w:eastAsia="Calibri" w:hAnsi="Calibri"/>
          <w:lang w:eastAsia="en-AU"/>
        </w:rPr>
      </w:pPr>
      <w:r>
        <w:rPr>
          <w:rFonts w:ascii="Calibri" w:eastAsia="Calibri" w:hAnsi="Calibri"/>
          <w:lang w:eastAsia="en-AU"/>
        </w:rPr>
        <w:t>Yes, this is</w:t>
      </w:r>
      <w:r w:rsidR="00602E2C" w:rsidRPr="00602E2C">
        <w:rPr>
          <w:rFonts w:ascii="Calibri" w:eastAsia="Calibri" w:hAnsi="Calibri"/>
          <w:lang w:eastAsia="en-AU"/>
        </w:rPr>
        <w:t xml:space="preserve"> a specialist area.</w:t>
      </w:r>
      <w:r w:rsidR="009826BB">
        <w:rPr>
          <w:rFonts w:ascii="Calibri" w:eastAsia="Calibri" w:hAnsi="Calibri"/>
          <w:lang w:eastAsia="en-AU"/>
        </w:rPr>
        <w:t xml:space="preserve"> ACCAN has significant expertise and produces high quality work – or </w:t>
      </w:r>
      <w:r w:rsidR="00CD1CFD">
        <w:rPr>
          <w:rFonts w:ascii="Calibri" w:eastAsia="Calibri" w:hAnsi="Calibri"/>
          <w:lang w:eastAsia="en-AU"/>
        </w:rPr>
        <w:t xml:space="preserve">alternatively </w:t>
      </w:r>
      <w:r w:rsidR="009826BB">
        <w:rPr>
          <w:rFonts w:ascii="Calibri" w:eastAsia="Calibri" w:hAnsi="Calibri"/>
          <w:lang w:eastAsia="en-AU"/>
        </w:rPr>
        <w:t xml:space="preserve">commissions </w:t>
      </w:r>
      <w:r w:rsidR="00DA5550">
        <w:rPr>
          <w:rFonts w:ascii="Calibri" w:eastAsia="Calibri" w:hAnsi="Calibri"/>
          <w:lang w:eastAsia="en-AU"/>
        </w:rPr>
        <w:t xml:space="preserve">external experts to provide an evidence base for their own policy development and advocacy. </w:t>
      </w:r>
      <w:r w:rsidR="009826BB">
        <w:rPr>
          <w:rFonts w:ascii="Calibri" w:eastAsia="Calibri" w:hAnsi="Calibri"/>
          <w:lang w:eastAsia="en-AU"/>
        </w:rPr>
        <w:t xml:space="preserve"> </w:t>
      </w:r>
    </w:p>
    <w:p w14:paraId="03E3ED2E" w14:textId="77777777" w:rsidR="00602E2C" w:rsidRDefault="00602E2C" w:rsidP="00BF6BC0">
      <w:pPr>
        <w:pStyle w:val="Heading2"/>
        <w:rPr>
          <w:rFonts w:eastAsia="Calibri"/>
          <w:lang w:eastAsia="en-AU"/>
        </w:rPr>
      </w:pPr>
      <w:r w:rsidRPr="00602E2C">
        <w:rPr>
          <w:rFonts w:eastAsia="Calibri"/>
          <w:lang w:eastAsia="en-AU"/>
        </w:rPr>
        <w:t>If this is appropriate, what changes (if any) would you recommend to how the funding is provided and who it is provided to?</w:t>
      </w:r>
    </w:p>
    <w:p w14:paraId="5A0EB7A1" w14:textId="77777777" w:rsidR="009826BB" w:rsidRDefault="009826BB" w:rsidP="009826BB">
      <w:pPr>
        <w:rPr>
          <w:rFonts w:eastAsia="Calibri"/>
        </w:rPr>
      </w:pPr>
      <w:r>
        <w:rPr>
          <w:rFonts w:eastAsia="Calibri"/>
        </w:rPr>
        <w:t>$250,000 per year is not a large amount of money, which means that only smaller, less ambitious projects can be funded. This may mean that some outstanding and enduring projects are not realised.</w:t>
      </w:r>
    </w:p>
    <w:p w14:paraId="01A784FE" w14:textId="77777777" w:rsidR="009826BB" w:rsidRDefault="009826BB" w:rsidP="009826BB">
      <w:pPr>
        <w:rPr>
          <w:rFonts w:eastAsia="Calibri"/>
        </w:rPr>
      </w:pPr>
      <w:r>
        <w:rPr>
          <w:rFonts w:eastAsia="Calibri"/>
        </w:rPr>
        <w:t>So larger amounts would mean more impact, particularly if the project could be over a longer period, i.e. multi-year projects.  Many organisations have to bring someone in to lead a project, and would get better staffing if the person had</w:t>
      </w:r>
      <w:r w:rsidR="00B64202">
        <w:rPr>
          <w:rFonts w:eastAsia="Calibri"/>
        </w:rPr>
        <w:t xml:space="preserve"> some job security beyond a</w:t>
      </w:r>
      <w:r>
        <w:rPr>
          <w:rFonts w:eastAsia="Calibri"/>
        </w:rPr>
        <w:t xml:space="preserve"> year of part time project work.  It is hard to build capacity in NFPs with people on such short-term/part-time projects.</w:t>
      </w:r>
    </w:p>
    <w:p w14:paraId="12A5AE29" w14:textId="77777777" w:rsidR="009826BB" w:rsidRPr="009826BB" w:rsidRDefault="009826BB" w:rsidP="009826BB">
      <w:pPr>
        <w:rPr>
          <w:rFonts w:eastAsia="Calibri"/>
        </w:rPr>
      </w:pPr>
      <w:r>
        <w:rPr>
          <w:rFonts w:eastAsia="Calibri"/>
        </w:rPr>
        <w:t>To get more impact, we believe that funding should be contained in ‘areas of priority’ identified by ACCAN, but with some flexibility for a wildcard ‘amazing idea’ so as not to stifle innovation.</w:t>
      </w:r>
    </w:p>
    <w:p w14:paraId="791722F9" w14:textId="77777777" w:rsidR="00017EB1" w:rsidRDefault="009826BB" w:rsidP="009826BB">
      <w:pPr>
        <w:rPr>
          <w:rFonts w:ascii="Calibri" w:eastAsia="Calibri" w:hAnsi="Calibri"/>
          <w:lang w:eastAsia="en-AU"/>
        </w:rPr>
      </w:pPr>
      <w:r>
        <w:rPr>
          <w:rFonts w:ascii="Calibri" w:eastAsia="Calibri" w:hAnsi="Calibri"/>
          <w:lang w:eastAsia="en-AU"/>
        </w:rPr>
        <w:t xml:space="preserve">Further ACCAN grants </w:t>
      </w:r>
      <w:r w:rsidR="00BC355D">
        <w:rPr>
          <w:rFonts w:ascii="Calibri" w:eastAsia="Calibri" w:hAnsi="Calibri"/>
          <w:lang w:eastAsia="en-AU"/>
        </w:rPr>
        <w:t xml:space="preserve">do not adequately </w:t>
      </w:r>
      <w:r w:rsidR="00017EB1">
        <w:rPr>
          <w:rFonts w:ascii="Calibri" w:eastAsia="Calibri" w:hAnsi="Calibri"/>
          <w:lang w:eastAsia="en-AU"/>
        </w:rPr>
        <w:t>allow for</w:t>
      </w:r>
      <w:r w:rsidR="00BC355D">
        <w:rPr>
          <w:rFonts w:ascii="Calibri" w:eastAsia="Calibri" w:hAnsi="Calibri"/>
          <w:lang w:eastAsia="en-AU"/>
        </w:rPr>
        <w:t xml:space="preserve"> general </w:t>
      </w:r>
      <w:r w:rsidR="00602E2C" w:rsidRPr="00602E2C">
        <w:rPr>
          <w:rFonts w:ascii="Calibri" w:eastAsia="Calibri" w:hAnsi="Calibri"/>
          <w:lang w:eastAsia="en-AU"/>
        </w:rPr>
        <w:t>administrative overheads</w:t>
      </w:r>
      <w:r>
        <w:rPr>
          <w:rFonts w:ascii="Calibri" w:eastAsia="Calibri" w:hAnsi="Calibri"/>
          <w:lang w:eastAsia="en-AU"/>
        </w:rPr>
        <w:t xml:space="preserve">. </w:t>
      </w:r>
      <w:r w:rsidR="00017EB1">
        <w:rPr>
          <w:rFonts w:ascii="Calibri" w:eastAsia="Calibri" w:hAnsi="Calibri"/>
          <w:lang w:eastAsia="en-AU"/>
        </w:rPr>
        <w:t xml:space="preserve">They do fund overheads “attributable directly to the project”. </w:t>
      </w:r>
      <w:r>
        <w:rPr>
          <w:rFonts w:ascii="Calibri" w:eastAsia="Calibri" w:hAnsi="Calibri"/>
          <w:lang w:eastAsia="en-AU"/>
        </w:rPr>
        <w:t>This sounds appealing on one level where every dollar counts and there is no wastage, however just like government, the NFP sector has overheads</w:t>
      </w:r>
      <w:r w:rsidR="00017EB1">
        <w:rPr>
          <w:rFonts w:ascii="Calibri" w:eastAsia="Calibri" w:hAnsi="Calibri"/>
          <w:lang w:eastAsia="en-AU"/>
        </w:rPr>
        <w:t xml:space="preserve"> and these can’t be easily quarantined</w:t>
      </w:r>
      <w:r>
        <w:rPr>
          <w:rFonts w:ascii="Calibri" w:eastAsia="Calibri" w:hAnsi="Calibri"/>
          <w:lang w:eastAsia="en-AU"/>
        </w:rPr>
        <w:t xml:space="preserve"> – every organisation has overheads. All staff need a place to sit, a computer to work at, </w:t>
      </w:r>
      <w:r w:rsidR="00017EB1">
        <w:rPr>
          <w:rFonts w:ascii="Calibri" w:eastAsia="Calibri" w:hAnsi="Calibri"/>
          <w:lang w:eastAsia="en-AU"/>
        </w:rPr>
        <w:t>others to discuss ideas with and get advice from</w:t>
      </w:r>
      <w:r>
        <w:rPr>
          <w:rFonts w:ascii="Calibri" w:eastAsia="Calibri" w:hAnsi="Calibri"/>
          <w:lang w:eastAsia="en-AU"/>
        </w:rPr>
        <w:t xml:space="preserve">. It is a myth that projects can run without </w:t>
      </w:r>
      <w:r w:rsidR="00017EB1">
        <w:rPr>
          <w:rFonts w:ascii="Calibri" w:eastAsia="Calibri" w:hAnsi="Calibri"/>
          <w:lang w:eastAsia="en-AU"/>
        </w:rPr>
        <w:t xml:space="preserve">adequate </w:t>
      </w:r>
      <w:r>
        <w:rPr>
          <w:rFonts w:ascii="Calibri" w:eastAsia="Calibri" w:hAnsi="Calibri"/>
          <w:lang w:eastAsia="en-AU"/>
        </w:rPr>
        <w:t xml:space="preserve">overheads. </w:t>
      </w:r>
      <w:r w:rsidR="00017EB1">
        <w:rPr>
          <w:rFonts w:ascii="Calibri" w:eastAsia="Calibri" w:hAnsi="Calibri"/>
          <w:lang w:eastAsia="en-AU"/>
        </w:rPr>
        <w:t xml:space="preserve">We know that most projects have extra expenses which cannot be detailed in a basic grant application budget, or things just take more time than one plans, but we do what needs to be done in order to deliver a quality outcome. </w:t>
      </w:r>
    </w:p>
    <w:p w14:paraId="07A5AC20" w14:textId="77777777" w:rsidR="00602E2C" w:rsidRPr="00602E2C" w:rsidRDefault="009826BB" w:rsidP="009826BB">
      <w:pPr>
        <w:rPr>
          <w:rFonts w:ascii="Calibri" w:eastAsia="Calibri" w:hAnsi="Calibri"/>
          <w:lang w:eastAsia="en-AU"/>
        </w:rPr>
      </w:pPr>
      <w:r>
        <w:rPr>
          <w:rFonts w:ascii="Calibri" w:eastAsia="Calibri" w:hAnsi="Calibri"/>
          <w:lang w:eastAsia="en-AU"/>
        </w:rPr>
        <w:t>Some highly professional organisations may be deterred from putting forward projects for funding</w:t>
      </w:r>
      <w:r w:rsidR="006B46BA">
        <w:rPr>
          <w:rFonts w:ascii="Calibri" w:eastAsia="Calibri" w:hAnsi="Calibri"/>
          <w:lang w:eastAsia="en-AU"/>
        </w:rPr>
        <w:t>.</w:t>
      </w:r>
      <w:r>
        <w:rPr>
          <w:rFonts w:ascii="Calibri" w:eastAsia="Calibri" w:hAnsi="Calibri"/>
          <w:lang w:eastAsia="en-AU"/>
        </w:rPr>
        <w:t xml:space="preserve"> The </w:t>
      </w:r>
      <w:r w:rsidR="00B928C5">
        <w:rPr>
          <w:rFonts w:ascii="Calibri" w:eastAsia="Calibri" w:hAnsi="Calibri"/>
          <w:lang w:eastAsia="en-AU"/>
        </w:rPr>
        <w:t>IGP may miss out on</w:t>
      </w:r>
      <w:r w:rsidR="00017EB1">
        <w:rPr>
          <w:rFonts w:ascii="Calibri" w:eastAsia="Calibri" w:hAnsi="Calibri"/>
          <w:lang w:eastAsia="en-AU"/>
        </w:rPr>
        <w:t xml:space="preserve"> highly innovative applications.</w:t>
      </w:r>
      <w:r w:rsidR="00A9597A">
        <w:rPr>
          <w:rFonts w:ascii="Calibri" w:eastAsia="Calibri" w:hAnsi="Calibri"/>
          <w:lang w:eastAsia="en-AU"/>
        </w:rPr>
        <w:t xml:space="preserve"> So we would argue for the need for a more realistic and generous amount of funding for projects, to be delivered over a longer period, with impact. </w:t>
      </w:r>
    </w:p>
    <w:p w14:paraId="79C8F4A7" w14:textId="77777777" w:rsidR="005B594A" w:rsidRPr="005B594A" w:rsidRDefault="005B594A" w:rsidP="00235DAF">
      <w:pPr>
        <w:pStyle w:val="Heading1"/>
      </w:pPr>
      <w:bookmarkStart w:id="8" w:name="_Toc466996024"/>
      <w:bookmarkStart w:id="9" w:name="_Toc467360954"/>
      <w:r>
        <w:t>Section 593 and Other Comments</w:t>
      </w:r>
      <w:bookmarkEnd w:id="8"/>
      <w:bookmarkEnd w:id="9"/>
    </w:p>
    <w:p w14:paraId="2D5EB13E" w14:textId="77777777" w:rsidR="005B594A" w:rsidRDefault="005B594A" w:rsidP="00BF6BC0">
      <w:pPr>
        <w:pStyle w:val="Heading2"/>
        <w:rPr>
          <w:rFonts w:eastAsia="Calibri"/>
          <w:lang w:eastAsia="en-AU"/>
        </w:rPr>
      </w:pPr>
      <w:bookmarkStart w:id="10" w:name="_GoBack"/>
      <w:bookmarkEnd w:id="10"/>
      <w:r w:rsidRPr="00602E2C">
        <w:rPr>
          <w:rFonts w:eastAsia="Calibri"/>
          <w:lang w:eastAsia="en-AU"/>
        </w:rPr>
        <w:t xml:space="preserve"> Should any other activities, other than consumer representation and research, be considered for funding under section 593 of the Telco Act?  If so, what should these be and what would be the rationale for funding such activities be?</w:t>
      </w:r>
    </w:p>
    <w:p w14:paraId="24C253B1" w14:textId="77777777" w:rsidR="00D1796D" w:rsidRPr="00D1796D" w:rsidRDefault="00D1796D" w:rsidP="00D1796D">
      <w:pPr>
        <w:rPr>
          <w:rFonts w:eastAsia="Calibri"/>
          <w:b/>
          <w:u w:val="single"/>
        </w:rPr>
      </w:pPr>
      <w:r w:rsidRPr="00D1796D">
        <w:rPr>
          <w:rFonts w:eastAsia="Calibri"/>
          <w:b/>
          <w:u w:val="single"/>
        </w:rPr>
        <w:t xml:space="preserve">Working with </w:t>
      </w:r>
      <w:r w:rsidR="002F0C6D">
        <w:rPr>
          <w:rFonts w:eastAsia="Calibri"/>
          <w:b/>
          <w:u w:val="single"/>
        </w:rPr>
        <w:t>second</w:t>
      </w:r>
      <w:r w:rsidRPr="00D1796D">
        <w:rPr>
          <w:rFonts w:eastAsia="Calibri"/>
          <w:b/>
          <w:u w:val="single"/>
        </w:rPr>
        <w:t xml:space="preserve"> tier telcos</w:t>
      </w:r>
    </w:p>
    <w:p w14:paraId="4E1181AB" w14:textId="77777777" w:rsidR="00AD7E25" w:rsidRDefault="00AD7E25" w:rsidP="00AD7E25">
      <w:pPr>
        <w:rPr>
          <w:rFonts w:eastAsia="Calibri"/>
        </w:rPr>
      </w:pPr>
      <w:r>
        <w:rPr>
          <w:rFonts w:eastAsia="Calibri"/>
        </w:rPr>
        <w:t xml:space="preserve">We could really benefit from working with the second tier of the telco industry, who are fragmented and not well connected to the hardship space. There has been progress with the Telstra, Optus and </w:t>
      </w:r>
      <w:r w:rsidR="002F0C6D">
        <w:rPr>
          <w:rFonts w:eastAsia="Calibri"/>
        </w:rPr>
        <w:t>Vodafone</w:t>
      </w:r>
      <w:r>
        <w:rPr>
          <w:rFonts w:eastAsia="Calibri"/>
        </w:rPr>
        <w:t xml:space="preserve"> but they do not cover the market. </w:t>
      </w:r>
    </w:p>
    <w:p w14:paraId="10A86B32" w14:textId="77777777" w:rsidR="00AD7E25" w:rsidRDefault="00AD7E25" w:rsidP="00AD7E25">
      <w:pPr>
        <w:rPr>
          <w:rFonts w:eastAsia="Calibri"/>
        </w:rPr>
      </w:pPr>
      <w:r>
        <w:rPr>
          <w:rFonts w:eastAsia="Calibri"/>
        </w:rPr>
        <w:t xml:space="preserve">It would be good if s593 permitted funding of forums to bring the rest of the industry together for networking, sharing of ideas, training in the TCP and referring to financial counsellors, and the like. It would essentially </w:t>
      </w:r>
      <w:r w:rsidR="002F0C6D">
        <w:rPr>
          <w:rFonts w:eastAsia="Calibri"/>
        </w:rPr>
        <w:t xml:space="preserve">be </w:t>
      </w:r>
      <w:r>
        <w:rPr>
          <w:rFonts w:eastAsia="Calibri"/>
        </w:rPr>
        <w:t>training the second tier to understand ‘consumer hardship’ and to share what the first tier have learnt from ‘doing it better’ in recent years.</w:t>
      </w:r>
    </w:p>
    <w:p w14:paraId="28250A1F" w14:textId="77777777" w:rsidR="00D1796D" w:rsidRDefault="00AD7E25" w:rsidP="00235DAF">
      <w:pPr>
        <w:rPr>
          <w:rFonts w:eastAsia="Calibri"/>
        </w:rPr>
      </w:pPr>
      <w:r>
        <w:rPr>
          <w:rFonts w:eastAsia="Calibri"/>
        </w:rPr>
        <w:t>From a consumer point of view, it seems unfair that a consumer with a larger company gets a better consumer experience than those with a smaller provider … especially as many sign contracts with the smaller provider as it is cheaper, and they’re on a lower income.</w:t>
      </w:r>
    </w:p>
    <w:p w14:paraId="30022081" w14:textId="77777777" w:rsidR="0033031E" w:rsidRDefault="0033031E" w:rsidP="00D365B8">
      <w:pPr>
        <w:rPr>
          <w:rFonts w:eastAsia="Calibri"/>
          <w:b/>
          <w:u w:val="single"/>
        </w:rPr>
      </w:pPr>
    </w:p>
    <w:p w14:paraId="5CA5B526" w14:textId="77777777" w:rsidR="00D1796D" w:rsidRPr="00D1796D" w:rsidRDefault="00D1796D" w:rsidP="00D365B8">
      <w:pPr>
        <w:rPr>
          <w:rFonts w:eastAsia="Calibri"/>
          <w:b/>
          <w:u w:val="single"/>
        </w:rPr>
      </w:pPr>
      <w:r w:rsidRPr="00D1796D">
        <w:rPr>
          <w:rFonts w:eastAsia="Calibri"/>
          <w:b/>
          <w:u w:val="single"/>
        </w:rPr>
        <w:t>Prisoner communications</w:t>
      </w:r>
    </w:p>
    <w:p w14:paraId="5C236D29" w14:textId="77777777" w:rsidR="00C1424A" w:rsidRDefault="00D365B8" w:rsidP="00235DAF">
      <w:pPr>
        <w:rPr>
          <w:rFonts w:eastAsia="Calibri"/>
        </w:rPr>
      </w:pPr>
      <w:r>
        <w:rPr>
          <w:rFonts w:eastAsia="Calibri"/>
        </w:rPr>
        <w:t xml:space="preserve">Another area is prisoner communications. Currently the prisoner phone system is the ARUNTA system. Prisoners </w:t>
      </w:r>
      <w:r w:rsidR="00D1796D">
        <w:rPr>
          <w:rFonts w:eastAsia="Calibri"/>
        </w:rPr>
        <w:t>pay</w:t>
      </w:r>
      <w:r>
        <w:rPr>
          <w:rFonts w:eastAsia="Calibri"/>
        </w:rPr>
        <w:t xml:space="preserve"> higher per minute costs than charged by </w:t>
      </w:r>
      <w:r w:rsidR="002F0C6D">
        <w:rPr>
          <w:rFonts w:eastAsia="Calibri"/>
        </w:rPr>
        <w:t>five</w:t>
      </w:r>
      <w:r>
        <w:rPr>
          <w:rFonts w:eastAsia="Calibri"/>
        </w:rPr>
        <w:t>-star hotel guests</w:t>
      </w:r>
      <w:r w:rsidR="00D1796D">
        <w:rPr>
          <w:rFonts w:eastAsia="Calibri"/>
        </w:rPr>
        <w:t xml:space="preserve"> but often only earn about &lt;$1 hour</w:t>
      </w:r>
      <w:r>
        <w:rPr>
          <w:rFonts w:eastAsia="Calibri"/>
        </w:rPr>
        <w:t xml:space="preserve">. Not only </w:t>
      </w:r>
      <w:r w:rsidR="002F0C6D">
        <w:rPr>
          <w:rFonts w:eastAsia="Calibri"/>
        </w:rPr>
        <w:t>are they unable to</w:t>
      </w:r>
      <w:r>
        <w:rPr>
          <w:rFonts w:eastAsia="Calibri"/>
        </w:rPr>
        <w:t xml:space="preserve"> contact their creditors because of the expense and limitation of this system, bu</w:t>
      </w:r>
      <w:r w:rsidR="002F0C6D">
        <w:rPr>
          <w:rFonts w:eastAsia="Calibri"/>
        </w:rPr>
        <w:t xml:space="preserve">t they also cannot afford phone </w:t>
      </w:r>
      <w:r>
        <w:rPr>
          <w:rFonts w:eastAsia="Calibri"/>
        </w:rPr>
        <w:t>calls to their families.</w:t>
      </w:r>
      <w:r w:rsidR="00D1796D">
        <w:rPr>
          <w:rFonts w:eastAsia="Calibri"/>
        </w:rPr>
        <w:t xml:space="preserve"> It is a system that hasn’t changed in decades. With recidivism so high, and </w:t>
      </w:r>
      <w:r w:rsidR="002F0C6D">
        <w:rPr>
          <w:rFonts w:eastAsia="Calibri"/>
        </w:rPr>
        <w:t>the</w:t>
      </w:r>
      <w:r w:rsidR="00D1796D">
        <w:rPr>
          <w:rFonts w:eastAsia="Calibri"/>
        </w:rPr>
        <w:t xml:space="preserve"> cost of imprisonment of $100,000 per person per year, it seems unwise to have people in prison disconnected from their support system (and children), and unable to contact creditors (thereby getting further into debt). Funding to improve this neglected area of communications is urgently needed.  Prisoner email services are an allied area of need, with safety considerations built in of course.</w:t>
      </w:r>
    </w:p>
    <w:p w14:paraId="561FAF7C" w14:textId="77777777" w:rsidR="007538E8" w:rsidRPr="00235DAF" w:rsidRDefault="007538E8" w:rsidP="00235DAF">
      <w:pPr>
        <w:rPr>
          <w:rFonts w:eastAsia="Calibri"/>
        </w:rPr>
      </w:pPr>
    </w:p>
    <w:p w14:paraId="189C0FFA" w14:textId="77777777" w:rsidR="002F0C6D" w:rsidRPr="00D1796D" w:rsidRDefault="002F0C6D" w:rsidP="002F0C6D">
      <w:pPr>
        <w:rPr>
          <w:rFonts w:eastAsia="Calibri"/>
          <w:b/>
          <w:u w:val="single"/>
        </w:rPr>
      </w:pPr>
      <w:r>
        <w:rPr>
          <w:rFonts w:eastAsia="Calibri"/>
          <w:b/>
          <w:u w:val="single"/>
        </w:rPr>
        <w:t>A Final Word</w:t>
      </w:r>
    </w:p>
    <w:p w14:paraId="361D9AD3" w14:textId="77777777" w:rsidR="00B53BB5" w:rsidRDefault="003164E4" w:rsidP="007538E8">
      <w:pPr>
        <w:pStyle w:val="NormalWeb"/>
        <w:ind w:left="709"/>
      </w:pPr>
      <w:r>
        <w:t xml:space="preserve">Consumer advocacy by its very nature </w:t>
      </w:r>
      <w:r w:rsidR="00B53BB5">
        <w:t xml:space="preserve">is </w:t>
      </w:r>
      <w:r w:rsidR="00340575">
        <w:t>a contest of ideas</w:t>
      </w:r>
      <w:r w:rsidR="00B53BB5">
        <w:t>.</w:t>
      </w:r>
      <w:r>
        <w:t xml:space="preserve"> The policy positions of consumer organisations </w:t>
      </w:r>
      <w:r w:rsidR="00B53BB5">
        <w:t xml:space="preserve">will often be at odds with those of industry – we think this is a good thing, as in the end these debates lead to better </w:t>
      </w:r>
      <w:r w:rsidR="000F717B">
        <w:t>policy positions</w:t>
      </w:r>
      <w:r w:rsidR="00B53BB5">
        <w:t>.</w:t>
      </w:r>
      <w:r w:rsidR="000F717B">
        <w:t xml:space="preserve"> The consumer view is important and needs to be heard.</w:t>
      </w:r>
    </w:p>
    <w:p w14:paraId="28C9628D" w14:textId="77777777" w:rsidR="000F717B" w:rsidRDefault="000F717B" w:rsidP="007538E8">
      <w:pPr>
        <w:pStyle w:val="NormalWeb"/>
        <w:ind w:left="709"/>
      </w:pPr>
    </w:p>
    <w:p w14:paraId="50D68327" w14:textId="77777777" w:rsidR="007F4A0C" w:rsidRDefault="000F717B" w:rsidP="007538E8">
      <w:pPr>
        <w:pStyle w:val="NormalWeb"/>
        <w:ind w:left="709"/>
      </w:pPr>
      <w:r>
        <w:t xml:space="preserve">But having different views to industry can also be dangerous. </w:t>
      </w:r>
      <w:r w:rsidR="003164E4">
        <w:t xml:space="preserve">In our world of financial counselling for example, the payday lending industry has argued to government that our organisation should be de-funded – </w:t>
      </w:r>
      <w:r w:rsidR="00B53BB5">
        <w:t>because they do not accept that their product can cause harm to consumers.</w:t>
      </w:r>
      <w:r>
        <w:t xml:space="preserve">  Financial counsellors see many people however who are trapped in</w:t>
      </w:r>
      <w:r w:rsidR="007538E8">
        <w:t xml:space="preserve"> a cycle of payday lending debt and we have made that point publicly and to Government.</w:t>
      </w:r>
    </w:p>
    <w:p w14:paraId="50725764" w14:textId="77777777" w:rsidR="00B53BB5" w:rsidRDefault="00B53BB5" w:rsidP="007538E8">
      <w:pPr>
        <w:pStyle w:val="NormalWeb"/>
        <w:ind w:left="709"/>
      </w:pPr>
    </w:p>
    <w:p w14:paraId="4D8F8A91" w14:textId="77777777" w:rsidR="00340575" w:rsidRDefault="000F717B" w:rsidP="007538E8">
      <w:pPr>
        <w:pStyle w:val="NormalWeb"/>
        <w:ind w:left="709"/>
      </w:pPr>
      <w:r>
        <w:t>The Government in</w:t>
      </w:r>
      <w:r w:rsidR="00B53BB5">
        <w:t xml:space="preserve"> running this </w:t>
      </w:r>
      <w:r>
        <w:t xml:space="preserve">consultation about ACCAN, needs to be aware of the dynamics at play. Industry views about </w:t>
      </w:r>
      <w:r w:rsidR="00340575">
        <w:t xml:space="preserve">ACCAN’s </w:t>
      </w:r>
      <w:r>
        <w:t xml:space="preserve">“effectiveness” for example </w:t>
      </w:r>
      <w:r w:rsidR="00340575">
        <w:t xml:space="preserve">may </w:t>
      </w:r>
      <w:r>
        <w:t xml:space="preserve">be coloured by </w:t>
      </w:r>
      <w:r w:rsidR="00340575">
        <w:t>self-interest</w:t>
      </w:r>
      <w:r>
        <w:t xml:space="preserve">. </w:t>
      </w:r>
      <w:r w:rsidR="00340575">
        <w:t xml:space="preserve">While this isn’t always the case – the banking industry for example engages very constructively with many consumer organisations – </w:t>
      </w:r>
      <w:r w:rsidR="000C2ECD">
        <w:t>only parts of the</w:t>
      </w:r>
      <w:r w:rsidR="00340575">
        <w:t xml:space="preserve"> telecommunications industry </w:t>
      </w:r>
      <w:r w:rsidR="000C2ECD">
        <w:t>understand why it is important to listen to different views.</w:t>
      </w:r>
      <w:r w:rsidR="00340575">
        <w:t xml:space="preserve"> </w:t>
      </w:r>
    </w:p>
    <w:p w14:paraId="16C3C474" w14:textId="77777777" w:rsidR="005A16D8" w:rsidRDefault="005A16D8" w:rsidP="007538E8">
      <w:pPr>
        <w:pStyle w:val="NormalWeb"/>
        <w:ind w:left="709"/>
      </w:pPr>
    </w:p>
    <w:p w14:paraId="6F545F91" w14:textId="77777777" w:rsidR="005A16D8" w:rsidRDefault="005A16D8" w:rsidP="007538E8">
      <w:pPr>
        <w:pStyle w:val="NormalWeb"/>
        <w:ind w:left="709"/>
      </w:pPr>
      <w:r>
        <w:t>While it is important that any organisation funded by government does a good job, defining “good” will depend on your perspective. We think ACCAN does an excell</w:t>
      </w:r>
      <w:r w:rsidR="00F347FC">
        <w:t xml:space="preserve">ent job, responding to consumer concerns and advocating in a constructive, but frank and fearless way. </w:t>
      </w:r>
      <w:r w:rsidR="00AB08A6">
        <w:t xml:space="preserve">ACCAN’s performance should primarily be assessed in relation to outcomes it has delivered for consumers, rather than weighing up the views of various stakeholder </w:t>
      </w:r>
      <w:r w:rsidR="00095BF5">
        <w:t>groups</w:t>
      </w:r>
      <w:r w:rsidR="00AC68E7">
        <w:t>.</w:t>
      </w:r>
    </w:p>
    <w:p w14:paraId="12E33E2E" w14:textId="77777777" w:rsidR="00C1424A" w:rsidRDefault="00C1424A" w:rsidP="00C1424A">
      <w:pPr>
        <w:rPr>
          <w:rFonts w:ascii="Calibri" w:hAnsi="Calibri"/>
        </w:rPr>
      </w:pPr>
    </w:p>
    <w:sectPr w:rsidR="00C1424A" w:rsidSect="00C1424A">
      <w:headerReference w:type="default" r:id="rId13"/>
      <w:footerReference w:type="default" r:id="rId14"/>
      <w:pgSz w:w="11906" w:h="16838"/>
      <w:pgMar w:top="1440" w:right="1800" w:bottom="1440" w:left="180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A4D41B" w14:textId="77777777" w:rsidR="00FC798E" w:rsidRDefault="00FC798E" w:rsidP="00C1424A">
      <w:r>
        <w:separator/>
      </w:r>
    </w:p>
  </w:endnote>
  <w:endnote w:type="continuationSeparator" w:id="0">
    <w:p w14:paraId="5A60A08C" w14:textId="77777777" w:rsidR="00FC798E" w:rsidRDefault="00FC798E" w:rsidP="00C142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MyriadPro-Bold">
    <w:altName w:val="Myriad Pro Bold"/>
    <w:panose1 w:val="00000000000000000000"/>
    <w:charset w:val="00"/>
    <w:family w:val="auto"/>
    <w:notTrueType/>
    <w:pitch w:val="default"/>
    <w:sig w:usb0="00000003" w:usb1="00000000" w:usb2="00000000" w:usb3="00000000" w:csb0="00000001" w:csb1="00000000"/>
  </w:font>
  <w:font w:name="MyriadPro-Regular">
    <w:altName w:val="Cambria"/>
    <w:panose1 w:val="00000000000000000000"/>
    <w:charset w:val="00"/>
    <w:family w:val="auto"/>
    <w:notTrueType/>
    <w:pitch w:val="default"/>
    <w:sig w:usb0="00000003" w:usb1="00000000" w:usb2="00000000" w:usb3="00000000" w:csb0="00000001" w:csb1="00000000"/>
  </w:font>
  <w:font w:name="MyriadPro-LightIt">
    <w:altName w:val="Cambria"/>
    <w:panose1 w:val="00000000000000000000"/>
    <w:charset w:val="00"/>
    <w:family w:val="auto"/>
    <w:notTrueType/>
    <w:pitch w:val="default"/>
    <w:sig w:usb0="00000003" w:usb1="00000000" w:usb2="00000000" w:usb3="00000000" w:csb0="00000001" w:csb1="00000000"/>
  </w:font>
  <w:font w:name="MyriadPro-Light">
    <w:altName w:val="Cambria"/>
    <w:panose1 w:val="00000000000000000000"/>
    <w:charset w:val="00"/>
    <w:family w:val="auto"/>
    <w:notTrueType/>
    <w:pitch w:val="default"/>
    <w:sig w:usb0="00000003" w:usb1="00000000" w:usb2="00000000" w:usb3="00000000" w:csb0="00000001" w:csb1="00000000"/>
  </w:font>
  <w:font w:name="MyriadPro-Black">
    <w:altName w:val="Myriad Pro Black"/>
    <w:panose1 w:val="00000000000000000000"/>
    <w:charset w:val="00"/>
    <w:family w:val="auto"/>
    <w:notTrueType/>
    <w:pitch w:val="default"/>
    <w:sig w:usb0="00000003" w:usb1="00000000" w:usb2="00000000" w:usb3="00000000" w:csb0="00000001" w:csb1="00000000"/>
  </w:font>
  <w:font w:name="Garamond Premr Pro Smbd Disp">
    <w:altName w:val="Baskerville Old Face"/>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8B4CD7" w14:textId="77777777" w:rsidR="00017EB1" w:rsidRPr="00F955EE" w:rsidRDefault="00017EB1">
    <w:pPr>
      <w:pStyle w:val="Footer"/>
      <w:jc w:val="right"/>
      <w:rPr>
        <w:rFonts w:ascii="Calibri" w:hAnsi="Calibri"/>
        <w:sz w:val="20"/>
        <w:szCs w:val="20"/>
      </w:rPr>
    </w:pPr>
  </w:p>
  <w:p w14:paraId="260F97EB" w14:textId="77777777" w:rsidR="00017EB1" w:rsidRDefault="00017EB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A658C8" w14:textId="77777777" w:rsidR="00017EB1" w:rsidRDefault="00017EB1" w:rsidP="00097F8A">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F6BC0">
      <w:rPr>
        <w:rStyle w:val="PageNumber"/>
        <w:noProof/>
      </w:rPr>
      <w:t>7</w:t>
    </w:r>
    <w:r>
      <w:rPr>
        <w:rStyle w:val="PageNumber"/>
      </w:rPr>
      <w:fldChar w:fldCharType="end"/>
    </w:r>
  </w:p>
  <w:p w14:paraId="24A8DF8D" w14:textId="77777777" w:rsidR="00017EB1" w:rsidRPr="00F955EE" w:rsidRDefault="00017EB1" w:rsidP="00F675E1">
    <w:pPr>
      <w:pStyle w:val="Footer"/>
      <w:ind w:right="360"/>
      <w:jc w:val="right"/>
      <w:rPr>
        <w:rFonts w:ascii="Calibri" w:hAnsi="Calibri"/>
        <w:sz w:val="20"/>
        <w:szCs w:val="20"/>
      </w:rPr>
    </w:pPr>
  </w:p>
  <w:p w14:paraId="7D94F777" w14:textId="77777777" w:rsidR="00017EB1" w:rsidRDefault="00017EB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022A9C" w14:textId="77777777" w:rsidR="00FC798E" w:rsidRDefault="00FC798E" w:rsidP="00C1424A">
      <w:r>
        <w:separator/>
      </w:r>
    </w:p>
  </w:footnote>
  <w:footnote w:type="continuationSeparator" w:id="0">
    <w:p w14:paraId="2999D14C" w14:textId="77777777" w:rsidR="00FC798E" w:rsidRDefault="00FC798E" w:rsidP="00C1424A">
      <w:r>
        <w:continuationSeparator/>
      </w:r>
    </w:p>
  </w:footnote>
  <w:footnote w:id="1">
    <w:p w14:paraId="358CDFD0" w14:textId="77777777" w:rsidR="00017EB1" w:rsidRDefault="00017EB1">
      <w:pPr>
        <w:pStyle w:val="FootnoteText"/>
      </w:pPr>
      <w:r>
        <w:rPr>
          <w:rStyle w:val="FootnoteReference"/>
        </w:rPr>
        <w:footnoteRef/>
      </w:r>
      <w:r>
        <w:t xml:space="preserve"> </w:t>
      </w:r>
      <w:r w:rsidRPr="00CB75C7">
        <w:t>https://accan.org.au/election-2016/resources/1260-calling-for-a-review-of-the-centrelink-telephone-allowance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402E07" w14:textId="77777777" w:rsidR="00017EB1" w:rsidRDefault="00017EB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8AFA077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8"/>
    <w:multiLevelType w:val="multilevel"/>
    <w:tmpl w:val="894EE87A"/>
    <w:styleLink w:val="NormalList"/>
    <w:lvl w:ilvl="0">
      <w:start w:val="1"/>
      <w:numFmt w:val="bullet"/>
      <w:suff w:val="nothing"/>
      <w:lvlText w:val=""/>
      <w:lvlJc w:val="left"/>
      <w:pPr>
        <w:ind w:left="0" w:firstLine="0"/>
      </w:pPr>
      <w:rPr>
        <w:rFonts w:hint="default"/>
        <w:position w:val="0"/>
      </w:rPr>
    </w:lvl>
    <w:lvl w:ilvl="1">
      <w:start w:val="1"/>
      <w:numFmt w:val="bullet"/>
      <w:lvlText w:val=""/>
      <w:lvlJc w:val="left"/>
      <w:pPr>
        <w:tabs>
          <w:tab w:val="num" w:pos="720"/>
        </w:tabs>
        <w:ind w:left="720" w:firstLine="0"/>
      </w:pPr>
      <w:rPr>
        <w:rFonts w:hint="default"/>
        <w:position w:val="0"/>
      </w:rPr>
    </w:lvl>
    <w:lvl w:ilvl="2">
      <w:start w:val="1"/>
      <w:numFmt w:val="bullet"/>
      <w:lvlText w:val=""/>
      <w:lvlJc w:val="left"/>
      <w:pPr>
        <w:tabs>
          <w:tab w:val="num" w:pos="1440"/>
        </w:tabs>
        <w:ind w:left="1440" w:firstLine="0"/>
      </w:pPr>
      <w:rPr>
        <w:rFonts w:hint="default"/>
        <w:position w:val="0"/>
      </w:rPr>
    </w:lvl>
    <w:lvl w:ilvl="3">
      <w:start w:val="1"/>
      <w:numFmt w:val="bullet"/>
      <w:lvlText w:val=""/>
      <w:lvlJc w:val="left"/>
      <w:pPr>
        <w:tabs>
          <w:tab w:val="num" w:pos="2160"/>
        </w:tabs>
        <w:ind w:left="2160" w:firstLine="0"/>
      </w:pPr>
      <w:rPr>
        <w:rFonts w:hint="default"/>
        <w:position w:val="0"/>
      </w:rPr>
    </w:lvl>
    <w:lvl w:ilvl="4">
      <w:start w:val="1"/>
      <w:numFmt w:val="bullet"/>
      <w:lvlText w:val=""/>
      <w:lvlJc w:val="left"/>
      <w:pPr>
        <w:tabs>
          <w:tab w:val="num" w:pos="2880"/>
        </w:tabs>
        <w:ind w:left="2880" w:firstLine="0"/>
      </w:pPr>
      <w:rPr>
        <w:rFonts w:hint="default"/>
        <w:position w:val="0"/>
      </w:rPr>
    </w:lvl>
    <w:lvl w:ilvl="5">
      <w:start w:val="1"/>
      <w:numFmt w:val="bullet"/>
      <w:lvlText w:val=""/>
      <w:lvlJc w:val="left"/>
      <w:pPr>
        <w:tabs>
          <w:tab w:val="num" w:pos="3600"/>
        </w:tabs>
        <w:ind w:left="3600" w:firstLine="0"/>
      </w:pPr>
      <w:rPr>
        <w:rFonts w:hint="default"/>
        <w:position w:val="0"/>
      </w:rPr>
    </w:lvl>
    <w:lvl w:ilvl="6">
      <w:start w:val="1"/>
      <w:numFmt w:val="bullet"/>
      <w:lvlText w:val=""/>
      <w:lvlJc w:val="left"/>
      <w:pPr>
        <w:tabs>
          <w:tab w:val="num" w:pos="4320"/>
        </w:tabs>
        <w:ind w:left="4320" w:firstLine="0"/>
      </w:pPr>
      <w:rPr>
        <w:rFonts w:hint="default"/>
        <w:position w:val="0"/>
      </w:rPr>
    </w:lvl>
    <w:lvl w:ilvl="7">
      <w:start w:val="1"/>
      <w:numFmt w:val="bullet"/>
      <w:lvlText w:val=""/>
      <w:lvlJc w:val="left"/>
      <w:pPr>
        <w:tabs>
          <w:tab w:val="num" w:pos="5040"/>
        </w:tabs>
        <w:ind w:left="5040" w:firstLine="0"/>
      </w:pPr>
      <w:rPr>
        <w:rFonts w:hint="default"/>
        <w:position w:val="0"/>
      </w:rPr>
    </w:lvl>
    <w:lvl w:ilvl="8">
      <w:start w:val="1"/>
      <w:numFmt w:val="bullet"/>
      <w:lvlText w:val=""/>
      <w:lvlJc w:val="left"/>
      <w:pPr>
        <w:tabs>
          <w:tab w:val="num" w:pos="5760"/>
        </w:tabs>
        <w:ind w:left="5760" w:firstLine="0"/>
      </w:pPr>
      <w:rPr>
        <w:rFonts w:hint="default"/>
        <w:position w:val="0"/>
      </w:rPr>
    </w:lvl>
  </w:abstractNum>
  <w:abstractNum w:abstractNumId="2" w15:restartNumberingAfterBreak="0">
    <w:nsid w:val="019A11EA"/>
    <w:multiLevelType w:val="hybridMultilevel"/>
    <w:tmpl w:val="9104E3F8"/>
    <w:lvl w:ilvl="0" w:tplc="1CB8459A">
      <w:start w:val="9"/>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642843"/>
    <w:multiLevelType w:val="multilevel"/>
    <w:tmpl w:val="5A3E6200"/>
    <w:lvl w:ilvl="0">
      <w:start w:val="1"/>
      <w:numFmt w:val="decimal"/>
      <w:lvlText w:val="%1."/>
      <w:lvlJc w:val="left"/>
      <w:pPr>
        <w:ind w:left="360" w:hanging="360"/>
      </w:pPr>
      <w:rPr>
        <w:rFonts w:hint="default"/>
      </w:rPr>
    </w:lvl>
    <w:lvl w:ilvl="1">
      <w:start w:val="1"/>
      <w:numFmt w:val="decimal"/>
      <w:lvlText w:val="%1.%2."/>
      <w:lvlJc w:val="left"/>
      <w:pPr>
        <w:ind w:left="792" w:hanging="792"/>
      </w:pPr>
      <w:rPr>
        <w:rFonts w:ascii="Arial" w:hAnsi="Arial" w:hint="default"/>
        <w:b/>
        <w:i w:val="0"/>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345436E0"/>
    <w:multiLevelType w:val="hybridMultilevel"/>
    <w:tmpl w:val="A3044D7C"/>
    <w:lvl w:ilvl="0" w:tplc="6C98A0F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D2A22DF"/>
    <w:multiLevelType w:val="hybridMultilevel"/>
    <w:tmpl w:val="E3829D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E2255F2"/>
    <w:multiLevelType w:val="multilevel"/>
    <w:tmpl w:val="CF3CD88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11C1276"/>
    <w:multiLevelType w:val="hybridMultilevel"/>
    <w:tmpl w:val="0B320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5021E3C"/>
    <w:multiLevelType w:val="hybridMultilevel"/>
    <w:tmpl w:val="38DCD978"/>
    <w:lvl w:ilvl="0" w:tplc="3E8A92D6">
      <w:start w:val="1"/>
      <w:numFmt w:val="decimal"/>
      <w:pStyle w:val="Heading3"/>
      <w:lvlText w:val="%1."/>
      <w:lvlJc w:val="left"/>
      <w:pPr>
        <w:ind w:left="213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FB26CA6"/>
    <w:multiLevelType w:val="multilevel"/>
    <w:tmpl w:val="09985116"/>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6AE52544"/>
    <w:multiLevelType w:val="multilevel"/>
    <w:tmpl w:val="38DCD978"/>
    <w:lvl w:ilvl="0">
      <w:start w:val="1"/>
      <w:numFmt w:val="decimal"/>
      <w:lvlText w:val="%1."/>
      <w:lvlJc w:val="left"/>
      <w:pPr>
        <w:ind w:left="2138"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72EC0A09"/>
    <w:multiLevelType w:val="hybridMultilevel"/>
    <w:tmpl w:val="B41E7E46"/>
    <w:lvl w:ilvl="0" w:tplc="73504C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CA93B29"/>
    <w:multiLevelType w:val="hybridMultilevel"/>
    <w:tmpl w:val="1D64FFC8"/>
    <w:lvl w:ilvl="0" w:tplc="F1C250DA">
      <w:start w:val="1"/>
      <w:numFmt w:val="bullet"/>
      <w:pStyle w:val="bulletedtext"/>
      <w:lvlText w:val=""/>
      <w:lvlJc w:val="left"/>
      <w:pPr>
        <w:ind w:left="360" w:hanging="360"/>
      </w:pPr>
      <w:rPr>
        <w:rFonts w:ascii="Wingdings" w:hAnsi="Wingdings" w:hint="default"/>
      </w:rPr>
    </w:lvl>
    <w:lvl w:ilvl="1" w:tplc="0C090003" w:tentative="1">
      <w:start w:val="1"/>
      <w:numFmt w:val="bullet"/>
      <w:lvlText w:val="o"/>
      <w:lvlJc w:val="left"/>
      <w:pPr>
        <w:ind w:left="1440" w:hanging="360"/>
      </w:pPr>
      <w:rPr>
        <w:rFonts w:ascii="Courier New" w:hAnsi="Courier New" w:cs="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Wingdings"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Wingdings"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8"/>
  </w:num>
  <w:num w:numId="3">
    <w:abstractNumId w:val="3"/>
  </w:num>
  <w:num w:numId="4">
    <w:abstractNumId w:val="9"/>
  </w:num>
  <w:num w:numId="5">
    <w:abstractNumId w:val="6"/>
  </w:num>
  <w:num w:numId="6">
    <w:abstractNumId w:val="0"/>
  </w:num>
  <w:num w:numId="7">
    <w:abstractNumId w:val="8"/>
  </w:num>
  <w:num w:numId="8">
    <w:abstractNumId w:val="4"/>
  </w:num>
  <w:num w:numId="9">
    <w:abstractNumId w:val="2"/>
  </w:num>
  <w:num w:numId="10">
    <w:abstractNumId w:val="11"/>
  </w:num>
  <w:num w:numId="11">
    <w:abstractNumId w:val="10"/>
  </w:num>
  <w:num w:numId="12">
    <w:abstractNumId w:val="1"/>
  </w:num>
  <w:num w:numId="13">
    <w:abstractNumId w:val="5"/>
  </w:num>
  <w:num w:numId="14">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9EA"/>
    <w:rsid w:val="00017EB1"/>
    <w:rsid w:val="00095BF5"/>
    <w:rsid w:val="00097F8A"/>
    <w:rsid w:val="000C2ECD"/>
    <w:rsid w:val="000F717B"/>
    <w:rsid w:val="001167E4"/>
    <w:rsid w:val="00122703"/>
    <w:rsid w:val="00125136"/>
    <w:rsid w:val="002253F1"/>
    <w:rsid w:val="00235DAF"/>
    <w:rsid w:val="002F0C6D"/>
    <w:rsid w:val="002F30EF"/>
    <w:rsid w:val="003164E4"/>
    <w:rsid w:val="0033031E"/>
    <w:rsid w:val="00340575"/>
    <w:rsid w:val="00344CFF"/>
    <w:rsid w:val="0042752B"/>
    <w:rsid w:val="00444E28"/>
    <w:rsid w:val="004559B5"/>
    <w:rsid w:val="004A2B65"/>
    <w:rsid w:val="004B4C94"/>
    <w:rsid w:val="004B7A49"/>
    <w:rsid w:val="004D20F5"/>
    <w:rsid w:val="005333CD"/>
    <w:rsid w:val="0056741D"/>
    <w:rsid w:val="005A16D8"/>
    <w:rsid w:val="005B0604"/>
    <w:rsid w:val="005B594A"/>
    <w:rsid w:val="005D170B"/>
    <w:rsid w:val="00602E2C"/>
    <w:rsid w:val="006857D9"/>
    <w:rsid w:val="006869E4"/>
    <w:rsid w:val="006B0CB5"/>
    <w:rsid w:val="006B46BA"/>
    <w:rsid w:val="006C24FC"/>
    <w:rsid w:val="007152C7"/>
    <w:rsid w:val="007538E8"/>
    <w:rsid w:val="00763C7A"/>
    <w:rsid w:val="007D0A47"/>
    <w:rsid w:val="007F4A0C"/>
    <w:rsid w:val="00882729"/>
    <w:rsid w:val="008D0B8D"/>
    <w:rsid w:val="00907315"/>
    <w:rsid w:val="00912C10"/>
    <w:rsid w:val="00967AE0"/>
    <w:rsid w:val="009717D7"/>
    <w:rsid w:val="009826BB"/>
    <w:rsid w:val="0098376C"/>
    <w:rsid w:val="009D7FB9"/>
    <w:rsid w:val="00A421F2"/>
    <w:rsid w:val="00A46738"/>
    <w:rsid w:val="00A5182B"/>
    <w:rsid w:val="00A64F95"/>
    <w:rsid w:val="00A82E4C"/>
    <w:rsid w:val="00A9597A"/>
    <w:rsid w:val="00AB08A6"/>
    <w:rsid w:val="00AC5E0A"/>
    <w:rsid w:val="00AC68E7"/>
    <w:rsid w:val="00AD5AE3"/>
    <w:rsid w:val="00AD7E25"/>
    <w:rsid w:val="00B53BB5"/>
    <w:rsid w:val="00B64202"/>
    <w:rsid w:val="00B66D5A"/>
    <w:rsid w:val="00B928C5"/>
    <w:rsid w:val="00B970D3"/>
    <w:rsid w:val="00B977B9"/>
    <w:rsid w:val="00BC355D"/>
    <w:rsid w:val="00BD3B9D"/>
    <w:rsid w:val="00BE4859"/>
    <w:rsid w:val="00BF6BC0"/>
    <w:rsid w:val="00C1424A"/>
    <w:rsid w:val="00C34CEF"/>
    <w:rsid w:val="00CB75C7"/>
    <w:rsid w:val="00CD1CFD"/>
    <w:rsid w:val="00CD317B"/>
    <w:rsid w:val="00CF134F"/>
    <w:rsid w:val="00D1796D"/>
    <w:rsid w:val="00D365B8"/>
    <w:rsid w:val="00D63E67"/>
    <w:rsid w:val="00DA5550"/>
    <w:rsid w:val="00E30197"/>
    <w:rsid w:val="00E47AA7"/>
    <w:rsid w:val="00E81F05"/>
    <w:rsid w:val="00E87296"/>
    <w:rsid w:val="00E9754F"/>
    <w:rsid w:val="00EB3BED"/>
    <w:rsid w:val="00F347FC"/>
    <w:rsid w:val="00F675E1"/>
    <w:rsid w:val="00FC69EA"/>
    <w:rsid w:val="00FC798E"/>
    <w:rsid w:val="00FD7815"/>
  </w:rsids>
  <m:mathPr>
    <m:mathFont m:val="Cambria Math"/>
    <m:brkBin m:val="before"/>
    <m:brkBinSub m:val="--"/>
    <m:smallFrac m:val="0"/>
    <m:dispDef/>
    <m:lMargin m:val="0"/>
    <m:rMargin m:val="0"/>
    <m:defJc m:val="centerGroup"/>
    <m:wrapIndent m:val="1440"/>
    <m:intLim m:val="subSup"/>
    <m:naryLim m:val="undOvr"/>
  </m:mathPr>
  <w:themeFontLang w:val="en-AU" w:eastAsia="ja-JP"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54AF1578"/>
  <w14:defaultImageDpi w14:val="300"/>
  <w15:docId w15:val="{8E984373-E9AC-4B34-88E8-B45D58591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qFormat="1"/>
    <w:lsdException w:name="Colorful Grid" w:qFormat="1"/>
    <w:lsdException w:name="Light Shading Accent 1" w:qFormat="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Dark List Accent 6"/>
    <w:lsdException w:name="Colorful Shading Accent 6"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2729"/>
    <w:pPr>
      <w:spacing w:after="120"/>
      <w:ind w:left="720"/>
    </w:pPr>
    <w:rPr>
      <w:rFonts w:asciiTheme="minorHAnsi" w:hAnsiTheme="minorHAnsi"/>
      <w:sz w:val="24"/>
      <w:szCs w:val="24"/>
    </w:rPr>
  </w:style>
  <w:style w:type="paragraph" w:styleId="Heading1">
    <w:name w:val="heading 1"/>
    <w:basedOn w:val="Normal"/>
    <w:next w:val="Normal"/>
    <w:autoRedefine/>
    <w:qFormat/>
    <w:rsid w:val="00235DAF"/>
    <w:pPr>
      <w:keepNext/>
      <w:keepLines/>
      <w:numPr>
        <w:numId w:val="4"/>
      </w:numPr>
      <w:spacing w:before="720" w:after="240"/>
      <w:ind w:left="709" w:hanging="709"/>
      <w:outlineLvl w:val="0"/>
    </w:pPr>
    <w:rPr>
      <w:rFonts w:ascii="Arial" w:eastAsia="Arial Unicode MS" w:hAnsi="Arial"/>
      <w:b/>
      <w:bCs/>
      <w:color w:val="365F91"/>
      <w:sz w:val="28"/>
      <w:szCs w:val="20"/>
    </w:rPr>
  </w:style>
  <w:style w:type="paragraph" w:styleId="Heading2">
    <w:name w:val="heading 2"/>
    <w:basedOn w:val="Heading5"/>
    <w:next w:val="Normal"/>
    <w:qFormat/>
    <w:rsid w:val="00BF6BC0"/>
    <w:pPr>
      <w:outlineLvl w:val="1"/>
    </w:pPr>
  </w:style>
  <w:style w:type="paragraph" w:styleId="Heading3">
    <w:name w:val="heading 3"/>
    <w:aliases w:val="numbered heading"/>
    <w:basedOn w:val="Normal"/>
    <w:next w:val="Normal"/>
    <w:autoRedefine/>
    <w:qFormat/>
    <w:rsid w:val="004B4C94"/>
    <w:pPr>
      <w:keepNext/>
      <w:numPr>
        <w:numId w:val="7"/>
      </w:numPr>
      <w:spacing w:before="360"/>
      <w:outlineLvl w:val="2"/>
    </w:pPr>
    <w:rPr>
      <w:rFonts w:ascii="Arial" w:hAnsi="Arial"/>
      <w:b/>
      <w:bCs/>
      <w:color w:val="365F91"/>
      <w:sz w:val="28"/>
    </w:rPr>
  </w:style>
  <w:style w:type="paragraph" w:styleId="Heading4">
    <w:name w:val="heading 4"/>
    <w:basedOn w:val="Normal"/>
    <w:next w:val="Normal"/>
    <w:qFormat/>
    <w:pPr>
      <w:keepNext/>
      <w:outlineLvl w:val="3"/>
    </w:pPr>
    <w:rPr>
      <w:b/>
      <w:bCs/>
      <w:sz w:val="40"/>
    </w:rPr>
  </w:style>
  <w:style w:type="paragraph" w:styleId="Heading5">
    <w:name w:val="heading 5"/>
    <w:basedOn w:val="Normal"/>
    <w:next w:val="Normal"/>
    <w:autoRedefine/>
    <w:qFormat/>
    <w:rsid w:val="00B970D3"/>
    <w:pPr>
      <w:keepNext/>
      <w:outlineLvl w:val="4"/>
    </w:pPr>
    <w:rPr>
      <w:rFonts w:ascii="Calibri" w:hAnsi="Calibri"/>
      <w:bCs/>
      <w:color w:val="365F91"/>
      <w:u w:val="single"/>
    </w:rPr>
  </w:style>
  <w:style w:type="paragraph" w:styleId="Heading6">
    <w:name w:val="heading 6"/>
    <w:basedOn w:val="Normal"/>
    <w:next w:val="Normal"/>
    <w:qFormat/>
    <w:pPr>
      <w:keepNext/>
      <w:outlineLvl w:val="5"/>
    </w:pPr>
    <w:rPr>
      <w:b/>
      <w:bCs/>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color w:val="0000FF"/>
      <w:u w:val="single"/>
    </w:rPr>
  </w:style>
  <w:style w:type="paragraph" w:styleId="BodyTextIndent">
    <w:name w:val="Body Text Indent"/>
    <w:basedOn w:val="Normal"/>
    <w:pPr>
      <w:ind w:left="360"/>
    </w:pPr>
  </w:style>
  <w:style w:type="paragraph" w:styleId="BodyTextIndent2">
    <w:name w:val="Body Text Indent 2"/>
    <w:basedOn w:val="Normal"/>
  </w:style>
  <w:style w:type="paragraph" w:styleId="BodyText">
    <w:name w:val="Body Text"/>
    <w:basedOn w:val="Normal"/>
    <w:rPr>
      <w:b/>
      <w:bCs/>
    </w:rPr>
  </w:style>
  <w:style w:type="paragraph" w:styleId="BodyText2">
    <w:name w:val="Body Text 2"/>
    <w:basedOn w:val="Normal"/>
    <w:autoRedefine/>
    <w:qFormat/>
    <w:rsid w:val="00FD7815"/>
    <w:pPr>
      <w:tabs>
        <w:tab w:val="left" w:pos="2880"/>
      </w:tabs>
      <w:spacing w:line="360" w:lineRule="atLeast"/>
    </w:pPr>
  </w:style>
  <w:style w:type="paragraph" w:styleId="BodyText3">
    <w:name w:val="Body Text 3"/>
    <w:basedOn w:val="Normal"/>
    <w:rsid w:val="00FF1785"/>
    <w:rPr>
      <w:sz w:val="16"/>
      <w:szCs w:val="16"/>
    </w:rPr>
  </w:style>
  <w:style w:type="paragraph" w:styleId="BalloonText">
    <w:name w:val="Balloon Text"/>
    <w:basedOn w:val="Normal"/>
    <w:semiHidden/>
    <w:rsid w:val="00E46941"/>
    <w:rPr>
      <w:rFonts w:ascii="Tahoma" w:hAnsi="Tahoma" w:cs="Tahoma"/>
      <w:sz w:val="16"/>
      <w:szCs w:val="16"/>
    </w:rPr>
  </w:style>
  <w:style w:type="character" w:styleId="FollowedHyperlink">
    <w:name w:val="FollowedHyperlink"/>
    <w:basedOn w:val="DefaultParagraphFont"/>
    <w:rsid w:val="00406EA9"/>
    <w:rPr>
      <w:color w:val="800080"/>
      <w:u w:val="single"/>
    </w:rPr>
  </w:style>
  <w:style w:type="paragraph" w:customStyle="1" w:styleId="IndentParaLevel1">
    <w:name w:val="IndentParaLevel1"/>
    <w:basedOn w:val="Normal"/>
    <w:link w:val="IndentParaLevel1Char"/>
    <w:rsid w:val="005B01D7"/>
    <w:pPr>
      <w:spacing w:after="220"/>
      <w:ind w:left="964"/>
    </w:pPr>
    <w:rPr>
      <w:sz w:val="22"/>
    </w:rPr>
  </w:style>
  <w:style w:type="character" w:customStyle="1" w:styleId="IndentParaLevel1Char">
    <w:name w:val="IndentParaLevel1 Char"/>
    <w:basedOn w:val="DefaultParagraphFont"/>
    <w:link w:val="IndentParaLevel1"/>
    <w:locked/>
    <w:rsid w:val="005B01D7"/>
    <w:rPr>
      <w:sz w:val="22"/>
      <w:szCs w:val="24"/>
      <w:lang w:eastAsia="en-US"/>
    </w:rPr>
  </w:style>
  <w:style w:type="paragraph" w:styleId="TOC1">
    <w:name w:val="toc 1"/>
    <w:basedOn w:val="Normal"/>
    <w:next w:val="Normal"/>
    <w:autoRedefine/>
    <w:uiPriority w:val="39"/>
    <w:rsid w:val="00E47AA7"/>
    <w:pPr>
      <w:tabs>
        <w:tab w:val="right" w:leader="dot" w:pos="8296"/>
      </w:tabs>
      <w:spacing w:before="120" w:after="0"/>
      <w:ind w:left="1134"/>
    </w:pPr>
    <w:rPr>
      <w:b/>
      <w:bCs/>
      <w:caps/>
      <w:sz w:val="22"/>
      <w:szCs w:val="22"/>
    </w:rPr>
  </w:style>
  <w:style w:type="paragraph" w:styleId="TOC2">
    <w:name w:val="toc 2"/>
    <w:basedOn w:val="Normal"/>
    <w:next w:val="Normal"/>
    <w:autoRedefine/>
    <w:uiPriority w:val="39"/>
    <w:rsid w:val="00AF4651"/>
    <w:pPr>
      <w:spacing w:after="0"/>
      <w:ind w:left="240"/>
    </w:pPr>
    <w:rPr>
      <w:smallCaps/>
      <w:sz w:val="22"/>
      <w:szCs w:val="22"/>
    </w:rPr>
  </w:style>
  <w:style w:type="paragraph" w:styleId="TOC3">
    <w:name w:val="toc 3"/>
    <w:basedOn w:val="Normal"/>
    <w:next w:val="Normal"/>
    <w:autoRedefine/>
    <w:uiPriority w:val="39"/>
    <w:rsid w:val="00AF4651"/>
    <w:pPr>
      <w:spacing w:after="0"/>
      <w:ind w:left="480"/>
    </w:pPr>
    <w:rPr>
      <w:i/>
      <w:iCs/>
      <w:sz w:val="22"/>
      <w:szCs w:val="22"/>
    </w:rPr>
  </w:style>
  <w:style w:type="paragraph" w:styleId="TOC4">
    <w:name w:val="toc 4"/>
    <w:basedOn w:val="Normal"/>
    <w:next w:val="Normal"/>
    <w:autoRedefine/>
    <w:rsid w:val="00AF4651"/>
    <w:pPr>
      <w:spacing w:after="0"/>
    </w:pPr>
    <w:rPr>
      <w:sz w:val="18"/>
      <w:szCs w:val="18"/>
    </w:rPr>
  </w:style>
  <w:style w:type="paragraph" w:styleId="TOC5">
    <w:name w:val="toc 5"/>
    <w:basedOn w:val="Normal"/>
    <w:next w:val="Normal"/>
    <w:autoRedefine/>
    <w:rsid w:val="00AF4651"/>
    <w:pPr>
      <w:spacing w:after="0"/>
      <w:ind w:left="960"/>
    </w:pPr>
    <w:rPr>
      <w:sz w:val="18"/>
      <w:szCs w:val="18"/>
    </w:rPr>
  </w:style>
  <w:style w:type="paragraph" w:styleId="TOC6">
    <w:name w:val="toc 6"/>
    <w:basedOn w:val="Normal"/>
    <w:next w:val="Normal"/>
    <w:autoRedefine/>
    <w:rsid w:val="00AF4651"/>
    <w:pPr>
      <w:spacing w:after="0"/>
      <w:ind w:left="1200"/>
    </w:pPr>
    <w:rPr>
      <w:sz w:val="18"/>
      <w:szCs w:val="18"/>
    </w:rPr>
  </w:style>
  <w:style w:type="paragraph" w:styleId="TOC7">
    <w:name w:val="toc 7"/>
    <w:basedOn w:val="Normal"/>
    <w:next w:val="Normal"/>
    <w:autoRedefine/>
    <w:rsid w:val="00AF4651"/>
    <w:pPr>
      <w:spacing w:after="0"/>
      <w:ind w:left="1440"/>
    </w:pPr>
    <w:rPr>
      <w:sz w:val="18"/>
      <w:szCs w:val="18"/>
    </w:rPr>
  </w:style>
  <w:style w:type="paragraph" w:styleId="TOC8">
    <w:name w:val="toc 8"/>
    <w:basedOn w:val="Normal"/>
    <w:next w:val="Normal"/>
    <w:autoRedefine/>
    <w:rsid w:val="00AF4651"/>
    <w:pPr>
      <w:spacing w:after="0"/>
      <w:ind w:left="1680"/>
    </w:pPr>
    <w:rPr>
      <w:sz w:val="18"/>
      <w:szCs w:val="18"/>
    </w:rPr>
  </w:style>
  <w:style w:type="paragraph" w:styleId="TOC9">
    <w:name w:val="toc 9"/>
    <w:basedOn w:val="Normal"/>
    <w:next w:val="Normal"/>
    <w:autoRedefine/>
    <w:rsid w:val="00AF4651"/>
    <w:pPr>
      <w:spacing w:after="0"/>
      <w:ind w:left="1920"/>
    </w:pPr>
    <w:rPr>
      <w:sz w:val="18"/>
      <w:szCs w:val="18"/>
    </w:rPr>
  </w:style>
  <w:style w:type="paragraph" w:styleId="Header">
    <w:name w:val="header"/>
    <w:basedOn w:val="Normal"/>
    <w:link w:val="HeaderChar"/>
    <w:rsid w:val="004D4B19"/>
    <w:pPr>
      <w:tabs>
        <w:tab w:val="center" w:pos="4513"/>
        <w:tab w:val="right" w:pos="9026"/>
      </w:tabs>
    </w:pPr>
  </w:style>
  <w:style w:type="character" w:customStyle="1" w:styleId="HeaderChar">
    <w:name w:val="Header Char"/>
    <w:basedOn w:val="DefaultParagraphFont"/>
    <w:link w:val="Header"/>
    <w:rsid w:val="004D4B19"/>
    <w:rPr>
      <w:sz w:val="24"/>
      <w:szCs w:val="24"/>
      <w:lang w:eastAsia="en-US"/>
    </w:rPr>
  </w:style>
  <w:style w:type="paragraph" w:styleId="Footer">
    <w:name w:val="footer"/>
    <w:basedOn w:val="Normal"/>
    <w:link w:val="FooterChar"/>
    <w:uiPriority w:val="99"/>
    <w:rsid w:val="004D4B19"/>
    <w:pPr>
      <w:tabs>
        <w:tab w:val="center" w:pos="4513"/>
        <w:tab w:val="right" w:pos="9026"/>
      </w:tabs>
    </w:pPr>
  </w:style>
  <w:style w:type="character" w:customStyle="1" w:styleId="FooterChar">
    <w:name w:val="Footer Char"/>
    <w:basedOn w:val="DefaultParagraphFont"/>
    <w:link w:val="Footer"/>
    <w:uiPriority w:val="99"/>
    <w:rsid w:val="004D4B19"/>
    <w:rPr>
      <w:sz w:val="24"/>
      <w:szCs w:val="24"/>
      <w:lang w:eastAsia="en-US"/>
    </w:rPr>
  </w:style>
  <w:style w:type="table" w:styleId="TableGrid">
    <w:name w:val="Table Grid"/>
    <w:basedOn w:val="TableNormal"/>
    <w:uiPriority w:val="59"/>
    <w:rsid w:val="00F8579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aliases w:val="submission text"/>
    <w:basedOn w:val="Normal"/>
    <w:autoRedefine/>
    <w:uiPriority w:val="99"/>
    <w:unhideWhenUsed/>
    <w:qFormat/>
    <w:rsid w:val="00B977B9"/>
    <w:pPr>
      <w:spacing w:after="0"/>
      <w:ind w:left="1134"/>
    </w:pPr>
    <w:rPr>
      <w:rFonts w:eastAsia="Calibri"/>
      <w:lang w:eastAsia="en-AU"/>
    </w:rPr>
  </w:style>
  <w:style w:type="paragraph" w:customStyle="1" w:styleId="MediumGrid1-Accent21">
    <w:name w:val="Medium Grid 1 - Accent 21"/>
    <w:basedOn w:val="Normal"/>
    <w:uiPriority w:val="34"/>
    <w:qFormat/>
    <w:rsid w:val="00576D5B"/>
  </w:style>
  <w:style w:type="paragraph" w:customStyle="1" w:styleId="BasicParagraph">
    <w:name w:val="[Basic Paragraph]"/>
    <w:basedOn w:val="Normal"/>
    <w:uiPriority w:val="99"/>
    <w:rsid w:val="00AD35AD"/>
    <w:pPr>
      <w:autoSpaceDE w:val="0"/>
      <w:autoSpaceDN w:val="0"/>
      <w:adjustRightInd w:val="0"/>
      <w:spacing w:line="288" w:lineRule="auto"/>
      <w:textAlignment w:val="center"/>
    </w:pPr>
    <w:rPr>
      <w:rFonts w:ascii="TimesNewRomanPSMT" w:hAnsi="TimesNewRomanPSMT" w:cs="TimesNewRomanPSMT"/>
      <w:color w:val="000000"/>
      <w:lang w:val="en-GB" w:eastAsia="en-AU"/>
    </w:rPr>
  </w:style>
  <w:style w:type="paragraph" w:styleId="FootnoteText">
    <w:name w:val="footnote text"/>
    <w:basedOn w:val="Normal"/>
    <w:link w:val="FootnoteTextChar"/>
    <w:autoRedefine/>
    <w:uiPriority w:val="99"/>
    <w:rsid w:val="00CD317B"/>
    <w:pPr>
      <w:spacing w:after="60" w:line="200" w:lineRule="exact"/>
    </w:pPr>
    <w:rPr>
      <w:rFonts w:ascii="Arial" w:hAnsi="Arial"/>
      <w:color w:val="265176"/>
      <w:sz w:val="16"/>
      <w:szCs w:val="20"/>
    </w:rPr>
  </w:style>
  <w:style w:type="character" w:customStyle="1" w:styleId="FootnoteTextChar">
    <w:name w:val="Footnote Text Char"/>
    <w:basedOn w:val="DefaultParagraphFont"/>
    <w:link w:val="FootnoteText"/>
    <w:uiPriority w:val="99"/>
    <w:rsid w:val="00CD317B"/>
    <w:rPr>
      <w:rFonts w:ascii="Arial" w:hAnsi="Arial"/>
      <w:color w:val="265176"/>
      <w:sz w:val="16"/>
    </w:rPr>
  </w:style>
  <w:style w:type="character" w:styleId="FootnoteReference">
    <w:name w:val="footnote reference"/>
    <w:basedOn w:val="DefaultParagraphFont"/>
    <w:uiPriority w:val="99"/>
    <w:rsid w:val="00282001"/>
    <w:rPr>
      <w:vertAlign w:val="superscript"/>
    </w:rPr>
  </w:style>
  <w:style w:type="paragraph" w:customStyle="1" w:styleId="text">
    <w:name w:val="text"/>
    <w:basedOn w:val="Normal"/>
    <w:uiPriority w:val="99"/>
    <w:rsid w:val="00DC5BFB"/>
    <w:pPr>
      <w:spacing w:before="100" w:beforeAutospacing="1" w:after="100" w:afterAutospacing="1"/>
    </w:pPr>
    <w:rPr>
      <w:rFonts w:ascii="Arial" w:eastAsia="Calibri" w:hAnsi="Arial" w:cs="Arial"/>
      <w:color w:val="333333"/>
      <w:sz w:val="18"/>
      <w:szCs w:val="18"/>
      <w:lang w:eastAsia="en-AU"/>
    </w:rPr>
  </w:style>
  <w:style w:type="character" w:styleId="CommentReference">
    <w:name w:val="annotation reference"/>
    <w:basedOn w:val="DefaultParagraphFont"/>
    <w:rsid w:val="00A040A2"/>
    <w:rPr>
      <w:sz w:val="16"/>
      <w:szCs w:val="16"/>
    </w:rPr>
  </w:style>
  <w:style w:type="paragraph" w:styleId="CommentText">
    <w:name w:val="annotation text"/>
    <w:basedOn w:val="Normal"/>
    <w:link w:val="CommentTextChar"/>
    <w:rsid w:val="00A040A2"/>
    <w:rPr>
      <w:sz w:val="20"/>
      <w:szCs w:val="20"/>
    </w:rPr>
  </w:style>
  <w:style w:type="character" w:customStyle="1" w:styleId="CommentTextChar">
    <w:name w:val="Comment Text Char"/>
    <w:basedOn w:val="DefaultParagraphFont"/>
    <w:link w:val="CommentText"/>
    <w:rsid w:val="00A040A2"/>
    <w:rPr>
      <w:lang w:val="en-AU"/>
    </w:rPr>
  </w:style>
  <w:style w:type="paragraph" w:styleId="CommentSubject">
    <w:name w:val="annotation subject"/>
    <w:basedOn w:val="CommentText"/>
    <w:next w:val="CommentText"/>
    <w:link w:val="CommentSubjectChar"/>
    <w:rsid w:val="00A040A2"/>
    <w:rPr>
      <w:b/>
      <w:bCs/>
    </w:rPr>
  </w:style>
  <w:style w:type="character" w:customStyle="1" w:styleId="CommentSubjectChar">
    <w:name w:val="Comment Subject Char"/>
    <w:basedOn w:val="CommentTextChar"/>
    <w:link w:val="CommentSubject"/>
    <w:rsid w:val="00A040A2"/>
    <w:rPr>
      <w:b/>
      <w:bCs/>
      <w:lang w:val="en-AU"/>
    </w:rPr>
  </w:style>
  <w:style w:type="paragraph" w:customStyle="1" w:styleId="time">
    <w:name w:val="time"/>
    <w:basedOn w:val="Normal"/>
    <w:uiPriority w:val="99"/>
    <w:rsid w:val="00876786"/>
    <w:pPr>
      <w:tabs>
        <w:tab w:val="left" w:pos="720"/>
      </w:tabs>
      <w:suppressAutoHyphens/>
      <w:autoSpaceDE w:val="0"/>
      <w:autoSpaceDN w:val="0"/>
      <w:adjustRightInd w:val="0"/>
      <w:spacing w:before="57" w:after="57" w:line="288" w:lineRule="auto"/>
      <w:textAlignment w:val="center"/>
    </w:pPr>
    <w:rPr>
      <w:rFonts w:ascii="MyriadPro-Bold" w:hAnsi="MyriadPro-Bold" w:cs="MyriadPro-Bold"/>
      <w:b/>
      <w:bCs/>
      <w:color w:val="000000"/>
      <w:sz w:val="21"/>
      <w:szCs w:val="21"/>
      <w:lang w:eastAsia="en-AU"/>
    </w:rPr>
  </w:style>
  <w:style w:type="paragraph" w:customStyle="1" w:styleId="linerule">
    <w:name w:val="line rule"/>
    <w:basedOn w:val="Normal"/>
    <w:uiPriority w:val="99"/>
    <w:rsid w:val="00876786"/>
    <w:pPr>
      <w:pBdr>
        <w:top w:val="single" w:sz="8" w:space="0" w:color="6A97AB"/>
        <w:bottom w:val="single" w:sz="2" w:space="0" w:color="auto"/>
      </w:pBdr>
      <w:tabs>
        <w:tab w:val="left" w:pos="720"/>
      </w:tabs>
      <w:suppressAutoHyphens/>
      <w:autoSpaceDE w:val="0"/>
      <w:autoSpaceDN w:val="0"/>
      <w:adjustRightInd w:val="0"/>
      <w:spacing w:before="57" w:line="140" w:lineRule="atLeast"/>
      <w:textAlignment w:val="center"/>
    </w:pPr>
    <w:rPr>
      <w:rFonts w:ascii="MyriadPro-Regular" w:hAnsi="MyriadPro-Regular" w:cs="MyriadPro-Regular"/>
      <w:color w:val="000000"/>
      <w:sz w:val="14"/>
      <w:szCs w:val="14"/>
      <w:lang w:eastAsia="en-AU"/>
    </w:rPr>
  </w:style>
  <w:style w:type="paragraph" w:customStyle="1" w:styleId="name">
    <w:name w:val="name"/>
    <w:basedOn w:val="Normal"/>
    <w:next w:val="description"/>
    <w:uiPriority w:val="99"/>
    <w:rsid w:val="00876786"/>
    <w:pPr>
      <w:tabs>
        <w:tab w:val="left" w:pos="720"/>
      </w:tabs>
      <w:suppressAutoHyphens/>
      <w:autoSpaceDE w:val="0"/>
      <w:autoSpaceDN w:val="0"/>
      <w:adjustRightInd w:val="0"/>
      <w:spacing w:before="28" w:after="11" w:line="288" w:lineRule="auto"/>
      <w:ind w:left="283"/>
      <w:textAlignment w:val="center"/>
    </w:pPr>
    <w:rPr>
      <w:rFonts w:ascii="MyriadPro-Bold" w:hAnsi="MyriadPro-Bold" w:cs="MyriadPro-Bold"/>
      <w:b/>
      <w:bCs/>
      <w:color w:val="C83C1B"/>
      <w:sz w:val="18"/>
      <w:szCs w:val="18"/>
      <w:lang w:eastAsia="en-AU"/>
    </w:rPr>
  </w:style>
  <w:style w:type="paragraph" w:customStyle="1" w:styleId="description">
    <w:name w:val="description"/>
    <w:basedOn w:val="Normal"/>
    <w:uiPriority w:val="99"/>
    <w:rsid w:val="00876786"/>
    <w:pPr>
      <w:tabs>
        <w:tab w:val="left" w:pos="720"/>
      </w:tabs>
      <w:suppressAutoHyphens/>
      <w:autoSpaceDE w:val="0"/>
      <w:autoSpaceDN w:val="0"/>
      <w:adjustRightInd w:val="0"/>
      <w:spacing w:after="28" w:line="288" w:lineRule="auto"/>
      <w:ind w:left="283"/>
      <w:textAlignment w:val="center"/>
    </w:pPr>
    <w:rPr>
      <w:rFonts w:ascii="MyriadPro-LightIt" w:hAnsi="MyriadPro-LightIt" w:cs="MyriadPro-LightIt"/>
      <w:i/>
      <w:iCs/>
      <w:color w:val="000000"/>
      <w:sz w:val="14"/>
      <w:szCs w:val="14"/>
      <w:lang w:eastAsia="en-AU"/>
    </w:rPr>
  </w:style>
  <w:style w:type="paragraph" w:customStyle="1" w:styleId="facilitator">
    <w:name w:val="facilitator"/>
    <w:basedOn w:val="Normal"/>
    <w:uiPriority w:val="99"/>
    <w:rsid w:val="00876786"/>
    <w:pPr>
      <w:tabs>
        <w:tab w:val="left" w:pos="720"/>
      </w:tabs>
      <w:suppressAutoHyphens/>
      <w:autoSpaceDE w:val="0"/>
      <w:autoSpaceDN w:val="0"/>
      <w:adjustRightInd w:val="0"/>
      <w:spacing w:before="113" w:after="11" w:line="288" w:lineRule="auto"/>
      <w:ind w:left="283"/>
      <w:textAlignment w:val="center"/>
    </w:pPr>
    <w:rPr>
      <w:rFonts w:ascii="MyriadPro-Light" w:hAnsi="MyriadPro-Light" w:cs="MyriadPro-Light"/>
      <w:caps/>
      <w:color w:val="000000"/>
      <w:sz w:val="12"/>
      <w:szCs w:val="12"/>
      <w:lang w:eastAsia="en-AU"/>
    </w:rPr>
  </w:style>
  <w:style w:type="paragraph" w:customStyle="1" w:styleId="tabletime">
    <w:name w:val="table time"/>
    <w:basedOn w:val="Normal"/>
    <w:uiPriority w:val="99"/>
    <w:rsid w:val="00876786"/>
    <w:pPr>
      <w:suppressAutoHyphens/>
      <w:autoSpaceDE w:val="0"/>
      <w:autoSpaceDN w:val="0"/>
      <w:adjustRightInd w:val="0"/>
      <w:spacing w:before="60" w:after="60" w:line="288" w:lineRule="auto"/>
      <w:textAlignment w:val="center"/>
    </w:pPr>
    <w:rPr>
      <w:rFonts w:ascii="MyriadPro-Bold" w:hAnsi="MyriadPro-Bold" w:cs="MyriadPro-Bold"/>
      <w:b/>
      <w:bCs/>
      <w:color w:val="FFFFFF"/>
      <w:sz w:val="20"/>
      <w:szCs w:val="20"/>
      <w:lang w:eastAsia="en-AU"/>
    </w:rPr>
  </w:style>
  <w:style w:type="character" w:customStyle="1" w:styleId="time1">
    <w:name w:val="time1"/>
    <w:uiPriority w:val="99"/>
    <w:rsid w:val="002A670A"/>
  </w:style>
  <w:style w:type="character" w:customStyle="1" w:styleId="event">
    <w:name w:val="event"/>
    <w:uiPriority w:val="99"/>
    <w:rsid w:val="002A670A"/>
    <w:rPr>
      <w:color w:val="004B57"/>
    </w:rPr>
  </w:style>
  <w:style w:type="paragraph" w:customStyle="1" w:styleId="tabletext">
    <w:name w:val="table text"/>
    <w:basedOn w:val="Normal"/>
    <w:uiPriority w:val="99"/>
    <w:rsid w:val="00F4032F"/>
    <w:pPr>
      <w:tabs>
        <w:tab w:val="left" w:pos="720"/>
      </w:tabs>
      <w:suppressAutoHyphens/>
      <w:autoSpaceDE w:val="0"/>
      <w:autoSpaceDN w:val="0"/>
      <w:adjustRightInd w:val="0"/>
      <w:spacing w:before="113" w:line="288" w:lineRule="auto"/>
      <w:textAlignment w:val="center"/>
    </w:pPr>
    <w:rPr>
      <w:rFonts w:ascii="MyriadPro-Regular" w:hAnsi="MyriadPro-Regular" w:cs="MyriadPro-Regular"/>
      <w:color w:val="000000"/>
      <w:sz w:val="18"/>
      <w:szCs w:val="18"/>
      <w:lang w:eastAsia="en-AU"/>
    </w:rPr>
  </w:style>
  <w:style w:type="paragraph" w:customStyle="1" w:styleId="sessionnumbercs">
    <w:name w:val="session number (cs)"/>
    <w:basedOn w:val="tabletime"/>
    <w:uiPriority w:val="99"/>
    <w:rsid w:val="00F4032F"/>
    <w:rPr>
      <w:rFonts w:ascii="MyriadPro-Black" w:hAnsi="MyriadPro-Black" w:cs="MyriadPro-Black"/>
      <w:color w:val="6A97AB"/>
      <w:sz w:val="40"/>
      <w:szCs w:val="40"/>
    </w:rPr>
  </w:style>
  <w:style w:type="paragraph" w:customStyle="1" w:styleId="heading2cscs">
    <w:name w:val="heading 2 cs (cs)"/>
    <w:basedOn w:val="Heading1"/>
    <w:next w:val="namecscs"/>
    <w:uiPriority w:val="99"/>
    <w:rsid w:val="00F4032F"/>
    <w:pPr>
      <w:keepNext w:val="0"/>
      <w:tabs>
        <w:tab w:val="left" w:pos="720"/>
      </w:tabs>
      <w:suppressAutoHyphens/>
      <w:autoSpaceDE w:val="0"/>
      <w:autoSpaceDN w:val="0"/>
      <w:adjustRightInd w:val="0"/>
      <w:spacing w:before="28" w:after="57" w:line="260" w:lineRule="atLeast"/>
      <w:jc w:val="right"/>
      <w:textAlignment w:val="center"/>
      <w:outlineLvl w:val="9"/>
    </w:pPr>
    <w:rPr>
      <w:rFonts w:ascii="MyriadPro-Regular" w:eastAsia="Times New Roman" w:hAnsi="MyriadPro-Regular" w:cs="MyriadPro-Regular"/>
      <w:color w:val="000000"/>
      <w:sz w:val="20"/>
      <w:lang w:eastAsia="en-AU"/>
    </w:rPr>
  </w:style>
  <w:style w:type="paragraph" w:customStyle="1" w:styleId="namecscs">
    <w:name w:val="name cs (cs)"/>
    <w:basedOn w:val="tabletext"/>
    <w:next w:val="descriptioncscs"/>
    <w:uiPriority w:val="99"/>
    <w:rsid w:val="00F4032F"/>
    <w:pPr>
      <w:spacing w:before="28" w:after="11" w:line="180" w:lineRule="atLeast"/>
      <w:jc w:val="right"/>
    </w:pPr>
    <w:rPr>
      <w:rFonts w:ascii="MyriadPro-Bold" w:hAnsi="MyriadPro-Bold" w:cs="MyriadPro-Bold"/>
      <w:b/>
      <w:bCs/>
      <w:color w:val="C83C1B"/>
      <w:sz w:val="17"/>
      <w:szCs w:val="17"/>
    </w:rPr>
  </w:style>
  <w:style w:type="paragraph" w:customStyle="1" w:styleId="descriptioncscs">
    <w:name w:val="description cs (cs)"/>
    <w:basedOn w:val="tabletext"/>
    <w:uiPriority w:val="99"/>
    <w:rsid w:val="00F4032F"/>
    <w:pPr>
      <w:spacing w:before="0" w:after="28"/>
      <w:ind w:left="283"/>
      <w:jc w:val="right"/>
    </w:pPr>
    <w:rPr>
      <w:rFonts w:ascii="MyriadPro-LightIt" w:hAnsi="MyriadPro-LightIt" w:cs="MyriadPro-LightIt"/>
      <w:i/>
      <w:iCs/>
      <w:sz w:val="14"/>
      <w:szCs w:val="14"/>
    </w:rPr>
  </w:style>
  <w:style w:type="character" w:styleId="Emphasis">
    <w:name w:val="Emphasis"/>
    <w:basedOn w:val="DefaultParagraphFont"/>
    <w:uiPriority w:val="20"/>
    <w:qFormat/>
    <w:rsid w:val="000E3145"/>
    <w:rPr>
      <w:i/>
      <w:iCs/>
    </w:rPr>
  </w:style>
  <w:style w:type="character" w:styleId="Strong">
    <w:name w:val="Strong"/>
    <w:basedOn w:val="DefaultParagraphFont"/>
    <w:uiPriority w:val="22"/>
    <w:qFormat/>
    <w:rsid w:val="00096F64"/>
    <w:rPr>
      <w:b/>
      <w:bCs/>
    </w:rPr>
  </w:style>
  <w:style w:type="paragraph" w:customStyle="1" w:styleId="Paragraph">
    <w:name w:val="Paragraph"/>
    <w:basedOn w:val="Normal"/>
    <w:rsid w:val="004F0B9D"/>
    <w:pPr>
      <w:numPr>
        <w:ilvl w:val="12"/>
      </w:numPr>
      <w:spacing w:before="240"/>
      <w:ind w:left="720"/>
    </w:pPr>
    <w:rPr>
      <w:szCs w:val="20"/>
      <w:lang w:eastAsia="en-AU"/>
    </w:rPr>
  </w:style>
  <w:style w:type="paragraph" w:styleId="HTMLPreformatted">
    <w:name w:val="HTML Preformatted"/>
    <w:basedOn w:val="Normal"/>
    <w:link w:val="HTMLPreformattedChar"/>
    <w:uiPriority w:val="99"/>
    <w:unhideWhenUsed/>
    <w:rsid w:val="00082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en-AU"/>
    </w:rPr>
  </w:style>
  <w:style w:type="character" w:customStyle="1" w:styleId="HTMLPreformattedChar">
    <w:name w:val="HTML Preformatted Char"/>
    <w:basedOn w:val="DefaultParagraphFont"/>
    <w:link w:val="HTMLPreformatted"/>
    <w:uiPriority w:val="99"/>
    <w:rsid w:val="00082B86"/>
    <w:rPr>
      <w:rFonts w:ascii="Courier New" w:hAnsi="Courier New" w:cs="Courier New"/>
    </w:rPr>
  </w:style>
  <w:style w:type="paragraph" w:customStyle="1" w:styleId="bulletedtext">
    <w:name w:val="bulleted text"/>
    <w:basedOn w:val="NormalWeb"/>
    <w:qFormat/>
    <w:rsid w:val="00745A30"/>
    <w:pPr>
      <w:numPr>
        <w:numId w:val="1"/>
      </w:numPr>
      <w:spacing w:after="120"/>
      <w:ind w:left="357" w:hanging="357"/>
    </w:pPr>
  </w:style>
  <w:style w:type="paragraph" w:styleId="ListParagraph">
    <w:name w:val="List Paragraph"/>
    <w:basedOn w:val="Normal"/>
    <w:autoRedefine/>
    <w:qFormat/>
    <w:rsid w:val="00CF134F"/>
    <w:pPr>
      <w:contextualSpacing/>
    </w:pPr>
  </w:style>
  <w:style w:type="character" w:styleId="IntenseEmphasis">
    <w:name w:val="Intense Emphasis"/>
    <w:basedOn w:val="DefaultParagraphFont"/>
    <w:uiPriority w:val="21"/>
    <w:qFormat/>
    <w:rsid w:val="00444E28"/>
    <w:rPr>
      <w:b/>
      <w:bCs/>
      <w:i/>
      <w:iCs/>
      <w:color w:val="4F81BD" w:themeColor="accent1"/>
    </w:rPr>
  </w:style>
  <w:style w:type="numbering" w:customStyle="1" w:styleId="NormalList">
    <w:name w:val="Normal List"/>
    <w:rsid w:val="009D7FB9"/>
    <w:pPr>
      <w:numPr>
        <w:numId w:val="12"/>
      </w:numPr>
    </w:pPr>
  </w:style>
  <w:style w:type="character" w:styleId="PageNumber">
    <w:name w:val="page number"/>
    <w:basedOn w:val="DefaultParagraphFont"/>
    <w:semiHidden/>
    <w:unhideWhenUsed/>
    <w:rsid w:val="00F675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16031">
      <w:bodyDiv w:val="1"/>
      <w:marLeft w:val="0"/>
      <w:marRight w:val="0"/>
      <w:marTop w:val="0"/>
      <w:marBottom w:val="0"/>
      <w:divBdr>
        <w:top w:val="none" w:sz="0" w:space="0" w:color="auto"/>
        <w:left w:val="none" w:sz="0" w:space="0" w:color="auto"/>
        <w:bottom w:val="none" w:sz="0" w:space="0" w:color="auto"/>
        <w:right w:val="none" w:sz="0" w:space="0" w:color="auto"/>
      </w:divBdr>
    </w:div>
    <w:div w:id="228197034">
      <w:bodyDiv w:val="1"/>
      <w:marLeft w:val="0"/>
      <w:marRight w:val="0"/>
      <w:marTop w:val="0"/>
      <w:marBottom w:val="0"/>
      <w:divBdr>
        <w:top w:val="none" w:sz="0" w:space="0" w:color="auto"/>
        <w:left w:val="none" w:sz="0" w:space="0" w:color="auto"/>
        <w:bottom w:val="none" w:sz="0" w:space="0" w:color="auto"/>
        <w:right w:val="none" w:sz="0" w:space="0" w:color="auto"/>
      </w:divBdr>
    </w:div>
    <w:div w:id="308021243">
      <w:bodyDiv w:val="1"/>
      <w:marLeft w:val="0"/>
      <w:marRight w:val="0"/>
      <w:marTop w:val="0"/>
      <w:marBottom w:val="0"/>
      <w:divBdr>
        <w:top w:val="none" w:sz="0" w:space="0" w:color="auto"/>
        <w:left w:val="none" w:sz="0" w:space="0" w:color="auto"/>
        <w:bottom w:val="none" w:sz="0" w:space="0" w:color="auto"/>
        <w:right w:val="none" w:sz="0" w:space="0" w:color="auto"/>
      </w:divBdr>
    </w:div>
    <w:div w:id="541985653">
      <w:bodyDiv w:val="1"/>
      <w:marLeft w:val="0"/>
      <w:marRight w:val="0"/>
      <w:marTop w:val="0"/>
      <w:marBottom w:val="0"/>
      <w:divBdr>
        <w:top w:val="none" w:sz="0" w:space="0" w:color="auto"/>
        <w:left w:val="none" w:sz="0" w:space="0" w:color="auto"/>
        <w:bottom w:val="none" w:sz="0" w:space="0" w:color="auto"/>
        <w:right w:val="none" w:sz="0" w:space="0" w:color="auto"/>
      </w:divBdr>
      <w:divsChild>
        <w:div w:id="267935658">
          <w:marLeft w:val="0"/>
          <w:marRight w:val="0"/>
          <w:marTop w:val="0"/>
          <w:marBottom w:val="0"/>
          <w:divBdr>
            <w:top w:val="none" w:sz="0" w:space="0" w:color="auto"/>
            <w:left w:val="none" w:sz="0" w:space="0" w:color="auto"/>
            <w:bottom w:val="none" w:sz="0" w:space="0" w:color="auto"/>
            <w:right w:val="none" w:sz="0" w:space="0" w:color="auto"/>
          </w:divBdr>
          <w:divsChild>
            <w:div w:id="1131904032">
              <w:marLeft w:val="0"/>
              <w:marRight w:val="0"/>
              <w:marTop w:val="0"/>
              <w:marBottom w:val="0"/>
              <w:divBdr>
                <w:top w:val="none" w:sz="0" w:space="0" w:color="auto"/>
                <w:left w:val="none" w:sz="0" w:space="0" w:color="auto"/>
                <w:bottom w:val="none" w:sz="0" w:space="0" w:color="auto"/>
                <w:right w:val="none" w:sz="0" w:space="0" w:color="auto"/>
              </w:divBdr>
              <w:divsChild>
                <w:div w:id="548759171">
                  <w:marLeft w:val="2970"/>
                  <w:marRight w:val="0"/>
                  <w:marTop w:val="0"/>
                  <w:marBottom w:val="0"/>
                  <w:divBdr>
                    <w:top w:val="none" w:sz="0" w:space="0" w:color="auto"/>
                    <w:left w:val="none" w:sz="0" w:space="0" w:color="auto"/>
                    <w:bottom w:val="none" w:sz="0" w:space="0" w:color="auto"/>
                    <w:right w:val="none" w:sz="0" w:space="0" w:color="auto"/>
                  </w:divBdr>
                  <w:divsChild>
                    <w:div w:id="711150061">
                      <w:marLeft w:val="300"/>
                      <w:marRight w:val="150"/>
                      <w:marTop w:val="0"/>
                      <w:marBottom w:val="0"/>
                      <w:divBdr>
                        <w:top w:val="none" w:sz="0" w:space="0" w:color="auto"/>
                        <w:left w:val="none" w:sz="0" w:space="0" w:color="auto"/>
                        <w:bottom w:val="none" w:sz="0" w:space="0" w:color="auto"/>
                        <w:right w:val="none" w:sz="0" w:space="0" w:color="auto"/>
                      </w:divBdr>
                      <w:divsChild>
                        <w:div w:id="49298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971369">
      <w:bodyDiv w:val="1"/>
      <w:marLeft w:val="0"/>
      <w:marRight w:val="0"/>
      <w:marTop w:val="0"/>
      <w:marBottom w:val="0"/>
      <w:divBdr>
        <w:top w:val="none" w:sz="0" w:space="0" w:color="auto"/>
        <w:left w:val="none" w:sz="0" w:space="0" w:color="auto"/>
        <w:bottom w:val="none" w:sz="0" w:space="0" w:color="auto"/>
        <w:right w:val="none" w:sz="0" w:space="0" w:color="auto"/>
      </w:divBdr>
    </w:div>
    <w:div w:id="1248349902">
      <w:bodyDiv w:val="1"/>
      <w:marLeft w:val="0"/>
      <w:marRight w:val="0"/>
      <w:marTop w:val="0"/>
      <w:marBottom w:val="0"/>
      <w:divBdr>
        <w:top w:val="none" w:sz="0" w:space="0" w:color="auto"/>
        <w:left w:val="none" w:sz="0" w:space="0" w:color="auto"/>
        <w:bottom w:val="none" w:sz="0" w:space="0" w:color="auto"/>
        <w:right w:val="none" w:sz="0" w:space="0" w:color="auto"/>
      </w:divBdr>
    </w:div>
    <w:div w:id="1827162248">
      <w:bodyDiv w:val="1"/>
      <w:marLeft w:val="0"/>
      <w:marRight w:val="0"/>
      <w:marTop w:val="0"/>
      <w:marBottom w:val="0"/>
      <w:divBdr>
        <w:top w:val="none" w:sz="0" w:space="0" w:color="auto"/>
        <w:left w:val="none" w:sz="0" w:space="0" w:color="auto"/>
        <w:bottom w:val="none" w:sz="0" w:space="0" w:color="auto"/>
        <w:right w:val="none" w:sz="0" w:space="0" w:color="auto"/>
      </w:divBdr>
      <w:divsChild>
        <w:div w:id="484011412">
          <w:marLeft w:val="0"/>
          <w:marRight w:val="0"/>
          <w:marTop w:val="0"/>
          <w:marBottom w:val="0"/>
          <w:divBdr>
            <w:top w:val="none" w:sz="0" w:space="0" w:color="auto"/>
            <w:left w:val="none" w:sz="0" w:space="0" w:color="auto"/>
            <w:bottom w:val="none" w:sz="0" w:space="0" w:color="auto"/>
            <w:right w:val="none" w:sz="0" w:space="0" w:color="auto"/>
          </w:divBdr>
          <w:divsChild>
            <w:div w:id="147750044">
              <w:marLeft w:val="0"/>
              <w:marRight w:val="0"/>
              <w:marTop w:val="0"/>
              <w:marBottom w:val="0"/>
              <w:divBdr>
                <w:top w:val="none" w:sz="0" w:space="0" w:color="auto"/>
                <w:left w:val="none" w:sz="0" w:space="0" w:color="auto"/>
                <w:bottom w:val="none" w:sz="0" w:space="0" w:color="auto"/>
                <w:right w:val="none" w:sz="0" w:space="0" w:color="auto"/>
              </w:divBdr>
              <w:divsChild>
                <w:div w:id="869028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5454592">
      <w:bodyDiv w:val="1"/>
      <w:marLeft w:val="0"/>
      <w:marRight w:val="0"/>
      <w:marTop w:val="0"/>
      <w:marBottom w:val="0"/>
      <w:divBdr>
        <w:top w:val="none" w:sz="0" w:space="0" w:color="auto"/>
        <w:left w:val="none" w:sz="0" w:space="0" w:color="auto"/>
        <w:bottom w:val="none" w:sz="0" w:space="0" w:color="auto"/>
        <w:right w:val="none" w:sz="0" w:space="0" w:color="auto"/>
      </w:divBdr>
    </w:div>
    <w:div w:id="20019576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6881D2333B5354793D7DEFD2CDAB2C2" ma:contentTypeVersion="0" ma:contentTypeDescription="Create a new document." ma:contentTypeScope="" ma:versionID="3f48d00e82e559d3eeb73a310f4f26e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9CDE5A-0C54-43AF-98F6-B57B0B300C0C}">
  <ds:schemaRefs>
    <ds:schemaRef ds:uri="http://schemas.microsoft.com/sharepoint/v3/contenttype/forms"/>
  </ds:schemaRefs>
</ds:datastoreItem>
</file>

<file path=customXml/itemProps2.xml><?xml version="1.0" encoding="utf-8"?>
<ds:datastoreItem xmlns:ds="http://schemas.openxmlformats.org/officeDocument/2006/customXml" ds:itemID="{8E4B207B-8550-4823-BECE-5EC49D3827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0C92B57-96F9-4C9A-A1F1-DD1F72282E73}">
  <ds:schemaRef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4.xml><?xml version="1.0" encoding="utf-8"?>
<ds:datastoreItem xmlns:ds="http://schemas.openxmlformats.org/officeDocument/2006/customXml" ds:itemID="{C868E652-70E1-4426-8E10-2821260DA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10</Pages>
  <Words>2451</Words>
  <Characters>13458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Financial Counselling Australia.docx</vt:lpstr>
    </vt:vector>
  </TitlesOfParts>
  <Company>EASTERN COMM HEALTH</Company>
  <LinksUpToDate>false</LinksUpToDate>
  <CharactersWithSpaces>15878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Counselling Australia.docx</dc:title>
  <dc:creator>Lauren Levin</dc:creator>
  <cp:lastModifiedBy>th</cp:lastModifiedBy>
  <cp:revision>3</cp:revision>
  <cp:lastPrinted>2010-08-30T06:10:00Z</cp:lastPrinted>
  <dcterms:created xsi:type="dcterms:W3CDTF">2017-01-23T04:38:00Z</dcterms:created>
  <dcterms:modified xsi:type="dcterms:W3CDTF">2017-01-23T04:44:00Z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0x01010096881D2333B5354793D7DEFD2CDAB2C2</vt:lpwstr>
  </property>
  <property fmtid="{D5CDD505-2E9C-101B-9397-08002B2CF9AE}" pid="3" name="TrimRevisionNumber">
    <vt:i4>1</vt:i4>
  </property>
</Properties>
</file>