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00D80" w14:textId="77777777" w:rsidR="00C75ADE" w:rsidRPr="007E0A29" w:rsidRDefault="007E0A29" w:rsidP="00F52B05">
      <w:pPr>
        <w:pStyle w:val="PrecNameCover"/>
        <w:ind w:left="0"/>
        <w:rPr>
          <w:rFonts w:ascii="Arial" w:hAnsi="Arial"/>
          <w:sz w:val="36"/>
          <w:szCs w:val="36"/>
        </w:rPr>
      </w:pPr>
      <w:r w:rsidRPr="007E0A29">
        <w:rPr>
          <w:rFonts w:ascii="Arial" w:hAnsi="Arial"/>
          <w:sz w:val="36"/>
          <w:szCs w:val="36"/>
        </w:rPr>
        <w:t xml:space="preserve">Frontier Networks Pty Ltd response to </w:t>
      </w:r>
      <w:r w:rsidR="00D839DA">
        <w:rPr>
          <w:rFonts w:ascii="Arial" w:hAnsi="Arial"/>
          <w:sz w:val="36"/>
          <w:szCs w:val="36"/>
        </w:rPr>
        <w:t>draft Carrier Licence Conditions for new developments</w:t>
      </w:r>
      <w:r w:rsidRPr="007E0A29">
        <w:rPr>
          <w:rFonts w:ascii="Arial" w:hAnsi="Arial"/>
          <w:sz w:val="36"/>
          <w:szCs w:val="36"/>
        </w:rPr>
        <w:t xml:space="preserve"> </w:t>
      </w:r>
    </w:p>
    <w:p w14:paraId="0282B1C2" w14:textId="77777777" w:rsidR="00172DA1" w:rsidRDefault="00172DA1" w:rsidP="002D0EA9">
      <w:pPr>
        <w:pStyle w:val="BodyText"/>
        <w:rPr>
          <w:b/>
        </w:rPr>
      </w:pPr>
      <w:bookmarkStart w:id="0" w:name="Body"/>
      <w:bookmarkEnd w:id="0"/>
    </w:p>
    <w:p w14:paraId="6AEA132D" w14:textId="77777777" w:rsidR="00CB1863" w:rsidRDefault="00D839DA" w:rsidP="002A062B">
      <w:pPr>
        <w:pStyle w:val="BodyText"/>
      </w:pPr>
      <w:r>
        <w:rPr>
          <w:b/>
        </w:rPr>
        <w:t>1 February 2016</w:t>
      </w:r>
    </w:p>
    <w:p w14:paraId="30EE8BEE" w14:textId="77777777" w:rsidR="00F9571F" w:rsidRPr="00575B9A" w:rsidRDefault="00F9571F" w:rsidP="00F9571F">
      <w:pPr>
        <w:pStyle w:val="BodyText"/>
        <w:ind w:left="720"/>
        <w:rPr>
          <w:b/>
          <w:highlight w:val="green"/>
        </w:rPr>
      </w:pPr>
    </w:p>
    <w:p w14:paraId="4A7AE720" w14:textId="77777777" w:rsidR="002A215C" w:rsidRDefault="002A215C" w:rsidP="00575B9A">
      <w:pPr>
        <w:pStyle w:val="BodyText"/>
        <w:numPr>
          <w:ilvl w:val="0"/>
          <w:numId w:val="26"/>
        </w:numPr>
        <w:rPr>
          <w:b/>
        </w:rPr>
      </w:pPr>
      <w:r>
        <w:rPr>
          <w:b/>
        </w:rPr>
        <w:br w:type="page"/>
      </w:r>
    </w:p>
    <w:p w14:paraId="6801A345" w14:textId="77777777" w:rsidR="00254986" w:rsidRDefault="002A215C" w:rsidP="002A062B">
      <w:pPr>
        <w:pStyle w:val="BodyText"/>
      </w:pPr>
      <w:r w:rsidRPr="002A215C">
        <w:lastRenderedPageBreak/>
        <w:t>Frontier Networks</w:t>
      </w:r>
      <w:r>
        <w:t xml:space="preserve"> Pty Ltd (</w:t>
      </w:r>
      <w:r w:rsidRPr="002A215C">
        <w:rPr>
          <w:b/>
        </w:rPr>
        <w:t>Frontier</w:t>
      </w:r>
      <w:r>
        <w:t xml:space="preserve">) welcomes the opportunity to respond to the </w:t>
      </w:r>
      <w:r w:rsidR="00D97646">
        <w:t xml:space="preserve">draft Carrier Licence Conditions on new developments proposed by the Department of Communications and the Arts on 18 December 2015 </w:t>
      </w:r>
      <w:r w:rsidR="00D97646">
        <w:rPr>
          <w:b/>
        </w:rPr>
        <w:t>(CLCs)</w:t>
      </w:r>
    </w:p>
    <w:p w14:paraId="21E17672" w14:textId="77777777" w:rsidR="002171F4" w:rsidRDefault="002171F4" w:rsidP="00F36A80">
      <w:pPr>
        <w:pStyle w:val="Heading1"/>
      </w:pPr>
      <w:r>
        <w:t>Executive summary</w:t>
      </w:r>
    </w:p>
    <w:p w14:paraId="6189A7DD" w14:textId="77777777" w:rsidR="00051F33" w:rsidRDefault="00051F33" w:rsidP="00051F33">
      <w:pPr>
        <w:pStyle w:val="Indent2"/>
      </w:pPr>
      <w:r>
        <w:t xml:space="preserve">The Networks CLC would impose an access requirement on carriers whilst that issue is being properly considered by the ACCC SBAS inquiry. The matter should be determined by the ACCC inquiry, which is also considering the role of exemptions for smaller carriers and providers to senior housing communities. </w:t>
      </w:r>
    </w:p>
    <w:p w14:paraId="78F9A8D1" w14:textId="77777777" w:rsidR="00051F33" w:rsidRDefault="00051F33" w:rsidP="00051F33">
      <w:pPr>
        <w:pStyle w:val="Indent2"/>
      </w:pPr>
      <w:r>
        <w:t xml:space="preserve">The Network CLC lacks technical neutrality in requiring carriers to follow </w:t>
      </w:r>
      <w:r w:rsidR="002F7642">
        <w:t xml:space="preserve">the </w:t>
      </w:r>
      <w:r>
        <w:t xml:space="preserve">NBN in technology choices, irrespective of cost or market demand.  </w:t>
      </w:r>
    </w:p>
    <w:p w14:paraId="1CCE4A78" w14:textId="77777777" w:rsidR="00631A36" w:rsidRDefault="005506F5" w:rsidP="002171F4">
      <w:pPr>
        <w:pStyle w:val="Indent2"/>
      </w:pPr>
      <w:r>
        <w:t xml:space="preserve">Frontier is a small provider of internet services to residents of senior housing communities in Australia, with </w:t>
      </w:r>
      <w:r w:rsidRPr="002B7832">
        <w:rPr>
          <w:highlight w:val="yellow"/>
        </w:rPr>
        <w:t>[c-i-c]</w:t>
      </w:r>
      <w:r>
        <w:t xml:space="preserve"> services currently in operation. </w:t>
      </w:r>
      <w:r w:rsidR="00051F33">
        <w:t xml:space="preserve"> </w:t>
      </w:r>
      <w:r>
        <w:t>T</w:t>
      </w:r>
      <w:r w:rsidR="00051F33">
        <w:t xml:space="preserve">he Network CLC would impose highly demanding service levels on </w:t>
      </w:r>
      <w:r>
        <w:t xml:space="preserve">small </w:t>
      </w:r>
      <w:r w:rsidR="00051F33">
        <w:t xml:space="preserve">carriers and carry severe penalties far in excess of any service level rebates imposed under current regulations or wholesale agreements.  </w:t>
      </w:r>
    </w:p>
    <w:p w14:paraId="310BB0D7" w14:textId="77777777" w:rsidR="00051F33" w:rsidRDefault="00051F33" w:rsidP="002171F4">
      <w:pPr>
        <w:pStyle w:val="Indent2"/>
      </w:pPr>
      <w:r>
        <w:t xml:space="preserve">Whilst it may be appropriate to specify more moderate service levels, </w:t>
      </w:r>
      <w:r w:rsidR="005506F5">
        <w:t>systemic failure</w:t>
      </w:r>
      <w:r>
        <w:t xml:space="preserve"> should lead to </w:t>
      </w:r>
      <w:r w:rsidR="005506F5">
        <w:t>an ability</w:t>
      </w:r>
      <w:r>
        <w:t xml:space="preserve"> for NBN to overbuild, not the application of maximum penalties which would threaten the viability of smaller carriers. </w:t>
      </w:r>
    </w:p>
    <w:p w14:paraId="288BFA61" w14:textId="77777777" w:rsidR="00051F33" w:rsidRDefault="002F7642" w:rsidP="002171F4">
      <w:pPr>
        <w:pStyle w:val="Indent2"/>
      </w:pPr>
      <w:r>
        <w:t xml:space="preserve">It </w:t>
      </w:r>
      <w:r w:rsidR="00051F33">
        <w:t>makes no sense to exclude Telstra and NBN from the CLC given they are able to bear the compliance costs far better than small carriers.  Those exclusions would create a highly uneven playing field.</w:t>
      </w:r>
    </w:p>
    <w:p w14:paraId="1D111FA6" w14:textId="77777777" w:rsidR="00A75656" w:rsidRPr="002171F4" w:rsidRDefault="00A75656" w:rsidP="002171F4">
      <w:pPr>
        <w:pStyle w:val="Indent2"/>
      </w:pPr>
    </w:p>
    <w:p w14:paraId="34F7F6ED" w14:textId="77777777" w:rsidR="002A215C" w:rsidRDefault="00F36A80" w:rsidP="00F36A80">
      <w:pPr>
        <w:pStyle w:val="Heading1"/>
      </w:pPr>
      <w:r>
        <w:t>Frontier</w:t>
      </w:r>
    </w:p>
    <w:p w14:paraId="27C8B0D9" w14:textId="77777777" w:rsidR="00F36A80" w:rsidRDefault="00F36A80" w:rsidP="00F36A80">
      <w:pPr>
        <w:pStyle w:val="Heading2"/>
      </w:pPr>
      <w:bookmarkStart w:id="1" w:name="_Ref436665068"/>
      <w:r>
        <w:t>Who is Frontier?</w:t>
      </w:r>
      <w:bookmarkEnd w:id="1"/>
    </w:p>
    <w:p w14:paraId="59354B00" w14:textId="77777777" w:rsidR="000A52F4" w:rsidRDefault="00A12726" w:rsidP="000A52F4">
      <w:pPr>
        <w:pStyle w:val="Indent2"/>
      </w:pPr>
      <w:r>
        <w:t>Frontier is a small</w:t>
      </w:r>
      <w:r w:rsidR="00DE3ABA">
        <w:t xml:space="preserve"> licensed telecommunications carrier</w:t>
      </w:r>
      <w:r>
        <w:t>.</w:t>
      </w:r>
      <w:r w:rsidR="000A52F4">
        <w:t xml:space="preserve"> </w:t>
      </w:r>
      <w:r w:rsidR="000A52F4" w:rsidRPr="000A52F4">
        <w:t xml:space="preserve"> </w:t>
      </w:r>
      <w:r w:rsidR="000A52F4">
        <w:t xml:space="preserve">Frontier has </w:t>
      </w:r>
      <w:r w:rsidR="002B7832" w:rsidRPr="002B7832">
        <w:rPr>
          <w:highlight w:val="yellow"/>
        </w:rPr>
        <w:t xml:space="preserve">[c-i-c] </w:t>
      </w:r>
      <w:r w:rsidR="000A52F4" w:rsidRPr="002F7642">
        <w:t xml:space="preserve"> full-time equivalent </w:t>
      </w:r>
      <w:r w:rsidR="00F10482" w:rsidRPr="002F7642">
        <w:t xml:space="preserve">(FTE) </w:t>
      </w:r>
      <w:r w:rsidR="000A52F4" w:rsidRPr="002F7642">
        <w:t>employees.</w:t>
      </w:r>
      <w:r w:rsidR="002B7832" w:rsidRPr="002F7642">
        <w:t xml:space="preserve"> </w:t>
      </w:r>
    </w:p>
    <w:p w14:paraId="6C8B147E" w14:textId="77777777" w:rsidR="006F581E" w:rsidRDefault="00A12726" w:rsidP="00F36A80">
      <w:pPr>
        <w:pStyle w:val="Indent2"/>
      </w:pPr>
      <w:r>
        <w:t>Frontier designs, constructs and installs networks in</w:t>
      </w:r>
      <w:r w:rsidR="003768E1">
        <w:t xml:space="preserve"> residential aged care facilities and </w:t>
      </w:r>
      <w:r>
        <w:t xml:space="preserve">retirement </w:t>
      </w:r>
      <w:r w:rsidR="003768E1">
        <w:t>villages (</w:t>
      </w:r>
      <w:r w:rsidR="00FC1658">
        <w:t xml:space="preserve">collectively </w:t>
      </w:r>
      <w:r w:rsidR="003768E1" w:rsidRPr="00FC1658">
        <w:rPr>
          <w:b/>
        </w:rPr>
        <w:t>Senior Housing Communities</w:t>
      </w:r>
      <w:r w:rsidR="003768E1">
        <w:t xml:space="preserve">) </w:t>
      </w:r>
      <w:r>
        <w:t>around Australia</w:t>
      </w:r>
      <w:r w:rsidR="006E265C">
        <w:t xml:space="preserve"> (each </w:t>
      </w:r>
      <w:r w:rsidR="00A75656">
        <w:t xml:space="preserve">such network being </w:t>
      </w:r>
      <w:r w:rsidR="006E265C">
        <w:t xml:space="preserve">a </w:t>
      </w:r>
      <w:r w:rsidR="006E265C">
        <w:rPr>
          <w:b/>
        </w:rPr>
        <w:t>Frontier Network</w:t>
      </w:r>
      <w:r w:rsidR="006E265C">
        <w:t>)</w:t>
      </w:r>
      <w:r>
        <w:t>.</w:t>
      </w:r>
      <w:r w:rsidR="003768E1">
        <w:t xml:space="preserve">  </w:t>
      </w:r>
    </w:p>
    <w:p w14:paraId="2E9E0948" w14:textId="77777777" w:rsidR="008046EA" w:rsidRDefault="008046EA" w:rsidP="00F36A80">
      <w:pPr>
        <w:pStyle w:val="Indent2"/>
      </w:pPr>
      <w:r>
        <w:t>Frontier designs, constructs and installs:</w:t>
      </w:r>
    </w:p>
    <w:p w14:paraId="7FD6CB05" w14:textId="77777777" w:rsidR="008046EA" w:rsidRDefault="008046EA" w:rsidP="008046EA">
      <w:pPr>
        <w:pStyle w:val="Indent2"/>
        <w:numPr>
          <w:ilvl w:val="0"/>
          <w:numId w:val="31"/>
        </w:numPr>
      </w:pPr>
      <w:r>
        <w:t xml:space="preserve">network infrastructure upgrades in brownfield Senior Housing Communities to enable high speed connectivity on existing layer 1 infrastructure (including </w:t>
      </w:r>
      <w:r w:rsidR="005C639F">
        <w:t xml:space="preserve">existing </w:t>
      </w:r>
      <w:r>
        <w:t>copper and HFC</w:t>
      </w:r>
      <w:r w:rsidR="005C639F">
        <w:t xml:space="preserve"> infrastructure</w:t>
      </w:r>
      <w:r>
        <w:t>); and</w:t>
      </w:r>
    </w:p>
    <w:p w14:paraId="6E378409" w14:textId="77777777" w:rsidR="008046EA" w:rsidRDefault="008046EA" w:rsidP="008046EA">
      <w:pPr>
        <w:pStyle w:val="Indent2"/>
        <w:numPr>
          <w:ilvl w:val="0"/>
          <w:numId w:val="31"/>
        </w:numPr>
      </w:pPr>
      <w:r>
        <w:t>turnkey solutions for high speed FTTP connectivity in greenfield Senior Housing Communities.</w:t>
      </w:r>
    </w:p>
    <w:p w14:paraId="62D14BF9" w14:textId="77777777" w:rsidR="00A12726" w:rsidRDefault="003768E1" w:rsidP="00F36A80">
      <w:pPr>
        <w:pStyle w:val="Indent2"/>
      </w:pPr>
      <w:r>
        <w:t xml:space="preserve">Frontier </w:t>
      </w:r>
      <w:r w:rsidR="00903F5F">
        <w:t xml:space="preserve">develops and </w:t>
      </w:r>
      <w:r>
        <w:t xml:space="preserve">operates </w:t>
      </w:r>
      <w:r w:rsidR="00081439">
        <w:t>these n</w:t>
      </w:r>
      <w:r w:rsidR="006F581E">
        <w:t xml:space="preserve">etworks </w:t>
      </w:r>
      <w:r>
        <w:t xml:space="preserve">to deliver </w:t>
      </w:r>
      <w:r w:rsidR="008928A8">
        <w:t xml:space="preserve">high-speed broadband and other </w:t>
      </w:r>
      <w:r w:rsidR="00903F5F">
        <w:t xml:space="preserve">bespoke </w:t>
      </w:r>
      <w:r>
        <w:t xml:space="preserve">services </w:t>
      </w:r>
      <w:r w:rsidR="00903F5F">
        <w:t xml:space="preserve">to meet </w:t>
      </w:r>
      <w:r w:rsidR="000B6CA2">
        <w:t xml:space="preserve">the needs of the </w:t>
      </w:r>
      <w:r>
        <w:t xml:space="preserve">operators </w:t>
      </w:r>
      <w:r w:rsidR="000B6CA2">
        <w:t xml:space="preserve">and residents </w:t>
      </w:r>
      <w:r>
        <w:t>of these Senior Housi</w:t>
      </w:r>
      <w:r w:rsidR="000B6CA2">
        <w:t xml:space="preserve">ng </w:t>
      </w:r>
      <w:r w:rsidR="00CA63AC">
        <w:t>Communities</w:t>
      </w:r>
      <w:r w:rsidR="00903F5F">
        <w:t xml:space="preserve"> and which integrate seamlessly onto the operator’s infrastructure and service delivery platforms</w:t>
      </w:r>
      <w:r>
        <w:t xml:space="preserve">.  </w:t>
      </w:r>
      <w:r w:rsidR="006F581E">
        <w:t xml:space="preserve">Services Frontier offers </w:t>
      </w:r>
      <w:r w:rsidR="00081439">
        <w:t xml:space="preserve">over its networks </w:t>
      </w:r>
      <w:r w:rsidR="006F581E">
        <w:t>include</w:t>
      </w:r>
      <w:r w:rsidR="000B6CA2">
        <w:t>:</w:t>
      </w:r>
    </w:p>
    <w:p w14:paraId="125C6F4B" w14:textId="77777777" w:rsidR="001D2BDF" w:rsidRDefault="000B6CA2" w:rsidP="006F581E">
      <w:pPr>
        <w:pStyle w:val="Indent2"/>
        <w:numPr>
          <w:ilvl w:val="0"/>
          <w:numId w:val="31"/>
        </w:numPr>
      </w:pPr>
      <w:r>
        <w:t>telecoms solutions</w:t>
      </w:r>
      <w:r w:rsidR="008928A8">
        <w:t>,</w:t>
      </w:r>
      <w:r>
        <w:t xml:space="preserve"> including broadband, voice and </w:t>
      </w:r>
      <w:r w:rsidR="002F7642">
        <w:t>pay-tv</w:t>
      </w:r>
      <w:r>
        <w:t xml:space="preserve"> bundles</w:t>
      </w:r>
      <w:r w:rsidR="001D2BDF">
        <w:t>;</w:t>
      </w:r>
    </w:p>
    <w:p w14:paraId="7F264FEE" w14:textId="77777777" w:rsidR="00383736" w:rsidRDefault="00104C43" w:rsidP="006F581E">
      <w:pPr>
        <w:pStyle w:val="Indent2"/>
        <w:numPr>
          <w:ilvl w:val="0"/>
          <w:numId w:val="31"/>
        </w:numPr>
      </w:pPr>
      <w:r>
        <w:t>bill certainty</w:t>
      </w:r>
      <w:r w:rsidR="00383736">
        <w:t>;</w:t>
      </w:r>
    </w:p>
    <w:p w14:paraId="7BD56CCC" w14:textId="77777777" w:rsidR="000B6CA2" w:rsidRDefault="001D2BDF" w:rsidP="006F581E">
      <w:pPr>
        <w:pStyle w:val="Indent2"/>
        <w:numPr>
          <w:ilvl w:val="0"/>
          <w:numId w:val="31"/>
        </w:numPr>
      </w:pPr>
      <w:r>
        <w:t>“</w:t>
      </w:r>
      <w:r w:rsidR="000B6CA2">
        <w:t>seniors friendly</w:t>
      </w:r>
      <w:r>
        <w:t>” installation and help desk</w:t>
      </w:r>
      <w:r w:rsidR="000B6CA2">
        <w:t xml:space="preserve"> support;</w:t>
      </w:r>
      <w:r w:rsidR="008928A8">
        <w:t xml:space="preserve"> and</w:t>
      </w:r>
    </w:p>
    <w:p w14:paraId="45BBBA61" w14:textId="77777777" w:rsidR="000B6CA2" w:rsidRDefault="002F7642" w:rsidP="006F581E">
      <w:pPr>
        <w:pStyle w:val="Indent2"/>
        <w:numPr>
          <w:ilvl w:val="0"/>
          <w:numId w:val="31"/>
        </w:numPr>
      </w:pPr>
      <w:r>
        <w:lastRenderedPageBreak/>
        <w:t>Telehealth</w:t>
      </w:r>
      <w:r w:rsidR="008046EA">
        <w:t xml:space="preserve"> </w:t>
      </w:r>
      <w:r w:rsidR="000B6CA2">
        <w:t xml:space="preserve">solutions including emergency response, </w:t>
      </w:r>
      <w:r w:rsidR="00081439">
        <w:t xml:space="preserve">medical alarm, </w:t>
      </w:r>
      <w:r w:rsidR="000B6CA2">
        <w:t>smoke alarm</w:t>
      </w:r>
      <w:r w:rsidR="003B7E5A">
        <w:t>,</w:t>
      </w:r>
      <w:r w:rsidR="00EE1FA5">
        <w:t xml:space="preserve"> backup battery</w:t>
      </w:r>
      <w:r w:rsidR="00081439">
        <w:t xml:space="preserve"> and</w:t>
      </w:r>
      <w:r w:rsidR="000B6CA2">
        <w:t xml:space="preserve"> inactivity monitoring services</w:t>
      </w:r>
      <w:r w:rsidR="008928A8">
        <w:t>.</w:t>
      </w:r>
    </w:p>
    <w:p w14:paraId="4DEA0736" w14:textId="77777777" w:rsidR="00F36A80" w:rsidRDefault="00F36A80" w:rsidP="00F36A80">
      <w:pPr>
        <w:pStyle w:val="Heading2"/>
      </w:pPr>
      <w:r>
        <w:t>Frontier services</w:t>
      </w:r>
      <w:r w:rsidR="00E70B96">
        <w:t xml:space="preserve"> in operation</w:t>
      </w:r>
    </w:p>
    <w:p w14:paraId="262372A4" w14:textId="0E98B18C" w:rsidR="00982B1C" w:rsidRDefault="00AB3EB4" w:rsidP="00120590">
      <w:pPr>
        <w:pStyle w:val="Indent2"/>
      </w:pPr>
      <w:r>
        <w:t>Today, Frontier Networks pass approximately</w:t>
      </w:r>
      <w:r w:rsidR="002B7832">
        <w:t xml:space="preserve"> </w:t>
      </w:r>
      <w:r w:rsidR="002B7832" w:rsidRPr="002B7832">
        <w:rPr>
          <w:highlight w:val="yellow"/>
        </w:rPr>
        <w:t>[c-i-c]</w:t>
      </w:r>
      <w:r w:rsidR="002B7832">
        <w:t xml:space="preserve"> </w:t>
      </w:r>
      <w:r>
        <w:t>independent living units, service</w:t>
      </w:r>
      <w:r w:rsidR="00E36A40">
        <w:t>d</w:t>
      </w:r>
      <w:r>
        <w:t xml:space="preserve"> apartments and aged care beds in Senior Housing Communities, and </w:t>
      </w:r>
      <w:r w:rsidR="00982B1C">
        <w:t xml:space="preserve">there are </w:t>
      </w:r>
      <w:r>
        <w:t>approximately</w:t>
      </w:r>
      <w:r w:rsidR="002B7832">
        <w:t xml:space="preserve"> </w:t>
      </w:r>
      <w:r w:rsidR="002B7832" w:rsidRPr="002B7832">
        <w:rPr>
          <w:highlight w:val="yellow"/>
        </w:rPr>
        <w:t>[c-i-c]</w:t>
      </w:r>
      <w:r w:rsidR="002B7832">
        <w:t xml:space="preserve"> </w:t>
      </w:r>
      <w:r w:rsidR="00982B1C">
        <w:t>services in operation over Frontier Networks</w:t>
      </w:r>
      <w:r>
        <w:t>.</w:t>
      </w:r>
      <w:bookmarkStart w:id="2" w:name="_GoBack"/>
      <w:bookmarkEnd w:id="2"/>
    </w:p>
    <w:p w14:paraId="38F1D71E" w14:textId="77777777" w:rsidR="00A12726" w:rsidRDefault="00982B1C" w:rsidP="00120590">
      <w:pPr>
        <w:pStyle w:val="Indent2"/>
      </w:pPr>
      <w:r>
        <w:t xml:space="preserve">Frontier </w:t>
      </w:r>
      <w:r w:rsidR="00AB3EB4">
        <w:t>forecast</w:t>
      </w:r>
      <w:r>
        <w:t>s</w:t>
      </w:r>
      <w:r w:rsidR="00AB3EB4">
        <w:t xml:space="preserve"> that within 3-5 years, Frontier Networks will pass approximately </w:t>
      </w:r>
      <w:r w:rsidR="002B7832" w:rsidRPr="002B7832">
        <w:rPr>
          <w:highlight w:val="yellow"/>
        </w:rPr>
        <w:t>[c-i-c]</w:t>
      </w:r>
      <w:r w:rsidR="002B7832">
        <w:t xml:space="preserve"> </w:t>
      </w:r>
      <w:r w:rsidR="00AB3EB4" w:rsidRPr="001417C6">
        <w:t>units</w:t>
      </w:r>
      <w:r w:rsidR="00AB3EB4">
        <w:t xml:space="preserve">, apartments and beds in Senior Housing Communities, and </w:t>
      </w:r>
      <w:r>
        <w:t xml:space="preserve">deliver services to </w:t>
      </w:r>
      <w:r w:rsidR="00AB3EB4">
        <w:t>approximately</w:t>
      </w:r>
      <w:r w:rsidR="002B7832">
        <w:t xml:space="preserve"> </w:t>
      </w:r>
      <w:r w:rsidR="002B7832" w:rsidRPr="002B7832">
        <w:rPr>
          <w:highlight w:val="yellow"/>
        </w:rPr>
        <w:t>[c-i-c]</w:t>
      </w:r>
      <w:r w:rsidR="002B7832">
        <w:t xml:space="preserve"> </w:t>
      </w:r>
      <w:r>
        <w:t>subscribers</w:t>
      </w:r>
      <w:r w:rsidR="00AB3EB4">
        <w:t>.</w:t>
      </w:r>
    </w:p>
    <w:p w14:paraId="30D67610" w14:textId="77777777" w:rsidR="005637EA" w:rsidRDefault="005637EA" w:rsidP="005637EA">
      <w:pPr>
        <w:pStyle w:val="Indent2"/>
      </w:pPr>
      <w:r>
        <w:t xml:space="preserve">Accordingly, Frontier considers </w:t>
      </w:r>
      <w:r w:rsidR="00104C43">
        <w:t xml:space="preserve">that it is, and will remain, </w:t>
      </w:r>
      <w:r>
        <w:t xml:space="preserve">a ‘small provider’ of </w:t>
      </w:r>
      <w:r w:rsidR="00120590">
        <w:t xml:space="preserve">ISP </w:t>
      </w:r>
      <w:r>
        <w:t xml:space="preserve">services. </w:t>
      </w:r>
    </w:p>
    <w:p w14:paraId="2E7C0753" w14:textId="77777777" w:rsidR="00F36A80" w:rsidRDefault="006E21CF" w:rsidP="00A12726">
      <w:pPr>
        <w:pStyle w:val="Heading1"/>
      </w:pPr>
      <w:r>
        <w:t>Effect of t</w:t>
      </w:r>
      <w:r w:rsidR="00A12726">
        <w:t xml:space="preserve">he proposed </w:t>
      </w:r>
      <w:r w:rsidR="00526262">
        <w:t xml:space="preserve">Networks </w:t>
      </w:r>
      <w:r w:rsidR="00D97646">
        <w:t>CLC</w:t>
      </w:r>
      <w:r w:rsidR="00A12726">
        <w:t xml:space="preserve"> </w:t>
      </w:r>
      <w:r>
        <w:t>on Frontier, competition and end-users</w:t>
      </w:r>
    </w:p>
    <w:p w14:paraId="6731C7E0" w14:textId="77777777" w:rsidR="00D97646" w:rsidRDefault="00D97646" w:rsidP="009E309C">
      <w:pPr>
        <w:pStyle w:val="Indent2"/>
      </w:pPr>
      <w:r>
        <w:t xml:space="preserve">The proposed CLC on Networks in New Developments </w:t>
      </w:r>
      <w:r w:rsidRPr="00D97646">
        <w:rPr>
          <w:b/>
        </w:rPr>
        <w:t>(Networks CLC)</w:t>
      </w:r>
      <w:r>
        <w:t xml:space="preserve"> is fundamentally flawed:</w:t>
      </w:r>
    </w:p>
    <w:p w14:paraId="7BCDDC93" w14:textId="77777777" w:rsidR="00D97646" w:rsidRDefault="00B86599" w:rsidP="00D97646">
      <w:pPr>
        <w:pStyle w:val="Indent2"/>
        <w:numPr>
          <w:ilvl w:val="0"/>
          <w:numId w:val="35"/>
        </w:numPr>
      </w:pPr>
      <w:r>
        <w:rPr>
          <w:b/>
        </w:rPr>
        <w:t>it us</w:t>
      </w:r>
      <w:r w:rsidRPr="00B86599">
        <w:rPr>
          <w:b/>
        </w:rPr>
        <w:t>urps the ACCC’s SBAS inquiry</w:t>
      </w:r>
      <w:r>
        <w:t>:</w:t>
      </w:r>
      <w:r w:rsidR="00A31A63">
        <w:t xml:space="preserve"> </w:t>
      </w:r>
      <w:r w:rsidR="003543E0">
        <w:t xml:space="preserve">Condition 5(3)(f) requires </w:t>
      </w:r>
      <w:r w:rsidR="00D97646">
        <w:t xml:space="preserve">carriers to have contracts with at least three carriage service providers to offer retail services in </w:t>
      </w:r>
      <w:r w:rsidR="00E948BE">
        <w:t>a new</w:t>
      </w:r>
      <w:r w:rsidR="00D97646">
        <w:t xml:space="preserve"> development </w:t>
      </w:r>
      <w:r w:rsidR="00D97646" w:rsidRPr="00D97646">
        <w:rPr>
          <w:b/>
        </w:rPr>
        <w:t>(3 CSP Obligation)</w:t>
      </w:r>
      <w:r w:rsidR="003543E0" w:rsidRPr="003543E0">
        <w:t>.  This</w:t>
      </w:r>
      <w:r w:rsidR="00D97646">
        <w:t xml:space="preserve"> would entirely usurp the ACCC’s current inquiry into </w:t>
      </w:r>
      <w:r w:rsidR="00E948BE">
        <w:t>the</w:t>
      </w:r>
      <w:r w:rsidR="00D97646">
        <w:t xml:space="preserve"> declaration of a Superfast Broadband Access Service </w:t>
      </w:r>
      <w:r w:rsidR="00D97646">
        <w:rPr>
          <w:b/>
        </w:rPr>
        <w:t>(SBAS)</w:t>
      </w:r>
      <w:r w:rsidR="00D97646">
        <w:t>.  That inquiry will determine both whether mandating access to such services is in the long term interest of end users, and if so, whether there should be an exemption for small carriers like Frontier because of the high costs of setting up wholesale services</w:t>
      </w:r>
      <w:r>
        <w:t xml:space="preserve">.  It is entirely inappropriate for a CLC to make redundant </w:t>
      </w:r>
      <w:r w:rsidR="003543E0">
        <w:t>a current</w:t>
      </w:r>
      <w:r w:rsidR="00A31A63">
        <w:t xml:space="preserve"> ACCC</w:t>
      </w:r>
      <w:r w:rsidR="003543E0">
        <w:t xml:space="preserve"> </w:t>
      </w:r>
      <w:r>
        <w:t>inquiry and for the Minister to substitute his view of what access is required for that of the expert</w:t>
      </w:r>
      <w:r w:rsidR="00E948BE">
        <w:t xml:space="preserve"> </w:t>
      </w:r>
      <w:r w:rsidR="003543E0">
        <w:t>i</w:t>
      </w:r>
      <w:r w:rsidR="00E948BE">
        <w:t>ndependent</w:t>
      </w:r>
      <w:r>
        <w:t xml:space="preserve"> access regulator; </w:t>
      </w:r>
    </w:p>
    <w:p w14:paraId="2393EB71" w14:textId="77777777" w:rsidR="00B86599" w:rsidRDefault="00B86599" w:rsidP="00B86599">
      <w:pPr>
        <w:pStyle w:val="Indent2"/>
        <w:numPr>
          <w:ilvl w:val="0"/>
          <w:numId w:val="35"/>
        </w:numPr>
      </w:pPr>
      <w:r w:rsidRPr="00B86599">
        <w:rPr>
          <w:b/>
        </w:rPr>
        <w:t>the 3 CSP Obligation makes no commercial sense</w:t>
      </w:r>
      <w:r>
        <w:rPr>
          <w:b/>
        </w:rPr>
        <w:t>:</w:t>
      </w:r>
      <w:r>
        <w:t xml:space="preserve"> for many </w:t>
      </w:r>
      <w:r w:rsidR="00E948BE">
        <w:t xml:space="preserve">new </w:t>
      </w:r>
      <w:r>
        <w:t xml:space="preserve">developments there may be no CSP interest in supplying retail services (let alone there being three </w:t>
      </w:r>
      <w:r w:rsidR="003543E0">
        <w:t>interested</w:t>
      </w:r>
      <w:r>
        <w:t xml:space="preserve"> </w:t>
      </w:r>
      <w:r w:rsidR="00E948BE">
        <w:t>CSPs</w:t>
      </w:r>
      <w:r>
        <w:t xml:space="preserve">).  As noted in Frontier’s submission to the SBAS </w:t>
      </w:r>
      <w:r w:rsidR="00E948BE">
        <w:t>i</w:t>
      </w:r>
      <w:r>
        <w:t>nquiry</w:t>
      </w:r>
      <w:r w:rsidR="006F7FF2">
        <w:t xml:space="preserve"> </w:t>
      </w:r>
      <w:r w:rsidR="006F7FF2">
        <w:rPr>
          <w:b/>
        </w:rPr>
        <w:t xml:space="preserve">(SBAS Submission)  </w:t>
      </w:r>
      <w:r w:rsidR="006F7FF2" w:rsidRPr="006F7FF2">
        <w:t>(</w:t>
      </w:r>
      <w:r w:rsidR="006F7FF2" w:rsidRPr="002A7FF2">
        <w:rPr>
          <w:u w:val="single"/>
        </w:rPr>
        <w:t>see attached</w:t>
      </w:r>
      <w:r w:rsidR="006F7FF2" w:rsidRPr="006F7FF2">
        <w:t>)</w:t>
      </w:r>
      <w:r>
        <w:t>:</w:t>
      </w:r>
    </w:p>
    <w:p w14:paraId="7CBC0139" w14:textId="77777777" w:rsidR="00B86599" w:rsidRPr="00B86599" w:rsidRDefault="00B86599" w:rsidP="00B86599">
      <w:pPr>
        <w:pStyle w:val="Indent2"/>
        <w:ind w:left="2211"/>
        <w:rPr>
          <w:i/>
        </w:rPr>
      </w:pPr>
      <w:r w:rsidRPr="00B86599">
        <w:rPr>
          <w:i/>
        </w:rPr>
        <w:t>The ACCC notes at page vi of the Draft SBAS Declaration that there may be “limitations on revenue opportunities due to the small addressable market” in certain developments.</w:t>
      </w:r>
    </w:p>
    <w:p w14:paraId="5387EA3B" w14:textId="77777777" w:rsidR="00B86599" w:rsidRDefault="00B86599" w:rsidP="00B86599">
      <w:pPr>
        <w:pStyle w:val="Indent2"/>
        <w:ind w:left="2211"/>
        <w:rPr>
          <w:i/>
        </w:rPr>
      </w:pPr>
      <w:r w:rsidRPr="00B86599">
        <w:rPr>
          <w:i/>
        </w:rPr>
        <w:t xml:space="preserve">Typically, each retirement community served by a Frontier Network has between </w:t>
      </w:r>
      <w:r w:rsidRPr="00B86599">
        <w:rPr>
          <w:i/>
          <w:highlight w:val="yellow"/>
        </w:rPr>
        <w:t>[c-i-c]</w:t>
      </w:r>
      <w:r w:rsidRPr="002F7642">
        <w:rPr>
          <w:i/>
        </w:rPr>
        <w:t>and</w:t>
      </w:r>
      <w:r w:rsidRPr="00B86599">
        <w:rPr>
          <w:i/>
          <w:highlight w:val="yellow"/>
        </w:rPr>
        <w:t>[c-i-c]</w:t>
      </w:r>
      <w:r w:rsidRPr="00B86599">
        <w:rPr>
          <w:i/>
        </w:rPr>
        <w:t xml:space="preserve"> potential subscribers.  Given the small size of the addressable market and the high costs to develop a system to order, activate, interconnect and bill this addressable market, Frontier submits that it would not be economically viable for retail service providers to access the SBAS over Frontier Networks.</w:t>
      </w:r>
    </w:p>
    <w:p w14:paraId="2031C376" w14:textId="77777777" w:rsidR="00B86599" w:rsidRPr="00B86599" w:rsidRDefault="00B86599" w:rsidP="00B86599">
      <w:pPr>
        <w:pStyle w:val="FootnoteText"/>
        <w:ind w:left="2211" w:firstLine="0"/>
        <w:rPr>
          <w:i/>
        </w:rPr>
      </w:pPr>
      <w:r w:rsidRPr="00B86599">
        <w:rPr>
          <w:i/>
        </w:rPr>
        <w:t>Frontier notes that there are only two service providers other than Telstra who supply services over Telstra’s South Brisbane fibre network.  As the South Brisbane fibre network covers an entire high-density suburb, it is likely retail service provider demand for access to Frontier Networks (covering a retirement community only) will be even lower (see page 29 of the Draft</w:t>
      </w:r>
      <w:r>
        <w:rPr>
          <w:i/>
        </w:rPr>
        <w:t xml:space="preserve"> SBAS Decision)</w:t>
      </w:r>
      <w:r w:rsidR="00CA63AC">
        <w:rPr>
          <w:i/>
        </w:rPr>
        <w:t>…</w:t>
      </w:r>
      <w:r>
        <w:rPr>
          <w:i/>
        </w:rPr>
        <w:t>.</w:t>
      </w:r>
    </w:p>
    <w:p w14:paraId="30243A2B" w14:textId="77777777" w:rsidR="00B86599" w:rsidRPr="00B86599" w:rsidRDefault="00B86599" w:rsidP="00B86599">
      <w:pPr>
        <w:pStyle w:val="Indent2"/>
        <w:ind w:left="2211"/>
        <w:rPr>
          <w:i/>
        </w:rPr>
      </w:pPr>
      <w:r>
        <w:rPr>
          <w:i/>
        </w:rPr>
        <w:t>…</w:t>
      </w:r>
    </w:p>
    <w:p w14:paraId="78D85537" w14:textId="77777777" w:rsidR="00B86599" w:rsidRPr="00B86599" w:rsidRDefault="00B86599" w:rsidP="00B86599">
      <w:pPr>
        <w:pStyle w:val="Indent2"/>
        <w:ind w:left="2211"/>
        <w:rPr>
          <w:i/>
        </w:rPr>
      </w:pPr>
      <w:r w:rsidRPr="00B86599">
        <w:rPr>
          <w:i/>
        </w:rPr>
        <w:lastRenderedPageBreak/>
        <w:t xml:space="preserve">In addition, services are not sold over Frontier Networks by Frontier itself, but by the management of the relevant retirement community.  In Frontier’s experience, this model is strongly preferred by retirement community residents.  It is unlikely that other retail service providers would be able to sell services over Frontier Networks via these channels, and as such, there may not be significant demand from end-users for services provided over Frontier Networks by other retail service providers.  In this case, as above, declaring an SBAS will not promote competition in the downstream markets for retail superfast broadband services. </w:t>
      </w:r>
    </w:p>
    <w:p w14:paraId="1E4A17C4" w14:textId="77777777" w:rsidR="00B86599" w:rsidRDefault="006F7FF2" w:rsidP="00B86599">
      <w:pPr>
        <w:pStyle w:val="Indent2"/>
        <w:numPr>
          <w:ilvl w:val="0"/>
          <w:numId w:val="35"/>
        </w:numPr>
      </w:pPr>
      <w:r>
        <w:rPr>
          <w:b/>
        </w:rPr>
        <w:t>the 3 CS</w:t>
      </w:r>
      <w:r w:rsidR="00035D3F">
        <w:rPr>
          <w:b/>
        </w:rPr>
        <w:t>P</w:t>
      </w:r>
      <w:r>
        <w:rPr>
          <w:b/>
        </w:rPr>
        <w:t xml:space="preserve"> Obligation will impose </w:t>
      </w:r>
      <w:r w:rsidR="00D20FAD">
        <w:rPr>
          <w:b/>
        </w:rPr>
        <w:t>very substantial</w:t>
      </w:r>
      <w:r>
        <w:rPr>
          <w:b/>
        </w:rPr>
        <w:t xml:space="preserve"> compliance costs on small carriers adversely affecting their ability to compete: </w:t>
      </w:r>
      <w:r>
        <w:t xml:space="preserve"> as noted in the SBAS Submission:</w:t>
      </w:r>
    </w:p>
    <w:p w14:paraId="1B7E8C8D" w14:textId="77777777" w:rsidR="006F7FF2" w:rsidRPr="006F7FF2" w:rsidRDefault="006F7FF2" w:rsidP="00370C19">
      <w:pPr>
        <w:pStyle w:val="Indent2"/>
        <w:ind w:left="1834"/>
        <w:rPr>
          <w:i/>
        </w:rPr>
      </w:pPr>
      <w:r w:rsidRPr="006F7FF2">
        <w:rPr>
          <w:i/>
        </w:rPr>
        <w:t>To implement the SBAS declaration, Frontier would need to develop, test and launch:</w:t>
      </w:r>
    </w:p>
    <w:p w14:paraId="60E2C899" w14:textId="77777777" w:rsidR="006F7FF2" w:rsidRPr="006F7FF2" w:rsidRDefault="006F7FF2" w:rsidP="006F7FF2">
      <w:pPr>
        <w:pStyle w:val="Indent2"/>
        <w:numPr>
          <w:ilvl w:val="0"/>
          <w:numId w:val="22"/>
        </w:numPr>
        <w:ind w:left="2194"/>
        <w:rPr>
          <w:i/>
        </w:rPr>
      </w:pPr>
      <w:r w:rsidRPr="006F7FF2">
        <w:rPr>
          <w:i/>
        </w:rPr>
        <w:t xml:space="preserve">a wholesale service for retail service providers for each Frontier Network, noting that not all Frontier Networks use the same technology, and as a result, that at least 3 separate wholesale broadband products would need to be developed; </w:t>
      </w:r>
    </w:p>
    <w:p w14:paraId="77368B71" w14:textId="77777777" w:rsidR="006F7FF2" w:rsidRPr="006F7FF2" w:rsidRDefault="006F7FF2" w:rsidP="006F7FF2">
      <w:pPr>
        <w:pStyle w:val="Indent2"/>
        <w:numPr>
          <w:ilvl w:val="0"/>
          <w:numId w:val="22"/>
        </w:numPr>
        <w:ind w:left="2194"/>
        <w:rPr>
          <w:i/>
        </w:rPr>
      </w:pPr>
      <w:r w:rsidRPr="006F7FF2">
        <w:rPr>
          <w:i/>
        </w:rPr>
        <w:t>a Layer 2 service for each Frontier Network, noting that not all Frontier Networks use the same technology, and as a result, that at least 3 separate Layer 2 products would need to be developed;</w:t>
      </w:r>
    </w:p>
    <w:p w14:paraId="0290638B" w14:textId="77777777" w:rsidR="006F7FF2" w:rsidRPr="006F7FF2" w:rsidRDefault="006F7FF2" w:rsidP="006F7FF2">
      <w:pPr>
        <w:pStyle w:val="Indent2"/>
        <w:numPr>
          <w:ilvl w:val="0"/>
          <w:numId w:val="22"/>
        </w:numPr>
        <w:ind w:left="2194"/>
        <w:rPr>
          <w:i/>
        </w:rPr>
      </w:pPr>
      <w:r w:rsidRPr="006F7FF2">
        <w:rPr>
          <w:i/>
        </w:rPr>
        <w:t xml:space="preserve">a business to business order to activate software system, and a new billing system, to permit retail service providers to sell retail products over Frontier Networks; </w:t>
      </w:r>
    </w:p>
    <w:p w14:paraId="784777C7" w14:textId="77777777" w:rsidR="006F7FF2" w:rsidRPr="006F7FF2" w:rsidRDefault="006F7FF2" w:rsidP="006F7FF2">
      <w:pPr>
        <w:pStyle w:val="Indent2"/>
        <w:numPr>
          <w:ilvl w:val="0"/>
          <w:numId w:val="22"/>
        </w:numPr>
        <w:ind w:left="2194"/>
        <w:rPr>
          <w:i/>
        </w:rPr>
      </w:pPr>
      <w:r w:rsidRPr="006F7FF2">
        <w:rPr>
          <w:i/>
        </w:rPr>
        <w:t>a point of interconnection for access seekers to access each Frontier Network (noting that these networks were not designed to permit backhaul fibre from multiple providers to interconnect, and so the costs of ensuring technical feasibility to supply an SBAS are likely to be prohibitive for Frontier); and</w:t>
      </w:r>
    </w:p>
    <w:p w14:paraId="68CAF48B" w14:textId="77777777" w:rsidR="006F7FF2" w:rsidRPr="006F7FF2" w:rsidRDefault="006F7FF2" w:rsidP="006F7FF2">
      <w:pPr>
        <w:pStyle w:val="Indent2"/>
        <w:numPr>
          <w:ilvl w:val="0"/>
          <w:numId w:val="22"/>
        </w:numPr>
        <w:ind w:left="2194"/>
        <w:rPr>
          <w:i/>
        </w:rPr>
      </w:pPr>
      <w:r w:rsidRPr="006F7FF2">
        <w:rPr>
          <w:i/>
        </w:rPr>
        <w:t>fault reporting and management tools and resources for the above services/systems.</w:t>
      </w:r>
    </w:p>
    <w:p w14:paraId="4D1474F4" w14:textId="77777777" w:rsidR="006F7FF2" w:rsidRPr="006F7FF2" w:rsidRDefault="006F7FF2" w:rsidP="006F7FF2">
      <w:pPr>
        <w:pStyle w:val="Indent2"/>
        <w:ind w:left="1834"/>
        <w:rPr>
          <w:i/>
        </w:rPr>
      </w:pPr>
      <w:r w:rsidRPr="006F7FF2">
        <w:rPr>
          <w:i/>
        </w:rPr>
        <w:t>Frontier would, in effect, need to establish a stand-alone wholesale-only carrier.</w:t>
      </w:r>
    </w:p>
    <w:p w14:paraId="24D7832B" w14:textId="77777777" w:rsidR="006F7FF2" w:rsidRDefault="006F7FF2" w:rsidP="006F7FF2">
      <w:pPr>
        <w:pStyle w:val="Indent2"/>
        <w:ind w:left="1834"/>
        <w:rPr>
          <w:i/>
        </w:rPr>
      </w:pPr>
      <w:r w:rsidRPr="006F7FF2">
        <w:rPr>
          <w:i/>
        </w:rPr>
        <w:t>Frontier‘s best estimate is that implementing the SBAS declaration</w:t>
      </w:r>
      <w:r w:rsidR="002F7642">
        <w:rPr>
          <w:i/>
        </w:rPr>
        <w:t xml:space="preserve"> [would cost Frontier] </w:t>
      </w:r>
      <w:r w:rsidRPr="006F7FF2">
        <w:rPr>
          <w:i/>
        </w:rPr>
        <w:t xml:space="preserve"> </w:t>
      </w:r>
      <w:r w:rsidRPr="006F7FF2">
        <w:rPr>
          <w:i/>
          <w:highlight w:val="yellow"/>
        </w:rPr>
        <w:t>[c-i-c]]</w:t>
      </w:r>
    </w:p>
    <w:p w14:paraId="7ACFC9E1" w14:textId="77777777" w:rsidR="007220A9" w:rsidRDefault="007220A9" w:rsidP="007220A9">
      <w:pPr>
        <w:pStyle w:val="Indent2"/>
        <w:ind w:left="1834"/>
        <w:rPr>
          <w:i/>
        </w:rPr>
      </w:pPr>
      <w:r>
        <w:rPr>
          <w:i/>
        </w:rPr>
        <w:t>…</w:t>
      </w:r>
    </w:p>
    <w:p w14:paraId="1080C4F6" w14:textId="77777777" w:rsidR="00035D3F" w:rsidRPr="00035D3F" w:rsidRDefault="00035D3F" w:rsidP="006F7FF2">
      <w:pPr>
        <w:pStyle w:val="Indent2"/>
        <w:ind w:left="1834"/>
        <w:rPr>
          <w:b/>
          <w:i/>
        </w:rPr>
      </w:pPr>
      <w:r w:rsidRPr="00035D3F">
        <w:rPr>
          <w:b/>
          <w:i/>
        </w:rPr>
        <w:t>Effect on Frontier prices</w:t>
      </w:r>
    </w:p>
    <w:p w14:paraId="3710CD89" w14:textId="77777777" w:rsidR="00035D3F" w:rsidRPr="00035D3F" w:rsidRDefault="00035D3F" w:rsidP="00035D3F">
      <w:pPr>
        <w:pStyle w:val="Indent2"/>
        <w:ind w:left="1834"/>
        <w:rPr>
          <w:i/>
        </w:rPr>
      </w:pPr>
      <w:r w:rsidRPr="00035D3F">
        <w:rPr>
          <w:i/>
        </w:rPr>
        <w:t>As Frontier is a small network provider, with no ability to cross subsidise between products, the impact of these costs on Frontier is disproportionately heavy, particularly as Frontier has not previously wholesaled any of its services to retail service providers.</w:t>
      </w:r>
    </w:p>
    <w:p w14:paraId="1AA9D524" w14:textId="77777777" w:rsidR="007220A9" w:rsidRDefault="007220A9" w:rsidP="00035D3F">
      <w:pPr>
        <w:pStyle w:val="Indent2"/>
        <w:ind w:left="1834"/>
        <w:rPr>
          <w:i/>
        </w:rPr>
      </w:pPr>
      <w:r>
        <w:rPr>
          <w:i/>
        </w:rPr>
        <w:t>…</w:t>
      </w:r>
    </w:p>
    <w:p w14:paraId="00628DCA" w14:textId="77777777" w:rsidR="00035D3F" w:rsidRDefault="00035D3F" w:rsidP="007220A9">
      <w:pPr>
        <w:pStyle w:val="Indent2"/>
        <w:ind w:left="1834"/>
        <w:rPr>
          <w:b/>
          <w:i/>
        </w:rPr>
      </w:pPr>
      <w:r>
        <w:rPr>
          <w:b/>
          <w:i/>
        </w:rPr>
        <w:t>Effect on Competition</w:t>
      </w:r>
    </w:p>
    <w:p w14:paraId="5FE62B57" w14:textId="77777777" w:rsidR="007220A9" w:rsidRDefault="00035D3F" w:rsidP="007220A9">
      <w:pPr>
        <w:pStyle w:val="Indent2"/>
        <w:ind w:left="1834"/>
        <w:rPr>
          <w:i/>
        </w:rPr>
      </w:pPr>
      <w:r w:rsidRPr="00035D3F">
        <w:rPr>
          <w:i/>
        </w:rPr>
        <w:lastRenderedPageBreak/>
        <w:t>Were smaller providers not exempt from the SBAS declaration, Frontier submits that small providers would be at a competitive disadvantage to construct new networks; larger providers who can absorb the compliance costs (or who would not need to incur significant implementation costs) would be at a significant advantage in the market, reducing overall competition and economically efficient investment in telecommunications infrastructure.</w:t>
      </w:r>
    </w:p>
    <w:p w14:paraId="1C1981D9" w14:textId="77777777" w:rsidR="007220A9" w:rsidRDefault="00035D3F" w:rsidP="007220A9">
      <w:pPr>
        <w:pStyle w:val="Indent2"/>
        <w:ind w:left="1834"/>
        <w:rPr>
          <w:i/>
        </w:rPr>
      </w:pPr>
      <w:r w:rsidRPr="00035D3F">
        <w:rPr>
          <w:i/>
        </w:rPr>
        <w:t>This is not in the long-term interests of end-users, who benefit from the price and technological competition of a greater number of diverse providers in the market.</w:t>
      </w:r>
    </w:p>
    <w:p w14:paraId="19973082" w14:textId="77777777" w:rsidR="00035D3F" w:rsidRPr="00035D3F" w:rsidRDefault="00035D3F" w:rsidP="007220A9">
      <w:pPr>
        <w:pStyle w:val="Indent2"/>
        <w:ind w:left="1834"/>
        <w:rPr>
          <w:i/>
        </w:rPr>
      </w:pPr>
      <w:r w:rsidRPr="00035D3F">
        <w:rPr>
          <w:i/>
        </w:rPr>
        <w:t>The ACCC notes on page 5 of the Draft SBAS Declaration that:</w:t>
      </w:r>
    </w:p>
    <w:p w14:paraId="582CBA6D" w14:textId="77777777" w:rsidR="00035D3F" w:rsidRDefault="00035D3F" w:rsidP="007220A9">
      <w:pPr>
        <w:pStyle w:val="Indent2"/>
        <w:ind w:left="2211" w:right="991"/>
        <w:jc w:val="both"/>
        <w:rPr>
          <w:i/>
        </w:rPr>
      </w:pPr>
      <w:r w:rsidRPr="00035D3F">
        <w:rPr>
          <w:i/>
        </w:rPr>
        <w:t>An access regime must not discourage investment in networks or network elements where such investment is efficient.</w:t>
      </w:r>
    </w:p>
    <w:p w14:paraId="46F8C136" w14:textId="77777777" w:rsidR="003D551F" w:rsidRDefault="003D551F" w:rsidP="006F7FF2">
      <w:pPr>
        <w:pStyle w:val="Indent2"/>
        <w:numPr>
          <w:ilvl w:val="0"/>
          <w:numId w:val="35"/>
        </w:numPr>
      </w:pPr>
      <w:r w:rsidRPr="003D551F">
        <w:rPr>
          <w:b/>
        </w:rPr>
        <w:t xml:space="preserve">the mandated service levels </w:t>
      </w:r>
      <w:r w:rsidR="003543E0">
        <w:rPr>
          <w:b/>
        </w:rPr>
        <w:t>lack technical</w:t>
      </w:r>
      <w:r w:rsidR="00632B05">
        <w:rPr>
          <w:b/>
        </w:rPr>
        <w:t xml:space="preserve"> neutrality</w:t>
      </w:r>
      <w:r w:rsidR="00A31A63">
        <w:rPr>
          <w:b/>
        </w:rPr>
        <w:t xml:space="preserve"> and are very vague</w:t>
      </w:r>
      <w:r w:rsidR="00632B05">
        <w:rPr>
          <w:b/>
        </w:rPr>
        <w:t>:</w:t>
      </w:r>
      <w:r w:rsidRPr="003D551F">
        <w:t xml:space="preserve"> the carrier</w:t>
      </w:r>
      <w:r>
        <w:t xml:space="preserve"> networks must be “</w:t>
      </w:r>
      <w:r>
        <w:rPr>
          <w:i/>
        </w:rPr>
        <w:t xml:space="preserve">capable of keeping up with the technology of the fixed line national broadband network as set out in the </w:t>
      </w:r>
      <w:r>
        <w:t xml:space="preserve"> </w:t>
      </w:r>
      <w:r>
        <w:rPr>
          <w:i/>
        </w:rPr>
        <w:t>[NBN] corporate plan from time to time”</w:t>
      </w:r>
      <w:r w:rsidR="003543E0">
        <w:rPr>
          <w:i/>
        </w:rPr>
        <w:t xml:space="preserve"> </w:t>
      </w:r>
      <w:r>
        <w:rPr>
          <w:i/>
        </w:rPr>
        <w:t>(</w:t>
      </w:r>
      <w:r w:rsidR="003543E0">
        <w:rPr>
          <w:i/>
        </w:rPr>
        <w:t>C</w:t>
      </w:r>
      <w:r w:rsidR="00632B05">
        <w:rPr>
          <w:i/>
        </w:rPr>
        <w:t xml:space="preserve">ondition </w:t>
      </w:r>
      <w:r>
        <w:rPr>
          <w:i/>
        </w:rPr>
        <w:t>5(3)(b)(i))</w:t>
      </w:r>
      <w:r>
        <w:t xml:space="preserve">. This is astonishing public policy requiring all carriers to adopt </w:t>
      </w:r>
      <w:r w:rsidR="00703C4A">
        <w:t>whatever</w:t>
      </w:r>
      <w:r>
        <w:t xml:space="preserve"> technology </w:t>
      </w:r>
      <w:r w:rsidR="00A31A63">
        <w:t xml:space="preserve">is </w:t>
      </w:r>
      <w:r>
        <w:t>chosen by</w:t>
      </w:r>
      <w:r w:rsidR="003543E0">
        <w:t xml:space="preserve"> </w:t>
      </w:r>
      <w:r>
        <w:t xml:space="preserve">NBN </w:t>
      </w:r>
      <w:r w:rsidR="00A31A63">
        <w:t>over</w:t>
      </w:r>
      <w:r w:rsidR="00703C4A">
        <w:t xml:space="preserve"> time</w:t>
      </w:r>
      <w:r>
        <w:t xml:space="preserve">. This departs from a key tenet of good regulatory policy – technical neutrality. Also, why should the carriers be required to </w:t>
      </w:r>
      <w:r w:rsidR="003543E0">
        <w:t xml:space="preserve">follow any </w:t>
      </w:r>
      <w:r>
        <w:t>gold</w:t>
      </w:r>
      <w:r w:rsidR="003543E0">
        <w:t>-</w:t>
      </w:r>
      <w:r>
        <w:t>plat</w:t>
      </w:r>
      <w:r w:rsidR="003543E0">
        <w:t>ing</w:t>
      </w:r>
      <w:r>
        <w:t xml:space="preserve"> chosen by the taxpayer-funded NBN?  </w:t>
      </w:r>
      <w:r w:rsidR="00D20FAD">
        <w:t xml:space="preserve">Why not simply let the market decide?  </w:t>
      </w:r>
      <w:r w:rsidR="00703C4A">
        <w:t>W</w:t>
      </w:r>
      <w:r>
        <w:t>hat does “</w:t>
      </w:r>
      <w:r w:rsidRPr="003543E0">
        <w:rPr>
          <w:i/>
        </w:rPr>
        <w:t>capable of keeping up</w:t>
      </w:r>
      <w:r>
        <w:t xml:space="preserve">” mean?  </w:t>
      </w:r>
      <w:r w:rsidR="00D20FAD">
        <w:t>What</w:t>
      </w:r>
      <w:r>
        <w:t xml:space="preserve"> lag </w:t>
      </w:r>
      <w:r w:rsidR="00632B05">
        <w:t xml:space="preserve">would be permitted </w:t>
      </w:r>
      <w:r>
        <w:t xml:space="preserve">between an NBN </w:t>
      </w:r>
      <w:r w:rsidR="00FF397B">
        <w:t>technology</w:t>
      </w:r>
      <w:r w:rsidR="00632B05">
        <w:t xml:space="preserve"> improvement </w:t>
      </w:r>
      <w:r>
        <w:t xml:space="preserve">and </w:t>
      </w:r>
      <w:r w:rsidR="00632B05">
        <w:t xml:space="preserve">the </w:t>
      </w:r>
      <w:r>
        <w:t xml:space="preserve">carrier networks </w:t>
      </w:r>
      <w:r w:rsidR="003543E0">
        <w:t>“</w:t>
      </w:r>
      <w:r w:rsidR="00632B05">
        <w:t>catching up</w:t>
      </w:r>
      <w:r w:rsidR="003543E0">
        <w:t>”</w:t>
      </w:r>
      <w:r>
        <w:t xml:space="preserve">?  </w:t>
      </w:r>
    </w:p>
    <w:p w14:paraId="501917BF" w14:textId="77777777" w:rsidR="00632B05" w:rsidRDefault="00632B05" w:rsidP="006F7FF2">
      <w:pPr>
        <w:pStyle w:val="Indent2"/>
        <w:numPr>
          <w:ilvl w:val="0"/>
          <w:numId w:val="35"/>
        </w:numPr>
      </w:pPr>
      <w:r w:rsidRPr="00CA63AC">
        <w:rPr>
          <w:b/>
        </w:rPr>
        <w:t xml:space="preserve">the mandated service levels are entirely uncommercial: </w:t>
      </w:r>
      <w:r w:rsidRPr="00632B05">
        <w:t>as an example</w:t>
      </w:r>
      <w:r w:rsidR="00460AA2">
        <w:t>,</w:t>
      </w:r>
      <w:r w:rsidRPr="00632B05">
        <w:t xml:space="preserve"> c</w:t>
      </w:r>
      <w:r>
        <w:t>arriers</w:t>
      </w:r>
      <w:r w:rsidRPr="00632B05">
        <w:t xml:space="preserve"> are given </w:t>
      </w:r>
      <w:r w:rsidR="004253DE">
        <w:t xml:space="preserve">only </w:t>
      </w:r>
      <w:r w:rsidRPr="00632B05">
        <w:t>one day to rectify a network fault</w:t>
      </w:r>
      <w:r>
        <w:t xml:space="preserve"> (</w:t>
      </w:r>
      <w:r w:rsidR="003543E0">
        <w:t>C</w:t>
      </w:r>
      <w:r>
        <w:t xml:space="preserve">ondition 5(14)) which is highly likely not to be </w:t>
      </w:r>
      <w:r w:rsidRPr="00632B05">
        <w:t xml:space="preserve">possible if there </w:t>
      </w:r>
      <w:r w:rsidR="002F7642" w:rsidRPr="00632B05">
        <w:t>is a</w:t>
      </w:r>
      <w:r>
        <w:t xml:space="preserve"> cable cut.  This would be less objectionable if the consequences were moderate</w:t>
      </w:r>
      <w:r w:rsidR="00703C4A">
        <w:t xml:space="preserve">, such as the </w:t>
      </w:r>
      <w:r w:rsidR="00FF397B">
        <w:t xml:space="preserve">small customer rebates payable under the </w:t>
      </w:r>
      <w:r w:rsidR="004253DE" w:rsidRPr="00CA63AC">
        <w:rPr>
          <w:i/>
        </w:rPr>
        <w:t>T</w:t>
      </w:r>
      <w:r w:rsidR="00FF397B" w:rsidRPr="00CA63AC">
        <w:rPr>
          <w:i/>
        </w:rPr>
        <w:t>elecommunications</w:t>
      </w:r>
      <w:r w:rsidR="00FF397B">
        <w:t xml:space="preserve"> (</w:t>
      </w:r>
      <w:r w:rsidR="00FF397B" w:rsidRPr="00CA63AC">
        <w:rPr>
          <w:i/>
        </w:rPr>
        <w:t xml:space="preserve">Customer Service </w:t>
      </w:r>
      <w:r w:rsidR="004253DE" w:rsidRPr="00CA63AC">
        <w:rPr>
          <w:i/>
        </w:rPr>
        <w:t>Guarantee</w:t>
      </w:r>
      <w:r w:rsidR="00FF397B">
        <w:t>)</w:t>
      </w:r>
      <w:r w:rsidR="00703C4A">
        <w:t>,</w:t>
      </w:r>
      <w:r>
        <w:t xml:space="preserve"> </w:t>
      </w:r>
      <w:r w:rsidR="00B05F37">
        <w:t xml:space="preserve">or </w:t>
      </w:r>
      <w:r w:rsidR="00703C4A">
        <w:t xml:space="preserve">the </w:t>
      </w:r>
      <w:r w:rsidR="00B05F37">
        <w:t>small rebate</w:t>
      </w:r>
      <w:r w:rsidR="00FF397B">
        <w:t>s</w:t>
      </w:r>
      <w:r w:rsidR="00B05F37">
        <w:t xml:space="preserve"> </w:t>
      </w:r>
      <w:r w:rsidR="00FF397B">
        <w:t xml:space="preserve">for service level breach </w:t>
      </w:r>
      <w:r w:rsidR="00703C4A">
        <w:t xml:space="preserve">found </w:t>
      </w:r>
      <w:r w:rsidR="00B05F37">
        <w:t>in wholesale supply agreement</w:t>
      </w:r>
      <w:r w:rsidR="00703C4A">
        <w:t>s</w:t>
      </w:r>
      <w:r w:rsidR="00FF397B">
        <w:t>.</w:t>
      </w:r>
      <w:r w:rsidR="00B05F37">
        <w:t xml:space="preserve"> </w:t>
      </w:r>
      <w:r w:rsidR="00FF397B">
        <w:t xml:space="preserve"> In particular the remedies offered in NBN and Telstra wholesale </w:t>
      </w:r>
      <w:r w:rsidR="004253DE">
        <w:t>a</w:t>
      </w:r>
      <w:r w:rsidR="00FF397B">
        <w:t>greement</w:t>
      </w:r>
      <w:r w:rsidR="004253DE">
        <w:t>s</w:t>
      </w:r>
      <w:r w:rsidR="00FF397B">
        <w:t xml:space="preserve"> for service level breaches are </w:t>
      </w:r>
      <w:r w:rsidR="00703C4A">
        <w:t xml:space="preserve">very </w:t>
      </w:r>
      <w:r w:rsidR="004253DE">
        <w:t>modest</w:t>
      </w:r>
      <w:r w:rsidR="00FF397B">
        <w:t>.  In contrast</w:t>
      </w:r>
      <w:r>
        <w:t xml:space="preserve"> the penalties for CLC breach run to a maximum of </w:t>
      </w:r>
      <w:r w:rsidR="00FF397B">
        <w:t xml:space="preserve">$10,000,000 </w:t>
      </w:r>
      <w:r w:rsidR="00FF397B" w:rsidRPr="00CA63AC">
        <w:rPr>
          <w:b/>
        </w:rPr>
        <w:t xml:space="preserve">per breach </w:t>
      </w:r>
      <w:r w:rsidR="00FF397B" w:rsidRPr="00FF397B">
        <w:t>(</w:t>
      </w:r>
      <w:r w:rsidR="00FF397B" w:rsidRPr="00CA63AC">
        <w:rPr>
          <w:i/>
        </w:rPr>
        <w:t>Telecommunications Act</w:t>
      </w:r>
      <w:r w:rsidR="00FF397B" w:rsidRPr="00703C4A">
        <w:rPr>
          <w:i/>
        </w:rPr>
        <w:t xml:space="preserve"> Section 570(3)</w:t>
      </w:r>
      <w:r w:rsidR="00FF397B" w:rsidRPr="00FF397B">
        <w:t>)</w:t>
      </w:r>
      <w:r>
        <w:t>.  To have such large potential penalties for simple operational failures would risk putting small carriers out of business.</w:t>
      </w:r>
      <w:r w:rsidR="004253DE" w:rsidRPr="004253DE">
        <w:t xml:space="preserve">  The </w:t>
      </w:r>
      <w:r w:rsidR="00CA63AC" w:rsidRPr="004253DE">
        <w:t>ill-defined</w:t>
      </w:r>
      <w:r w:rsidR="004253DE" w:rsidRPr="004253DE">
        <w:t xml:space="preserve"> exception of a ‘trivial breach’ (Condition 5(18)</w:t>
      </w:r>
      <w:r w:rsidR="004253DE">
        <w:t>)</w:t>
      </w:r>
      <w:r w:rsidR="004253DE" w:rsidRPr="004253DE">
        <w:t xml:space="preserve"> is </w:t>
      </w:r>
      <w:r w:rsidR="00703C4A">
        <w:t>of</w:t>
      </w:r>
      <w:r w:rsidR="004253DE" w:rsidRPr="004253DE">
        <w:t xml:space="preserve"> little comfort</w:t>
      </w:r>
      <w:r w:rsidR="004253DE">
        <w:t>.</w:t>
      </w:r>
      <w:r w:rsidR="00CA63AC">
        <w:t xml:space="preserve"> </w:t>
      </w:r>
      <w:r>
        <w:t xml:space="preserve"> Also, there is no</w:t>
      </w:r>
      <w:r w:rsidR="00460AA2">
        <w:t xml:space="preserve"> clear </w:t>
      </w:r>
      <w:r>
        <w:t xml:space="preserve">force majeure defence </w:t>
      </w:r>
      <w:r w:rsidR="00460AA2">
        <w:t xml:space="preserve">in </w:t>
      </w:r>
      <w:r w:rsidR="004253DE">
        <w:t>C</w:t>
      </w:r>
      <w:r w:rsidR="00D71AEE">
        <w:t xml:space="preserve">ondition </w:t>
      </w:r>
      <w:r w:rsidR="00460AA2">
        <w:t xml:space="preserve">5(14) </w:t>
      </w:r>
      <w:r>
        <w:t xml:space="preserve">meaning a carrier could face very large </w:t>
      </w:r>
      <w:r w:rsidR="00D71AEE">
        <w:t>penalties</w:t>
      </w:r>
      <w:r>
        <w:t xml:space="preserve"> for an outage</w:t>
      </w:r>
      <w:r w:rsidR="00460AA2">
        <w:t xml:space="preserve"> </w:t>
      </w:r>
      <w:r>
        <w:t xml:space="preserve">caused by factors beyond its control. </w:t>
      </w:r>
    </w:p>
    <w:p w14:paraId="6DB0E023" w14:textId="77777777" w:rsidR="00703C4A" w:rsidRPr="00703C4A" w:rsidRDefault="00B05F37" w:rsidP="007C323A">
      <w:pPr>
        <w:pStyle w:val="Indent2"/>
        <w:numPr>
          <w:ilvl w:val="0"/>
          <w:numId w:val="35"/>
        </w:numPr>
      </w:pPr>
      <w:r w:rsidRPr="00703C4A">
        <w:rPr>
          <w:b/>
        </w:rPr>
        <w:t>a</w:t>
      </w:r>
      <w:r w:rsidR="005506F5">
        <w:rPr>
          <w:b/>
        </w:rPr>
        <w:t xml:space="preserve"> systemic</w:t>
      </w:r>
      <w:r w:rsidRPr="00703C4A">
        <w:rPr>
          <w:b/>
        </w:rPr>
        <w:t xml:space="preserve"> failure to meet </w:t>
      </w:r>
      <w:r w:rsidR="00B86599" w:rsidRPr="00703C4A">
        <w:rPr>
          <w:b/>
        </w:rPr>
        <w:t xml:space="preserve">mandated </w:t>
      </w:r>
      <w:r w:rsidR="0099477F" w:rsidRPr="00703C4A">
        <w:rPr>
          <w:b/>
        </w:rPr>
        <w:t>service</w:t>
      </w:r>
      <w:r w:rsidR="00B86599" w:rsidRPr="00703C4A">
        <w:rPr>
          <w:b/>
        </w:rPr>
        <w:t xml:space="preserve"> levels </w:t>
      </w:r>
      <w:r w:rsidRPr="00703C4A">
        <w:rPr>
          <w:b/>
        </w:rPr>
        <w:t xml:space="preserve">might properly allow NBN overbuild, but not massive </w:t>
      </w:r>
      <w:r w:rsidR="00703C4A" w:rsidRPr="00703C4A">
        <w:rPr>
          <w:b/>
        </w:rPr>
        <w:t>penalties</w:t>
      </w:r>
      <w:r w:rsidR="003D2264" w:rsidRPr="00703C4A">
        <w:rPr>
          <w:b/>
        </w:rPr>
        <w:t>:</w:t>
      </w:r>
      <w:r w:rsidR="003D2264">
        <w:t xml:space="preserve"> </w:t>
      </w:r>
      <w:r w:rsidR="0099477F">
        <w:t xml:space="preserve"> </w:t>
      </w:r>
      <w:r w:rsidRPr="00703C4A">
        <w:rPr>
          <w:color w:val="000000"/>
        </w:rPr>
        <w:t>The Government’s Greenfields policy of March 2015 indicated (</w:t>
      </w:r>
      <w:r w:rsidR="00703C4A" w:rsidRPr="00703C4A">
        <w:rPr>
          <w:color w:val="000000"/>
        </w:rPr>
        <w:t>paragraph</w:t>
      </w:r>
      <w:r w:rsidRPr="00703C4A">
        <w:rPr>
          <w:color w:val="000000"/>
        </w:rPr>
        <w:t xml:space="preserve"> 3.6.1) that poor service provision by an alternative </w:t>
      </w:r>
      <w:r w:rsidR="0099477F" w:rsidRPr="00703C4A">
        <w:rPr>
          <w:color w:val="000000"/>
        </w:rPr>
        <w:t>carrier</w:t>
      </w:r>
      <w:r w:rsidRPr="00703C4A">
        <w:rPr>
          <w:color w:val="000000"/>
        </w:rPr>
        <w:t xml:space="preserve"> could justify NBN overbuild. </w:t>
      </w:r>
      <w:r w:rsidR="0099477F" w:rsidRPr="00703C4A">
        <w:rPr>
          <w:color w:val="000000"/>
        </w:rPr>
        <w:t xml:space="preserve"> The CLCs however make no reference to such an outcome, instead imposing massive </w:t>
      </w:r>
      <w:r w:rsidR="00CA63AC" w:rsidRPr="00703C4A">
        <w:rPr>
          <w:color w:val="000000"/>
        </w:rPr>
        <w:t>potential</w:t>
      </w:r>
      <w:r w:rsidR="0099477F" w:rsidRPr="00703C4A">
        <w:rPr>
          <w:color w:val="000000"/>
        </w:rPr>
        <w:t xml:space="preserve"> penalties o</w:t>
      </w:r>
      <w:r w:rsidR="00CA63AC" w:rsidRPr="00703C4A">
        <w:rPr>
          <w:color w:val="000000"/>
        </w:rPr>
        <w:t>n</w:t>
      </w:r>
      <w:r w:rsidR="0099477F" w:rsidRPr="00703C4A">
        <w:rPr>
          <w:color w:val="000000"/>
        </w:rPr>
        <w:t xml:space="preserve"> carriers.</w:t>
      </w:r>
    </w:p>
    <w:p w14:paraId="3593922E" w14:textId="77777777" w:rsidR="006E265C" w:rsidRDefault="003D551F" w:rsidP="007C323A">
      <w:pPr>
        <w:pStyle w:val="Indent2"/>
        <w:numPr>
          <w:ilvl w:val="0"/>
          <w:numId w:val="35"/>
        </w:numPr>
      </w:pPr>
      <w:r w:rsidRPr="00703C4A">
        <w:rPr>
          <w:b/>
        </w:rPr>
        <w:t xml:space="preserve">the CFC will create a very uneven playing field favouring Telstra and NBN: </w:t>
      </w:r>
      <w:r>
        <w:t>for reasons not made clear, both the largest carrier</w:t>
      </w:r>
      <w:r w:rsidR="0099477F">
        <w:t>,</w:t>
      </w:r>
      <w:r>
        <w:t xml:space="preserve"> Telstra, and the carrier fully funded by the Australian taxpayer, NBN, will not be subject to the Network CLC, and so the 3 CSP Obligation and the </w:t>
      </w:r>
      <w:r w:rsidR="00CA63AC">
        <w:t>m</w:t>
      </w:r>
      <w:r w:rsidR="0099477F">
        <w:t>andated service levels and associated reporting obligations</w:t>
      </w:r>
      <w:r>
        <w:t xml:space="preserve"> will not apply</w:t>
      </w:r>
      <w:r w:rsidR="00CA63AC">
        <w:t>,</w:t>
      </w:r>
      <w:r>
        <w:t xml:space="preserve"> giving them a hugely unfair competitive advantage</w:t>
      </w:r>
      <w:r w:rsidR="00703C4A">
        <w:t xml:space="preserve"> to the detriment of smaller carriers, competition and the interests of end-users</w:t>
      </w:r>
      <w:r>
        <w:t xml:space="preserve">.  </w:t>
      </w:r>
    </w:p>
    <w:p w14:paraId="795BC51A" w14:textId="77777777" w:rsidR="00051F33" w:rsidRDefault="005506F5" w:rsidP="00051F33">
      <w:pPr>
        <w:pStyle w:val="Heading1"/>
      </w:pPr>
      <w:r>
        <w:lastRenderedPageBreak/>
        <w:t>Exemptions for</w:t>
      </w:r>
      <w:r w:rsidR="00051F33">
        <w:t xml:space="preserve"> </w:t>
      </w:r>
      <w:r>
        <w:t>residential aged c</w:t>
      </w:r>
      <w:r w:rsidR="00631A36">
        <w:t>a</w:t>
      </w:r>
      <w:r>
        <w:t xml:space="preserve">re communities and </w:t>
      </w:r>
      <w:r w:rsidR="00051F33">
        <w:t>small carriers</w:t>
      </w:r>
    </w:p>
    <w:p w14:paraId="50A560D8" w14:textId="77777777" w:rsidR="00051F33" w:rsidRDefault="00051F33" w:rsidP="00051F33">
      <w:pPr>
        <w:pStyle w:val="Indent2"/>
      </w:pPr>
      <w:r>
        <w:t>In the event</w:t>
      </w:r>
      <w:r w:rsidR="00631A36">
        <w:t xml:space="preserve"> that</w:t>
      </w:r>
      <w:r>
        <w:t xml:space="preserve"> </w:t>
      </w:r>
      <w:r w:rsidR="005506F5">
        <w:t>despite</w:t>
      </w:r>
      <w:r w:rsidR="00631A36">
        <w:t xml:space="preserve"> its</w:t>
      </w:r>
      <w:r w:rsidR="005506F5">
        <w:t xml:space="preserve"> fundamental flaws </w:t>
      </w:r>
      <w:r>
        <w:t xml:space="preserve">it is decided to make the </w:t>
      </w:r>
      <w:r w:rsidR="005506F5">
        <w:t xml:space="preserve">Networks </w:t>
      </w:r>
      <w:r>
        <w:t>CLC, it would be appropriate to consider including exemptions for:</w:t>
      </w:r>
    </w:p>
    <w:p w14:paraId="7381159C" w14:textId="77777777" w:rsidR="00051F33" w:rsidRDefault="00051F33" w:rsidP="00051F33">
      <w:pPr>
        <w:pStyle w:val="Indent2"/>
        <w:numPr>
          <w:ilvl w:val="0"/>
          <w:numId w:val="36"/>
        </w:numPr>
      </w:pPr>
      <w:r>
        <w:t>carriers in providing services to residential aged care and retirement village communities, given the relatively small size of those communities and the residents’ preference to acquire their telco services from the manager of the community. These points are made more fully at paragraph 3 b) above; and</w:t>
      </w:r>
    </w:p>
    <w:p w14:paraId="3A26E507" w14:textId="77777777" w:rsidR="00051F33" w:rsidRDefault="00051F33" w:rsidP="00051F33">
      <w:pPr>
        <w:pStyle w:val="Indent2"/>
        <w:numPr>
          <w:ilvl w:val="0"/>
          <w:numId w:val="36"/>
        </w:numPr>
      </w:pPr>
      <w:r>
        <w:t>small carriers</w:t>
      </w:r>
      <w:r w:rsidR="00631A36">
        <w:t>,</w:t>
      </w:r>
      <w:r>
        <w:t xml:space="preserve"> given the undue impact on them of the costs of compliance.  This point is made more fully at paragraph 3 c) above</w:t>
      </w:r>
    </w:p>
    <w:p w14:paraId="012D11FE" w14:textId="77777777" w:rsidR="00051F33" w:rsidRDefault="00051F33" w:rsidP="00051F33">
      <w:pPr>
        <w:pStyle w:val="Indent2"/>
      </w:pPr>
      <w:r>
        <w:t>As to the possible structure of such exemptions, please see sections 4.1 and 4.2 of the SBAS Submission.</w:t>
      </w:r>
    </w:p>
    <w:p w14:paraId="3917E596" w14:textId="77777777" w:rsidR="002F7642" w:rsidRDefault="002F7642" w:rsidP="00051F33">
      <w:pPr>
        <w:pStyle w:val="Indent2"/>
      </w:pPr>
      <w:r>
        <w:t>A more limited exemption would be to allow the ACCC SBAS declaration inquiry due primacy, so that th</w:t>
      </w:r>
      <w:r w:rsidR="00A75847">
        <w:t xml:space="preserve">ere would be an exemption from the Networks CLC </w:t>
      </w:r>
      <w:r>
        <w:t xml:space="preserve">for carriers who are providing services in accordance with an SBAS declared service or who are specifically exempted therefrom.  </w:t>
      </w:r>
    </w:p>
    <w:sectPr w:rsidR="002F7642" w:rsidSect="00FE16D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418" w:left="2835" w:header="425"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9D4B9" w14:textId="77777777" w:rsidR="00D01403" w:rsidRDefault="00D01403">
      <w:r>
        <w:separator/>
      </w:r>
    </w:p>
  </w:endnote>
  <w:endnote w:type="continuationSeparator" w:id="0">
    <w:p w14:paraId="2130844D" w14:textId="77777777" w:rsidR="00D01403" w:rsidRDefault="00D0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96DE7" w14:textId="77777777" w:rsidR="008B3DA4" w:rsidRDefault="008B3D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632B05" w:rsidRPr="006344EC" w14:paraId="745288F9" w14:textId="77777777">
      <w:trPr>
        <w:trHeight w:hRule="exact" w:val="440"/>
      </w:trPr>
      <w:tc>
        <w:tcPr>
          <w:tcW w:w="2211" w:type="dxa"/>
          <w:tcBorders>
            <w:top w:val="single" w:sz="2" w:space="0" w:color="auto"/>
            <w:right w:val="single" w:sz="2" w:space="0" w:color="auto"/>
          </w:tcBorders>
        </w:tcPr>
        <w:p w14:paraId="2B1F806B" w14:textId="77777777" w:rsidR="00632B05" w:rsidRPr="006344EC" w:rsidRDefault="00632B05">
          <w:pPr>
            <w:pStyle w:val="Footer"/>
            <w:spacing w:before="60"/>
          </w:pPr>
        </w:p>
        <w:p w14:paraId="728E6375" w14:textId="77777777" w:rsidR="00632B05" w:rsidRPr="007E0A29" w:rsidRDefault="00632B05">
          <w:pPr>
            <w:pStyle w:val="Footer"/>
          </w:pPr>
        </w:p>
      </w:tc>
      <w:tc>
        <w:tcPr>
          <w:tcW w:w="7371" w:type="dxa"/>
          <w:tcBorders>
            <w:left w:val="nil"/>
          </w:tcBorders>
        </w:tcPr>
        <w:p w14:paraId="5B8A707F" w14:textId="77777777" w:rsidR="00632B05" w:rsidRPr="007E0A29" w:rsidRDefault="0039087D">
          <w:pPr>
            <w:pStyle w:val="Footer"/>
            <w:spacing w:before="60"/>
            <w:ind w:left="113"/>
          </w:pPr>
          <w:fldSimple w:instr="  STYLEREF &quot;PrecNameCover&quot;  \* MERGEFORMAT ">
            <w:r w:rsidR="00C56E55" w:rsidRPr="00C56E55">
              <w:rPr>
                <w:bCs/>
                <w:noProof/>
              </w:rPr>
              <w:t>Frontier</w:t>
            </w:r>
            <w:r w:rsidR="00C56E55">
              <w:rPr>
                <w:noProof/>
              </w:rPr>
              <w:t xml:space="preserve"> Networks Pty Ltd response to draft Carrier Licence Conditions for new developments</w:t>
            </w:r>
          </w:fldSimple>
        </w:p>
        <w:p w14:paraId="690A8EAD" w14:textId="77777777" w:rsidR="00632B05" w:rsidRPr="007E0A29" w:rsidRDefault="00632B05">
          <w:pPr>
            <w:pStyle w:val="Footer"/>
            <w:ind w:left="113"/>
          </w:pPr>
          <w:r w:rsidRPr="007E0A29">
            <w:fldChar w:fldCharType="begin"/>
          </w:r>
          <w:r w:rsidRPr="007E0A29">
            <w:instrText xml:space="preserve"> SAVEDATE \@ “d MMMM yyyy” </w:instrText>
          </w:r>
          <w:r w:rsidRPr="007E0A29">
            <w:fldChar w:fldCharType="separate"/>
          </w:r>
          <w:r w:rsidR="00C56E55">
            <w:rPr>
              <w:noProof/>
            </w:rPr>
            <w:t>1 February 2016</w:t>
          </w:r>
          <w:r w:rsidRPr="007E0A29">
            <w:fldChar w:fldCharType="end"/>
          </w:r>
        </w:p>
      </w:tc>
      <w:tc>
        <w:tcPr>
          <w:tcW w:w="567" w:type="dxa"/>
        </w:tcPr>
        <w:p w14:paraId="55107B2E" w14:textId="77777777" w:rsidR="00632B05" w:rsidRPr="007E0A29" w:rsidRDefault="00632B05">
          <w:pPr>
            <w:pStyle w:val="Footer"/>
            <w:spacing w:before="60"/>
            <w:jc w:val="right"/>
          </w:pPr>
          <w:r w:rsidRPr="007E0A29">
            <w:fldChar w:fldCharType="begin"/>
          </w:r>
          <w:r w:rsidRPr="007E0A29">
            <w:instrText xml:space="preserve"> PAGE  \* MERGEFORMAT </w:instrText>
          </w:r>
          <w:r w:rsidRPr="007E0A29">
            <w:fldChar w:fldCharType="separate"/>
          </w:r>
          <w:r w:rsidR="00C56E55">
            <w:rPr>
              <w:noProof/>
            </w:rPr>
            <w:t>2</w:t>
          </w:r>
          <w:r w:rsidRPr="007E0A29">
            <w:fldChar w:fldCharType="end"/>
          </w:r>
        </w:p>
      </w:tc>
    </w:tr>
  </w:tbl>
  <w:p w14:paraId="1D5D9C90" w14:textId="77777777" w:rsidR="00632B05" w:rsidRPr="006344EC" w:rsidRDefault="00632B05">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632B05" w:rsidRPr="006344EC" w14:paraId="32905C6B" w14:textId="77777777">
      <w:trPr>
        <w:trHeight w:hRule="exact" w:val="440"/>
      </w:trPr>
      <w:tc>
        <w:tcPr>
          <w:tcW w:w="2211" w:type="dxa"/>
          <w:tcBorders>
            <w:top w:val="single" w:sz="2" w:space="0" w:color="auto"/>
            <w:right w:val="single" w:sz="2" w:space="0" w:color="auto"/>
          </w:tcBorders>
        </w:tcPr>
        <w:p w14:paraId="5B28944C" w14:textId="77777777" w:rsidR="00632B05" w:rsidRPr="006344EC" w:rsidRDefault="00632B05">
          <w:pPr>
            <w:pStyle w:val="Footer"/>
            <w:spacing w:before="60"/>
          </w:pPr>
        </w:p>
        <w:p w14:paraId="3ECE038C" w14:textId="77777777" w:rsidR="00632B05" w:rsidRPr="007E0A29" w:rsidRDefault="00632B05">
          <w:pPr>
            <w:pStyle w:val="Footer"/>
          </w:pPr>
        </w:p>
      </w:tc>
      <w:tc>
        <w:tcPr>
          <w:tcW w:w="7371" w:type="dxa"/>
          <w:tcBorders>
            <w:left w:val="nil"/>
          </w:tcBorders>
        </w:tcPr>
        <w:p w14:paraId="006AE6D5" w14:textId="77777777" w:rsidR="00632B05" w:rsidRPr="007E0A29" w:rsidRDefault="0039087D">
          <w:pPr>
            <w:pStyle w:val="Footer"/>
            <w:spacing w:before="60"/>
            <w:ind w:left="113"/>
          </w:pPr>
          <w:fldSimple w:instr="  STYLEREF  PrecNameCover  \* MERGEFORMAT  \* MERGEFORMAT ">
            <w:r w:rsidR="00C56E55">
              <w:rPr>
                <w:noProof/>
              </w:rPr>
              <w:t>Frontier Networks Pty Ltd response to draft Carrier Licence Conditions for new developments</w:t>
            </w:r>
          </w:fldSimple>
        </w:p>
        <w:p w14:paraId="20262C1C" w14:textId="77777777" w:rsidR="00632B05" w:rsidRPr="007E0A29" w:rsidRDefault="00632B05">
          <w:pPr>
            <w:pStyle w:val="Footer"/>
            <w:ind w:left="113"/>
            <w:rPr>
              <w:noProof/>
            </w:rPr>
          </w:pPr>
          <w:r w:rsidRPr="007E0A29">
            <w:fldChar w:fldCharType="begin"/>
          </w:r>
          <w:r w:rsidRPr="007E0A29">
            <w:instrText xml:space="preserve"> SAVEDATE \@ “d MMMM yyyy” </w:instrText>
          </w:r>
          <w:r w:rsidRPr="007E0A29">
            <w:fldChar w:fldCharType="separate"/>
          </w:r>
          <w:r w:rsidR="00C56E55">
            <w:rPr>
              <w:noProof/>
            </w:rPr>
            <w:t>1 February 2016</w:t>
          </w:r>
          <w:r w:rsidRPr="007E0A29">
            <w:rPr>
              <w:noProof/>
            </w:rPr>
            <w:fldChar w:fldCharType="end"/>
          </w:r>
        </w:p>
      </w:tc>
      <w:tc>
        <w:tcPr>
          <w:tcW w:w="567" w:type="dxa"/>
        </w:tcPr>
        <w:p w14:paraId="7376E086" w14:textId="77777777" w:rsidR="00632B05" w:rsidRPr="007E0A29" w:rsidRDefault="00632B05">
          <w:pPr>
            <w:pStyle w:val="Footer"/>
            <w:spacing w:before="60"/>
            <w:jc w:val="right"/>
          </w:pPr>
          <w:r w:rsidRPr="007E0A29">
            <w:fldChar w:fldCharType="begin"/>
          </w:r>
          <w:r w:rsidRPr="007E0A29">
            <w:instrText xml:space="preserve"> PAGE  \* MERGEFORMAT </w:instrText>
          </w:r>
          <w:r w:rsidRPr="007E0A29">
            <w:fldChar w:fldCharType="separate"/>
          </w:r>
          <w:r w:rsidR="00C56E55">
            <w:rPr>
              <w:noProof/>
            </w:rPr>
            <w:t>1</w:t>
          </w:r>
          <w:r w:rsidRPr="007E0A29">
            <w:fldChar w:fldCharType="end"/>
          </w:r>
        </w:p>
      </w:tc>
    </w:tr>
  </w:tbl>
  <w:p w14:paraId="67364E1C" w14:textId="77777777" w:rsidR="00632B05" w:rsidRPr="006344EC" w:rsidRDefault="00632B05">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F7AB1" w14:textId="77777777" w:rsidR="00D01403" w:rsidRDefault="00D01403">
      <w:r>
        <w:separator/>
      </w:r>
    </w:p>
  </w:footnote>
  <w:footnote w:type="continuationSeparator" w:id="0">
    <w:p w14:paraId="2C480D5A" w14:textId="77777777" w:rsidR="00D01403" w:rsidRDefault="00D01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138D2" w14:textId="77777777" w:rsidR="008B3DA4" w:rsidRDefault="008B3D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A7FA4" w14:textId="77777777" w:rsidR="008B3DA4" w:rsidRDefault="008B3D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13192" w14:textId="77777777" w:rsidR="008B3DA4" w:rsidRDefault="008B3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F837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30A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EBD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F8C6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22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A8B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BEAE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674EE86"/>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Arial" w:hAnsi="Arial" w:cs="Arial" w:hint="default"/>
      </w:rPr>
    </w:lvl>
    <w:lvl w:ilvl="8">
      <w:start w:val="1"/>
      <w:numFmt w:val="lowerRoman"/>
      <w:pStyle w:val="Heading9"/>
      <w:lvlText w:val="(%9)"/>
      <w:lvlJc w:val="left"/>
      <w:pPr>
        <w:tabs>
          <w:tab w:val="num" w:pos="2211"/>
        </w:tabs>
        <w:ind w:left="2211" w:hanging="737"/>
      </w:pPr>
      <w:rPr>
        <w:rFonts w:ascii="Arial" w:hAnsi="Arial" w:cs="Arial" w:hint="default"/>
      </w:rPr>
    </w:lvl>
  </w:abstractNum>
  <w:abstractNum w:abstractNumId="11"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1C1280"/>
    <w:multiLevelType w:val="hybridMultilevel"/>
    <w:tmpl w:val="E32494D4"/>
    <w:lvl w:ilvl="0" w:tplc="BCF814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19057FED"/>
    <w:multiLevelType w:val="hybridMultilevel"/>
    <w:tmpl w:val="E36E81BE"/>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4"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651DD1"/>
    <w:multiLevelType w:val="hybridMultilevel"/>
    <w:tmpl w:val="0224910E"/>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6" w15:restartNumberingAfterBreak="0">
    <w:nsid w:val="208431EE"/>
    <w:multiLevelType w:val="hybridMultilevel"/>
    <w:tmpl w:val="5BFC4B5E"/>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7" w15:restartNumberingAfterBreak="0">
    <w:nsid w:val="22346310"/>
    <w:multiLevelType w:val="hybridMultilevel"/>
    <w:tmpl w:val="5FB63E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05354C"/>
    <w:multiLevelType w:val="hybridMultilevel"/>
    <w:tmpl w:val="B7B62F94"/>
    <w:lvl w:ilvl="0" w:tplc="1450822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261062E1"/>
    <w:multiLevelType w:val="hybridMultilevel"/>
    <w:tmpl w:val="2AF8CAFE"/>
    <w:lvl w:ilvl="0" w:tplc="0C090017">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0" w15:restartNumberingAfterBreak="0">
    <w:nsid w:val="2D704F7E"/>
    <w:multiLevelType w:val="hybridMultilevel"/>
    <w:tmpl w:val="E32494D4"/>
    <w:lvl w:ilvl="0" w:tplc="BCF814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2DEB459A"/>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CE752A"/>
    <w:multiLevelType w:val="hybridMultilevel"/>
    <w:tmpl w:val="74E05AEA"/>
    <w:lvl w:ilvl="0" w:tplc="698ECB7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38D34662"/>
    <w:multiLevelType w:val="hybridMultilevel"/>
    <w:tmpl w:val="BB368D74"/>
    <w:lvl w:ilvl="0" w:tplc="0C090017">
      <w:start w:val="1"/>
      <w:numFmt w:val="lowerLetter"/>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4" w15:restartNumberingAfterBreak="0">
    <w:nsid w:val="5137606A"/>
    <w:multiLevelType w:val="hybridMultilevel"/>
    <w:tmpl w:val="1AD260A4"/>
    <w:lvl w:ilvl="0" w:tplc="9F063BE2">
      <w:start w:val="1"/>
      <w:numFmt w:val="lowerLetter"/>
      <w:lvlText w:val="%1)"/>
      <w:lvlJc w:val="left"/>
      <w:pPr>
        <w:ind w:left="1457" w:hanging="360"/>
      </w:pPr>
      <w:rPr>
        <w:rFonts w:hint="eastAsi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835AEC"/>
    <w:multiLevelType w:val="hybridMultilevel"/>
    <w:tmpl w:val="C38C700E"/>
    <w:lvl w:ilvl="0" w:tplc="BCF814BC">
      <w:start w:val="1"/>
      <w:numFmt w:val="lowerLetter"/>
      <w:lvlText w:val="%1)"/>
      <w:lvlJc w:val="left"/>
      <w:pPr>
        <w:ind w:left="1457" w:hanging="360"/>
      </w:pPr>
      <w:rPr>
        <w:rFonts w:hint="default"/>
      </w:rPr>
    </w:lvl>
    <w:lvl w:ilvl="1" w:tplc="04090003" w:tentative="1">
      <w:start w:val="1"/>
      <w:numFmt w:val="bullet"/>
      <w:lvlText w:val="o"/>
      <w:lvlJc w:val="left"/>
      <w:pPr>
        <w:ind w:left="2177" w:hanging="360"/>
      </w:pPr>
      <w:rPr>
        <w:rFonts w:ascii="Courier New" w:hAnsi="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26"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D4F2C30"/>
    <w:multiLevelType w:val="hybridMultilevel"/>
    <w:tmpl w:val="BEFAFA80"/>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29" w15:restartNumberingAfterBreak="0">
    <w:nsid w:val="776B02DA"/>
    <w:multiLevelType w:val="hybridMultilevel"/>
    <w:tmpl w:val="E32494D4"/>
    <w:lvl w:ilvl="0" w:tplc="BCF814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0" w15:restartNumberingAfterBreak="0">
    <w:nsid w:val="785D5AA8"/>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9E214C0"/>
    <w:multiLevelType w:val="hybridMultilevel"/>
    <w:tmpl w:val="8EE8E92E"/>
    <w:lvl w:ilvl="0" w:tplc="12F6AFB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10"/>
  </w:num>
  <w:num w:numId="2">
    <w:abstractNumId w:val="30"/>
  </w:num>
  <w:num w:numId="3">
    <w:abstractNumId w:val="21"/>
  </w:num>
  <w:num w:numId="4">
    <w:abstractNumId w:val="3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1"/>
    <w:lvlOverride w:ilvl="0">
      <w:lvl w:ilvl="0">
        <w:start w:val="1"/>
        <w:numFmt w:val="decimal"/>
        <w:pStyle w:val="Item"/>
        <w:suff w:val="nothing"/>
        <w:lvlText w:val="Item %1"/>
        <w:lvlJc w:val="left"/>
        <w:pPr>
          <w:ind w:left="0" w:firstLine="0"/>
        </w:pPr>
        <w:rPr>
          <w:rFonts w:ascii="Arial" w:hAnsi="Arial" w:hint="default"/>
          <w:b/>
          <w:sz w:val="20"/>
        </w:rPr>
      </w:lvl>
    </w:lvlOverride>
  </w:num>
  <w:num w:numId="17">
    <w:abstractNumId w:val="26"/>
  </w:num>
  <w:num w:numId="18">
    <w:abstractNumId w:val="26"/>
  </w:num>
  <w:num w:numId="19">
    <w:abstractNumId w:val="14"/>
  </w:num>
  <w:num w:numId="20">
    <w:abstractNumId w:val="14"/>
  </w:num>
  <w:num w:numId="21">
    <w:abstractNumId w:val="27"/>
  </w:num>
  <w:num w:numId="22">
    <w:abstractNumId w:val="29"/>
  </w:num>
  <w:num w:numId="23">
    <w:abstractNumId w:val="18"/>
  </w:num>
  <w:num w:numId="24">
    <w:abstractNumId w:val="22"/>
  </w:num>
  <w:num w:numId="25">
    <w:abstractNumId w:val="32"/>
  </w:num>
  <w:num w:numId="26">
    <w:abstractNumId w:val="17"/>
  </w:num>
  <w:num w:numId="27">
    <w:abstractNumId w:val="28"/>
  </w:num>
  <w:num w:numId="28">
    <w:abstractNumId w:val="13"/>
  </w:num>
  <w:num w:numId="29">
    <w:abstractNumId w:val="15"/>
  </w:num>
  <w:num w:numId="30">
    <w:abstractNumId w:val="16"/>
  </w:num>
  <w:num w:numId="31">
    <w:abstractNumId w:val="25"/>
  </w:num>
  <w:num w:numId="32">
    <w:abstractNumId w:val="12"/>
  </w:num>
  <w:num w:numId="33">
    <w:abstractNumId w:val="20"/>
  </w:num>
  <w:num w:numId="34">
    <w:abstractNumId w:val="19"/>
  </w:num>
  <w:num w:numId="35">
    <w:abstractNumId w:val="23"/>
  </w:num>
  <w:num w:numId="36">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3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_Type" w:val="MSJBLANKN"/>
    <w:docVar w:name="DocID" w:val="40982707_3"/>
    <w:docVar w:name="S4S_TemplateSet" w:val="Yes"/>
    <w:docVar w:name="Template" w:val="fblankn"/>
  </w:docVars>
  <w:rsids>
    <w:rsidRoot w:val="00BA302B"/>
    <w:rsid w:val="00002AF2"/>
    <w:rsid w:val="0000370C"/>
    <w:rsid w:val="0000512F"/>
    <w:rsid w:val="00007572"/>
    <w:rsid w:val="000079F2"/>
    <w:rsid w:val="00007C18"/>
    <w:rsid w:val="00010645"/>
    <w:rsid w:val="00010DCB"/>
    <w:rsid w:val="0001558A"/>
    <w:rsid w:val="00016F78"/>
    <w:rsid w:val="00021EA6"/>
    <w:rsid w:val="00026DB6"/>
    <w:rsid w:val="00035D3F"/>
    <w:rsid w:val="00041052"/>
    <w:rsid w:val="00041413"/>
    <w:rsid w:val="00041BAC"/>
    <w:rsid w:val="000509EE"/>
    <w:rsid w:val="00050CCD"/>
    <w:rsid w:val="00051487"/>
    <w:rsid w:val="00051CDF"/>
    <w:rsid w:val="00051F33"/>
    <w:rsid w:val="00070054"/>
    <w:rsid w:val="00074E41"/>
    <w:rsid w:val="00081439"/>
    <w:rsid w:val="000A4246"/>
    <w:rsid w:val="000A52F4"/>
    <w:rsid w:val="000B08B5"/>
    <w:rsid w:val="000B2C33"/>
    <w:rsid w:val="000B6CA2"/>
    <w:rsid w:val="000B700C"/>
    <w:rsid w:val="000C08C3"/>
    <w:rsid w:val="000C4BC6"/>
    <w:rsid w:val="000D1332"/>
    <w:rsid w:val="000D3447"/>
    <w:rsid w:val="000E11F3"/>
    <w:rsid w:val="000E6DC1"/>
    <w:rsid w:val="000F7F0A"/>
    <w:rsid w:val="00104C43"/>
    <w:rsid w:val="001051B1"/>
    <w:rsid w:val="001116F0"/>
    <w:rsid w:val="00115377"/>
    <w:rsid w:val="00120590"/>
    <w:rsid w:val="001231D0"/>
    <w:rsid w:val="001245DC"/>
    <w:rsid w:val="001337D7"/>
    <w:rsid w:val="001413D2"/>
    <w:rsid w:val="001417C6"/>
    <w:rsid w:val="00141F53"/>
    <w:rsid w:val="00143BB0"/>
    <w:rsid w:val="0015010D"/>
    <w:rsid w:val="00151CCC"/>
    <w:rsid w:val="001625F0"/>
    <w:rsid w:val="00165AD2"/>
    <w:rsid w:val="00171532"/>
    <w:rsid w:val="00172DA1"/>
    <w:rsid w:val="00173DAF"/>
    <w:rsid w:val="0017471F"/>
    <w:rsid w:val="00174D64"/>
    <w:rsid w:val="00182440"/>
    <w:rsid w:val="0018610D"/>
    <w:rsid w:val="00186370"/>
    <w:rsid w:val="00187734"/>
    <w:rsid w:val="0019396A"/>
    <w:rsid w:val="00193A0D"/>
    <w:rsid w:val="001B14D3"/>
    <w:rsid w:val="001C148E"/>
    <w:rsid w:val="001C243F"/>
    <w:rsid w:val="001C2F0D"/>
    <w:rsid w:val="001C4B8B"/>
    <w:rsid w:val="001D2BDF"/>
    <w:rsid w:val="001D6EE9"/>
    <w:rsid w:val="001E013C"/>
    <w:rsid w:val="001F5A5C"/>
    <w:rsid w:val="00203DFE"/>
    <w:rsid w:val="002171F4"/>
    <w:rsid w:val="0021747A"/>
    <w:rsid w:val="00221822"/>
    <w:rsid w:val="002232F1"/>
    <w:rsid w:val="00225F81"/>
    <w:rsid w:val="00232077"/>
    <w:rsid w:val="002416EB"/>
    <w:rsid w:val="0025061C"/>
    <w:rsid w:val="00254986"/>
    <w:rsid w:val="0026721B"/>
    <w:rsid w:val="00277280"/>
    <w:rsid w:val="00284305"/>
    <w:rsid w:val="0029038C"/>
    <w:rsid w:val="002946F8"/>
    <w:rsid w:val="002A062B"/>
    <w:rsid w:val="002A215C"/>
    <w:rsid w:val="002A7FF2"/>
    <w:rsid w:val="002B1C3C"/>
    <w:rsid w:val="002B20DC"/>
    <w:rsid w:val="002B7832"/>
    <w:rsid w:val="002B7FEA"/>
    <w:rsid w:val="002D0EA9"/>
    <w:rsid w:val="002D7622"/>
    <w:rsid w:val="002E3A4B"/>
    <w:rsid w:val="002F4181"/>
    <w:rsid w:val="002F5AF0"/>
    <w:rsid w:val="002F7642"/>
    <w:rsid w:val="003007F3"/>
    <w:rsid w:val="00306B98"/>
    <w:rsid w:val="00311110"/>
    <w:rsid w:val="0031219F"/>
    <w:rsid w:val="00316891"/>
    <w:rsid w:val="003178F9"/>
    <w:rsid w:val="00324DB3"/>
    <w:rsid w:val="00326F36"/>
    <w:rsid w:val="003447E1"/>
    <w:rsid w:val="00350E42"/>
    <w:rsid w:val="003543E0"/>
    <w:rsid w:val="00354EFB"/>
    <w:rsid w:val="00355C72"/>
    <w:rsid w:val="00356F09"/>
    <w:rsid w:val="00370C19"/>
    <w:rsid w:val="00372488"/>
    <w:rsid w:val="00375C6B"/>
    <w:rsid w:val="003768E1"/>
    <w:rsid w:val="00380E57"/>
    <w:rsid w:val="003830AE"/>
    <w:rsid w:val="00383736"/>
    <w:rsid w:val="00385D72"/>
    <w:rsid w:val="00386472"/>
    <w:rsid w:val="0039087D"/>
    <w:rsid w:val="00393CB1"/>
    <w:rsid w:val="003B7E5A"/>
    <w:rsid w:val="003D2264"/>
    <w:rsid w:val="003D3573"/>
    <w:rsid w:val="003D551F"/>
    <w:rsid w:val="003E4FDA"/>
    <w:rsid w:val="0042118F"/>
    <w:rsid w:val="00422D18"/>
    <w:rsid w:val="004253DE"/>
    <w:rsid w:val="00427E27"/>
    <w:rsid w:val="00454D29"/>
    <w:rsid w:val="00460AA2"/>
    <w:rsid w:val="00474898"/>
    <w:rsid w:val="00476B8D"/>
    <w:rsid w:val="004775ED"/>
    <w:rsid w:val="00486188"/>
    <w:rsid w:val="0049201E"/>
    <w:rsid w:val="004928C3"/>
    <w:rsid w:val="00493A97"/>
    <w:rsid w:val="0049493A"/>
    <w:rsid w:val="004D1FE4"/>
    <w:rsid w:val="004F2986"/>
    <w:rsid w:val="00513A69"/>
    <w:rsid w:val="00526262"/>
    <w:rsid w:val="005279EC"/>
    <w:rsid w:val="00530109"/>
    <w:rsid w:val="00532CAC"/>
    <w:rsid w:val="005438DB"/>
    <w:rsid w:val="005506F5"/>
    <w:rsid w:val="00555748"/>
    <w:rsid w:val="00556FF2"/>
    <w:rsid w:val="005637EA"/>
    <w:rsid w:val="00572248"/>
    <w:rsid w:val="00575B9A"/>
    <w:rsid w:val="00580B16"/>
    <w:rsid w:val="00582225"/>
    <w:rsid w:val="00592C54"/>
    <w:rsid w:val="005A14EE"/>
    <w:rsid w:val="005A1D56"/>
    <w:rsid w:val="005A6F64"/>
    <w:rsid w:val="005C050C"/>
    <w:rsid w:val="005C639F"/>
    <w:rsid w:val="005D7A72"/>
    <w:rsid w:val="005E4CF4"/>
    <w:rsid w:val="005F052B"/>
    <w:rsid w:val="005F2CF4"/>
    <w:rsid w:val="00611E71"/>
    <w:rsid w:val="00614D9D"/>
    <w:rsid w:val="00624233"/>
    <w:rsid w:val="0063152A"/>
    <w:rsid w:val="00631A36"/>
    <w:rsid w:val="00631F7A"/>
    <w:rsid w:val="00632B05"/>
    <w:rsid w:val="006344EC"/>
    <w:rsid w:val="006355C2"/>
    <w:rsid w:val="006441DE"/>
    <w:rsid w:val="00645DDD"/>
    <w:rsid w:val="00662032"/>
    <w:rsid w:val="00665E0D"/>
    <w:rsid w:val="00682003"/>
    <w:rsid w:val="00686870"/>
    <w:rsid w:val="0068707B"/>
    <w:rsid w:val="006A3495"/>
    <w:rsid w:val="006B0BDE"/>
    <w:rsid w:val="006B7B31"/>
    <w:rsid w:val="006D1D1C"/>
    <w:rsid w:val="006E21CF"/>
    <w:rsid w:val="006E265C"/>
    <w:rsid w:val="006F20B8"/>
    <w:rsid w:val="006F581E"/>
    <w:rsid w:val="006F7FF2"/>
    <w:rsid w:val="00703C4A"/>
    <w:rsid w:val="00704009"/>
    <w:rsid w:val="007220A9"/>
    <w:rsid w:val="007315E1"/>
    <w:rsid w:val="00732B43"/>
    <w:rsid w:val="0073512D"/>
    <w:rsid w:val="007440A7"/>
    <w:rsid w:val="00746171"/>
    <w:rsid w:val="007468B4"/>
    <w:rsid w:val="007525D0"/>
    <w:rsid w:val="00764F05"/>
    <w:rsid w:val="00797BC2"/>
    <w:rsid w:val="00797DB4"/>
    <w:rsid w:val="007C0414"/>
    <w:rsid w:val="007C323A"/>
    <w:rsid w:val="007C4855"/>
    <w:rsid w:val="007C6483"/>
    <w:rsid w:val="007D30C9"/>
    <w:rsid w:val="007E0A29"/>
    <w:rsid w:val="007E5D54"/>
    <w:rsid w:val="007F1B0F"/>
    <w:rsid w:val="007F4018"/>
    <w:rsid w:val="008046EA"/>
    <w:rsid w:val="00812D20"/>
    <w:rsid w:val="0082059D"/>
    <w:rsid w:val="00822EE8"/>
    <w:rsid w:val="00823176"/>
    <w:rsid w:val="0083087F"/>
    <w:rsid w:val="00837023"/>
    <w:rsid w:val="00837E4C"/>
    <w:rsid w:val="00851BC4"/>
    <w:rsid w:val="008614CF"/>
    <w:rsid w:val="00862E68"/>
    <w:rsid w:val="00875123"/>
    <w:rsid w:val="008876C1"/>
    <w:rsid w:val="008928A8"/>
    <w:rsid w:val="008B3B65"/>
    <w:rsid w:val="008B3DA4"/>
    <w:rsid w:val="008B5DEC"/>
    <w:rsid w:val="008C2BD3"/>
    <w:rsid w:val="008C40FE"/>
    <w:rsid w:val="008D212D"/>
    <w:rsid w:val="008E11E4"/>
    <w:rsid w:val="008F2619"/>
    <w:rsid w:val="008F5D69"/>
    <w:rsid w:val="00901A11"/>
    <w:rsid w:val="00903F5F"/>
    <w:rsid w:val="0092483C"/>
    <w:rsid w:val="0092647D"/>
    <w:rsid w:val="00930746"/>
    <w:rsid w:val="00930FC3"/>
    <w:rsid w:val="00931F1A"/>
    <w:rsid w:val="00946665"/>
    <w:rsid w:val="00962AF1"/>
    <w:rsid w:val="00982B1C"/>
    <w:rsid w:val="009840D6"/>
    <w:rsid w:val="0099477F"/>
    <w:rsid w:val="009975D7"/>
    <w:rsid w:val="009A4F23"/>
    <w:rsid w:val="009A5CC1"/>
    <w:rsid w:val="009B3292"/>
    <w:rsid w:val="009B39D4"/>
    <w:rsid w:val="009C2037"/>
    <w:rsid w:val="009C5335"/>
    <w:rsid w:val="009E309C"/>
    <w:rsid w:val="009E6207"/>
    <w:rsid w:val="009E7772"/>
    <w:rsid w:val="009F13F1"/>
    <w:rsid w:val="00A12726"/>
    <w:rsid w:val="00A15209"/>
    <w:rsid w:val="00A20DBB"/>
    <w:rsid w:val="00A24408"/>
    <w:rsid w:val="00A31A63"/>
    <w:rsid w:val="00A364B2"/>
    <w:rsid w:val="00A448F5"/>
    <w:rsid w:val="00A5635D"/>
    <w:rsid w:val="00A64363"/>
    <w:rsid w:val="00A65A35"/>
    <w:rsid w:val="00A663C4"/>
    <w:rsid w:val="00A66A17"/>
    <w:rsid w:val="00A745BA"/>
    <w:rsid w:val="00A75656"/>
    <w:rsid w:val="00A75847"/>
    <w:rsid w:val="00A8079C"/>
    <w:rsid w:val="00A8170C"/>
    <w:rsid w:val="00A855A2"/>
    <w:rsid w:val="00A9542F"/>
    <w:rsid w:val="00AB3CBD"/>
    <w:rsid w:val="00AB3EB4"/>
    <w:rsid w:val="00AC0915"/>
    <w:rsid w:val="00AC644B"/>
    <w:rsid w:val="00AD08D5"/>
    <w:rsid w:val="00AD7574"/>
    <w:rsid w:val="00AF25FF"/>
    <w:rsid w:val="00B0414F"/>
    <w:rsid w:val="00B05F37"/>
    <w:rsid w:val="00B11BFA"/>
    <w:rsid w:val="00B2102A"/>
    <w:rsid w:val="00B24BE9"/>
    <w:rsid w:val="00B263F2"/>
    <w:rsid w:val="00B432F4"/>
    <w:rsid w:val="00B45B52"/>
    <w:rsid w:val="00B55DD0"/>
    <w:rsid w:val="00B5664F"/>
    <w:rsid w:val="00B56B50"/>
    <w:rsid w:val="00B56D1E"/>
    <w:rsid w:val="00B724D5"/>
    <w:rsid w:val="00B8001A"/>
    <w:rsid w:val="00B81B59"/>
    <w:rsid w:val="00B85D98"/>
    <w:rsid w:val="00B86599"/>
    <w:rsid w:val="00B92472"/>
    <w:rsid w:val="00BA1F6A"/>
    <w:rsid w:val="00BA302B"/>
    <w:rsid w:val="00BA5266"/>
    <w:rsid w:val="00BC7535"/>
    <w:rsid w:val="00BD3E3D"/>
    <w:rsid w:val="00BD77F1"/>
    <w:rsid w:val="00BE62A5"/>
    <w:rsid w:val="00BE6BC8"/>
    <w:rsid w:val="00BF0560"/>
    <w:rsid w:val="00BF1375"/>
    <w:rsid w:val="00BF4BD1"/>
    <w:rsid w:val="00BF55C3"/>
    <w:rsid w:val="00BF6D39"/>
    <w:rsid w:val="00C03A6F"/>
    <w:rsid w:val="00C16E2C"/>
    <w:rsid w:val="00C176E8"/>
    <w:rsid w:val="00C17B8A"/>
    <w:rsid w:val="00C21827"/>
    <w:rsid w:val="00C26CDB"/>
    <w:rsid w:val="00C34D42"/>
    <w:rsid w:val="00C3708A"/>
    <w:rsid w:val="00C409AD"/>
    <w:rsid w:val="00C43E28"/>
    <w:rsid w:val="00C44469"/>
    <w:rsid w:val="00C500D7"/>
    <w:rsid w:val="00C51925"/>
    <w:rsid w:val="00C56E55"/>
    <w:rsid w:val="00C66E97"/>
    <w:rsid w:val="00C73700"/>
    <w:rsid w:val="00C75ADE"/>
    <w:rsid w:val="00C765BA"/>
    <w:rsid w:val="00C857F3"/>
    <w:rsid w:val="00CA63AC"/>
    <w:rsid w:val="00CB04CA"/>
    <w:rsid w:val="00CB1863"/>
    <w:rsid w:val="00CB3F5E"/>
    <w:rsid w:val="00CB5328"/>
    <w:rsid w:val="00CC3B83"/>
    <w:rsid w:val="00CE4E45"/>
    <w:rsid w:val="00CF2553"/>
    <w:rsid w:val="00CF54C5"/>
    <w:rsid w:val="00D00475"/>
    <w:rsid w:val="00D005FD"/>
    <w:rsid w:val="00D00691"/>
    <w:rsid w:val="00D01403"/>
    <w:rsid w:val="00D05CE0"/>
    <w:rsid w:val="00D06162"/>
    <w:rsid w:val="00D070F7"/>
    <w:rsid w:val="00D07CBF"/>
    <w:rsid w:val="00D204F1"/>
    <w:rsid w:val="00D20F64"/>
    <w:rsid w:val="00D20FAD"/>
    <w:rsid w:val="00D328D0"/>
    <w:rsid w:val="00D461F9"/>
    <w:rsid w:val="00D52580"/>
    <w:rsid w:val="00D57EB5"/>
    <w:rsid w:val="00D66085"/>
    <w:rsid w:val="00D71012"/>
    <w:rsid w:val="00D71AEE"/>
    <w:rsid w:val="00D739B4"/>
    <w:rsid w:val="00D73CFD"/>
    <w:rsid w:val="00D80FA2"/>
    <w:rsid w:val="00D839DA"/>
    <w:rsid w:val="00D97646"/>
    <w:rsid w:val="00DA0654"/>
    <w:rsid w:val="00DC2B7A"/>
    <w:rsid w:val="00DD131C"/>
    <w:rsid w:val="00DD307D"/>
    <w:rsid w:val="00DE24CA"/>
    <w:rsid w:val="00DE2594"/>
    <w:rsid w:val="00DE3ABA"/>
    <w:rsid w:val="00DE6939"/>
    <w:rsid w:val="00E101A7"/>
    <w:rsid w:val="00E22C78"/>
    <w:rsid w:val="00E36A40"/>
    <w:rsid w:val="00E37C75"/>
    <w:rsid w:val="00E70B96"/>
    <w:rsid w:val="00E75499"/>
    <w:rsid w:val="00E82A50"/>
    <w:rsid w:val="00E86BA1"/>
    <w:rsid w:val="00E93FED"/>
    <w:rsid w:val="00E948BE"/>
    <w:rsid w:val="00E96445"/>
    <w:rsid w:val="00EA0320"/>
    <w:rsid w:val="00EA7B1A"/>
    <w:rsid w:val="00EC1F8B"/>
    <w:rsid w:val="00EE1FA5"/>
    <w:rsid w:val="00EF0A65"/>
    <w:rsid w:val="00EF15EC"/>
    <w:rsid w:val="00EF2C0E"/>
    <w:rsid w:val="00F02D88"/>
    <w:rsid w:val="00F10482"/>
    <w:rsid w:val="00F25AD2"/>
    <w:rsid w:val="00F3430C"/>
    <w:rsid w:val="00F34E0D"/>
    <w:rsid w:val="00F36A80"/>
    <w:rsid w:val="00F52B05"/>
    <w:rsid w:val="00F64074"/>
    <w:rsid w:val="00F66D3B"/>
    <w:rsid w:val="00F81755"/>
    <w:rsid w:val="00F874B4"/>
    <w:rsid w:val="00F87EC1"/>
    <w:rsid w:val="00F87F1F"/>
    <w:rsid w:val="00F9571F"/>
    <w:rsid w:val="00FB0BD5"/>
    <w:rsid w:val="00FB2BD1"/>
    <w:rsid w:val="00FB6564"/>
    <w:rsid w:val="00FC1658"/>
    <w:rsid w:val="00FD0F69"/>
    <w:rsid w:val="00FD2B24"/>
    <w:rsid w:val="00FD7629"/>
    <w:rsid w:val="00FE16DB"/>
    <w:rsid w:val="00FE7120"/>
    <w:rsid w:val="00FF397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0F1055"/>
  <w15:docId w15:val="{07A93B50-B39E-46E9-B6AA-098C7125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5BA"/>
    <w:rPr>
      <w:rFonts w:ascii="Arial" w:hAnsi="Arial" w:cs="Arial"/>
      <w:lang w:eastAsia="en-US"/>
    </w:rPr>
  </w:style>
  <w:style w:type="paragraph" w:styleId="Heading1">
    <w:name w:val="heading 1"/>
    <w:basedOn w:val="Normal"/>
    <w:next w:val="Heading2"/>
    <w:qFormat/>
    <w:rsid w:val="00174D64"/>
    <w:pPr>
      <w:keepNext/>
      <w:numPr>
        <w:numId w:val="1"/>
      </w:numPr>
      <w:pBdr>
        <w:top w:val="single" w:sz="6" w:space="2" w:color="auto"/>
      </w:pBdr>
      <w:tabs>
        <w:tab w:val="clear" w:pos="737"/>
      </w:tabs>
      <w:spacing w:before="240" w:after="120"/>
      <w:outlineLvl w:val="0"/>
    </w:pPr>
    <w:rPr>
      <w:b/>
      <w:sz w:val="28"/>
    </w:rPr>
  </w:style>
  <w:style w:type="paragraph" w:styleId="Heading2">
    <w:name w:val="heading 2"/>
    <w:basedOn w:val="Normal"/>
    <w:next w:val="Indent2"/>
    <w:qFormat/>
    <w:rsid w:val="00174D64"/>
    <w:pPr>
      <w:keepNext/>
      <w:numPr>
        <w:ilvl w:val="1"/>
        <w:numId w:val="1"/>
      </w:numPr>
      <w:tabs>
        <w:tab w:val="clear" w:pos="737"/>
      </w:tabs>
      <w:spacing w:before="120" w:after="120"/>
      <w:outlineLvl w:val="1"/>
    </w:pPr>
    <w:rPr>
      <w:b/>
      <w:sz w:val="22"/>
    </w:rPr>
  </w:style>
  <w:style w:type="paragraph" w:styleId="Heading3">
    <w:name w:val="heading 3"/>
    <w:basedOn w:val="Normal"/>
    <w:qFormat/>
    <w:rsid w:val="00174D64"/>
    <w:pPr>
      <w:numPr>
        <w:ilvl w:val="2"/>
        <w:numId w:val="1"/>
      </w:numPr>
      <w:tabs>
        <w:tab w:val="clear" w:pos="1474"/>
      </w:tabs>
      <w:spacing w:after="240"/>
      <w:outlineLvl w:val="2"/>
    </w:pPr>
  </w:style>
  <w:style w:type="paragraph" w:styleId="Heading4">
    <w:name w:val="heading 4"/>
    <w:basedOn w:val="Normal"/>
    <w:qFormat/>
    <w:rsid w:val="00174D64"/>
    <w:pPr>
      <w:numPr>
        <w:ilvl w:val="3"/>
        <w:numId w:val="1"/>
      </w:numPr>
      <w:tabs>
        <w:tab w:val="clear" w:pos="2211"/>
      </w:tabs>
      <w:spacing w:after="240"/>
      <w:outlineLvl w:val="3"/>
    </w:pPr>
  </w:style>
  <w:style w:type="paragraph" w:styleId="Heading5">
    <w:name w:val="heading 5"/>
    <w:basedOn w:val="Normal"/>
    <w:qFormat/>
    <w:rsid w:val="00174D64"/>
    <w:pPr>
      <w:numPr>
        <w:ilvl w:val="4"/>
        <w:numId w:val="1"/>
      </w:numPr>
      <w:tabs>
        <w:tab w:val="clear" w:pos="2948"/>
      </w:tabs>
      <w:spacing w:after="240"/>
      <w:outlineLvl w:val="4"/>
    </w:pPr>
  </w:style>
  <w:style w:type="paragraph" w:styleId="Heading6">
    <w:name w:val="heading 6"/>
    <w:basedOn w:val="Normal"/>
    <w:qFormat/>
    <w:rsid w:val="00174D64"/>
    <w:pPr>
      <w:numPr>
        <w:ilvl w:val="5"/>
        <w:numId w:val="1"/>
      </w:numPr>
      <w:tabs>
        <w:tab w:val="clear" w:pos="3686"/>
      </w:tabs>
      <w:spacing w:after="240"/>
      <w:outlineLvl w:val="5"/>
    </w:pPr>
  </w:style>
  <w:style w:type="paragraph" w:styleId="Heading7">
    <w:name w:val="heading 7"/>
    <w:basedOn w:val="Normal"/>
    <w:qFormat/>
    <w:rsid w:val="00174D64"/>
    <w:pPr>
      <w:numPr>
        <w:ilvl w:val="6"/>
        <w:numId w:val="1"/>
      </w:numPr>
      <w:spacing w:after="240"/>
      <w:outlineLvl w:val="6"/>
    </w:pPr>
  </w:style>
  <w:style w:type="paragraph" w:styleId="Heading8">
    <w:name w:val="heading 8"/>
    <w:basedOn w:val="Normal"/>
    <w:qFormat/>
    <w:rsid w:val="00174D64"/>
    <w:pPr>
      <w:numPr>
        <w:ilvl w:val="7"/>
        <w:numId w:val="1"/>
      </w:numPr>
      <w:tabs>
        <w:tab w:val="clear" w:pos="1474"/>
      </w:tabs>
      <w:spacing w:after="240"/>
      <w:outlineLvl w:val="7"/>
    </w:pPr>
  </w:style>
  <w:style w:type="paragraph" w:styleId="Heading9">
    <w:name w:val="heading 9"/>
    <w:basedOn w:val="Normal"/>
    <w:qFormat/>
    <w:rsid w:val="00174D64"/>
    <w:pPr>
      <w:numPr>
        <w:ilvl w:val="8"/>
        <w:numId w:val="1"/>
      </w:numPr>
      <w:tabs>
        <w:tab w:val="clear" w:pos="2211"/>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sz w:val="16"/>
    </w:rPr>
  </w:style>
  <w:style w:type="paragraph" w:styleId="BodyText">
    <w:name w:val="Body Text"/>
    <w:basedOn w:val="Normal"/>
    <w:link w:val="BodyTextChar"/>
    <w:pPr>
      <w:spacing w:after="240"/>
    </w:pPr>
  </w:style>
  <w:style w:type="character" w:customStyle="1" w:styleId="Choice">
    <w:name w:val="Choice"/>
    <w:rPr>
      <w:rFonts w:ascii="Arial" w:hAnsi="Arial"/>
      <w:b/>
      <w:noProof w:val="0"/>
      <w:sz w:val="18"/>
      <w:vertAlign w:val="baseline"/>
      <w:lang w:val="en-AU"/>
    </w:rPr>
  </w:style>
  <w:style w:type="paragraph" w:customStyle="1" w:styleId="PrecNo">
    <w:name w:val="PrecNo"/>
    <w:basedOn w:val="Normal"/>
    <w:pPr>
      <w:spacing w:line="260" w:lineRule="atLeast"/>
      <w:ind w:left="142"/>
    </w:pPr>
    <w:rPr>
      <w:caps/>
      <w:spacing w:val="60"/>
      <w:sz w:val="28"/>
    </w:rPr>
  </w:style>
  <w:style w:type="paragraph" w:customStyle="1" w:styleId="Indent1">
    <w:name w:val="Indent 1"/>
    <w:basedOn w:val="Normal"/>
    <w:next w:val="Normal"/>
    <w:pPr>
      <w:spacing w:after="240"/>
      <w:ind w:left="737"/>
    </w:pPr>
  </w:style>
  <w:style w:type="paragraph" w:customStyle="1" w:styleId="Indent2">
    <w:name w:val="Indent 2"/>
    <w:basedOn w:val="Normal"/>
    <w:pPr>
      <w:spacing w:after="240"/>
      <w:ind w:left="737"/>
    </w:p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b/>
      <w:sz w:val="36"/>
    </w:rPr>
  </w:style>
  <w:style w:type="character" w:styleId="PageNumber">
    <w:name w:val="page number"/>
    <w:rPr>
      <w:noProof w:val="0"/>
      <w:lang w:val="en-AU"/>
    </w:rPr>
  </w:style>
  <w:style w:type="paragraph" w:customStyle="1" w:styleId="CoverText">
    <w:name w:val="CoverText"/>
    <w:basedOn w:val="FPtext"/>
    <w:pPr>
      <w:ind w:left="57" w:right="0"/>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sz w:val="36"/>
    </w:rPr>
  </w:style>
  <w:style w:type="paragraph" w:customStyle="1" w:styleId="SubHead">
    <w:name w:val="SubHead"/>
    <w:basedOn w:val="Normal"/>
    <w:next w:val="Heading2"/>
    <w:pPr>
      <w:keepNext/>
    </w:pPr>
    <w:rPr>
      <w:b/>
    </w:rPr>
  </w:style>
  <w:style w:type="paragraph" w:styleId="TOC1">
    <w:name w:val="toc 1"/>
    <w:basedOn w:val="Normal"/>
    <w:next w:val="Normal"/>
    <w:semiHidden/>
    <w:pPr>
      <w:keepNext/>
      <w:pBdr>
        <w:top w:val="single" w:sz="6" w:space="3" w:color="auto"/>
        <w:between w:val="single" w:sz="6" w:space="3" w:color="auto"/>
      </w:pBdr>
      <w:tabs>
        <w:tab w:val="right" w:pos="7938"/>
      </w:tabs>
      <w:spacing w:before="120" w:after="120"/>
      <w:ind w:left="737" w:hanging="737"/>
    </w:pPr>
    <w:rPr>
      <w:b/>
    </w:rPr>
  </w:style>
  <w:style w:type="paragraph" w:styleId="TOC2">
    <w:name w:val="toc 2"/>
    <w:basedOn w:val="Normal"/>
    <w:next w:val="Normal"/>
    <w:semiHidden/>
    <w:pPr>
      <w:tabs>
        <w:tab w:val="right" w:pos="7938"/>
      </w:tabs>
      <w:spacing w:line="260" w:lineRule="atLeast"/>
      <w:ind w:left="737" w:right="1701" w:hanging="737"/>
    </w:pPr>
  </w:style>
  <w:style w:type="paragraph" w:styleId="TOC3">
    <w:name w:val="toc 3"/>
    <w:basedOn w:val="Normal"/>
    <w:next w:val="Normal"/>
    <w:semiHidden/>
    <w:pPr>
      <w:tabs>
        <w:tab w:val="right" w:pos="7938"/>
      </w:tabs>
      <w:spacing w:before="120"/>
      <w:ind w:right="1701"/>
    </w:pPr>
    <w:rPr>
      <w:b/>
    </w:r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otnoteReference">
    <w:name w:val="footnote reference"/>
    <w:semiHidden/>
    <w:rPr>
      <w:vertAlign w:val="superscript"/>
    </w:rPr>
  </w:style>
  <w:style w:type="paragraph" w:styleId="FootnoteText">
    <w:name w:val="footnote text"/>
    <w:basedOn w:val="Normal"/>
    <w:semiHidden/>
    <w:pPr>
      <w:spacing w:after="60"/>
      <w:ind w:left="284" w:hanging="284"/>
    </w:pPr>
    <w:rPr>
      <w:sz w:val="18"/>
    </w:rPr>
  </w:style>
  <w:style w:type="paragraph" w:customStyle="1" w:styleId="Headersub">
    <w:name w:val="Header sub"/>
    <w:basedOn w:val="Normal"/>
    <w:pPr>
      <w:spacing w:after="1240"/>
    </w:pPr>
    <w:rPr>
      <w:sz w:val="36"/>
    </w:rPr>
  </w:style>
  <w:style w:type="paragraph" w:customStyle="1" w:styleId="Indent6">
    <w:name w:val="Indent 6"/>
    <w:basedOn w:val="Normal"/>
    <w:pPr>
      <w:spacing w:after="240"/>
      <w:ind w:left="3686"/>
    </w:pPr>
  </w:style>
  <w:style w:type="paragraph" w:customStyle="1" w:styleId="NormalDeed">
    <w:name w:val="Normal Deed"/>
    <w:basedOn w:val="Normal"/>
    <w:pPr>
      <w:spacing w:after="240"/>
    </w:pPr>
  </w:style>
  <w:style w:type="paragraph" w:customStyle="1" w:styleId="PartHeading">
    <w:name w:val="Part Heading"/>
    <w:basedOn w:val="Normal"/>
    <w:next w:val="Normal"/>
    <w:uiPriority w:val="3"/>
    <w:rsid w:val="001C2F0D"/>
    <w:pPr>
      <w:numPr>
        <w:numId w:val="21"/>
      </w:numPr>
      <w:spacing w:before="240" w:after="240"/>
    </w:pPr>
    <w:rPr>
      <w:b/>
      <w:sz w:val="28"/>
    </w:rPr>
  </w:style>
  <w:style w:type="paragraph" w:customStyle="1" w:styleId="PrecNameCover">
    <w:name w:val="PrecNameCover"/>
    <w:basedOn w:val="PrecName"/>
    <w:next w:val="Normal"/>
    <w:pPr>
      <w:ind w:left="57"/>
    </w:pPr>
  </w:style>
  <w:style w:type="paragraph" w:customStyle="1" w:styleId="SchedH1">
    <w:name w:val="SchedH1"/>
    <w:basedOn w:val="Normal"/>
    <w:next w:val="SchedH2"/>
    <w:uiPriority w:val="6"/>
    <w:rsid w:val="001F5A5C"/>
    <w:pPr>
      <w:keepNext/>
      <w:numPr>
        <w:ilvl w:val="1"/>
        <w:numId w:val="20"/>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1C2F0D"/>
    <w:pPr>
      <w:keepNext/>
      <w:numPr>
        <w:ilvl w:val="2"/>
        <w:numId w:val="20"/>
      </w:numPr>
      <w:spacing w:before="120" w:after="120"/>
    </w:pPr>
    <w:rPr>
      <w:b/>
      <w:sz w:val="22"/>
    </w:rPr>
  </w:style>
  <w:style w:type="paragraph" w:customStyle="1" w:styleId="SchedH3">
    <w:name w:val="SchedH3"/>
    <w:basedOn w:val="Normal"/>
    <w:uiPriority w:val="6"/>
    <w:rsid w:val="001C2F0D"/>
    <w:pPr>
      <w:numPr>
        <w:ilvl w:val="3"/>
        <w:numId w:val="20"/>
      </w:numPr>
      <w:spacing w:after="240"/>
    </w:pPr>
  </w:style>
  <w:style w:type="paragraph" w:customStyle="1" w:styleId="SchedH4">
    <w:name w:val="SchedH4"/>
    <w:basedOn w:val="Normal"/>
    <w:uiPriority w:val="6"/>
    <w:rsid w:val="001C2F0D"/>
    <w:pPr>
      <w:numPr>
        <w:ilvl w:val="4"/>
        <w:numId w:val="20"/>
      </w:numPr>
      <w:spacing w:after="240"/>
    </w:pPr>
  </w:style>
  <w:style w:type="paragraph" w:customStyle="1" w:styleId="SchedH5">
    <w:name w:val="SchedH5"/>
    <w:basedOn w:val="Normal"/>
    <w:uiPriority w:val="6"/>
    <w:rsid w:val="001C2F0D"/>
    <w:pPr>
      <w:numPr>
        <w:ilvl w:val="5"/>
        <w:numId w:val="20"/>
      </w:numPr>
      <w:spacing w:after="240"/>
    </w:p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style>
  <w:style w:type="paragraph" w:customStyle="1" w:styleId="FPtext">
    <w:name w:val="FPtext"/>
    <w:basedOn w:val="Normal"/>
    <w:pPr>
      <w:spacing w:line="260" w:lineRule="atLeast"/>
      <w:ind w:left="624" w:right="-567"/>
    </w:pPr>
  </w:style>
  <w:style w:type="paragraph" w:customStyle="1" w:styleId="FStext">
    <w:name w:val="FStext"/>
    <w:basedOn w:val="Normal"/>
    <w:pPr>
      <w:spacing w:after="120" w:line="260" w:lineRule="atLeast"/>
      <w:ind w:left="737"/>
    </w:pPr>
  </w:style>
  <w:style w:type="paragraph" w:customStyle="1" w:styleId="FSbullet">
    <w:name w:val="FSbullet"/>
    <w:basedOn w:val="Normal"/>
    <w:pPr>
      <w:spacing w:after="120" w:line="260" w:lineRule="atLeast"/>
      <w:ind w:left="737" w:hanging="510"/>
    </w:pPr>
  </w:style>
  <w:style w:type="paragraph" w:customStyle="1" w:styleId="FScheck1">
    <w:name w:val="FScheck1"/>
    <w:basedOn w:val="Normal"/>
    <w:pPr>
      <w:spacing w:before="60" w:after="60" w:line="260" w:lineRule="atLeast"/>
      <w:ind w:left="425" w:hanging="425"/>
    </w:p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style>
  <w:style w:type="paragraph" w:customStyle="1" w:styleId="FScheck3">
    <w:name w:val="FScheck3"/>
    <w:basedOn w:val="Normal"/>
    <w:pPr>
      <w:spacing w:before="60" w:after="60" w:line="260" w:lineRule="atLeast"/>
      <w:ind w:left="1276" w:hanging="425"/>
    </w:pPr>
  </w:style>
  <w:style w:type="paragraph" w:customStyle="1" w:styleId="FScheckbullet">
    <w:name w:val="FScheckbullet"/>
    <w:basedOn w:val="FScheck1"/>
    <w:pPr>
      <w:ind w:left="709" w:hanging="284"/>
    </w:p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numbering" w:styleId="111111">
    <w:name w:val="Outline List 2"/>
    <w:basedOn w:val="NoList"/>
    <w:rsid w:val="00B24BE9"/>
    <w:pPr>
      <w:numPr>
        <w:numId w:val="2"/>
      </w:numPr>
    </w:pPr>
  </w:style>
  <w:style w:type="numbering" w:styleId="1ai">
    <w:name w:val="Outline List 1"/>
    <w:basedOn w:val="NoList"/>
    <w:rsid w:val="00B24BE9"/>
    <w:pPr>
      <w:numPr>
        <w:numId w:val="3"/>
      </w:numPr>
    </w:pPr>
  </w:style>
  <w:style w:type="numbering" w:styleId="ArticleSection">
    <w:name w:val="Outline List 3"/>
    <w:basedOn w:val="NoList"/>
    <w:rsid w:val="00B24BE9"/>
    <w:pPr>
      <w:numPr>
        <w:numId w:val="4"/>
      </w:numPr>
    </w:pPr>
  </w:style>
  <w:style w:type="paragraph" w:styleId="BalloonText">
    <w:name w:val="Balloon Text"/>
    <w:basedOn w:val="Normal"/>
    <w:link w:val="BalloonTextChar"/>
    <w:rsid w:val="00B24BE9"/>
    <w:rPr>
      <w:rFonts w:ascii="Tahoma" w:hAnsi="Tahoma" w:cs="Tahoma"/>
      <w:sz w:val="16"/>
      <w:szCs w:val="16"/>
    </w:rPr>
  </w:style>
  <w:style w:type="character" w:customStyle="1" w:styleId="BalloonTextChar">
    <w:name w:val="Balloon Text Char"/>
    <w:link w:val="BalloonText"/>
    <w:rsid w:val="00B24BE9"/>
    <w:rPr>
      <w:rFonts w:ascii="Tahoma" w:hAnsi="Tahoma" w:cs="Tahoma"/>
      <w:sz w:val="16"/>
      <w:szCs w:val="16"/>
      <w:lang w:eastAsia="en-US"/>
    </w:rPr>
  </w:style>
  <w:style w:type="paragraph" w:styleId="Bibliography">
    <w:name w:val="Bibliography"/>
    <w:basedOn w:val="Normal"/>
    <w:next w:val="Normal"/>
    <w:uiPriority w:val="37"/>
    <w:semiHidden/>
    <w:unhideWhenUsed/>
    <w:rsid w:val="00B24BE9"/>
  </w:style>
  <w:style w:type="paragraph" w:styleId="BlockText">
    <w:name w:val="Block Text"/>
    <w:basedOn w:val="Normal"/>
    <w:rsid w:val="00B24BE9"/>
    <w:pPr>
      <w:spacing w:after="120"/>
      <w:ind w:left="1440" w:right="1440"/>
    </w:pPr>
  </w:style>
  <w:style w:type="paragraph" w:styleId="BodyText2">
    <w:name w:val="Body Text 2"/>
    <w:basedOn w:val="Normal"/>
    <w:link w:val="BodyText2Char"/>
    <w:rsid w:val="00B24BE9"/>
    <w:pPr>
      <w:spacing w:after="120" w:line="480" w:lineRule="auto"/>
    </w:pPr>
  </w:style>
  <w:style w:type="character" w:customStyle="1" w:styleId="BodyText2Char">
    <w:name w:val="Body Text 2 Char"/>
    <w:link w:val="BodyText2"/>
    <w:rsid w:val="00B24BE9"/>
    <w:rPr>
      <w:rFonts w:ascii="Arial" w:hAnsi="Arial" w:cs="Arial"/>
      <w:lang w:eastAsia="en-US"/>
    </w:rPr>
  </w:style>
  <w:style w:type="paragraph" w:styleId="BodyText3">
    <w:name w:val="Body Text 3"/>
    <w:basedOn w:val="Normal"/>
    <w:link w:val="BodyText3Char"/>
    <w:rsid w:val="00B24BE9"/>
    <w:pPr>
      <w:spacing w:after="120"/>
    </w:pPr>
    <w:rPr>
      <w:sz w:val="16"/>
      <w:szCs w:val="16"/>
    </w:rPr>
  </w:style>
  <w:style w:type="character" w:customStyle="1" w:styleId="BodyText3Char">
    <w:name w:val="Body Text 3 Char"/>
    <w:link w:val="BodyText3"/>
    <w:rsid w:val="00B24BE9"/>
    <w:rPr>
      <w:rFonts w:ascii="Arial" w:hAnsi="Arial" w:cs="Arial"/>
      <w:sz w:val="16"/>
      <w:szCs w:val="16"/>
      <w:lang w:eastAsia="en-US"/>
    </w:rPr>
  </w:style>
  <w:style w:type="paragraph" w:styleId="BodyTextFirstIndent">
    <w:name w:val="Body Text First Indent"/>
    <w:basedOn w:val="BodyText"/>
    <w:link w:val="BodyTextFirstIndentChar"/>
    <w:rsid w:val="00B24BE9"/>
    <w:pPr>
      <w:spacing w:after="120"/>
      <w:ind w:firstLine="210"/>
    </w:pPr>
  </w:style>
  <w:style w:type="character" w:customStyle="1" w:styleId="BodyTextChar">
    <w:name w:val="Body Text Char"/>
    <w:link w:val="BodyText"/>
    <w:rsid w:val="00B24BE9"/>
    <w:rPr>
      <w:rFonts w:ascii="Arial" w:hAnsi="Arial" w:cs="Arial"/>
      <w:lang w:eastAsia="en-US"/>
    </w:rPr>
  </w:style>
  <w:style w:type="character" w:customStyle="1" w:styleId="BodyTextFirstIndentChar">
    <w:name w:val="Body Text First Indent Char"/>
    <w:basedOn w:val="BodyTextChar"/>
    <w:link w:val="BodyTextFirstIndent"/>
    <w:rsid w:val="00B24BE9"/>
    <w:rPr>
      <w:rFonts w:ascii="Arial" w:hAnsi="Arial" w:cs="Arial"/>
      <w:lang w:eastAsia="en-US"/>
    </w:rPr>
  </w:style>
  <w:style w:type="paragraph" w:styleId="BodyTextIndent">
    <w:name w:val="Body Text Indent"/>
    <w:basedOn w:val="Normal"/>
    <w:link w:val="BodyTextIndentChar"/>
    <w:rsid w:val="00B24BE9"/>
    <w:pPr>
      <w:spacing w:after="120"/>
      <w:ind w:left="283"/>
    </w:pPr>
  </w:style>
  <w:style w:type="character" w:customStyle="1" w:styleId="BodyTextIndentChar">
    <w:name w:val="Body Text Indent Char"/>
    <w:link w:val="BodyTextIndent"/>
    <w:rsid w:val="00B24BE9"/>
    <w:rPr>
      <w:rFonts w:ascii="Arial" w:hAnsi="Arial" w:cs="Arial"/>
      <w:lang w:eastAsia="en-US"/>
    </w:rPr>
  </w:style>
  <w:style w:type="paragraph" w:styleId="BodyTextFirstIndent2">
    <w:name w:val="Body Text First Indent 2"/>
    <w:basedOn w:val="BodyTextIndent"/>
    <w:link w:val="BodyTextFirstIndent2Char"/>
    <w:rsid w:val="00B24BE9"/>
    <w:pPr>
      <w:ind w:firstLine="210"/>
    </w:pPr>
  </w:style>
  <w:style w:type="character" w:customStyle="1" w:styleId="BodyTextFirstIndent2Char">
    <w:name w:val="Body Text First Indent 2 Char"/>
    <w:basedOn w:val="BodyTextIndentChar"/>
    <w:link w:val="BodyTextFirstIndent2"/>
    <w:rsid w:val="00B24BE9"/>
    <w:rPr>
      <w:rFonts w:ascii="Arial" w:hAnsi="Arial" w:cs="Arial"/>
      <w:lang w:eastAsia="en-US"/>
    </w:rPr>
  </w:style>
  <w:style w:type="paragraph" w:styleId="BodyTextIndent2">
    <w:name w:val="Body Text Indent 2"/>
    <w:basedOn w:val="Normal"/>
    <w:link w:val="BodyTextIndent2Char"/>
    <w:rsid w:val="00B24BE9"/>
    <w:pPr>
      <w:spacing w:after="120" w:line="480" w:lineRule="auto"/>
      <w:ind w:left="283"/>
    </w:pPr>
  </w:style>
  <w:style w:type="character" w:customStyle="1" w:styleId="BodyTextIndent2Char">
    <w:name w:val="Body Text Indent 2 Char"/>
    <w:link w:val="BodyTextIndent2"/>
    <w:rsid w:val="00B24BE9"/>
    <w:rPr>
      <w:rFonts w:ascii="Arial" w:hAnsi="Arial" w:cs="Arial"/>
      <w:lang w:eastAsia="en-US"/>
    </w:rPr>
  </w:style>
  <w:style w:type="paragraph" w:styleId="BodyTextIndent3">
    <w:name w:val="Body Text Indent 3"/>
    <w:basedOn w:val="Normal"/>
    <w:link w:val="BodyTextIndent3Char"/>
    <w:rsid w:val="00B24BE9"/>
    <w:pPr>
      <w:spacing w:after="120"/>
      <w:ind w:left="283"/>
    </w:pPr>
    <w:rPr>
      <w:sz w:val="16"/>
      <w:szCs w:val="16"/>
    </w:rPr>
  </w:style>
  <w:style w:type="character" w:customStyle="1" w:styleId="BodyTextIndent3Char">
    <w:name w:val="Body Text Indent 3 Char"/>
    <w:link w:val="BodyTextIndent3"/>
    <w:rsid w:val="00B24BE9"/>
    <w:rPr>
      <w:rFonts w:ascii="Arial" w:hAnsi="Arial" w:cs="Arial"/>
      <w:sz w:val="16"/>
      <w:szCs w:val="16"/>
      <w:lang w:eastAsia="en-US"/>
    </w:rPr>
  </w:style>
  <w:style w:type="character" w:styleId="BookTitle">
    <w:name w:val="Book Title"/>
    <w:uiPriority w:val="33"/>
    <w:qFormat/>
    <w:rsid w:val="00B24BE9"/>
    <w:rPr>
      <w:b/>
      <w:bCs/>
      <w:smallCaps/>
      <w:spacing w:val="5"/>
    </w:rPr>
  </w:style>
  <w:style w:type="paragraph" w:styleId="Caption">
    <w:name w:val="caption"/>
    <w:basedOn w:val="Normal"/>
    <w:next w:val="Normal"/>
    <w:semiHidden/>
    <w:unhideWhenUsed/>
    <w:qFormat/>
    <w:rsid w:val="00B24BE9"/>
    <w:rPr>
      <w:b/>
      <w:bCs/>
    </w:rPr>
  </w:style>
  <w:style w:type="paragraph" w:styleId="Closing">
    <w:name w:val="Closing"/>
    <w:basedOn w:val="Normal"/>
    <w:link w:val="ClosingChar"/>
    <w:rsid w:val="00B24BE9"/>
    <w:pPr>
      <w:ind w:left="4252"/>
    </w:pPr>
  </w:style>
  <w:style w:type="character" w:customStyle="1" w:styleId="ClosingChar">
    <w:name w:val="Closing Char"/>
    <w:link w:val="Closing"/>
    <w:rsid w:val="00B24BE9"/>
    <w:rPr>
      <w:rFonts w:ascii="Arial" w:hAnsi="Arial" w:cs="Arial"/>
      <w:lang w:eastAsia="en-US"/>
    </w:rPr>
  </w:style>
  <w:style w:type="table" w:styleId="ColorfulGrid">
    <w:name w:val="Colorful Grid"/>
    <w:basedOn w:val="TableNormal"/>
    <w:uiPriority w:val="73"/>
    <w:rsid w:val="00B24BE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24BE9"/>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24BE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24BE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24BE9"/>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24BE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24BE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B24BE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24BE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24BE9"/>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24BE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24BE9"/>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24BE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24BE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B24BE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24BE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24BE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24BE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24BE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24BE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24BE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B24BE9"/>
    <w:rPr>
      <w:sz w:val="16"/>
      <w:szCs w:val="16"/>
    </w:rPr>
  </w:style>
  <w:style w:type="paragraph" w:styleId="CommentText">
    <w:name w:val="annotation text"/>
    <w:basedOn w:val="Normal"/>
    <w:link w:val="CommentTextChar"/>
    <w:rsid w:val="00B24BE9"/>
  </w:style>
  <w:style w:type="character" w:customStyle="1" w:styleId="CommentTextChar">
    <w:name w:val="Comment Text Char"/>
    <w:link w:val="CommentText"/>
    <w:rsid w:val="00B24BE9"/>
    <w:rPr>
      <w:rFonts w:ascii="Arial" w:hAnsi="Arial" w:cs="Arial"/>
      <w:lang w:eastAsia="en-US"/>
    </w:rPr>
  </w:style>
  <w:style w:type="paragraph" w:styleId="CommentSubject">
    <w:name w:val="annotation subject"/>
    <w:basedOn w:val="CommentText"/>
    <w:next w:val="CommentText"/>
    <w:link w:val="CommentSubjectChar"/>
    <w:rsid w:val="00B24BE9"/>
    <w:rPr>
      <w:b/>
      <w:bCs/>
    </w:rPr>
  </w:style>
  <w:style w:type="character" w:customStyle="1" w:styleId="CommentSubjectChar">
    <w:name w:val="Comment Subject Char"/>
    <w:link w:val="CommentSubject"/>
    <w:rsid w:val="00B24BE9"/>
    <w:rPr>
      <w:rFonts w:ascii="Arial" w:hAnsi="Arial" w:cs="Arial"/>
      <w:b/>
      <w:bCs/>
      <w:lang w:eastAsia="en-US"/>
    </w:rPr>
  </w:style>
  <w:style w:type="table" w:styleId="DarkList">
    <w:name w:val="Dark List"/>
    <w:basedOn w:val="TableNormal"/>
    <w:uiPriority w:val="70"/>
    <w:rsid w:val="00B24BE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24BE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24BE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24BE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24BE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24BE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24BE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B24BE9"/>
  </w:style>
  <w:style w:type="character" w:customStyle="1" w:styleId="DateChar">
    <w:name w:val="Date Char"/>
    <w:link w:val="Date"/>
    <w:rsid w:val="00B24BE9"/>
    <w:rPr>
      <w:rFonts w:ascii="Arial" w:hAnsi="Arial" w:cs="Arial"/>
      <w:lang w:eastAsia="en-US"/>
    </w:rPr>
  </w:style>
  <w:style w:type="paragraph" w:styleId="DocumentMap">
    <w:name w:val="Document Map"/>
    <w:basedOn w:val="Normal"/>
    <w:link w:val="DocumentMapChar"/>
    <w:rsid w:val="00B24BE9"/>
    <w:rPr>
      <w:rFonts w:ascii="Tahoma" w:hAnsi="Tahoma" w:cs="Tahoma"/>
      <w:sz w:val="16"/>
      <w:szCs w:val="16"/>
    </w:rPr>
  </w:style>
  <w:style w:type="character" w:customStyle="1" w:styleId="DocumentMapChar">
    <w:name w:val="Document Map Char"/>
    <w:link w:val="DocumentMap"/>
    <w:rsid w:val="00B24BE9"/>
    <w:rPr>
      <w:rFonts w:ascii="Tahoma" w:hAnsi="Tahoma" w:cs="Tahoma"/>
      <w:sz w:val="16"/>
      <w:szCs w:val="16"/>
      <w:lang w:eastAsia="en-US"/>
    </w:rPr>
  </w:style>
  <w:style w:type="paragraph" w:styleId="E-mailSignature">
    <w:name w:val="E-mail Signature"/>
    <w:basedOn w:val="Normal"/>
    <w:link w:val="E-mailSignatureChar"/>
    <w:rsid w:val="00B24BE9"/>
  </w:style>
  <w:style w:type="character" w:customStyle="1" w:styleId="E-mailSignatureChar">
    <w:name w:val="E-mail Signature Char"/>
    <w:link w:val="E-mailSignature"/>
    <w:rsid w:val="00B24BE9"/>
    <w:rPr>
      <w:rFonts w:ascii="Arial" w:hAnsi="Arial" w:cs="Arial"/>
      <w:lang w:eastAsia="en-US"/>
    </w:rPr>
  </w:style>
  <w:style w:type="character" w:styleId="Emphasis">
    <w:name w:val="Emphasis"/>
    <w:qFormat/>
    <w:rsid w:val="00B24BE9"/>
    <w:rPr>
      <w:i/>
      <w:iCs/>
    </w:rPr>
  </w:style>
  <w:style w:type="character" w:styleId="EndnoteReference">
    <w:name w:val="endnote reference"/>
    <w:rsid w:val="00B24BE9"/>
    <w:rPr>
      <w:vertAlign w:val="superscript"/>
    </w:rPr>
  </w:style>
  <w:style w:type="paragraph" w:styleId="EndnoteText">
    <w:name w:val="endnote text"/>
    <w:basedOn w:val="Normal"/>
    <w:link w:val="EndnoteTextChar"/>
    <w:rsid w:val="00B24BE9"/>
  </w:style>
  <w:style w:type="character" w:customStyle="1" w:styleId="EndnoteTextChar">
    <w:name w:val="Endnote Text Char"/>
    <w:link w:val="EndnoteText"/>
    <w:rsid w:val="00B24BE9"/>
    <w:rPr>
      <w:rFonts w:ascii="Arial" w:hAnsi="Arial" w:cs="Arial"/>
      <w:lang w:eastAsia="en-US"/>
    </w:rPr>
  </w:style>
  <w:style w:type="paragraph" w:styleId="EnvelopeAddress">
    <w:name w:val="envelope address"/>
    <w:basedOn w:val="Normal"/>
    <w:rsid w:val="00B24BE9"/>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B24BE9"/>
    <w:rPr>
      <w:rFonts w:ascii="Cambria" w:eastAsia="SimSun" w:hAnsi="Cambria" w:cs="Times New Roman"/>
    </w:rPr>
  </w:style>
  <w:style w:type="character" w:styleId="FollowedHyperlink">
    <w:name w:val="FollowedHyperlink"/>
    <w:rsid w:val="00B24BE9"/>
    <w:rPr>
      <w:color w:val="800080"/>
      <w:u w:val="single"/>
    </w:rPr>
  </w:style>
  <w:style w:type="character" w:styleId="HTMLAcronym">
    <w:name w:val="HTML Acronym"/>
    <w:rsid w:val="00B24BE9"/>
  </w:style>
  <w:style w:type="paragraph" w:styleId="HTMLAddress">
    <w:name w:val="HTML Address"/>
    <w:basedOn w:val="Normal"/>
    <w:link w:val="HTMLAddressChar"/>
    <w:rsid w:val="00B24BE9"/>
    <w:rPr>
      <w:i/>
      <w:iCs/>
    </w:rPr>
  </w:style>
  <w:style w:type="character" w:customStyle="1" w:styleId="HTMLAddressChar">
    <w:name w:val="HTML Address Char"/>
    <w:link w:val="HTMLAddress"/>
    <w:rsid w:val="00B24BE9"/>
    <w:rPr>
      <w:rFonts w:ascii="Arial" w:hAnsi="Arial" w:cs="Arial"/>
      <w:i/>
      <w:iCs/>
      <w:lang w:eastAsia="en-US"/>
    </w:rPr>
  </w:style>
  <w:style w:type="character" w:styleId="HTMLCite">
    <w:name w:val="HTML Cite"/>
    <w:rsid w:val="00B24BE9"/>
    <w:rPr>
      <w:i/>
      <w:iCs/>
    </w:rPr>
  </w:style>
  <w:style w:type="character" w:styleId="HTMLCode">
    <w:name w:val="HTML Code"/>
    <w:rsid w:val="00B24BE9"/>
    <w:rPr>
      <w:rFonts w:ascii="Courier New" w:hAnsi="Courier New" w:cs="Courier New"/>
      <w:sz w:val="20"/>
      <w:szCs w:val="20"/>
    </w:rPr>
  </w:style>
  <w:style w:type="character" w:styleId="HTMLDefinition">
    <w:name w:val="HTML Definition"/>
    <w:rsid w:val="00B24BE9"/>
    <w:rPr>
      <w:i/>
      <w:iCs/>
    </w:rPr>
  </w:style>
  <w:style w:type="character" w:styleId="HTMLKeyboard">
    <w:name w:val="HTML Keyboard"/>
    <w:rsid w:val="00B24BE9"/>
    <w:rPr>
      <w:rFonts w:ascii="Courier New" w:hAnsi="Courier New" w:cs="Courier New"/>
      <w:sz w:val="20"/>
      <w:szCs w:val="20"/>
    </w:rPr>
  </w:style>
  <w:style w:type="paragraph" w:styleId="HTMLPreformatted">
    <w:name w:val="HTML Preformatted"/>
    <w:basedOn w:val="Normal"/>
    <w:link w:val="HTMLPreformattedChar"/>
    <w:rsid w:val="00B24BE9"/>
    <w:rPr>
      <w:rFonts w:ascii="Courier New" w:hAnsi="Courier New" w:cs="Courier New"/>
    </w:rPr>
  </w:style>
  <w:style w:type="character" w:customStyle="1" w:styleId="HTMLPreformattedChar">
    <w:name w:val="HTML Preformatted Char"/>
    <w:link w:val="HTMLPreformatted"/>
    <w:rsid w:val="00B24BE9"/>
    <w:rPr>
      <w:rFonts w:ascii="Courier New" w:hAnsi="Courier New" w:cs="Courier New"/>
      <w:lang w:eastAsia="en-US"/>
    </w:rPr>
  </w:style>
  <w:style w:type="character" w:styleId="HTMLSample">
    <w:name w:val="HTML Sample"/>
    <w:rsid w:val="00B24BE9"/>
    <w:rPr>
      <w:rFonts w:ascii="Courier New" w:hAnsi="Courier New" w:cs="Courier New"/>
    </w:rPr>
  </w:style>
  <w:style w:type="character" w:styleId="HTMLTypewriter">
    <w:name w:val="HTML Typewriter"/>
    <w:rsid w:val="00B24BE9"/>
    <w:rPr>
      <w:rFonts w:ascii="Courier New" w:hAnsi="Courier New" w:cs="Courier New"/>
      <w:sz w:val="20"/>
      <w:szCs w:val="20"/>
    </w:rPr>
  </w:style>
  <w:style w:type="character" w:styleId="HTMLVariable">
    <w:name w:val="HTML Variable"/>
    <w:rsid w:val="00B24BE9"/>
    <w:rPr>
      <w:i/>
      <w:iCs/>
    </w:rPr>
  </w:style>
  <w:style w:type="character" w:styleId="Hyperlink">
    <w:name w:val="Hyperlink"/>
    <w:rsid w:val="00B24BE9"/>
    <w:rPr>
      <w:color w:val="0000FF"/>
      <w:u w:val="single"/>
    </w:rPr>
  </w:style>
  <w:style w:type="paragraph" w:styleId="Index1">
    <w:name w:val="index 1"/>
    <w:basedOn w:val="Normal"/>
    <w:next w:val="Normal"/>
    <w:autoRedefine/>
    <w:rsid w:val="00B24BE9"/>
    <w:pPr>
      <w:ind w:left="200" w:hanging="200"/>
    </w:pPr>
  </w:style>
  <w:style w:type="paragraph" w:styleId="Index2">
    <w:name w:val="index 2"/>
    <w:basedOn w:val="Normal"/>
    <w:next w:val="Normal"/>
    <w:autoRedefine/>
    <w:rsid w:val="00B24BE9"/>
    <w:pPr>
      <w:ind w:left="400" w:hanging="200"/>
    </w:pPr>
  </w:style>
  <w:style w:type="paragraph" w:styleId="Index3">
    <w:name w:val="index 3"/>
    <w:basedOn w:val="Normal"/>
    <w:next w:val="Normal"/>
    <w:autoRedefine/>
    <w:rsid w:val="00B24BE9"/>
    <w:pPr>
      <w:ind w:left="600" w:hanging="200"/>
    </w:pPr>
  </w:style>
  <w:style w:type="paragraph" w:styleId="Index4">
    <w:name w:val="index 4"/>
    <w:basedOn w:val="Normal"/>
    <w:next w:val="Normal"/>
    <w:autoRedefine/>
    <w:rsid w:val="00B24BE9"/>
    <w:pPr>
      <w:ind w:left="800" w:hanging="200"/>
    </w:pPr>
  </w:style>
  <w:style w:type="paragraph" w:styleId="Index5">
    <w:name w:val="index 5"/>
    <w:basedOn w:val="Normal"/>
    <w:next w:val="Normal"/>
    <w:autoRedefine/>
    <w:rsid w:val="00B24BE9"/>
    <w:pPr>
      <w:ind w:left="1000" w:hanging="200"/>
    </w:pPr>
  </w:style>
  <w:style w:type="paragraph" w:styleId="Index6">
    <w:name w:val="index 6"/>
    <w:basedOn w:val="Normal"/>
    <w:next w:val="Normal"/>
    <w:autoRedefine/>
    <w:rsid w:val="00B24BE9"/>
    <w:pPr>
      <w:ind w:left="1200" w:hanging="200"/>
    </w:pPr>
  </w:style>
  <w:style w:type="paragraph" w:styleId="Index7">
    <w:name w:val="index 7"/>
    <w:basedOn w:val="Normal"/>
    <w:next w:val="Normal"/>
    <w:autoRedefine/>
    <w:rsid w:val="00B24BE9"/>
    <w:pPr>
      <w:ind w:left="1400" w:hanging="200"/>
    </w:pPr>
  </w:style>
  <w:style w:type="paragraph" w:styleId="Index8">
    <w:name w:val="index 8"/>
    <w:basedOn w:val="Normal"/>
    <w:next w:val="Normal"/>
    <w:autoRedefine/>
    <w:rsid w:val="00B24BE9"/>
    <w:pPr>
      <w:ind w:left="1600" w:hanging="200"/>
    </w:pPr>
  </w:style>
  <w:style w:type="paragraph" w:styleId="Index9">
    <w:name w:val="index 9"/>
    <w:basedOn w:val="Normal"/>
    <w:next w:val="Normal"/>
    <w:autoRedefine/>
    <w:rsid w:val="00B24BE9"/>
    <w:pPr>
      <w:ind w:left="1800" w:hanging="200"/>
    </w:pPr>
  </w:style>
  <w:style w:type="paragraph" w:styleId="IndexHeading">
    <w:name w:val="index heading"/>
    <w:basedOn w:val="Normal"/>
    <w:next w:val="Index1"/>
    <w:rsid w:val="00B24BE9"/>
    <w:rPr>
      <w:rFonts w:ascii="Cambria" w:eastAsia="SimSun" w:hAnsi="Cambria" w:cs="Times New Roman"/>
      <w:b/>
      <w:bCs/>
    </w:rPr>
  </w:style>
  <w:style w:type="character" w:styleId="IntenseEmphasis">
    <w:name w:val="Intense Emphasis"/>
    <w:uiPriority w:val="21"/>
    <w:qFormat/>
    <w:rsid w:val="00B24BE9"/>
    <w:rPr>
      <w:b/>
      <w:bCs/>
      <w:i/>
      <w:iCs/>
      <w:color w:val="4F81BD"/>
    </w:rPr>
  </w:style>
  <w:style w:type="paragraph" w:styleId="IntenseQuote">
    <w:name w:val="Intense Quote"/>
    <w:basedOn w:val="Normal"/>
    <w:next w:val="Normal"/>
    <w:link w:val="IntenseQuoteChar"/>
    <w:uiPriority w:val="30"/>
    <w:qFormat/>
    <w:rsid w:val="00B24BE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24BE9"/>
    <w:rPr>
      <w:rFonts w:ascii="Arial" w:hAnsi="Arial" w:cs="Arial"/>
      <w:b/>
      <w:bCs/>
      <w:i/>
      <w:iCs/>
      <w:color w:val="4F81BD"/>
      <w:lang w:eastAsia="en-US"/>
    </w:rPr>
  </w:style>
  <w:style w:type="character" w:styleId="IntenseReference">
    <w:name w:val="Intense Reference"/>
    <w:uiPriority w:val="32"/>
    <w:qFormat/>
    <w:rsid w:val="00B24BE9"/>
    <w:rPr>
      <w:b/>
      <w:bCs/>
      <w:smallCaps/>
      <w:color w:val="C0504D"/>
      <w:spacing w:val="5"/>
      <w:u w:val="single"/>
    </w:rPr>
  </w:style>
  <w:style w:type="table" w:styleId="LightGrid">
    <w:name w:val="Light Grid"/>
    <w:basedOn w:val="TableNormal"/>
    <w:uiPriority w:val="62"/>
    <w:rsid w:val="00B24BE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24BE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24BE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24BE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24BE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24BE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24BE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B24BE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24BE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24BE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24BE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24BE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24BE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24BE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B24BE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24BE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24BE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24BE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24BE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24BE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24BE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B24BE9"/>
  </w:style>
  <w:style w:type="paragraph" w:styleId="List">
    <w:name w:val="List"/>
    <w:basedOn w:val="Normal"/>
    <w:rsid w:val="00B24BE9"/>
    <w:pPr>
      <w:ind w:left="283" w:hanging="283"/>
      <w:contextualSpacing/>
    </w:pPr>
  </w:style>
  <w:style w:type="paragraph" w:styleId="List2">
    <w:name w:val="List 2"/>
    <w:basedOn w:val="Normal"/>
    <w:rsid w:val="00B24BE9"/>
    <w:pPr>
      <w:ind w:left="566" w:hanging="283"/>
      <w:contextualSpacing/>
    </w:pPr>
  </w:style>
  <w:style w:type="paragraph" w:styleId="List3">
    <w:name w:val="List 3"/>
    <w:basedOn w:val="Normal"/>
    <w:rsid w:val="00B24BE9"/>
    <w:pPr>
      <w:ind w:left="849" w:hanging="283"/>
      <w:contextualSpacing/>
    </w:pPr>
  </w:style>
  <w:style w:type="paragraph" w:styleId="List4">
    <w:name w:val="List 4"/>
    <w:basedOn w:val="Normal"/>
    <w:rsid w:val="00B24BE9"/>
    <w:pPr>
      <w:ind w:left="1132" w:hanging="283"/>
      <w:contextualSpacing/>
    </w:pPr>
  </w:style>
  <w:style w:type="paragraph" w:styleId="List5">
    <w:name w:val="List 5"/>
    <w:basedOn w:val="Normal"/>
    <w:rsid w:val="00B24BE9"/>
    <w:pPr>
      <w:ind w:left="1415" w:hanging="283"/>
      <w:contextualSpacing/>
    </w:pPr>
  </w:style>
  <w:style w:type="paragraph" w:styleId="ListBullet">
    <w:name w:val="List Bullet"/>
    <w:basedOn w:val="Normal"/>
    <w:rsid w:val="00B24BE9"/>
    <w:pPr>
      <w:numPr>
        <w:numId w:val="5"/>
      </w:numPr>
      <w:contextualSpacing/>
    </w:pPr>
  </w:style>
  <w:style w:type="paragraph" w:styleId="ListBullet2">
    <w:name w:val="List Bullet 2"/>
    <w:basedOn w:val="Normal"/>
    <w:rsid w:val="00B24BE9"/>
    <w:pPr>
      <w:numPr>
        <w:numId w:val="6"/>
      </w:numPr>
      <w:contextualSpacing/>
    </w:pPr>
  </w:style>
  <w:style w:type="paragraph" w:styleId="ListBullet3">
    <w:name w:val="List Bullet 3"/>
    <w:basedOn w:val="Normal"/>
    <w:rsid w:val="00B24BE9"/>
    <w:pPr>
      <w:numPr>
        <w:numId w:val="7"/>
      </w:numPr>
      <w:contextualSpacing/>
    </w:pPr>
  </w:style>
  <w:style w:type="paragraph" w:styleId="ListBullet4">
    <w:name w:val="List Bullet 4"/>
    <w:basedOn w:val="Normal"/>
    <w:rsid w:val="00B24BE9"/>
    <w:pPr>
      <w:numPr>
        <w:numId w:val="8"/>
      </w:numPr>
      <w:contextualSpacing/>
    </w:pPr>
  </w:style>
  <w:style w:type="paragraph" w:styleId="ListBullet5">
    <w:name w:val="List Bullet 5"/>
    <w:basedOn w:val="Normal"/>
    <w:rsid w:val="00B24BE9"/>
    <w:pPr>
      <w:numPr>
        <w:numId w:val="9"/>
      </w:numPr>
      <w:contextualSpacing/>
    </w:pPr>
  </w:style>
  <w:style w:type="paragraph" w:styleId="ListContinue">
    <w:name w:val="List Continue"/>
    <w:basedOn w:val="Normal"/>
    <w:rsid w:val="00B24BE9"/>
    <w:pPr>
      <w:spacing w:after="120"/>
      <w:ind w:left="283"/>
      <w:contextualSpacing/>
    </w:pPr>
  </w:style>
  <w:style w:type="paragraph" w:styleId="ListContinue2">
    <w:name w:val="List Continue 2"/>
    <w:basedOn w:val="Normal"/>
    <w:rsid w:val="00B24BE9"/>
    <w:pPr>
      <w:spacing w:after="120"/>
      <w:ind w:left="566"/>
      <w:contextualSpacing/>
    </w:pPr>
  </w:style>
  <w:style w:type="paragraph" w:styleId="ListContinue3">
    <w:name w:val="List Continue 3"/>
    <w:basedOn w:val="Normal"/>
    <w:rsid w:val="00B24BE9"/>
    <w:pPr>
      <w:spacing w:after="120"/>
      <w:ind w:left="849"/>
      <w:contextualSpacing/>
    </w:pPr>
  </w:style>
  <w:style w:type="paragraph" w:styleId="ListContinue4">
    <w:name w:val="List Continue 4"/>
    <w:basedOn w:val="Normal"/>
    <w:rsid w:val="00B24BE9"/>
    <w:pPr>
      <w:spacing w:after="120"/>
      <w:ind w:left="1132"/>
      <w:contextualSpacing/>
    </w:pPr>
  </w:style>
  <w:style w:type="paragraph" w:styleId="ListContinue5">
    <w:name w:val="List Continue 5"/>
    <w:basedOn w:val="Normal"/>
    <w:rsid w:val="00B24BE9"/>
    <w:pPr>
      <w:spacing w:after="120"/>
      <w:ind w:left="1415"/>
      <w:contextualSpacing/>
    </w:pPr>
  </w:style>
  <w:style w:type="paragraph" w:styleId="ListNumber">
    <w:name w:val="List Number"/>
    <w:basedOn w:val="Normal"/>
    <w:rsid w:val="00B24BE9"/>
    <w:pPr>
      <w:numPr>
        <w:numId w:val="10"/>
      </w:numPr>
      <w:contextualSpacing/>
    </w:pPr>
  </w:style>
  <w:style w:type="paragraph" w:styleId="ListNumber2">
    <w:name w:val="List Number 2"/>
    <w:basedOn w:val="Normal"/>
    <w:rsid w:val="00B24BE9"/>
    <w:pPr>
      <w:numPr>
        <w:numId w:val="11"/>
      </w:numPr>
      <w:contextualSpacing/>
    </w:pPr>
  </w:style>
  <w:style w:type="paragraph" w:styleId="ListNumber3">
    <w:name w:val="List Number 3"/>
    <w:basedOn w:val="Normal"/>
    <w:rsid w:val="00B24BE9"/>
    <w:pPr>
      <w:numPr>
        <w:numId w:val="12"/>
      </w:numPr>
      <w:contextualSpacing/>
    </w:pPr>
  </w:style>
  <w:style w:type="paragraph" w:styleId="ListNumber4">
    <w:name w:val="List Number 4"/>
    <w:basedOn w:val="Normal"/>
    <w:rsid w:val="00B24BE9"/>
    <w:pPr>
      <w:numPr>
        <w:numId w:val="13"/>
      </w:numPr>
      <w:contextualSpacing/>
    </w:pPr>
  </w:style>
  <w:style w:type="paragraph" w:styleId="ListNumber5">
    <w:name w:val="List Number 5"/>
    <w:basedOn w:val="Normal"/>
    <w:rsid w:val="00B24BE9"/>
    <w:pPr>
      <w:numPr>
        <w:numId w:val="14"/>
      </w:numPr>
      <w:contextualSpacing/>
    </w:pPr>
  </w:style>
  <w:style w:type="paragraph" w:styleId="ListParagraph">
    <w:name w:val="List Paragraph"/>
    <w:basedOn w:val="Normal"/>
    <w:uiPriority w:val="34"/>
    <w:qFormat/>
    <w:rsid w:val="00B24BE9"/>
    <w:pPr>
      <w:ind w:left="720"/>
    </w:pPr>
  </w:style>
  <w:style w:type="paragraph" w:styleId="MacroText">
    <w:name w:val="macro"/>
    <w:link w:val="MacroTextChar"/>
    <w:rsid w:val="00B24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B24BE9"/>
    <w:rPr>
      <w:rFonts w:ascii="Courier New" w:hAnsi="Courier New" w:cs="Courier New"/>
      <w:lang w:eastAsia="en-US"/>
    </w:rPr>
  </w:style>
  <w:style w:type="table" w:styleId="MediumGrid1">
    <w:name w:val="Medium Grid 1"/>
    <w:basedOn w:val="TableNormal"/>
    <w:uiPriority w:val="67"/>
    <w:rsid w:val="00B24BE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24BE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24BE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24BE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24BE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24BE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24BE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24BE9"/>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24BE9"/>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24BE9"/>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24BE9"/>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24BE9"/>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24BE9"/>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24BE9"/>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B24BE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24BE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24BE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24BE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24BE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24BE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24BE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B24BE9"/>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24BE9"/>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24BE9"/>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24BE9"/>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24BE9"/>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24BE9"/>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24BE9"/>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B24BE9"/>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24BE9"/>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24BE9"/>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24BE9"/>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24BE9"/>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24BE9"/>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24BE9"/>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B24BE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24BE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24BE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24BE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24BE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24BE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24BE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24B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24B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24B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24B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24B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24B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24B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B24BE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B24BE9"/>
    <w:rPr>
      <w:rFonts w:ascii="Cambria" w:eastAsia="SimSun" w:hAnsi="Cambria" w:cs="Times New Roman"/>
      <w:sz w:val="24"/>
      <w:szCs w:val="24"/>
      <w:shd w:val="pct20" w:color="auto" w:fill="auto"/>
      <w:lang w:eastAsia="en-US"/>
    </w:rPr>
  </w:style>
  <w:style w:type="paragraph" w:styleId="NoSpacing">
    <w:name w:val="No Spacing"/>
    <w:uiPriority w:val="1"/>
    <w:qFormat/>
    <w:rsid w:val="00B24BE9"/>
    <w:rPr>
      <w:rFonts w:ascii="Arial" w:hAnsi="Arial" w:cs="Arial"/>
      <w:lang w:eastAsia="en-US"/>
    </w:rPr>
  </w:style>
  <w:style w:type="paragraph" w:styleId="NormalWeb">
    <w:name w:val="Normal (Web)"/>
    <w:basedOn w:val="Normal"/>
    <w:rsid w:val="00B24BE9"/>
    <w:rPr>
      <w:sz w:val="24"/>
      <w:szCs w:val="24"/>
    </w:rPr>
  </w:style>
  <w:style w:type="paragraph" w:styleId="NormalIndent">
    <w:name w:val="Normal Indent"/>
    <w:basedOn w:val="Normal"/>
    <w:rsid w:val="00B24BE9"/>
    <w:pPr>
      <w:ind w:left="720"/>
    </w:pPr>
  </w:style>
  <w:style w:type="paragraph" w:styleId="NoteHeading">
    <w:name w:val="Note Heading"/>
    <w:basedOn w:val="Normal"/>
    <w:next w:val="Normal"/>
    <w:link w:val="NoteHeadingChar"/>
    <w:rsid w:val="00B24BE9"/>
  </w:style>
  <w:style w:type="character" w:customStyle="1" w:styleId="NoteHeadingChar">
    <w:name w:val="Note Heading Char"/>
    <w:link w:val="NoteHeading"/>
    <w:rsid w:val="00B24BE9"/>
    <w:rPr>
      <w:rFonts w:ascii="Arial" w:hAnsi="Arial" w:cs="Arial"/>
      <w:lang w:eastAsia="en-US"/>
    </w:rPr>
  </w:style>
  <w:style w:type="character" w:styleId="PlaceholderText">
    <w:name w:val="Placeholder Text"/>
    <w:uiPriority w:val="99"/>
    <w:semiHidden/>
    <w:rsid w:val="00B24BE9"/>
    <w:rPr>
      <w:color w:val="808080"/>
    </w:rPr>
  </w:style>
  <w:style w:type="paragraph" w:styleId="PlainText">
    <w:name w:val="Plain Text"/>
    <w:basedOn w:val="Normal"/>
    <w:link w:val="PlainTextChar"/>
    <w:rsid w:val="00B24BE9"/>
    <w:rPr>
      <w:rFonts w:ascii="Courier New" w:hAnsi="Courier New" w:cs="Courier New"/>
    </w:rPr>
  </w:style>
  <w:style w:type="character" w:customStyle="1" w:styleId="PlainTextChar">
    <w:name w:val="Plain Text Char"/>
    <w:link w:val="PlainText"/>
    <w:rsid w:val="00B24BE9"/>
    <w:rPr>
      <w:rFonts w:ascii="Courier New" w:hAnsi="Courier New" w:cs="Courier New"/>
      <w:lang w:eastAsia="en-US"/>
    </w:rPr>
  </w:style>
  <w:style w:type="paragraph" w:styleId="Quote">
    <w:name w:val="Quote"/>
    <w:basedOn w:val="Normal"/>
    <w:next w:val="Normal"/>
    <w:link w:val="QuoteChar"/>
    <w:uiPriority w:val="29"/>
    <w:qFormat/>
    <w:rsid w:val="00B24BE9"/>
    <w:rPr>
      <w:i/>
      <w:iCs/>
      <w:color w:val="000000"/>
    </w:rPr>
  </w:style>
  <w:style w:type="character" w:customStyle="1" w:styleId="QuoteChar">
    <w:name w:val="Quote Char"/>
    <w:link w:val="Quote"/>
    <w:uiPriority w:val="29"/>
    <w:rsid w:val="00B24BE9"/>
    <w:rPr>
      <w:rFonts w:ascii="Arial" w:hAnsi="Arial" w:cs="Arial"/>
      <w:i/>
      <w:iCs/>
      <w:color w:val="000000"/>
      <w:lang w:eastAsia="en-US"/>
    </w:rPr>
  </w:style>
  <w:style w:type="paragraph" w:styleId="Salutation">
    <w:name w:val="Salutation"/>
    <w:basedOn w:val="Normal"/>
    <w:next w:val="Normal"/>
    <w:link w:val="SalutationChar"/>
    <w:rsid w:val="00B24BE9"/>
  </w:style>
  <w:style w:type="character" w:customStyle="1" w:styleId="SalutationChar">
    <w:name w:val="Salutation Char"/>
    <w:link w:val="Salutation"/>
    <w:rsid w:val="00B24BE9"/>
    <w:rPr>
      <w:rFonts w:ascii="Arial" w:hAnsi="Arial" w:cs="Arial"/>
      <w:lang w:eastAsia="en-US"/>
    </w:rPr>
  </w:style>
  <w:style w:type="paragraph" w:styleId="Signature">
    <w:name w:val="Signature"/>
    <w:basedOn w:val="Normal"/>
    <w:link w:val="SignatureChar"/>
    <w:rsid w:val="00B24BE9"/>
    <w:pPr>
      <w:ind w:left="4252"/>
    </w:pPr>
  </w:style>
  <w:style w:type="character" w:customStyle="1" w:styleId="SignatureChar">
    <w:name w:val="Signature Char"/>
    <w:link w:val="Signature"/>
    <w:rsid w:val="00B24BE9"/>
    <w:rPr>
      <w:rFonts w:ascii="Arial" w:hAnsi="Arial" w:cs="Arial"/>
      <w:lang w:eastAsia="en-US"/>
    </w:rPr>
  </w:style>
  <w:style w:type="character" w:styleId="Strong">
    <w:name w:val="Strong"/>
    <w:qFormat/>
    <w:rsid w:val="00B24BE9"/>
    <w:rPr>
      <w:b/>
      <w:bCs/>
    </w:rPr>
  </w:style>
  <w:style w:type="paragraph" w:styleId="Subtitle">
    <w:name w:val="Subtitle"/>
    <w:basedOn w:val="Normal"/>
    <w:next w:val="Normal"/>
    <w:link w:val="SubtitleChar"/>
    <w:qFormat/>
    <w:rsid w:val="00B24BE9"/>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B24BE9"/>
    <w:rPr>
      <w:rFonts w:ascii="Cambria" w:eastAsia="SimSun" w:hAnsi="Cambria" w:cs="Times New Roman"/>
      <w:sz w:val="24"/>
      <w:szCs w:val="24"/>
      <w:lang w:eastAsia="en-US"/>
    </w:rPr>
  </w:style>
  <w:style w:type="character" w:styleId="SubtleEmphasis">
    <w:name w:val="Subtle Emphasis"/>
    <w:uiPriority w:val="19"/>
    <w:qFormat/>
    <w:rsid w:val="00B24BE9"/>
    <w:rPr>
      <w:i/>
      <w:iCs/>
      <w:color w:val="808080"/>
    </w:rPr>
  </w:style>
  <w:style w:type="character" w:styleId="SubtleReference">
    <w:name w:val="Subtle Reference"/>
    <w:uiPriority w:val="31"/>
    <w:qFormat/>
    <w:rsid w:val="00B24BE9"/>
    <w:rPr>
      <w:smallCaps/>
      <w:color w:val="C0504D"/>
      <w:u w:val="single"/>
    </w:rPr>
  </w:style>
  <w:style w:type="table" w:styleId="Table3Deffects1">
    <w:name w:val="Table 3D effects 1"/>
    <w:basedOn w:val="TableNormal"/>
    <w:rsid w:val="00B24BE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24B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24BE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24B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24BE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24BE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24BE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24BE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24BE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24BE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24BE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24BE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24BE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24BE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24BE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24BE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24BE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24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24BE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24BE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24BE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24BE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24BE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24BE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24BE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24BE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24BE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24BE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24BE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24BE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24BE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24BE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24BE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24BE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B24BE9"/>
    <w:pPr>
      <w:ind w:left="200" w:hanging="200"/>
    </w:pPr>
  </w:style>
  <w:style w:type="paragraph" w:styleId="TableofFigures">
    <w:name w:val="table of figures"/>
    <w:basedOn w:val="Normal"/>
    <w:next w:val="Normal"/>
    <w:rsid w:val="00B24BE9"/>
  </w:style>
  <w:style w:type="table" w:styleId="TableProfessional">
    <w:name w:val="Table Professional"/>
    <w:basedOn w:val="TableNormal"/>
    <w:rsid w:val="00B24BE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24BE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24BE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24BE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24BE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24BE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24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24BE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24BE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24BE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B24BE9"/>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B24BE9"/>
    <w:rPr>
      <w:rFonts w:ascii="Cambria" w:eastAsia="SimSun" w:hAnsi="Cambria" w:cs="Times New Roman"/>
      <w:b/>
      <w:bCs/>
      <w:kern w:val="28"/>
      <w:sz w:val="32"/>
      <w:szCs w:val="32"/>
      <w:lang w:eastAsia="en-US"/>
    </w:rPr>
  </w:style>
  <w:style w:type="paragraph" w:styleId="TOAHeading">
    <w:name w:val="toa heading"/>
    <w:basedOn w:val="Normal"/>
    <w:next w:val="Normal"/>
    <w:rsid w:val="00B24BE9"/>
    <w:pPr>
      <w:spacing w:before="120"/>
    </w:pPr>
    <w:rPr>
      <w:rFonts w:ascii="Cambria" w:eastAsia="SimSun" w:hAnsi="Cambria" w:cs="Times New Roman"/>
      <w:b/>
      <w:bCs/>
      <w:sz w:val="24"/>
      <w:szCs w:val="24"/>
    </w:rPr>
  </w:style>
  <w:style w:type="paragraph" w:styleId="TOC4">
    <w:name w:val="toc 4"/>
    <w:basedOn w:val="Normal"/>
    <w:next w:val="Normal"/>
    <w:autoRedefine/>
    <w:rsid w:val="00B24BE9"/>
    <w:pPr>
      <w:ind w:left="600"/>
    </w:pPr>
  </w:style>
  <w:style w:type="paragraph" w:styleId="TOC5">
    <w:name w:val="toc 5"/>
    <w:basedOn w:val="Normal"/>
    <w:next w:val="Normal"/>
    <w:autoRedefine/>
    <w:rsid w:val="00B24BE9"/>
    <w:pPr>
      <w:ind w:left="800"/>
    </w:pPr>
  </w:style>
  <w:style w:type="paragraph" w:styleId="TOC6">
    <w:name w:val="toc 6"/>
    <w:basedOn w:val="Normal"/>
    <w:next w:val="Normal"/>
    <w:autoRedefine/>
    <w:rsid w:val="00B24BE9"/>
    <w:pPr>
      <w:ind w:left="1000"/>
    </w:pPr>
  </w:style>
  <w:style w:type="paragraph" w:styleId="TOC7">
    <w:name w:val="toc 7"/>
    <w:basedOn w:val="Normal"/>
    <w:next w:val="Normal"/>
    <w:autoRedefine/>
    <w:rsid w:val="00B24BE9"/>
    <w:pPr>
      <w:ind w:left="1200"/>
    </w:pPr>
  </w:style>
  <w:style w:type="paragraph" w:styleId="TOC8">
    <w:name w:val="toc 8"/>
    <w:basedOn w:val="Normal"/>
    <w:next w:val="Normal"/>
    <w:autoRedefine/>
    <w:rsid w:val="00B24BE9"/>
    <w:pPr>
      <w:ind w:left="1400"/>
    </w:pPr>
  </w:style>
  <w:style w:type="paragraph" w:styleId="TOC9">
    <w:name w:val="toc 9"/>
    <w:basedOn w:val="Normal"/>
    <w:next w:val="Normal"/>
    <w:autoRedefine/>
    <w:rsid w:val="00B24BE9"/>
    <w:pPr>
      <w:ind w:left="1600"/>
    </w:pPr>
  </w:style>
  <w:style w:type="paragraph" w:styleId="TOCHeading">
    <w:name w:val="TOC Heading"/>
    <w:basedOn w:val="Heading1"/>
    <w:next w:val="Normal"/>
    <w:uiPriority w:val="39"/>
    <w:semiHidden/>
    <w:unhideWhenUsed/>
    <w:qFormat/>
    <w:rsid w:val="00B24BE9"/>
    <w:pPr>
      <w:numPr>
        <w:numId w:val="0"/>
      </w:numPr>
      <w:pBdr>
        <w:top w:val="none" w:sz="0" w:space="0" w:color="auto"/>
      </w:pBdr>
      <w:spacing w:after="60"/>
      <w:outlineLvl w:val="9"/>
    </w:pPr>
    <w:rPr>
      <w:rFonts w:ascii="Cambria" w:eastAsia="SimSun" w:hAnsi="Cambria" w:cs="Times New Roman"/>
      <w:bCs/>
      <w:kern w:val="32"/>
      <w:sz w:val="32"/>
      <w:szCs w:val="32"/>
    </w:rPr>
  </w:style>
  <w:style w:type="paragraph" w:customStyle="1" w:styleId="Item">
    <w:name w:val="Item"/>
    <w:basedOn w:val="Normal"/>
    <w:next w:val="BodyText"/>
    <w:qFormat/>
    <w:rsid w:val="001C2F0D"/>
    <w:pPr>
      <w:numPr>
        <w:numId w:val="16"/>
      </w:numPr>
      <w:spacing w:before="120"/>
    </w:pPr>
    <w:rPr>
      <w:b/>
    </w:rPr>
  </w:style>
  <w:style w:type="numbering" w:customStyle="1" w:styleId="ItemListHeading">
    <w:name w:val="Item List Heading"/>
    <w:uiPriority w:val="99"/>
    <w:rsid w:val="001C2F0D"/>
    <w:pPr>
      <w:numPr>
        <w:numId w:val="15"/>
      </w:numPr>
    </w:pPr>
  </w:style>
  <w:style w:type="paragraph" w:customStyle="1" w:styleId="ItemSub">
    <w:name w:val="ItemSub"/>
    <w:basedOn w:val="Item"/>
    <w:next w:val="BodyText"/>
    <w:qFormat/>
    <w:rsid w:val="001C2F0D"/>
    <w:pPr>
      <w:numPr>
        <w:ilvl w:val="1"/>
      </w:numPr>
    </w:pPr>
  </w:style>
  <w:style w:type="numbering" w:customStyle="1" w:styleId="AnnexureListNumbers">
    <w:name w:val="Annexure List Numbers"/>
    <w:basedOn w:val="NoList"/>
    <w:uiPriority w:val="99"/>
    <w:rsid w:val="001C2F0D"/>
    <w:pPr>
      <w:numPr>
        <w:numId w:val="17"/>
      </w:numPr>
    </w:pPr>
  </w:style>
  <w:style w:type="paragraph" w:customStyle="1" w:styleId="AnnexurePageHeading">
    <w:name w:val="Annexure Page Heading"/>
    <w:basedOn w:val="Normal"/>
    <w:next w:val="BodyText"/>
    <w:uiPriority w:val="2"/>
    <w:qFormat/>
    <w:rsid w:val="001C2F0D"/>
    <w:pPr>
      <w:numPr>
        <w:numId w:val="18"/>
      </w:numPr>
      <w:spacing w:after="1240"/>
    </w:pPr>
    <w:rPr>
      <w:sz w:val="36"/>
    </w:rPr>
  </w:style>
  <w:style w:type="numbering" w:customStyle="1" w:styleId="ScheduleListNumbers">
    <w:name w:val="Schedule List Numbers"/>
    <w:basedOn w:val="NoList"/>
    <w:uiPriority w:val="99"/>
    <w:rsid w:val="001C2F0D"/>
    <w:pPr>
      <w:numPr>
        <w:numId w:val="19"/>
      </w:numPr>
    </w:pPr>
  </w:style>
  <w:style w:type="paragraph" w:customStyle="1" w:styleId="SchedulePageHeading">
    <w:name w:val="Schedule Page Heading"/>
    <w:basedOn w:val="Normal"/>
    <w:next w:val="SchedH1"/>
    <w:uiPriority w:val="2"/>
    <w:qFormat/>
    <w:rsid w:val="001C2F0D"/>
    <w:pPr>
      <w:numPr>
        <w:numId w:val="20"/>
      </w:numPr>
      <w:spacing w:after="1240"/>
    </w:pPr>
    <w:rPr>
      <w:sz w:val="36"/>
    </w:rPr>
  </w:style>
  <w:style w:type="numbering" w:customStyle="1" w:styleId="PartHeadingNumbering">
    <w:name w:val="Part Heading Numbering"/>
    <w:uiPriority w:val="99"/>
    <w:rsid w:val="001C2F0D"/>
    <w:pPr>
      <w:numPr>
        <w:numId w:val="21"/>
      </w:numPr>
    </w:pPr>
  </w:style>
  <w:style w:type="paragraph" w:customStyle="1" w:styleId="Default">
    <w:name w:val="Default"/>
    <w:rsid w:val="002F5AF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B7B31"/>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686442">
      <w:bodyDiv w:val="1"/>
      <w:marLeft w:val="0"/>
      <w:marRight w:val="0"/>
      <w:marTop w:val="0"/>
      <w:marBottom w:val="0"/>
      <w:divBdr>
        <w:top w:val="none" w:sz="0" w:space="0" w:color="auto"/>
        <w:left w:val="none" w:sz="0" w:space="0" w:color="auto"/>
        <w:bottom w:val="none" w:sz="0" w:space="0" w:color="auto"/>
        <w:right w:val="none" w:sz="0" w:space="0" w:color="auto"/>
      </w:divBdr>
    </w:div>
    <w:div w:id="1442649988">
      <w:bodyDiv w:val="1"/>
      <w:marLeft w:val="0"/>
      <w:marRight w:val="0"/>
      <w:marTop w:val="0"/>
      <w:marBottom w:val="0"/>
      <w:divBdr>
        <w:top w:val="none" w:sz="0" w:space="0" w:color="auto"/>
        <w:left w:val="none" w:sz="0" w:space="0" w:color="auto"/>
        <w:bottom w:val="none" w:sz="0" w:space="0" w:color="auto"/>
        <w:right w:val="none" w:sz="0" w:space="0" w:color="auto"/>
      </w:divBdr>
    </w:div>
    <w:div w:id="144310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9B352-F017-4900-ADFA-91ADFEF4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1734</Words>
  <Characters>10876</Characters>
  <Application>Microsoft Office Word</Application>
  <DocSecurity>0</DocSecurity>
  <Lines>988</Lines>
  <Paragraphs>573</Paragraphs>
  <ScaleCrop>false</ScaleCrop>
  <HeadingPairs>
    <vt:vector size="2" baseType="variant">
      <vt:variant>
        <vt:lpstr>Title</vt:lpstr>
      </vt:variant>
      <vt:variant>
        <vt:i4>1</vt:i4>
      </vt:variant>
    </vt:vector>
  </HeadingPairs>
  <TitlesOfParts>
    <vt:vector size="1" baseType="lpstr">
      <vt:lpstr>Document</vt:lpstr>
    </vt:vector>
  </TitlesOfParts>
  <Company>King &amp; Wood Mallesons</Company>
  <LinksUpToDate>false</LinksUpToDate>
  <CharactersWithSpaces>12037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licence conditions for telecommunications in new developments—Frontier Networks</dc:title>
  <dc:creator>KWM</dc:creator>
  <cp:lastModifiedBy>Department of Communications and the Arts</cp:lastModifiedBy>
  <cp:revision>4</cp:revision>
  <cp:lastPrinted>2016-02-01T03:40:00Z</cp:lastPrinted>
  <dcterms:created xsi:type="dcterms:W3CDTF">2016-02-01T03:40:00Z</dcterms:created>
  <dcterms:modified xsi:type="dcterms:W3CDTF">2017-11-29T01:59:00Z</dcterms:modified>
</cp:coreProperties>
</file>