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7CC8" w:rsidRDefault="00D724EE" w:rsidP="003F7544">
      <w:r>
        <w:t>3</w:t>
      </w:r>
      <w:r w:rsidRPr="00D724EE">
        <w:rPr>
          <w:vertAlign w:val="superscript"/>
        </w:rPr>
        <w:t>rd</w:t>
      </w:r>
      <w:r>
        <w:t xml:space="preserve"> </w:t>
      </w:r>
      <w:r w:rsidR="003F7544">
        <w:t xml:space="preserve">February </w:t>
      </w:r>
      <w:r w:rsidR="00481D01">
        <w:t>2016</w:t>
      </w:r>
    </w:p>
    <w:p w:rsidR="003F7544" w:rsidRDefault="003F7544" w:rsidP="00C83A3F">
      <w:pPr>
        <w:spacing w:after="0"/>
        <w:rPr>
          <w:bCs/>
        </w:rPr>
      </w:pPr>
      <w:r>
        <w:rPr>
          <w:bCs/>
        </w:rPr>
        <w:t>Greenfields Team</w:t>
      </w:r>
    </w:p>
    <w:p w:rsidR="003F7544" w:rsidRDefault="003F7544" w:rsidP="00C83A3F">
      <w:pPr>
        <w:spacing w:after="0"/>
        <w:rPr>
          <w:bCs/>
        </w:rPr>
      </w:pPr>
      <w:r>
        <w:rPr>
          <w:bCs/>
        </w:rPr>
        <w:t>Market Structure Branch</w:t>
      </w:r>
    </w:p>
    <w:p w:rsidR="003F7544" w:rsidRDefault="003F7544" w:rsidP="00C83A3F">
      <w:pPr>
        <w:spacing w:after="0"/>
        <w:rPr>
          <w:bCs/>
        </w:rPr>
      </w:pPr>
      <w:r>
        <w:rPr>
          <w:bCs/>
        </w:rPr>
        <w:t>Department of Communications and the Arts</w:t>
      </w:r>
    </w:p>
    <w:p w:rsidR="006A7CC8" w:rsidRDefault="00B66E75" w:rsidP="003F7544">
      <w:hyperlink r:id="rId8" w:history="1">
        <w:r w:rsidR="003F7544" w:rsidRPr="00B7003B">
          <w:rPr>
            <w:rStyle w:val="Hyperlink"/>
          </w:rPr>
          <w:t>greenfields@communications.gov.au</w:t>
        </w:r>
      </w:hyperlink>
      <w:hyperlink r:id="rId9"/>
    </w:p>
    <w:p w:rsidR="00284018" w:rsidRDefault="00882EAD" w:rsidP="004C1454">
      <w:pPr>
        <w:jc w:val="both"/>
      </w:pPr>
      <w:r w:rsidRPr="00882EAD">
        <w:t xml:space="preserve">ACCAN thanks the </w:t>
      </w:r>
      <w:r w:rsidR="003F7544">
        <w:t>Department of Communications and the Arts f</w:t>
      </w:r>
      <w:r w:rsidRPr="00882EAD">
        <w:t xml:space="preserve">or the opportunity to contribute to </w:t>
      </w:r>
      <w:r w:rsidR="003F7544">
        <w:t xml:space="preserve">its Draft Carrier Licence Conditions for the provision of telecommunications infrastructure in new developments consultation. </w:t>
      </w:r>
    </w:p>
    <w:p w:rsidR="00B63E69" w:rsidRDefault="00CB658D" w:rsidP="004C1454">
      <w:pPr>
        <w:jc w:val="both"/>
      </w:pPr>
      <w:r>
        <w:t>ACCAN would like to provide the following feedback. We are</w:t>
      </w:r>
      <w:r w:rsidR="00B63E69">
        <w:t xml:space="preserve"> currently working on </w:t>
      </w:r>
      <w:r w:rsidR="00884C84">
        <w:t xml:space="preserve">new </w:t>
      </w:r>
      <w:r>
        <w:t>C</w:t>
      </w:r>
      <w:r w:rsidR="00481D01">
        <w:t xml:space="preserve">ustomer </w:t>
      </w:r>
      <w:r>
        <w:t>S</w:t>
      </w:r>
      <w:r w:rsidR="00481D01">
        <w:t xml:space="preserve">ervice </w:t>
      </w:r>
      <w:r>
        <w:t>S</w:t>
      </w:r>
      <w:r w:rsidR="00481D01">
        <w:t xml:space="preserve">tandard </w:t>
      </w:r>
      <w:r w:rsidR="00B63E69">
        <w:t xml:space="preserve">and Universal Service </w:t>
      </w:r>
      <w:r w:rsidR="00481D01">
        <w:t>Obligation positions</w:t>
      </w:r>
      <w:r w:rsidR="00B63E69">
        <w:t xml:space="preserve">. Feedback </w:t>
      </w:r>
      <w:r w:rsidR="00884C84">
        <w:t>in</w:t>
      </w:r>
      <w:r w:rsidR="00B63E69">
        <w:t xml:space="preserve"> this </w:t>
      </w:r>
      <w:r w:rsidR="007A02DE">
        <w:t xml:space="preserve">submission </w:t>
      </w:r>
      <w:r w:rsidR="00B63E69">
        <w:t>draws on our thinking in relation to these two documents</w:t>
      </w:r>
      <w:r>
        <w:t>,</w:t>
      </w:r>
      <w:r w:rsidR="00884C84">
        <w:t xml:space="preserve"> which will be released s</w:t>
      </w:r>
      <w:r>
        <w:t>hortly</w:t>
      </w:r>
      <w:r w:rsidR="00B63E69">
        <w:t xml:space="preserve">. </w:t>
      </w:r>
    </w:p>
    <w:p w:rsidR="006B6CD6" w:rsidRDefault="006B6CD6" w:rsidP="006B6CD6">
      <w:pPr>
        <w:pStyle w:val="Heading7"/>
      </w:pPr>
      <w:r>
        <w:t>Objectives and use of carrier licence conditions</w:t>
      </w:r>
    </w:p>
    <w:p w:rsidR="00481D01" w:rsidRDefault="00CB658D" w:rsidP="00481D01">
      <w:pPr>
        <w:jc w:val="both"/>
      </w:pPr>
      <w:r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  <w:t>Low quality networks and</w:t>
      </w:r>
      <w:r w:rsidRPr="00E9002E"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  <w:t>a l</w:t>
      </w:r>
      <w:r w:rsidRPr="00E9002E"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  <w:t xml:space="preserve">ack of competition at a retail level </w:t>
      </w:r>
      <w:r w:rsidR="00164833"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  <w:t>n</w:t>
      </w:r>
      <w:r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  <w:t>egatively impact consumers through a lack</w:t>
      </w:r>
      <w:r w:rsidRPr="00E9002E"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  <w:t xml:space="preserve"> of choices, lower quality services and </w:t>
      </w:r>
      <w:r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  <w:t xml:space="preserve">increased costs. </w:t>
      </w:r>
      <w:r w:rsidR="00D21E09">
        <w:t xml:space="preserve">ACCAN agrees and supports the </w:t>
      </w:r>
      <w:r w:rsidR="00ED0632">
        <w:t>Department in this area of work and the use</w:t>
      </w:r>
      <w:r w:rsidR="009D1B28">
        <w:t xml:space="preserve"> of carrier licence conditions </w:t>
      </w:r>
      <w:r w:rsidR="009A6F64">
        <w:t xml:space="preserve">(CLCs) </w:t>
      </w:r>
      <w:r w:rsidR="009D1B28">
        <w:t xml:space="preserve">as the means to implement the policy. </w:t>
      </w:r>
      <w:r w:rsidR="000D2C51">
        <w:t>C</w:t>
      </w:r>
      <w:r w:rsidR="00F6751F">
        <w:t xml:space="preserve">LCs </w:t>
      </w:r>
      <w:r w:rsidR="000D2C51">
        <w:t xml:space="preserve">appear to give the greatest benefit </w:t>
      </w:r>
      <w:r w:rsidR="009A6F64">
        <w:t>while costing the least</w:t>
      </w:r>
      <w:r w:rsidR="000D2C51">
        <w:t>. However, we have some reservations about the ability to ensure the ongoing quality of the network through the use of CLCs.</w:t>
      </w:r>
    </w:p>
    <w:p w:rsidR="002E6EB0" w:rsidRDefault="002E6EB0" w:rsidP="002E6EB0">
      <w:pPr>
        <w:pStyle w:val="Heading7"/>
      </w:pPr>
      <w:r>
        <w:t>Performance standard</w:t>
      </w:r>
      <w:r w:rsidR="00DD2399">
        <w:t>s</w:t>
      </w:r>
      <w:r>
        <w:t xml:space="preserve"> </w:t>
      </w:r>
    </w:p>
    <w:p w:rsidR="00C9680B" w:rsidRDefault="00C9680B" w:rsidP="002E6EB0">
      <w:pPr>
        <w:jc w:val="both"/>
        <w:rPr>
          <w:bCs/>
          <w:iCs/>
        </w:rPr>
      </w:pPr>
      <w:r w:rsidRPr="00BA0136">
        <w:rPr>
          <w:bCs/>
          <w:iCs/>
        </w:rPr>
        <w:t xml:space="preserve">Communication </w:t>
      </w:r>
      <w:r>
        <w:rPr>
          <w:bCs/>
          <w:iCs/>
        </w:rPr>
        <w:t xml:space="preserve">and data </w:t>
      </w:r>
      <w:r w:rsidRPr="00BA0136">
        <w:rPr>
          <w:bCs/>
          <w:iCs/>
        </w:rPr>
        <w:t xml:space="preserve">services </w:t>
      </w:r>
      <w:r>
        <w:rPr>
          <w:bCs/>
          <w:iCs/>
        </w:rPr>
        <w:t>are</w:t>
      </w:r>
      <w:r w:rsidRPr="00BA0136">
        <w:rPr>
          <w:bCs/>
          <w:iCs/>
        </w:rPr>
        <w:t xml:space="preserve"> an enabler for consumers to perform a variety of functions, rather than deliver</w:t>
      </w:r>
      <w:r w:rsidR="009A6F64">
        <w:rPr>
          <w:bCs/>
          <w:iCs/>
        </w:rPr>
        <w:t>ing</w:t>
      </w:r>
      <w:r w:rsidRPr="00BA0136">
        <w:rPr>
          <w:bCs/>
          <w:iCs/>
        </w:rPr>
        <w:t xml:space="preserve"> value by themselves. Therefore</w:t>
      </w:r>
      <w:r w:rsidR="009A6F64">
        <w:rPr>
          <w:bCs/>
          <w:iCs/>
        </w:rPr>
        <w:t>,</w:t>
      </w:r>
      <w:r w:rsidRPr="00BA0136">
        <w:rPr>
          <w:bCs/>
          <w:iCs/>
        </w:rPr>
        <w:t xml:space="preserve"> they should be judged on how well they are utilised for the capabilities that they deliver. </w:t>
      </w:r>
      <w:r>
        <w:rPr>
          <w:bCs/>
          <w:iCs/>
        </w:rPr>
        <w:t xml:space="preserve">ACCAN is supportive of utilising a capability </w:t>
      </w:r>
      <w:r w:rsidRPr="00BA0136">
        <w:rPr>
          <w:bCs/>
          <w:iCs/>
        </w:rPr>
        <w:t>framework</w:t>
      </w:r>
      <w:r>
        <w:rPr>
          <w:bCs/>
          <w:iCs/>
        </w:rPr>
        <w:t xml:space="preserve"> such as</w:t>
      </w:r>
      <w:r w:rsidRPr="00BA0136">
        <w:rPr>
          <w:bCs/>
          <w:iCs/>
        </w:rPr>
        <w:t xml:space="preserve"> developed by Nobel Prize winning economist Amaryta Sen</w:t>
      </w:r>
      <w:r>
        <w:rPr>
          <w:bCs/>
          <w:iCs/>
        </w:rPr>
        <w:t>.</w:t>
      </w:r>
      <w:r>
        <w:rPr>
          <w:rStyle w:val="FootnoteReference"/>
          <w:bCs/>
          <w:iCs/>
        </w:rPr>
        <w:footnoteReference w:id="1"/>
      </w:r>
      <w:r>
        <w:rPr>
          <w:bCs/>
          <w:iCs/>
        </w:rPr>
        <w:t xml:space="preserve"> </w:t>
      </w:r>
      <w:r w:rsidRPr="00BA0136">
        <w:rPr>
          <w:bCs/>
          <w:iCs/>
        </w:rPr>
        <w:t xml:space="preserve">For consumers in Australia, </w:t>
      </w:r>
      <w:r w:rsidR="00164833">
        <w:rPr>
          <w:bCs/>
          <w:iCs/>
        </w:rPr>
        <w:t>this</w:t>
      </w:r>
      <w:r>
        <w:rPr>
          <w:bCs/>
          <w:iCs/>
        </w:rPr>
        <w:t xml:space="preserve"> mean</w:t>
      </w:r>
      <w:r w:rsidR="00164833">
        <w:rPr>
          <w:bCs/>
          <w:iCs/>
        </w:rPr>
        <w:t>s</w:t>
      </w:r>
      <w:r>
        <w:rPr>
          <w:bCs/>
          <w:iCs/>
        </w:rPr>
        <w:t xml:space="preserve"> the</w:t>
      </w:r>
      <w:r w:rsidRPr="00BA0136">
        <w:rPr>
          <w:bCs/>
          <w:iCs/>
        </w:rPr>
        <w:t xml:space="preserve"> ability to ensure personal safety, self-progression and personal development, completion of online tasks, e-commerce and economic livelihood, success and well-being and social networking, interaction and communications.</w:t>
      </w:r>
      <w:r w:rsidR="00164833" w:rsidRPr="00164833">
        <w:rPr>
          <w:rStyle w:val="FootnoteReference"/>
          <w:bCs/>
          <w:iCs/>
        </w:rPr>
        <w:t xml:space="preserve"> </w:t>
      </w:r>
      <w:r w:rsidR="00164833">
        <w:rPr>
          <w:rStyle w:val="FootnoteReference"/>
          <w:bCs/>
          <w:iCs/>
        </w:rPr>
        <w:footnoteReference w:id="2"/>
      </w:r>
      <w:r w:rsidRPr="00BA0136">
        <w:rPr>
          <w:bCs/>
          <w:iCs/>
        </w:rPr>
        <w:t xml:space="preserve"> </w:t>
      </w:r>
      <w:r>
        <w:rPr>
          <w:bCs/>
          <w:iCs/>
        </w:rPr>
        <w:t>In order for</w:t>
      </w:r>
      <w:r w:rsidR="00164833">
        <w:rPr>
          <w:bCs/>
          <w:iCs/>
        </w:rPr>
        <w:t xml:space="preserve"> an end user</w:t>
      </w:r>
      <w:r>
        <w:rPr>
          <w:bCs/>
          <w:iCs/>
        </w:rPr>
        <w:t xml:space="preserve"> to achieve these</w:t>
      </w:r>
      <w:r w:rsidR="00164833">
        <w:rPr>
          <w:bCs/>
          <w:iCs/>
        </w:rPr>
        <w:t>,</w:t>
      </w:r>
      <w:r>
        <w:rPr>
          <w:bCs/>
          <w:iCs/>
        </w:rPr>
        <w:t xml:space="preserve"> a </w:t>
      </w:r>
      <w:r w:rsidR="00DD2399">
        <w:rPr>
          <w:bCs/>
          <w:iCs/>
        </w:rPr>
        <w:t xml:space="preserve">guarantee to a </w:t>
      </w:r>
      <w:r>
        <w:rPr>
          <w:bCs/>
          <w:iCs/>
        </w:rPr>
        <w:t xml:space="preserve">level of service </w:t>
      </w:r>
      <w:r w:rsidR="00164833">
        <w:rPr>
          <w:bCs/>
          <w:iCs/>
        </w:rPr>
        <w:t xml:space="preserve">that will allow these functions to be carried out is required. Therefore we believe that standards set out in wider terms than </w:t>
      </w:r>
      <w:r>
        <w:rPr>
          <w:bCs/>
          <w:iCs/>
        </w:rPr>
        <w:t xml:space="preserve">a download and upload speed </w:t>
      </w:r>
      <w:r w:rsidR="009A6F64">
        <w:rPr>
          <w:bCs/>
          <w:iCs/>
        </w:rPr>
        <w:t>are</w:t>
      </w:r>
      <w:r>
        <w:rPr>
          <w:bCs/>
          <w:iCs/>
        </w:rPr>
        <w:t xml:space="preserve"> required. </w:t>
      </w:r>
    </w:p>
    <w:p w:rsidR="00164833" w:rsidRDefault="00164833" w:rsidP="00164833">
      <w:pPr>
        <w:jc w:val="both"/>
        <w:rPr>
          <w:bCs/>
          <w:iCs/>
        </w:rPr>
      </w:pPr>
      <w:r>
        <w:rPr>
          <w:bCs/>
          <w:iCs/>
        </w:rPr>
        <w:t>The CLCs should guarantee the minimum speed levels per end user. T</w:t>
      </w:r>
      <w:r w:rsidRPr="005E191C">
        <w:rPr>
          <w:bCs/>
          <w:iCs/>
        </w:rPr>
        <w:t xml:space="preserve">he level of </w:t>
      </w:r>
      <w:r>
        <w:rPr>
          <w:bCs/>
          <w:iCs/>
        </w:rPr>
        <w:t xml:space="preserve">download and upload </w:t>
      </w:r>
      <w:r w:rsidRPr="005E191C">
        <w:rPr>
          <w:bCs/>
          <w:iCs/>
        </w:rPr>
        <w:t xml:space="preserve">speeds </w:t>
      </w:r>
      <w:r>
        <w:rPr>
          <w:bCs/>
          <w:iCs/>
        </w:rPr>
        <w:t xml:space="preserve">that are in the CLC </w:t>
      </w:r>
      <w:r w:rsidRPr="005E191C">
        <w:rPr>
          <w:bCs/>
          <w:iCs/>
        </w:rPr>
        <w:t xml:space="preserve">are peak capabilities rather than </w:t>
      </w:r>
      <w:r>
        <w:rPr>
          <w:bCs/>
          <w:iCs/>
        </w:rPr>
        <w:t>guaranteed levels. A committed rate would ensure a minimum bandwidth per end user. This would be important to ensure that end users are receiving a high standard of service and limit the contention at the network level. ACCAN suggests that</w:t>
      </w:r>
      <w:r w:rsidRPr="005E191C">
        <w:rPr>
          <w:bCs/>
          <w:iCs/>
        </w:rPr>
        <w:t xml:space="preserve"> a minimum speed, </w:t>
      </w:r>
      <w:r>
        <w:rPr>
          <w:bCs/>
          <w:iCs/>
        </w:rPr>
        <w:t xml:space="preserve">or </w:t>
      </w:r>
      <w:r w:rsidRPr="005E191C">
        <w:rPr>
          <w:bCs/>
          <w:iCs/>
        </w:rPr>
        <w:t>Committed Information Rate (CIR), per premise</w:t>
      </w:r>
      <w:r>
        <w:rPr>
          <w:bCs/>
          <w:iCs/>
        </w:rPr>
        <w:t xml:space="preserve"> should also be included in the CLC to ensure consumers achieve a high standard service.</w:t>
      </w:r>
      <w:r w:rsidRPr="005E191C">
        <w:rPr>
          <w:bCs/>
          <w:iCs/>
        </w:rPr>
        <w:t xml:space="preserve"> </w:t>
      </w:r>
    </w:p>
    <w:p w:rsidR="00164833" w:rsidRDefault="00DD2399" w:rsidP="00C31EC1">
      <w:pPr>
        <w:jc w:val="both"/>
      </w:pPr>
      <w:r w:rsidRPr="00C31EC1">
        <w:rPr>
          <w:bCs/>
          <w:iCs/>
        </w:rPr>
        <w:lastRenderedPageBreak/>
        <w:t xml:space="preserve">ACCAN is glad to see that the CLCs include a greater range of measurements which affect performance, such as jitter, latency and packet loss. However, </w:t>
      </w:r>
      <w:r w:rsidR="00164833">
        <w:rPr>
          <w:bCs/>
          <w:iCs/>
        </w:rPr>
        <w:t>t</w:t>
      </w:r>
      <w:r w:rsidR="00164833">
        <w:t>he standards should be clearly stated and measure the network element of the service delivery.  W</w:t>
      </w:r>
      <w:r w:rsidRPr="00C31EC1">
        <w:rPr>
          <w:bCs/>
          <w:iCs/>
        </w:rPr>
        <w:t>e have</w:t>
      </w:r>
      <w:r w:rsidR="00DA37B2">
        <w:t xml:space="preserve"> </w:t>
      </w:r>
      <w:r>
        <w:t xml:space="preserve">concerns over the wording used </w:t>
      </w:r>
      <w:r w:rsidR="00DA37B2">
        <w:t>in subsection 5(3)(d) of the new developments declaration</w:t>
      </w:r>
      <w:r>
        <w:t>, which refers to standards “comparable to the service quality typically experienced by end users being supplied with comparable carriage services”</w:t>
      </w:r>
      <w:r w:rsidR="00DA37B2">
        <w:t>. This</w:t>
      </w:r>
      <w:r>
        <w:t xml:space="preserve"> may be difficult to prove or measure</w:t>
      </w:r>
      <w:r w:rsidR="00DA37B2">
        <w:t xml:space="preserve"> as t</w:t>
      </w:r>
      <w:r>
        <w:t xml:space="preserve">he end user experience may be affected by a number of factors, such as RSP service </w:t>
      </w:r>
      <w:r w:rsidR="00C31EC1">
        <w:t>provisioning</w:t>
      </w:r>
      <w:r>
        <w:t xml:space="preserve">. </w:t>
      </w:r>
      <w:r w:rsidR="00164833">
        <w:t xml:space="preserve">The use of the word comparable also allows for a range of variation which is subjective. </w:t>
      </w:r>
      <w:r w:rsidR="00262BBB">
        <w:t xml:space="preserve">A clearer definition of the standards required would be welcomed. </w:t>
      </w:r>
    </w:p>
    <w:p w:rsidR="00164833" w:rsidRDefault="00164833" w:rsidP="00164833">
      <w:pPr>
        <w:jc w:val="both"/>
      </w:pPr>
      <w:r>
        <w:t xml:space="preserve">In terms of availability of services for end users we believe measuring the following is important: </w:t>
      </w:r>
      <w:r w:rsidRPr="00C31EC1">
        <w:rPr>
          <w:rFonts w:asciiTheme="minorHAnsi" w:eastAsiaTheme="minorHAnsi" w:hAnsiTheme="minorHAnsi" w:cstheme="minorBidi"/>
          <w:color w:val="auto"/>
          <w:szCs w:val="22"/>
          <w:lang w:eastAsia="en-US"/>
        </w:rPr>
        <w:t>number of minutes that a customer is without services in a year,</w:t>
      </w:r>
      <w:r>
        <w:rPr>
          <w:rFonts w:asciiTheme="minorHAnsi" w:eastAsiaTheme="minorHAnsi" w:hAnsiTheme="minorHAnsi" w:cstheme="minorBidi"/>
          <w:color w:val="auto"/>
          <w:szCs w:val="22"/>
          <w:lang w:eastAsia="en-US"/>
        </w:rPr>
        <w:t xml:space="preserve"> </w:t>
      </w:r>
      <w:r w:rsidRPr="00C31EC1">
        <w:rPr>
          <w:rFonts w:asciiTheme="minorHAnsi" w:eastAsiaTheme="minorHAnsi" w:hAnsiTheme="minorHAnsi" w:cstheme="minorBidi"/>
          <w:color w:val="auto"/>
          <w:szCs w:val="22"/>
          <w:lang w:eastAsia="en-US"/>
        </w:rPr>
        <w:t>number of times a customer’s supply is interrupted per year,</w:t>
      </w:r>
      <w:r>
        <w:rPr>
          <w:rFonts w:asciiTheme="minorHAnsi" w:eastAsiaTheme="minorHAnsi" w:hAnsiTheme="minorHAnsi" w:cstheme="minorBidi"/>
          <w:color w:val="auto"/>
          <w:szCs w:val="22"/>
          <w:lang w:eastAsia="en-US"/>
        </w:rPr>
        <w:t xml:space="preserve"> </w:t>
      </w:r>
      <w:r w:rsidRPr="00C31EC1">
        <w:rPr>
          <w:rFonts w:asciiTheme="minorHAnsi" w:eastAsiaTheme="minorHAnsi" w:hAnsiTheme="minorHAnsi" w:cstheme="minorBidi"/>
          <w:color w:val="auto"/>
          <w:szCs w:val="22"/>
          <w:lang w:eastAsia="en-US"/>
        </w:rPr>
        <w:t>duration of each interruption, and</w:t>
      </w:r>
      <w:r>
        <w:rPr>
          <w:rFonts w:asciiTheme="minorHAnsi" w:eastAsiaTheme="minorHAnsi" w:hAnsiTheme="minorHAnsi" w:cstheme="minorBidi"/>
          <w:color w:val="auto"/>
          <w:szCs w:val="22"/>
          <w:lang w:eastAsia="en-US"/>
        </w:rPr>
        <w:t xml:space="preserve"> </w:t>
      </w:r>
      <w:r w:rsidRPr="00C31EC1">
        <w:rPr>
          <w:rFonts w:asciiTheme="minorHAnsi" w:eastAsiaTheme="minorHAnsi" w:hAnsiTheme="minorHAnsi" w:cstheme="minorBidi"/>
          <w:color w:val="auto"/>
          <w:szCs w:val="22"/>
          <w:lang w:eastAsia="en-US"/>
        </w:rPr>
        <w:t>number of momentary interruptions per customer per year.</w:t>
      </w:r>
      <w:r>
        <w:rPr>
          <w:rFonts w:asciiTheme="minorHAnsi" w:eastAsiaTheme="minorHAnsi" w:hAnsiTheme="minorHAnsi" w:cstheme="minorBidi"/>
          <w:color w:val="auto"/>
          <w:szCs w:val="22"/>
          <w:lang w:eastAsia="en-US"/>
        </w:rPr>
        <w:t xml:space="preserve"> </w:t>
      </w:r>
      <w:r w:rsidR="00262BBB">
        <w:rPr>
          <w:rFonts w:asciiTheme="minorHAnsi" w:eastAsiaTheme="minorHAnsi" w:hAnsiTheme="minorHAnsi" w:cstheme="minorBidi"/>
          <w:color w:val="auto"/>
          <w:szCs w:val="22"/>
          <w:lang w:eastAsia="en-US"/>
        </w:rPr>
        <w:t>ACCAN suggests that these measurements are used instead of a percentage of availability in a 12 month period.</w:t>
      </w:r>
    </w:p>
    <w:p w:rsidR="00331653" w:rsidRDefault="00331653" w:rsidP="002E6EB0">
      <w:pPr>
        <w:jc w:val="both"/>
      </w:pPr>
      <w:r>
        <w:rPr>
          <w:bCs/>
          <w:iCs/>
        </w:rPr>
        <w:t>ACCAN is supportive of the CLCs requiring the network to support the delivery of voice services; however, some other elements of the CLC appear to not support this. The activation and repair timeframes (s</w:t>
      </w:r>
      <w:r>
        <w:t xml:space="preserve">ubsections 5(12) and (13) of the new developments declaration) are more aligned with the nbn standards than </w:t>
      </w:r>
      <w:r w:rsidR="00D4738D">
        <w:t xml:space="preserve">those required in </w:t>
      </w:r>
      <w:r>
        <w:t xml:space="preserve">the delivery of voice services through the CSG or priority assistance. </w:t>
      </w:r>
      <w:r w:rsidR="00D4738D">
        <w:t xml:space="preserve">This appears to be a disincentive to RSPs to offer these services. If Telstra is requested to supply voice or priority assistance services in a new development which is served by another provider, it may use alternative networks to deliver the services. </w:t>
      </w:r>
      <w:r>
        <w:t xml:space="preserve">By using these standards we are concerned that end users will not have access to voice services, priority assistance or a CSG service. </w:t>
      </w:r>
      <w:r w:rsidR="00D4738D">
        <w:t>Furthermore, t</w:t>
      </w:r>
      <w:r w:rsidR="004E6F71">
        <w:t xml:space="preserve">his may be a duplication of network expenditure that may come at a cost to developers and end users. </w:t>
      </w:r>
      <w:r w:rsidR="00D4738D">
        <w:t>Access to CSG services and priority assistance should be available to all end users and part of the minimum quality standards that a network should deliver.</w:t>
      </w:r>
    </w:p>
    <w:p w:rsidR="002E6EB0" w:rsidRPr="00CB658D" w:rsidRDefault="00C9680B" w:rsidP="002E6EB0">
      <w:pPr>
        <w:jc w:val="both"/>
      </w:pPr>
      <w:r>
        <w:t>Furthermore</w:t>
      </w:r>
      <w:r w:rsidR="00D87743">
        <w:t>,</w:t>
      </w:r>
      <w:r>
        <w:t xml:space="preserve"> </w:t>
      </w:r>
      <w:r w:rsidR="002E6EB0">
        <w:rPr>
          <w:bCs/>
          <w:iCs/>
        </w:rPr>
        <w:t>ACCAN is concerned that the def</w:t>
      </w:r>
      <w:r w:rsidR="001E3EDA">
        <w:rPr>
          <w:bCs/>
          <w:iCs/>
        </w:rPr>
        <w:t xml:space="preserve">inition of voice service </w:t>
      </w:r>
      <w:r w:rsidR="00D4738D">
        <w:rPr>
          <w:bCs/>
          <w:iCs/>
        </w:rPr>
        <w:t>is being interpreted in such a way that may restrict the use of</w:t>
      </w:r>
      <w:r w:rsidR="001E3EDA">
        <w:rPr>
          <w:bCs/>
          <w:iCs/>
        </w:rPr>
        <w:t xml:space="preserve"> fibre in new developments</w:t>
      </w:r>
      <w:r w:rsidR="002E6EB0">
        <w:rPr>
          <w:bCs/>
          <w:iCs/>
        </w:rPr>
        <w:t xml:space="preserve">. </w:t>
      </w:r>
      <w:r>
        <w:rPr>
          <w:bCs/>
          <w:iCs/>
        </w:rPr>
        <w:t xml:space="preserve">In a </w:t>
      </w:r>
      <w:r w:rsidR="002E6EB0">
        <w:rPr>
          <w:bCs/>
          <w:iCs/>
        </w:rPr>
        <w:t xml:space="preserve">recent </w:t>
      </w:r>
      <w:r>
        <w:rPr>
          <w:bCs/>
          <w:iCs/>
        </w:rPr>
        <w:t xml:space="preserve">article a </w:t>
      </w:r>
      <w:r w:rsidR="002E6EB0">
        <w:rPr>
          <w:bCs/>
          <w:iCs/>
        </w:rPr>
        <w:t>Telstra spokesperson said:</w:t>
      </w:r>
      <w:r w:rsidR="002E6EB0" w:rsidRPr="006B6CD6">
        <w:t xml:space="preserve"> </w:t>
      </w:r>
      <w:r w:rsidR="002E6EB0">
        <w:t>“Under the current regulatory settings we can’t roll out a fibre network and then retail voice services over it, so where we are approached by a developer to build new telecommunications infrastructure we roll out copper.”</w:t>
      </w:r>
      <w:r w:rsidR="002E6EB0">
        <w:rPr>
          <w:bCs/>
          <w:iCs/>
        </w:rPr>
        <w:t xml:space="preserve"> </w:t>
      </w:r>
      <w:r w:rsidR="002E6EB0">
        <w:rPr>
          <w:rStyle w:val="FootnoteReference"/>
          <w:bCs/>
          <w:iCs/>
        </w:rPr>
        <w:footnoteReference w:id="3"/>
      </w:r>
      <w:r w:rsidR="002E6EB0">
        <w:rPr>
          <w:bCs/>
          <w:iCs/>
        </w:rPr>
        <w:t xml:space="preserve"> </w:t>
      </w:r>
      <w:r w:rsidR="004E6F71">
        <w:rPr>
          <w:bCs/>
          <w:iCs/>
        </w:rPr>
        <w:t xml:space="preserve">The </w:t>
      </w:r>
      <w:r w:rsidR="001E3EDA">
        <w:rPr>
          <w:bCs/>
          <w:iCs/>
        </w:rPr>
        <w:t xml:space="preserve">CLCs for </w:t>
      </w:r>
      <w:r w:rsidR="004E6F71">
        <w:rPr>
          <w:bCs/>
          <w:iCs/>
        </w:rPr>
        <w:t>new development</w:t>
      </w:r>
      <w:r w:rsidR="001E3EDA">
        <w:rPr>
          <w:bCs/>
          <w:iCs/>
        </w:rPr>
        <w:t>s</w:t>
      </w:r>
      <w:r w:rsidR="004E6F71">
        <w:rPr>
          <w:bCs/>
          <w:iCs/>
        </w:rPr>
        <w:t xml:space="preserve"> should be technology neutral and not exclude the use of other technologies.</w:t>
      </w:r>
      <w:r w:rsidR="00EE1B8A" w:rsidRPr="00EE1B8A">
        <w:rPr>
          <w:bCs/>
          <w:iCs/>
        </w:rPr>
        <w:t xml:space="preserve"> </w:t>
      </w:r>
    </w:p>
    <w:p w:rsidR="002E6EB0" w:rsidRDefault="002E6EB0" w:rsidP="002E6EB0">
      <w:pPr>
        <w:jc w:val="both"/>
      </w:pPr>
      <w:r>
        <w:t xml:space="preserve">ACCAN </w:t>
      </w:r>
      <w:r w:rsidR="00D87743">
        <w:t>agrees there is a</w:t>
      </w:r>
      <w:r>
        <w:t xml:space="preserve"> need for additional requirements in relation to the commercial track record of carrier</w:t>
      </w:r>
      <w:r w:rsidR="0063695D">
        <w:t>s</w:t>
      </w:r>
      <w:r>
        <w:t xml:space="preserve"> and their ongoing sustainability</w:t>
      </w:r>
      <w:r w:rsidR="00EE1B8A">
        <w:t>. This would ensure that a network is not likely to stop providing service to a new development</w:t>
      </w:r>
      <w:r w:rsidR="001E3EDA">
        <w:t>, leaving end users without services</w:t>
      </w:r>
      <w:r w:rsidR="00F6751F">
        <w:t>.</w:t>
      </w:r>
    </w:p>
    <w:p w:rsidR="007F6491" w:rsidRDefault="007F6491" w:rsidP="00221576">
      <w:pPr>
        <w:pStyle w:val="Heading7"/>
      </w:pPr>
      <w:r>
        <w:t>Regulatory Impact Statement and costings</w:t>
      </w:r>
    </w:p>
    <w:p w:rsidR="007F6491" w:rsidRDefault="000D2C51" w:rsidP="005C5F3F">
      <w:pPr>
        <w:jc w:val="both"/>
      </w:pPr>
      <w:r>
        <w:t xml:space="preserve">Complying with </w:t>
      </w:r>
      <w:r w:rsidR="00F6751F">
        <w:t xml:space="preserve">the </w:t>
      </w:r>
      <w:r w:rsidR="00D87743">
        <w:t>CLCs</w:t>
      </w:r>
      <w:r>
        <w:t xml:space="preserve"> may impose a financial and administrative burden on network providers</w:t>
      </w:r>
      <w:r w:rsidR="00D87743">
        <w:t>.</w:t>
      </w:r>
      <w:r>
        <w:t xml:space="preserve"> </w:t>
      </w:r>
      <w:r w:rsidR="00D87743">
        <w:t>H</w:t>
      </w:r>
      <w:r>
        <w:t xml:space="preserve">owever, if </w:t>
      </w:r>
      <w:r w:rsidR="00D87743">
        <w:t>a</w:t>
      </w:r>
      <w:r>
        <w:t xml:space="preserve"> network requires significant updates to meet standards then </w:t>
      </w:r>
      <w:r w:rsidR="00D87743">
        <w:t>it</w:t>
      </w:r>
      <w:r>
        <w:t xml:space="preserve"> is not efficient or </w:t>
      </w:r>
      <w:r>
        <w:lastRenderedPageBreak/>
        <w:t xml:space="preserve">delivering for end users. </w:t>
      </w:r>
      <w:r w:rsidR="00680FD3">
        <w:t>The costings in the RIS should also account for the</w:t>
      </w:r>
      <w:r w:rsidR="00B221B6">
        <w:t xml:space="preserve"> potential</w:t>
      </w:r>
      <w:r w:rsidR="00680FD3">
        <w:t xml:space="preserve"> impact on end users. </w:t>
      </w:r>
      <w:r w:rsidR="007F6491">
        <w:t>There are a numbe</w:t>
      </w:r>
      <w:r w:rsidR="00680FD3">
        <w:t>r of cost</w:t>
      </w:r>
      <w:r w:rsidR="007F6491">
        <w:t xml:space="preserve">s which end users are likely to face when they do not have access to a quality </w:t>
      </w:r>
      <w:r w:rsidR="00EE1B8A">
        <w:t>network, which</w:t>
      </w:r>
      <w:r w:rsidR="00B221B6">
        <w:t xml:space="preserve"> supports retail </w:t>
      </w:r>
      <w:r w:rsidR="00F6751F">
        <w:t>competition</w:t>
      </w:r>
      <w:r w:rsidR="00336910">
        <w:t xml:space="preserve">. </w:t>
      </w:r>
      <w:r w:rsidR="00DD2399">
        <w:t>For example:</w:t>
      </w:r>
    </w:p>
    <w:p w:rsidR="000107E0" w:rsidRPr="000107E0" w:rsidRDefault="000107E0" w:rsidP="005C5F3F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</w:pPr>
      <w:r w:rsidRPr="00680FD3">
        <w:rPr>
          <w:u w:val="single"/>
        </w:rPr>
        <w:t xml:space="preserve">Monopoly </w:t>
      </w:r>
      <w:r w:rsidR="00680FD3" w:rsidRPr="00680FD3">
        <w:rPr>
          <w:u w:val="single"/>
        </w:rPr>
        <w:t>prices</w:t>
      </w:r>
      <w:r w:rsidRPr="00680FD3">
        <w:rPr>
          <w:u w:val="single"/>
        </w:rPr>
        <w:t xml:space="preserve"> paid by end users</w:t>
      </w:r>
      <w:r>
        <w:t xml:space="preserve">. </w:t>
      </w:r>
      <w:r w:rsidR="00680FD3"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  <w:t xml:space="preserve">Limited retail competition can lead to end users paying more for services. This has been the experience of a number of end users in new developments. </w:t>
      </w:r>
      <w:r w:rsidRPr="000107E0">
        <w:t xml:space="preserve"> </w:t>
      </w:r>
      <w:r w:rsidR="00680FD3">
        <w:t>During our examination of the market in a submission to the</w:t>
      </w:r>
      <w:r w:rsidR="00680FD3" w:rsidRPr="00680FD3">
        <w:t xml:space="preserve"> </w:t>
      </w:r>
      <w:r w:rsidR="00680FD3">
        <w:t xml:space="preserve">ACCC on Superfast Broadband Access Services (SBAS) </w:t>
      </w:r>
      <w:r w:rsidR="00680FD3"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  <w:t>we found that some RSPs charged up to 80% more for similar services over a non-NBN network</w:t>
      </w:r>
      <w:r w:rsidR="00336910"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  <w:t>.</w:t>
      </w:r>
      <w:r w:rsidR="00680FD3">
        <w:rPr>
          <w:rStyle w:val="FootnoteReference"/>
        </w:rPr>
        <w:footnoteReference w:id="4"/>
      </w:r>
      <w:r w:rsidR="00680FD3">
        <w:rPr>
          <w:rFonts w:asciiTheme="minorHAnsi" w:eastAsiaTheme="minorHAnsi" w:hAnsiTheme="minorHAnsi" w:cstheme="minorBidi"/>
          <w:color w:val="auto"/>
          <w:szCs w:val="22"/>
          <w:lang w:val="en-US" w:eastAsia="en-US"/>
        </w:rPr>
        <w:t xml:space="preserve"> Failure to ensure high quality networks for end users may result in significant costs paid by end users for services.</w:t>
      </w:r>
    </w:p>
    <w:p w:rsidR="00B221B6" w:rsidRPr="005C5F3F" w:rsidRDefault="00B221B6" w:rsidP="00B221B6">
      <w:pPr>
        <w:pStyle w:val="ListParagraph"/>
        <w:numPr>
          <w:ilvl w:val="0"/>
          <w:numId w:val="7"/>
        </w:numPr>
        <w:jc w:val="both"/>
      </w:pPr>
      <w:r w:rsidRPr="003F6952">
        <w:rPr>
          <w:u w:val="single"/>
          <w:lang w:val="en-US"/>
        </w:rPr>
        <w:t>L</w:t>
      </w:r>
      <w:r w:rsidR="005871B8">
        <w:rPr>
          <w:u w:val="single"/>
          <w:lang w:val="en-US"/>
        </w:rPr>
        <w:t>ower quality service</w:t>
      </w:r>
      <w:r w:rsidRPr="003F6952">
        <w:rPr>
          <w:u w:val="single"/>
          <w:lang w:val="en-US"/>
        </w:rPr>
        <w:t>.</w:t>
      </w:r>
      <w:r>
        <w:rPr>
          <w:lang w:val="en-US"/>
        </w:rPr>
        <w:t xml:space="preserve"> While headline download speed is usually the most quoted and influential factor, the upload speed, </w:t>
      </w:r>
      <w:r w:rsidR="00336910">
        <w:rPr>
          <w:lang w:val="en-US"/>
        </w:rPr>
        <w:t>jitter and other quality measures</w:t>
      </w:r>
      <w:r>
        <w:rPr>
          <w:lang w:val="en-US"/>
        </w:rPr>
        <w:t xml:space="preserve"> are increasingly important. </w:t>
      </w:r>
      <w:r w:rsidR="00742E09">
        <w:rPr>
          <w:lang w:val="en-US"/>
        </w:rPr>
        <w:t>Low quality n</w:t>
      </w:r>
      <w:r>
        <w:rPr>
          <w:lang w:val="en-US"/>
        </w:rPr>
        <w:t>etworks may not offer</w:t>
      </w:r>
      <w:r w:rsidR="00742E09">
        <w:rPr>
          <w:lang w:val="en-US"/>
        </w:rPr>
        <w:t xml:space="preserve"> end users the level of services needed. This may impact on the ability to run small businesses</w:t>
      </w:r>
      <w:r w:rsidR="00336910">
        <w:rPr>
          <w:lang w:val="en-US"/>
        </w:rPr>
        <w:t xml:space="preserve"> for example</w:t>
      </w:r>
      <w:r w:rsidR="00742E09">
        <w:rPr>
          <w:lang w:val="en-US"/>
        </w:rPr>
        <w:t xml:space="preserve">, which </w:t>
      </w:r>
      <w:r w:rsidR="00336910">
        <w:rPr>
          <w:lang w:val="en-US"/>
        </w:rPr>
        <w:t xml:space="preserve">often </w:t>
      </w:r>
      <w:r w:rsidR="00742E09">
        <w:rPr>
          <w:lang w:val="en-US"/>
        </w:rPr>
        <w:t xml:space="preserve">need </w:t>
      </w:r>
      <w:r w:rsidR="00BC148C">
        <w:rPr>
          <w:lang w:val="en-US"/>
        </w:rPr>
        <w:t>a higher level of service</w:t>
      </w:r>
      <w:r w:rsidR="00336910">
        <w:rPr>
          <w:lang w:val="en-US"/>
        </w:rPr>
        <w:t xml:space="preserve">. Access to only lower quality networks may </w:t>
      </w:r>
      <w:r w:rsidR="00742E09">
        <w:rPr>
          <w:lang w:val="en-US"/>
        </w:rPr>
        <w:t>result</w:t>
      </w:r>
      <w:r w:rsidR="00336910">
        <w:rPr>
          <w:lang w:val="en-US"/>
        </w:rPr>
        <w:t xml:space="preserve"> </w:t>
      </w:r>
      <w:r>
        <w:rPr>
          <w:lang w:val="en-US"/>
        </w:rPr>
        <w:t xml:space="preserve">in sub-optimal </w:t>
      </w:r>
      <w:r w:rsidR="00336910">
        <w:rPr>
          <w:lang w:val="en-US"/>
        </w:rPr>
        <w:t>services being used and potentially limit</w:t>
      </w:r>
      <w:r w:rsidR="00742E09">
        <w:rPr>
          <w:lang w:val="en-US"/>
        </w:rPr>
        <w:t xml:space="preserve"> innovation and economic benefit</w:t>
      </w:r>
      <w:r>
        <w:rPr>
          <w:lang w:val="en-US"/>
        </w:rPr>
        <w:t xml:space="preserve">. </w:t>
      </w:r>
    </w:p>
    <w:p w:rsidR="005C5F3F" w:rsidRPr="00DD2399" w:rsidRDefault="00680FD3" w:rsidP="005C5F3F">
      <w:pPr>
        <w:pStyle w:val="ListParagraph"/>
        <w:numPr>
          <w:ilvl w:val="0"/>
          <w:numId w:val="7"/>
        </w:numPr>
        <w:jc w:val="both"/>
      </w:pPr>
      <w:r w:rsidRPr="00680FD3">
        <w:rPr>
          <w:u w:val="single"/>
          <w:lang w:val="en-US"/>
        </w:rPr>
        <w:t>I</w:t>
      </w:r>
      <w:r w:rsidR="000107E0" w:rsidRPr="00680FD3">
        <w:rPr>
          <w:u w:val="single"/>
          <w:lang w:val="en-US"/>
        </w:rPr>
        <w:t>ncreased product search and transactional costs</w:t>
      </w:r>
      <w:r>
        <w:rPr>
          <w:u w:val="single"/>
          <w:lang w:val="en-US"/>
        </w:rPr>
        <w:t>.</w:t>
      </w:r>
      <w:r>
        <w:rPr>
          <w:lang w:val="en-US"/>
        </w:rPr>
        <w:t xml:space="preserve"> </w:t>
      </w:r>
      <w:r w:rsidR="00263633">
        <w:rPr>
          <w:lang w:val="en-US"/>
        </w:rPr>
        <w:t xml:space="preserve">End users in new developments have expressed </w:t>
      </w:r>
      <w:r w:rsidR="000107E0">
        <w:rPr>
          <w:lang w:val="en-US"/>
        </w:rPr>
        <w:t>difficult</w:t>
      </w:r>
      <w:r w:rsidR="00263633">
        <w:rPr>
          <w:lang w:val="en-US"/>
        </w:rPr>
        <w:t>y</w:t>
      </w:r>
      <w:r w:rsidR="000107E0">
        <w:rPr>
          <w:lang w:val="en-US"/>
        </w:rPr>
        <w:t xml:space="preserve"> and frustrati</w:t>
      </w:r>
      <w:r w:rsidR="00263633">
        <w:rPr>
          <w:lang w:val="en-US"/>
        </w:rPr>
        <w:t xml:space="preserve">on to ACCAN regarding finding products and plans. Often the options available to them </w:t>
      </w:r>
      <w:r w:rsidR="00342925">
        <w:rPr>
          <w:lang w:val="en-US"/>
        </w:rPr>
        <w:t>are not easily found, have a number of different offers and conditions compared to mainstream plans and are usually not on comparison websites. Furthermore, difficulties arise</w:t>
      </w:r>
      <w:r w:rsidR="000107E0">
        <w:rPr>
          <w:lang w:val="en-US"/>
        </w:rPr>
        <w:t xml:space="preserve"> </w:t>
      </w:r>
      <w:r w:rsidR="00BC148C">
        <w:rPr>
          <w:lang w:val="en-US"/>
        </w:rPr>
        <w:t>if</w:t>
      </w:r>
      <w:r w:rsidR="000107E0">
        <w:rPr>
          <w:lang w:val="en-US"/>
        </w:rPr>
        <w:t xml:space="preserve"> a consumer moves premises, into or out of a network</w:t>
      </w:r>
      <w:r w:rsidR="00342925">
        <w:rPr>
          <w:lang w:val="en-US"/>
        </w:rPr>
        <w:t xml:space="preserve">, where they </w:t>
      </w:r>
      <w:r w:rsidR="000107E0">
        <w:rPr>
          <w:lang w:val="en-US"/>
        </w:rPr>
        <w:t>may not be able to bring their current services with them.</w:t>
      </w:r>
      <w:r w:rsidR="000107E0" w:rsidRPr="007B1414">
        <w:rPr>
          <w:lang w:val="en-US"/>
        </w:rPr>
        <w:t xml:space="preserve"> </w:t>
      </w:r>
      <w:r w:rsidR="00342925">
        <w:rPr>
          <w:lang w:val="en-US"/>
        </w:rPr>
        <w:t xml:space="preserve">If networks all offer a minimum level of service </w:t>
      </w:r>
      <w:r w:rsidR="00A9046B">
        <w:rPr>
          <w:lang w:val="en-US"/>
        </w:rPr>
        <w:t>the</w:t>
      </w:r>
      <w:r w:rsidR="00342925">
        <w:rPr>
          <w:lang w:val="en-US"/>
        </w:rPr>
        <w:t xml:space="preserve"> difference in product offerings and end user</w:t>
      </w:r>
      <w:r w:rsidR="00BC148C">
        <w:rPr>
          <w:lang w:val="en-US"/>
        </w:rPr>
        <w:t xml:space="preserve"> product search and transactional</w:t>
      </w:r>
      <w:r w:rsidR="00342925">
        <w:rPr>
          <w:lang w:val="en-US"/>
        </w:rPr>
        <w:t xml:space="preserve"> costs</w:t>
      </w:r>
      <w:r w:rsidR="00A9046B">
        <w:rPr>
          <w:lang w:val="en-US"/>
        </w:rPr>
        <w:t xml:space="preserve"> will likely be reduced</w:t>
      </w:r>
      <w:r w:rsidR="00342925">
        <w:rPr>
          <w:lang w:val="en-US"/>
        </w:rPr>
        <w:t>.</w:t>
      </w:r>
    </w:p>
    <w:p w:rsidR="00DD2399" w:rsidRPr="005C5F3F" w:rsidRDefault="00DD2399" w:rsidP="00DD2399">
      <w:pPr>
        <w:jc w:val="both"/>
      </w:pPr>
      <w:r>
        <w:t>As well as these, costs may be faced by nbn to overbuild within the</w:t>
      </w:r>
      <w:r w:rsidR="00E44AEF">
        <w:t xml:space="preserve"> areas that do not meet standards.</w:t>
      </w:r>
    </w:p>
    <w:p w:rsidR="00221576" w:rsidRDefault="00221576" w:rsidP="00221576">
      <w:pPr>
        <w:pStyle w:val="Heading7"/>
      </w:pPr>
      <w:r>
        <w:t>Remedies, incentives and breaches of conditions</w:t>
      </w:r>
    </w:p>
    <w:p w:rsidR="00E44AEF" w:rsidRDefault="002F63E1" w:rsidP="002F63E1">
      <w:pPr>
        <w:jc w:val="both"/>
      </w:pPr>
      <w:r>
        <w:t>While ACCAN is happy to see that the networks have to have independent certification prior to the first end user being connected</w:t>
      </w:r>
      <w:r w:rsidR="00A9046B">
        <w:t>,</w:t>
      </w:r>
      <w:r>
        <w:t xml:space="preserve"> we have concerns about the ongoing performance of the network. Performance is increa</w:t>
      </w:r>
      <w:r w:rsidR="00E44AEF">
        <w:t>singly important for end users and it is important that networks perform consistently.</w:t>
      </w:r>
      <w:r w:rsidR="00A9046B">
        <w:t xml:space="preserve"> A</w:t>
      </w:r>
      <w:r>
        <w:t xml:space="preserve">s currently presented </w:t>
      </w:r>
      <w:r w:rsidR="00A9046B">
        <w:t xml:space="preserve">it is unclear to ACCAN </w:t>
      </w:r>
      <w:r>
        <w:t xml:space="preserve">how </w:t>
      </w:r>
      <w:r w:rsidR="00797E33">
        <w:t>end users or</w:t>
      </w:r>
      <w:r>
        <w:t xml:space="preserve"> </w:t>
      </w:r>
      <w:r w:rsidR="00A9046B">
        <w:t xml:space="preserve">the </w:t>
      </w:r>
      <w:r>
        <w:t xml:space="preserve">ACMA could determine that a breach in performance conditions </w:t>
      </w:r>
      <w:r w:rsidR="00A9046B">
        <w:t xml:space="preserve">has </w:t>
      </w:r>
      <w:r>
        <w:t>occurred.</w:t>
      </w:r>
      <w:r w:rsidRPr="00240A89">
        <w:t xml:space="preserve"> </w:t>
      </w:r>
      <w:r w:rsidR="00E44AEF">
        <w:t xml:space="preserve">It is </w:t>
      </w:r>
      <w:r w:rsidR="00122290">
        <w:t xml:space="preserve">also </w:t>
      </w:r>
      <w:r w:rsidR="00A9046B">
        <w:t>un</w:t>
      </w:r>
      <w:r w:rsidR="00E44AEF">
        <w:t xml:space="preserve">clear what penalties will arise from this or how any payments may be passed onto an </w:t>
      </w:r>
      <w:r w:rsidR="00122290">
        <w:t xml:space="preserve">RSP or </w:t>
      </w:r>
      <w:r w:rsidR="00E44AEF">
        <w:t>end user. The example of a trivial failure to comply with a requirement is given to be ‘not connecting a single premise within the timeframes required by a short period in circumstances where this has been rectified’.</w:t>
      </w:r>
      <w:r w:rsidR="00E44AEF">
        <w:rPr>
          <w:rStyle w:val="FootnoteReference"/>
        </w:rPr>
        <w:footnoteReference w:id="5"/>
      </w:r>
      <w:r w:rsidR="00E44AEF" w:rsidRPr="00047EFB">
        <w:t xml:space="preserve"> </w:t>
      </w:r>
      <w:r w:rsidR="00122290">
        <w:t xml:space="preserve">If this occurred and the RSP offered a CSG service, the RSP would be </w:t>
      </w:r>
      <w:r w:rsidR="00F6751F">
        <w:t>liable to</w:t>
      </w:r>
      <w:r w:rsidR="00A9046B">
        <w:t xml:space="preserve"> </w:t>
      </w:r>
      <w:r w:rsidR="00122290">
        <w:t xml:space="preserve">compensate the end user. The fault however, lies with the network. </w:t>
      </w:r>
      <w:r w:rsidR="00A9046B">
        <w:t>It is unclear</w:t>
      </w:r>
      <w:r w:rsidR="00E44AEF">
        <w:t xml:space="preserve"> how the arrangement with the retail provider and network provider would work</w:t>
      </w:r>
      <w:r w:rsidR="00BC148C">
        <w:t xml:space="preserve"> and if this would reduce product offerings to end users</w:t>
      </w:r>
      <w:r w:rsidR="00E44AEF">
        <w:t xml:space="preserve">. For the </w:t>
      </w:r>
      <w:r w:rsidR="00E44AEF">
        <w:lastRenderedPageBreak/>
        <w:t>best outcome for end user</w:t>
      </w:r>
      <w:r w:rsidR="00A9046B">
        <w:t>s</w:t>
      </w:r>
      <w:r w:rsidR="00E44AEF">
        <w:t xml:space="preserve"> there should be no barriers for retailers to offer services over any network. </w:t>
      </w:r>
    </w:p>
    <w:p w:rsidR="006B6CD6" w:rsidRDefault="006B6CD6" w:rsidP="00221576">
      <w:pPr>
        <w:pStyle w:val="Heading7"/>
      </w:pPr>
      <w:r>
        <w:t>Reporting</w:t>
      </w:r>
    </w:p>
    <w:p w:rsidR="006B6CD6" w:rsidRDefault="006B6CD6" w:rsidP="006B6CD6">
      <w:pPr>
        <w:jc w:val="both"/>
      </w:pPr>
      <w:r>
        <w:t xml:space="preserve">It would be useful </w:t>
      </w:r>
      <w:r w:rsidR="00CD44FD">
        <w:t>if</w:t>
      </w:r>
      <w:r>
        <w:t xml:space="preserve"> </w:t>
      </w:r>
      <w:r w:rsidR="00C935AE">
        <w:t>carriers (</w:t>
      </w:r>
      <w:r w:rsidR="002E6EB0">
        <w:t>under subsection 5(1) of the reporting requirements declaration</w:t>
      </w:r>
      <w:r w:rsidR="00C935AE">
        <w:t>)</w:t>
      </w:r>
      <w:r w:rsidR="002E6EB0">
        <w:t xml:space="preserve"> </w:t>
      </w:r>
      <w:r w:rsidR="00A9046B">
        <w:t xml:space="preserve">were required to </w:t>
      </w:r>
      <w:r>
        <w:t xml:space="preserve">report which </w:t>
      </w:r>
      <w:r w:rsidR="00CD44FD">
        <w:t>RSPs will</w:t>
      </w:r>
      <w:r>
        <w:t xml:space="preserve"> offer services over the network. This would allow </w:t>
      </w:r>
      <w:r w:rsidR="002E6EB0">
        <w:t xml:space="preserve">end users and property buyers </w:t>
      </w:r>
      <w:r w:rsidR="00CD44FD">
        <w:t xml:space="preserve">to </w:t>
      </w:r>
      <w:r w:rsidR="002E6EB0">
        <w:t>know which retailers they will have access to prior to purchase. If th</w:t>
      </w:r>
      <w:r w:rsidR="00C935AE">
        <w:t>e list of RSPs</w:t>
      </w:r>
      <w:r w:rsidR="002E6EB0">
        <w:t xml:space="preserve"> is of concern the potential buyers </w:t>
      </w:r>
      <w:r w:rsidR="00BC148C">
        <w:t xml:space="preserve">would </w:t>
      </w:r>
      <w:r w:rsidR="00C935AE">
        <w:t>have an opportunity to</w:t>
      </w:r>
      <w:r w:rsidR="002E6EB0">
        <w:t xml:space="preserve"> raise </w:t>
      </w:r>
      <w:r w:rsidR="00A9046B">
        <w:t>this</w:t>
      </w:r>
      <w:r w:rsidR="00C935AE">
        <w:t xml:space="preserve"> with the developers</w:t>
      </w:r>
      <w:r w:rsidR="002E6EB0">
        <w:t xml:space="preserve">. </w:t>
      </w:r>
    </w:p>
    <w:p w:rsidR="00C935AE" w:rsidRDefault="002E6EB0" w:rsidP="00C935AE">
      <w:pPr>
        <w:jc w:val="both"/>
      </w:pPr>
      <w:r>
        <w:t>Furthermore</w:t>
      </w:r>
      <w:r w:rsidR="00A9046B">
        <w:t>,</w:t>
      </w:r>
      <w:r>
        <w:t xml:space="preserve"> we believe that the annual reporting require</w:t>
      </w:r>
      <w:r w:rsidR="00F7332E">
        <w:t>ments (</w:t>
      </w:r>
      <w:r>
        <w:t>under subsection 5(16) of the new developments declaration</w:t>
      </w:r>
      <w:r w:rsidR="00F7332E">
        <w:t xml:space="preserve">) be in a standardised </w:t>
      </w:r>
      <w:r>
        <w:t xml:space="preserve">format outlining all obligations and information on breaches. This information will be important for end users that utilise the development as they may </w:t>
      </w:r>
      <w:r w:rsidR="00E81640">
        <w:t xml:space="preserve">otherwise </w:t>
      </w:r>
      <w:r>
        <w:t>be unaware of breaches</w:t>
      </w:r>
      <w:r w:rsidR="00E81640">
        <w:t xml:space="preserve"> or that the service failed to deliver.</w:t>
      </w:r>
      <w:r w:rsidR="00F7332E">
        <w:t xml:space="preserve"> It is also important to limit any passing</w:t>
      </w:r>
      <w:r w:rsidR="002F2319">
        <w:t xml:space="preserve"> of</w:t>
      </w:r>
      <w:r w:rsidR="00F7332E">
        <w:t xml:space="preserve"> blam</w:t>
      </w:r>
      <w:r w:rsidR="002F2319">
        <w:t>e</w:t>
      </w:r>
      <w:r w:rsidR="00F7332E">
        <w:t xml:space="preserve"> between the RSP and network provider when problems do occur. </w:t>
      </w:r>
      <w:r w:rsidR="00E81640">
        <w:t>Given that a number of factors</w:t>
      </w:r>
      <w:r w:rsidR="00BC148C">
        <w:t xml:space="preserve"> </w:t>
      </w:r>
      <w:r w:rsidR="00E81640">
        <w:t>may contribute to poor service</w:t>
      </w:r>
      <w:r w:rsidR="00F7332E">
        <w:t>,</w:t>
      </w:r>
      <w:r w:rsidR="00E81640">
        <w:t xml:space="preserve"> end users are not often in a position to identify the cause of problems or avenues for rectification. </w:t>
      </w:r>
      <w:r w:rsidR="00F7332E">
        <w:t>Providing this information in a standardised format will increase end users</w:t>
      </w:r>
      <w:r w:rsidR="002F2319">
        <w:t>’</w:t>
      </w:r>
      <w:r w:rsidR="00F7332E">
        <w:t xml:space="preserve"> information and give them the ability to address any issues. </w:t>
      </w:r>
    </w:p>
    <w:p w:rsidR="006A7CC8" w:rsidRDefault="00117A61">
      <w:pPr>
        <w:rPr>
          <w:rFonts w:asciiTheme="minorHAnsi" w:hAnsiTheme="minorHAnsi" w:cstheme="minorHAnsi"/>
        </w:rPr>
      </w:pPr>
      <w:r w:rsidRPr="00E25583">
        <w:rPr>
          <w:rFonts w:asciiTheme="minorHAnsi" w:hAnsiTheme="minorHAnsi" w:cstheme="minorHAnsi"/>
        </w:rPr>
        <w:t>Sincerely</w:t>
      </w:r>
    </w:p>
    <w:p w:rsidR="002618B6" w:rsidRPr="00E25583" w:rsidRDefault="002618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506E077" wp14:editId="73DDF391">
            <wp:extent cx="1581912" cy="429768"/>
            <wp:effectExtent l="0" t="0" r="0" b="8890"/>
            <wp:docPr id="2" name="Picture 2" descr="Signature Rachel Th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CC8" w:rsidRPr="00E25583" w:rsidRDefault="00117A61">
      <w:pPr>
        <w:spacing w:after="0"/>
        <w:rPr>
          <w:rFonts w:asciiTheme="minorHAnsi" w:hAnsiTheme="minorHAnsi" w:cstheme="minorHAnsi"/>
          <w:color w:val="auto"/>
        </w:rPr>
      </w:pPr>
      <w:r w:rsidRPr="00E25583">
        <w:rPr>
          <w:rFonts w:asciiTheme="minorHAnsi" w:eastAsia="Arial" w:hAnsiTheme="minorHAnsi" w:cstheme="minorHAnsi"/>
          <w:color w:val="auto"/>
        </w:rPr>
        <w:t>Rachel Thomas</w:t>
      </w:r>
    </w:p>
    <w:p w:rsidR="006A7CC8" w:rsidRPr="00E25583" w:rsidRDefault="00117A61">
      <w:pPr>
        <w:spacing w:after="0"/>
        <w:rPr>
          <w:rFonts w:asciiTheme="minorHAnsi" w:hAnsiTheme="minorHAnsi" w:cstheme="minorHAnsi"/>
          <w:color w:val="auto"/>
        </w:rPr>
      </w:pPr>
      <w:bookmarkStart w:id="0" w:name="h.gjdgxs" w:colFirst="0" w:colLast="0"/>
      <w:bookmarkEnd w:id="0"/>
      <w:r w:rsidRPr="00E25583">
        <w:rPr>
          <w:rFonts w:asciiTheme="minorHAnsi" w:eastAsia="Arial" w:hAnsiTheme="minorHAnsi" w:cstheme="minorHAnsi"/>
          <w:color w:val="auto"/>
        </w:rPr>
        <w:t>Policy Officer</w:t>
      </w:r>
    </w:p>
    <w:sectPr w:rsidR="006A7CC8" w:rsidRPr="00E25583" w:rsidSect="00D234DF">
      <w:headerReference w:type="default" r:id="rId11"/>
      <w:footerReference w:type="default" r:id="rId12"/>
      <w:pgSz w:w="11906" w:h="16838" w:code="9"/>
      <w:pgMar w:top="1440" w:right="1440" w:bottom="1440" w:left="1440" w:header="720" w:footer="17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A05" w:rsidRDefault="00087A05">
      <w:pPr>
        <w:spacing w:after="0" w:line="240" w:lineRule="auto"/>
      </w:pPr>
      <w:r>
        <w:separator/>
      </w:r>
    </w:p>
  </w:endnote>
  <w:endnote w:type="continuationSeparator" w:id="0">
    <w:p w:rsidR="00087A05" w:rsidRDefault="0008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80B" w:rsidRDefault="00B8380B" w:rsidP="00B66E75">
    <w:pPr>
      <w:tabs>
        <w:tab w:val="right" w:pos="8931"/>
      </w:tabs>
      <w:spacing w:after="0" w:line="240" w:lineRule="auto"/>
    </w:pPr>
    <w:r>
      <w:rPr>
        <w:color w:val="23B0E6"/>
      </w:rPr>
      <w:t>www.accan.org.au | info@accan.org.au | twitter: @ACCAN_AU</w:t>
    </w:r>
    <w:r>
      <w:rPr>
        <w:color w:val="23B0E6"/>
      </w:rPr>
      <w:tab/>
    </w:r>
    <w:r>
      <w:fldChar w:fldCharType="begin"/>
    </w:r>
    <w:r>
      <w:instrText>PAGE</w:instrText>
    </w:r>
    <w:r>
      <w:fldChar w:fldCharType="separate"/>
    </w:r>
    <w:r w:rsidR="00B66E75">
      <w:rPr>
        <w:noProof/>
      </w:rPr>
      <w:t>4</w:t>
    </w:r>
    <w:r>
      <w:fldChar w:fldCharType="end"/>
    </w:r>
  </w:p>
  <w:p w:rsidR="00B8380B" w:rsidRDefault="00B8380B">
    <w:pP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A05" w:rsidRDefault="00087A05">
      <w:pPr>
        <w:spacing w:after="0" w:line="240" w:lineRule="auto"/>
      </w:pPr>
      <w:r>
        <w:separator/>
      </w:r>
    </w:p>
  </w:footnote>
  <w:footnote w:type="continuationSeparator" w:id="0">
    <w:p w:rsidR="00087A05" w:rsidRDefault="00087A05">
      <w:pPr>
        <w:spacing w:after="0" w:line="240" w:lineRule="auto"/>
      </w:pPr>
      <w:r>
        <w:continuationSeparator/>
      </w:r>
    </w:p>
  </w:footnote>
  <w:footnote w:id="1">
    <w:p w:rsidR="00C9680B" w:rsidRDefault="00C9680B" w:rsidP="00C9680B">
      <w:pPr>
        <w:pStyle w:val="FootnoteText"/>
      </w:pPr>
      <w:r>
        <w:rPr>
          <w:rStyle w:val="FootnoteReference"/>
        </w:rPr>
        <w:footnoteRef/>
      </w:r>
      <w:r>
        <w:t xml:space="preserve"> SEN, A. 1999 Development as Freedom. OUP, Oxford.</w:t>
      </w:r>
    </w:p>
  </w:footnote>
  <w:footnote w:id="2">
    <w:p w:rsidR="00164833" w:rsidRDefault="00164833" w:rsidP="00164833">
      <w:pPr>
        <w:pStyle w:val="FootnoteText"/>
      </w:pPr>
      <w:r>
        <w:rPr>
          <w:rStyle w:val="FootnoteReference"/>
        </w:rPr>
        <w:footnoteRef/>
      </w:r>
      <w:r>
        <w:t xml:space="preserve"> Thomas, R. 2015. ‘Contactability framework for the delivery of universal services.’ Australian Journal of Telecommunications and the Digital Economy, ISSN 2203-1693, Volume 3 Number 4</w:t>
      </w:r>
    </w:p>
  </w:footnote>
  <w:footnote w:id="3">
    <w:p w:rsidR="002E6EB0" w:rsidRDefault="002E6EB0" w:rsidP="002E6E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912093">
          <w:rPr>
            <w:rStyle w:val="Hyperlink"/>
          </w:rPr>
          <w:t>https://delimiter.com.au/2016/01/21/telstra-says-govt-policy-forcing-it-to-deploy-brand-new-copper/</w:t>
        </w:r>
      </w:hyperlink>
    </w:p>
  </w:footnote>
  <w:footnote w:id="4">
    <w:p w:rsidR="00680FD3" w:rsidRDefault="00680FD3" w:rsidP="00680F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B7003B">
          <w:rPr>
            <w:rStyle w:val="Hyperlink"/>
          </w:rPr>
          <w:t>https://www.accc.gov.au/regulated-infrastructure/communications/superfast-broadband-access-service-declaration-inquiry/draft-decision</w:t>
        </w:r>
      </w:hyperlink>
    </w:p>
  </w:footnote>
  <w:footnote w:id="5">
    <w:p w:rsidR="00E44AEF" w:rsidRDefault="00E44AEF" w:rsidP="00E44AEF">
      <w:pPr>
        <w:pStyle w:val="FootnoteText"/>
      </w:pPr>
      <w:r>
        <w:rPr>
          <w:rStyle w:val="FootnoteReference"/>
        </w:rPr>
        <w:footnoteRef/>
      </w:r>
      <w:r>
        <w:t xml:space="preserve"> Carrier Licence Conditions (Networks in New Developments) Declaration 2016 pg. 19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80B" w:rsidRDefault="00B8380B">
    <w:pPr>
      <w:tabs>
        <w:tab w:val="center" w:pos="4513"/>
        <w:tab w:val="right" w:pos="9026"/>
      </w:tabs>
      <w:spacing w:after="0" w:line="240" w:lineRule="auto"/>
      <w:jc w:val="right"/>
    </w:pPr>
    <w:r>
      <w:rPr>
        <w:noProof/>
      </w:rPr>
      <w:drawing>
        <wp:inline distT="0" distB="0" distL="0" distR="0">
          <wp:extent cx="1630800" cy="756000"/>
          <wp:effectExtent l="0" t="0" r="7620" b="6350"/>
          <wp:docPr id="1" name="Picture 1" descr="ACC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CAN_logo_BLUE_RGB Standalone 11x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D195D81"/>
    <w:multiLevelType w:val="hybridMultilevel"/>
    <w:tmpl w:val="EE06D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1CFD"/>
    <w:multiLevelType w:val="multilevel"/>
    <w:tmpl w:val="AFDAF4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34E0409E"/>
    <w:multiLevelType w:val="hybridMultilevel"/>
    <w:tmpl w:val="56C8B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27767"/>
    <w:multiLevelType w:val="hybridMultilevel"/>
    <w:tmpl w:val="4496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72DBC"/>
    <w:multiLevelType w:val="hybridMultilevel"/>
    <w:tmpl w:val="9AB8F2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D568C"/>
    <w:multiLevelType w:val="multilevel"/>
    <w:tmpl w:val="F7E6D706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7CC8"/>
    <w:rsid w:val="000107E0"/>
    <w:rsid w:val="000208A7"/>
    <w:rsid w:val="00047EFB"/>
    <w:rsid w:val="00063044"/>
    <w:rsid w:val="00080516"/>
    <w:rsid w:val="00086A5D"/>
    <w:rsid w:val="00087A05"/>
    <w:rsid w:val="000B1D48"/>
    <w:rsid w:val="000B2223"/>
    <w:rsid w:val="000C16E4"/>
    <w:rsid w:val="000D2C51"/>
    <w:rsid w:val="000D7573"/>
    <w:rsid w:val="000E2188"/>
    <w:rsid w:val="001048B8"/>
    <w:rsid w:val="00117A61"/>
    <w:rsid w:val="00122290"/>
    <w:rsid w:val="00157243"/>
    <w:rsid w:val="00164833"/>
    <w:rsid w:val="00167B86"/>
    <w:rsid w:val="001839A9"/>
    <w:rsid w:val="00184580"/>
    <w:rsid w:val="001B6537"/>
    <w:rsid w:val="001C4CDC"/>
    <w:rsid w:val="001E3EDA"/>
    <w:rsid w:val="001F66A1"/>
    <w:rsid w:val="00202E7F"/>
    <w:rsid w:val="00217191"/>
    <w:rsid w:val="00221576"/>
    <w:rsid w:val="00231D0D"/>
    <w:rsid w:val="00240A89"/>
    <w:rsid w:val="0024434A"/>
    <w:rsid w:val="002479F0"/>
    <w:rsid w:val="00254826"/>
    <w:rsid w:val="002618B6"/>
    <w:rsid w:val="00262BBB"/>
    <w:rsid w:val="00263633"/>
    <w:rsid w:val="002806DF"/>
    <w:rsid w:val="00284018"/>
    <w:rsid w:val="00290BDE"/>
    <w:rsid w:val="00291E6F"/>
    <w:rsid w:val="0029230D"/>
    <w:rsid w:val="002A0CBB"/>
    <w:rsid w:val="002B5216"/>
    <w:rsid w:val="002C3254"/>
    <w:rsid w:val="002C57AF"/>
    <w:rsid w:val="002D1388"/>
    <w:rsid w:val="002D65BC"/>
    <w:rsid w:val="002E15CF"/>
    <w:rsid w:val="002E2F99"/>
    <w:rsid w:val="002E6EB0"/>
    <w:rsid w:val="002F2319"/>
    <w:rsid w:val="002F638B"/>
    <w:rsid w:val="002F63E1"/>
    <w:rsid w:val="00313DBC"/>
    <w:rsid w:val="00316995"/>
    <w:rsid w:val="00320998"/>
    <w:rsid w:val="00325C8D"/>
    <w:rsid w:val="0032628B"/>
    <w:rsid w:val="00331653"/>
    <w:rsid w:val="00332E35"/>
    <w:rsid w:val="00334972"/>
    <w:rsid w:val="00336910"/>
    <w:rsid w:val="00342925"/>
    <w:rsid w:val="00345AC3"/>
    <w:rsid w:val="00346886"/>
    <w:rsid w:val="00376948"/>
    <w:rsid w:val="00382F41"/>
    <w:rsid w:val="003908D0"/>
    <w:rsid w:val="003B2281"/>
    <w:rsid w:val="003E1F8A"/>
    <w:rsid w:val="003E4DF3"/>
    <w:rsid w:val="003F337C"/>
    <w:rsid w:val="003F43C4"/>
    <w:rsid w:val="003F53F3"/>
    <w:rsid w:val="003F6952"/>
    <w:rsid w:val="003F6BED"/>
    <w:rsid w:val="003F7544"/>
    <w:rsid w:val="00403AA5"/>
    <w:rsid w:val="00406503"/>
    <w:rsid w:val="00407977"/>
    <w:rsid w:val="00410859"/>
    <w:rsid w:val="00436199"/>
    <w:rsid w:val="00453B68"/>
    <w:rsid w:val="00461E7F"/>
    <w:rsid w:val="00463EAB"/>
    <w:rsid w:val="00481D01"/>
    <w:rsid w:val="00482A0E"/>
    <w:rsid w:val="004845ED"/>
    <w:rsid w:val="00490652"/>
    <w:rsid w:val="004B6252"/>
    <w:rsid w:val="004C1454"/>
    <w:rsid w:val="004C1F8E"/>
    <w:rsid w:val="004D1977"/>
    <w:rsid w:val="004D3624"/>
    <w:rsid w:val="004E54F0"/>
    <w:rsid w:val="004E6F71"/>
    <w:rsid w:val="004E72B6"/>
    <w:rsid w:val="004F4596"/>
    <w:rsid w:val="0051093C"/>
    <w:rsid w:val="00522A35"/>
    <w:rsid w:val="0053120A"/>
    <w:rsid w:val="005367D4"/>
    <w:rsid w:val="00553E88"/>
    <w:rsid w:val="00565724"/>
    <w:rsid w:val="005871B8"/>
    <w:rsid w:val="005A133C"/>
    <w:rsid w:val="005A32F4"/>
    <w:rsid w:val="005A6056"/>
    <w:rsid w:val="005C2396"/>
    <w:rsid w:val="005C5F3F"/>
    <w:rsid w:val="005D0E26"/>
    <w:rsid w:val="005D13DB"/>
    <w:rsid w:val="005E191C"/>
    <w:rsid w:val="00622614"/>
    <w:rsid w:val="00624066"/>
    <w:rsid w:val="006314F3"/>
    <w:rsid w:val="0063695D"/>
    <w:rsid w:val="0064163A"/>
    <w:rsid w:val="00664A48"/>
    <w:rsid w:val="00671604"/>
    <w:rsid w:val="00677717"/>
    <w:rsid w:val="00680FD3"/>
    <w:rsid w:val="00681054"/>
    <w:rsid w:val="00681C74"/>
    <w:rsid w:val="00683A91"/>
    <w:rsid w:val="006A351C"/>
    <w:rsid w:val="006A7CC8"/>
    <w:rsid w:val="006B53A4"/>
    <w:rsid w:val="006B6CD6"/>
    <w:rsid w:val="006D09B8"/>
    <w:rsid w:val="006E3862"/>
    <w:rsid w:val="006E39F5"/>
    <w:rsid w:val="00711B2F"/>
    <w:rsid w:val="00724161"/>
    <w:rsid w:val="0072600E"/>
    <w:rsid w:val="00730EFD"/>
    <w:rsid w:val="00733405"/>
    <w:rsid w:val="00742E09"/>
    <w:rsid w:val="00767FD1"/>
    <w:rsid w:val="0078537F"/>
    <w:rsid w:val="00786439"/>
    <w:rsid w:val="00797E33"/>
    <w:rsid w:val="007A02DE"/>
    <w:rsid w:val="007A70CF"/>
    <w:rsid w:val="007B08D7"/>
    <w:rsid w:val="007B17AB"/>
    <w:rsid w:val="007B39EB"/>
    <w:rsid w:val="007B3EA5"/>
    <w:rsid w:val="007C7198"/>
    <w:rsid w:val="007D25D9"/>
    <w:rsid w:val="007E369C"/>
    <w:rsid w:val="007F2110"/>
    <w:rsid w:val="007F2C05"/>
    <w:rsid w:val="007F6491"/>
    <w:rsid w:val="007F7E9C"/>
    <w:rsid w:val="0080347A"/>
    <w:rsid w:val="00815F9D"/>
    <w:rsid w:val="00824736"/>
    <w:rsid w:val="00840360"/>
    <w:rsid w:val="00840C0E"/>
    <w:rsid w:val="00846297"/>
    <w:rsid w:val="00852183"/>
    <w:rsid w:val="00875103"/>
    <w:rsid w:val="00882EAD"/>
    <w:rsid w:val="00884C84"/>
    <w:rsid w:val="00887DA9"/>
    <w:rsid w:val="008B625F"/>
    <w:rsid w:val="008C1D4D"/>
    <w:rsid w:val="008D6B01"/>
    <w:rsid w:val="008E190B"/>
    <w:rsid w:val="008E66DB"/>
    <w:rsid w:val="009005D0"/>
    <w:rsid w:val="009137A1"/>
    <w:rsid w:val="00924F4F"/>
    <w:rsid w:val="00930AD9"/>
    <w:rsid w:val="00932AE8"/>
    <w:rsid w:val="00955321"/>
    <w:rsid w:val="00960E3B"/>
    <w:rsid w:val="00961730"/>
    <w:rsid w:val="00962B11"/>
    <w:rsid w:val="0098105C"/>
    <w:rsid w:val="00996E33"/>
    <w:rsid w:val="009A5451"/>
    <w:rsid w:val="009A6F64"/>
    <w:rsid w:val="009C6C91"/>
    <w:rsid w:val="009D1B28"/>
    <w:rsid w:val="00A01F71"/>
    <w:rsid w:val="00A03DEF"/>
    <w:rsid w:val="00A3653E"/>
    <w:rsid w:val="00A42025"/>
    <w:rsid w:val="00A46B92"/>
    <w:rsid w:val="00A54110"/>
    <w:rsid w:val="00A63A03"/>
    <w:rsid w:val="00A67FE9"/>
    <w:rsid w:val="00A747E8"/>
    <w:rsid w:val="00A9046B"/>
    <w:rsid w:val="00A93D66"/>
    <w:rsid w:val="00A95A2D"/>
    <w:rsid w:val="00AA66D6"/>
    <w:rsid w:val="00AC4ABD"/>
    <w:rsid w:val="00AD030F"/>
    <w:rsid w:val="00AF7A9A"/>
    <w:rsid w:val="00AF7DF1"/>
    <w:rsid w:val="00B221B6"/>
    <w:rsid w:val="00B22BF1"/>
    <w:rsid w:val="00B37C23"/>
    <w:rsid w:val="00B63E69"/>
    <w:rsid w:val="00B65AED"/>
    <w:rsid w:val="00B66E75"/>
    <w:rsid w:val="00B66F46"/>
    <w:rsid w:val="00B67FC5"/>
    <w:rsid w:val="00B709F5"/>
    <w:rsid w:val="00B71561"/>
    <w:rsid w:val="00B75510"/>
    <w:rsid w:val="00B834BD"/>
    <w:rsid w:val="00B8380B"/>
    <w:rsid w:val="00B9191C"/>
    <w:rsid w:val="00BA0136"/>
    <w:rsid w:val="00BA4E82"/>
    <w:rsid w:val="00BC148C"/>
    <w:rsid w:val="00BC42DC"/>
    <w:rsid w:val="00BD2A7E"/>
    <w:rsid w:val="00BE0E62"/>
    <w:rsid w:val="00BE6B10"/>
    <w:rsid w:val="00BF5599"/>
    <w:rsid w:val="00C10CB9"/>
    <w:rsid w:val="00C21081"/>
    <w:rsid w:val="00C22AC4"/>
    <w:rsid w:val="00C31EC1"/>
    <w:rsid w:val="00C430C9"/>
    <w:rsid w:val="00C61C58"/>
    <w:rsid w:val="00C72EF0"/>
    <w:rsid w:val="00C83A3F"/>
    <w:rsid w:val="00C85141"/>
    <w:rsid w:val="00C8712D"/>
    <w:rsid w:val="00C935AE"/>
    <w:rsid w:val="00C9680B"/>
    <w:rsid w:val="00C9749C"/>
    <w:rsid w:val="00C97525"/>
    <w:rsid w:val="00C9787B"/>
    <w:rsid w:val="00CA6A5B"/>
    <w:rsid w:val="00CB658D"/>
    <w:rsid w:val="00CD44FD"/>
    <w:rsid w:val="00CE60E8"/>
    <w:rsid w:val="00CF4051"/>
    <w:rsid w:val="00CF4276"/>
    <w:rsid w:val="00D0210E"/>
    <w:rsid w:val="00D0565C"/>
    <w:rsid w:val="00D1383C"/>
    <w:rsid w:val="00D21AA2"/>
    <w:rsid w:val="00D21E09"/>
    <w:rsid w:val="00D234DF"/>
    <w:rsid w:val="00D23AB2"/>
    <w:rsid w:val="00D255D8"/>
    <w:rsid w:val="00D26387"/>
    <w:rsid w:val="00D33CE0"/>
    <w:rsid w:val="00D3681C"/>
    <w:rsid w:val="00D4738D"/>
    <w:rsid w:val="00D70E5A"/>
    <w:rsid w:val="00D724EE"/>
    <w:rsid w:val="00D74D18"/>
    <w:rsid w:val="00D87743"/>
    <w:rsid w:val="00D91511"/>
    <w:rsid w:val="00D944BC"/>
    <w:rsid w:val="00D9508F"/>
    <w:rsid w:val="00DA37B2"/>
    <w:rsid w:val="00DA67E8"/>
    <w:rsid w:val="00DA78E1"/>
    <w:rsid w:val="00DB5BBD"/>
    <w:rsid w:val="00DB70DB"/>
    <w:rsid w:val="00DD1ECD"/>
    <w:rsid w:val="00DD2399"/>
    <w:rsid w:val="00DE2859"/>
    <w:rsid w:val="00E0201A"/>
    <w:rsid w:val="00E1310C"/>
    <w:rsid w:val="00E170A2"/>
    <w:rsid w:val="00E24A8F"/>
    <w:rsid w:val="00E25583"/>
    <w:rsid w:val="00E2558D"/>
    <w:rsid w:val="00E33964"/>
    <w:rsid w:val="00E37AD4"/>
    <w:rsid w:val="00E44AEF"/>
    <w:rsid w:val="00E723A6"/>
    <w:rsid w:val="00E81640"/>
    <w:rsid w:val="00E9002E"/>
    <w:rsid w:val="00E91FE6"/>
    <w:rsid w:val="00E92669"/>
    <w:rsid w:val="00E9414E"/>
    <w:rsid w:val="00EA24FA"/>
    <w:rsid w:val="00EA3FBC"/>
    <w:rsid w:val="00EB1F20"/>
    <w:rsid w:val="00EC107C"/>
    <w:rsid w:val="00ED0632"/>
    <w:rsid w:val="00ED1753"/>
    <w:rsid w:val="00ED764C"/>
    <w:rsid w:val="00EE1B8A"/>
    <w:rsid w:val="00EE2CBB"/>
    <w:rsid w:val="00F07417"/>
    <w:rsid w:val="00F12F21"/>
    <w:rsid w:val="00F1460B"/>
    <w:rsid w:val="00F33DE0"/>
    <w:rsid w:val="00F36AFB"/>
    <w:rsid w:val="00F37D27"/>
    <w:rsid w:val="00F50B70"/>
    <w:rsid w:val="00F6751F"/>
    <w:rsid w:val="00F7332E"/>
    <w:rsid w:val="00F77A23"/>
    <w:rsid w:val="00F872EF"/>
    <w:rsid w:val="00F9286D"/>
    <w:rsid w:val="00FA0013"/>
    <w:rsid w:val="00FA2E27"/>
    <w:rsid w:val="00FB6AAF"/>
    <w:rsid w:val="00FC491C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61D491-146B-42A8-8182-E9640DBF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 w:line="240" w:lineRule="auto"/>
      <w:outlineLvl w:val="0"/>
    </w:pPr>
    <w:rPr>
      <w:b/>
      <w:smallCaps/>
      <w:sz w:val="44"/>
    </w:rPr>
  </w:style>
  <w:style w:type="paragraph" w:styleId="Heading2">
    <w:name w:val="heading 2"/>
    <w:basedOn w:val="Normal"/>
    <w:next w:val="Normal"/>
    <w:pPr>
      <w:keepNext/>
      <w:keepLines/>
      <w:spacing w:after="120" w:line="240" w:lineRule="auto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after="0" w:line="240" w:lineRule="auto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120" w:after="0" w:line="240" w:lineRule="auto"/>
      <w:outlineLvl w:val="3"/>
    </w:pPr>
    <w:rPr>
      <w:sz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0" w:line="240" w:lineRule="auto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E21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 w:line="240" w:lineRule="auto"/>
    </w:pPr>
    <w:rPr>
      <w:rFonts w:ascii="Cambria" w:eastAsia="Cambria" w:hAnsi="Cambria" w:cs="Cambria"/>
      <w:sz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9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5F9D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F9D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815F9D"/>
    <w:rPr>
      <w:vertAlign w:val="superscript"/>
    </w:rPr>
  </w:style>
  <w:style w:type="paragraph" w:styleId="ListParagraph">
    <w:name w:val="List Paragraph"/>
    <w:basedOn w:val="Normal"/>
    <w:uiPriority w:val="34"/>
    <w:qFormat/>
    <w:rsid w:val="00AF7A9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E7F"/>
    <w:rPr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8C1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D4D"/>
  </w:style>
  <w:style w:type="paragraph" w:styleId="Footer">
    <w:name w:val="footer"/>
    <w:basedOn w:val="Normal"/>
    <w:link w:val="FooterChar"/>
    <w:uiPriority w:val="99"/>
    <w:unhideWhenUsed/>
    <w:rsid w:val="008C1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D4D"/>
  </w:style>
  <w:style w:type="character" w:styleId="Hyperlink">
    <w:name w:val="Hyperlink"/>
    <w:uiPriority w:val="99"/>
    <w:unhideWhenUsed/>
    <w:rsid w:val="0028401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18B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0E218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fields@communications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df@nbnco.com.a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ccc.gov.au/regulated-infrastructure/communications/superfast-broadband-access-service-declaration-inquiry/draft-decision" TargetMode="External"/><Relationship Id="rId1" Type="http://schemas.openxmlformats.org/officeDocument/2006/relationships/hyperlink" Target="https://delimiter.com.au/2016/01/21/telstra-says-govt-policy-forcing-it-to-deploy-brand-new-copp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50C66-8B3A-4000-B3CC-564D3992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1456</Words>
  <Characters>9132</Characters>
  <Application>Microsoft Office Word</Application>
  <DocSecurity>0</DocSecurity>
  <Lines>830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draft 1 (UL comments).docx.docx</vt:lpstr>
    </vt:vector>
  </TitlesOfParts>
  <Company>Microsoft</Company>
  <LinksUpToDate>false</LinksUpToDate>
  <CharactersWithSpaces>10107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Carrier licence conditions for telecommunications in new developments—ACCAN</dc:title>
  <dc:creator>Rachel Thomas</dc:creator>
  <cp:lastModifiedBy>Department of Communications and the Arts</cp:lastModifiedBy>
  <cp:revision>5</cp:revision>
  <cp:lastPrinted>2016-02-03T06:42:00Z</cp:lastPrinted>
  <dcterms:created xsi:type="dcterms:W3CDTF">2016-02-03T06:01:00Z</dcterms:created>
  <dcterms:modified xsi:type="dcterms:W3CDTF">2017-11-29T01:56:00Z</dcterms:modified>
</cp:coreProperties>
</file>