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DB155" w14:textId="63E012FD" w:rsidR="002170D5" w:rsidRPr="009E79A9" w:rsidRDefault="005B0B1B" w:rsidP="009E79A9">
      <w:pPr>
        <w:pStyle w:val="Heading1"/>
      </w:pPr>
      <w:bookmarkStart w:id="0" w:name="_GoBack"/>
      <w:bookmarkEnd w:id="0"/>
      <w:r w:rsidRPr="009E79A9">
        <w:t>STAKEHOLDER CONSULTATION: PROPOSED REFORM OF THE COPYRIGHT ACT 1968</w:t>
      </w:r>
    </w:p>
    <w:p w14:paraId="4BE6AFCE" w14:textId="77777777" w:rsidR="00926ACB" w:rsidRPr="00926ACB" w:rsidRDefault="00D333C5" w:rsidP="00926ACB">
      <w:pPr>
        <w:numPr>
          <w:ilvl w:val="0"/>
          <w:numId w:val="0"/>
        </w:numPr>
        <w:jc w:val="center"/>
        <w:rPr>
          <w:b/>
          <w:sz w:val="22"/>
          <w:szCs w:val="22"/>
        </w:rPr>
      </w:pPr>
      <w:r w:rsidRPr="00926ACB">
        <w:rPr>
          <w:b/>
          <w:sz w:val="22"/>
          <w:szCs w:val="22"/>
        </w:rPr>
        <w:t>SUBMISSIONS OF APRA AMCOS</w:t>
      </w:r>
      <w:r w:rsidR="00653353" w:rsidRPr="00926ACB">
        <w:rPr>
          <w:b/>
          <w:sz w:val="22"/>
          <w:szCs w:val="22"/>
        </w:rPr>
        <w:br/>
      </w:r>
      <w:r w:rsidR="005B0B1B" w:rsidRPr="00926ACB">
        <w:rPr>
          <w:b/>
          <w:sz w:val="22"/>
          <w:szCs w:val="22"/>
        </w:rPr>
        <w:t>IN RELATION TO THE</w:t>
      </w:r>
      <w:r w:rsidR="009E79A9" w:rsidRPr="00926ACB">
        <w:rPr>
          <w:b/>
          <w:sz w:val="22"/>
          <w:szCs w:val="22"/>
        </w:rPr>
        <w:br/>
      </w:r>
      <w:r w:rsidR="005B0B1B" w:rsidRPr="00926ACB">
        <w:rPr>
          <w:b/>
          <w:sz w:val="22"/>
          <w:szCs w:val="22"/>
        </w:rPr>
        <w:t>COPYRIGHT AMENDMENT (DISABILITY ACCESS AND OTHER MEASURES) BILL 2016</w:t>
      </w:r>
    </w:p>
    <w:p w14:paraId="3C423BF6" w14:textId="0A67D1C2" w:rsidR="00D333C5" w:rsidRPr="00C65244" w:rsidRDefault="00402A9C" w:rsidP="00C65244">
      <w:pPr>
        <w:numPr>
          <w:ilvl w:val="0"/>
          <w:numId w:val="0"/>
        </w:numPr>
        <w:jc w:val="center"/>
        <w:rPr>
          <w:b/>
        </w:rPr>
      </w:pPr>
      <w:r w:rsidRPr="00C65244">
        <w:rPr>
          <w:b/>
        </w:rPr>
        <w:t>12</w:t>
      </w:r>
      <w:r w:rsidR="00653353" w:rsidRPr="00C65244">
        <w:rPr>
          <w:b/>
        </w:rPr>
        <w:t xml:space="preserve"> </w:t>
      </w:r>
      <w:r w:rsidR="005B0B1B" w:rsidRPr="00C65244">
        <w:rPr>
          <w:b/>
        </w:rPr>
        <w:t>FEBRUARY</w:t>
      </w:r>
      <w:r w:rsidR="00653353" w:rsidRPr="00C65244">
        <w:rPr>
          <w:b/>
        </w:rPr>
        <w:t xml:space="preserve"> 201</w:t>
      </w:r>
      <w:r w:rsidR="005B0B1B" w:rsidRPr="00C65244">
        <w:rPr>
          <w:b/>
        </w:rPr>
        <w:t>6</w:t>
      </w:r>
    </w:p>
    <w:p w14:paraId="0A03C8BE" w14:textId="4E38CF8E" w:rsidR="00B403FD" w:rsidRDefault="00D333C5" w:rsidP="009E79A9">
      <w:pPr>
        <w:pStyle w:val="Heading2"/>
      </w:pPr>
      <w:r w:rsidRPr="009E79A9">
        <w:t>Introduction</w:t>
      </w:r>
    </w:p>
    <w:p w14:paraId="52AE9897" w14:textId="6911E782" w:rsidR="00B403FD" w:rsidRPr="009E79A9" w:rsidRDefault="00D333C5" w:rsidP="009E79A9">
      <w:r w:rsidRPr="009E79A9">
        <w:t xml:space="preserve">APRA AMCOS </w:t>
      </w:r>
      <w:r w:rsidR="00E95112" w:rsidRPr="009E79A9">
        <w:t>is</w:t>
      </w:r>
      <w:r w:rsidR="003866D2" w:rsidRPr="009E79A9">
        <w:t xml:space="preserve"> grateful for the opportunity to </w:t>
      </w:r>
      <w:r w:rsidR="00D536C9" w:rsidRPr="009E79A9">
        <w:t xml:space="preserve">contribute to </w:t>
      </w:r>
      <w:r w:rsidR="00B403FD" w:rsidRPr="009E79A9">
        <w:t>the</w:t>
      </w:r>
      <w:r w:rsidR="00C133B6" w:rsidRPr="009E79A9">
        <w:t xml:space="preserve"> </w:t>
      </w:r>
      <w:r w:rsidR="005B0B1B" w:rsidRPr="009E79A9">
        <w:t xml:space="preserve">stakeholder consultation in relation to the exposure draft of the </w:t>
      </w:r>
      <w:r w:rsidR="005B0B1B" w:rsidRPr="009E79A9">
        <w:rPr>
          <w:i/>
        </w:rPr>
        <w:t>Copyright Amendment (Disability Access and Other Measures) Bill 2016</w:t>
      </w:r>
      <w:r w:rsidR="005B0B1B" w:rsidRPr="009E79A9">
        <w:t xml:space="preserve"> </w:t>
      </w:r>
      <w:r w:rsidR="00094FC8" w:rsidRPr="009E79A9">
        <w:t>(</w:t>
      </w:r>
      <w:r w:rsidR="004540C5" w:rsidRPr="009E79A9">
        <w:rPr>
          <w:b/>
        </w:rPr>
        <w:t>Exposure Draft</w:t>
      </w:r>
      <w:r w:rsidR="00C133B6" w:rsidRPr="009E79A9">
        <w:t>)</w:t>
      </w:r>
      <w:r w:rsidR="009E79A9" w:rsidRPr="009E79A9">
        <w:t>.</w:t>
      </w:r>
    </w:p>
    <w:p w14:paraId="6E0799A3" w14:textId="51B84FD8" w:rsidR="00A84FEE" w:rsidRDefault="00A84FEE" w:rsidP="009E79A9">
      <w:r>
        <w:t>APRA is the collecting society in Australia in respect of the public performance and communication rights of composers and music publishers. AMCOS</w:t>
      </w:r>
      <w:r w:rsidR="00A626A3">
        <w:t xml:space="preserve"> is the collecting society in Australia in respect of </w:t>
      </w:r>
      <w:r w:rsidR="00784B7A">
        <w:t>reproduction</w:t>
      </w:r>
      <w:r w:rsidR="00A626A3">
        <w:t xml:space="preserve"> of music in </w:t>
      </w:r>
      <w:r w:rsidR="00784B7A">
        <w:t>certain</w:t>
      </w:r>
      <w:r w:rsidR="00A626A3">
        <w:t xml:space="preserve"> formats</w:t>
      </w:r>
      <w:r w:rsidR="0077650D">
        <w:t>, including</w:t>
      </w:r>
      <w:r w:rsidR="00A626A3">
        <w:t xml:space="preserve"> on CD, DVD, online, for use as production music and for radio/TV programs.</w:t>
      </w:r>
      <w:r>
        <w:t xml:space="preserve"> </w:t>
      </w:r>
      <w:r w:rsidR="00752FCC">
        <w:t xml:space="preserve">Together, APRA </w:t>
      </w:r>
      <w:r w:rsidR="00C133B6">
        <w:t xml:space="preserve">and </w:t>
      </w:r>
      <w:r w:rsidR="00752FCC">
        <w:t>AMCOS</w:t>
      </w:r>
      <w:r w:rsidR="00A626A3">
        <w:t xml:space="preserve"> </w:t>
      </w:r>
      <w:r w:rsidR="00784B7A">
        <w:t xml:space="preserve">control </w:t>
      </w:r>
      <w:r w:rsidR="00A626A3">
        <w:t xml:space="preserve">the copyright for such purposes in almost all </w:t>
      </w:r>
      <w:r w:rsidR="00752FCC">
        <w:t>commercial</w:t>
      </w:r>
      <w:r w:rsidR="00784B7A">
        <w:t>ly available</w:t>
      </w:r>
      <w:r w:rsidR="00752FCC">
        <w:t xml:space="preserve"> </w:t>
      </w:r>
      <w:r w:rsidR="00A626A3">
        <w:t xml:space="preserve">musical works, by virtue of assignments from </w:t>
      </w:r>
      <w:r w:rsidR="00D4046F">
        <w:t>their</w:t>
      </w:r>
      <w:r w:rsidR="00A626A3">
        <w:t xml:space="preserve"> local members and affiliation</w:t>
      </w:r>
      <w:r w:rsidR="00D536C9">
        <w:t>s</w:t>
      </w:r>
      <w:r w:rsidR="00A626A3">
        <w:t xml:space="preserve"> with similar overseas societies.</w:t>
      </w:r>
      <w:r w:rsidR="000A3DCB">
        <w:t xml:space="preserve"> Since 1997, the two organisations have been </w:t>
      </w:r>
      <w:r w:rsidR="00A742A6">
        <w:t>administered in tandem, and these s</w:t>
      </w:r>
      <w:r w:rsidR="00B93BE4">
        <w:t>ubmissions represent the united view of both.</w:t>
      </w:r>
    </w:p>
    <w:p w14:paraId="05884646" w14:textId="61C42ABE" w:rsidR="00642725" w:rsidRDefault="00D333C5" w:rsidP="009E79A9">
      <w:r w:rsidRPr="00796898">
        <w:t>APRA</w:t>
      </w:r>
      <w:r>
        <w:t xml:space="preserve"> </w:t>
      </w:r>
      <w:r w:rsidRPr="00796898">
        <w:t>AMCOS represent</w:t>
      </w:r>
      <w:r w:rsidR="00E95112">
        <w:t>s</w:t>
      </w:r>
      <w:r w:rsidRPr="00796898">
        <w:t xml:space="preserve"> more </w:t>
      </w:r>
      <w:r>
        <w:t xml:space="preserve">Australian </w:t>
      </w:r>
      <w:r w:rsidRPr="00796898">
        <w:t>copyright owners</w:t>
      </w:r>
      <w:r w:rsidR="00752FCC">
        <w:t xml:space="preserve"> </w:t>
      </w:r>
      <w:r w:rsidRPr="00796898">
        <w:t>than any other party.</w:t>
      </w:r>
      <w:r w:rsidR="00642725">
        <w:t xml:space="preserve"> </w:t>
      </w:r>
      <w:r w:rsidR="00642725" w:rsidRPr="00796898">
        <w:t>APRA</w:t>
      </w:r>
      <w:r w:rsidR="00642725">
        <w:t xml:space="preserve"> </w:t>
      </w:r>
      <w:r w:rsidR="00642725" w:rsidRPr="00796898">
        <w:t>AMCOS ha</w:t>
      </w:r>
      <w:r w:rsidR="00784B7A">
        <w:t>ve</w:t>
      </w:r>
      <w:r w:rsidR="00642725" w:rsidRPr="00796898">
        <w:t xml:space="preserve"> more than </w:t>
      </w:r>
      <w:r w:rsidR="00642725">
        <w:t>87,</w:t>
      </w:r>
      <w:r w:rsidR="00642725" w:rsidRPr="00796898">
        <w:t xml:space="preserve">000 members and </w:t>
      </w:r>
      <w:r w:rsidR="00B60C98">
        <w:t>107,</w:t>
      </w:r>
      <w:r w:rsidR="00642725" w:rsidRPr="00796898">
        <w:t xml:space="preserve">000 licensees. </w:t>
      </w:r>
      <w:r w:rsidR="00784B7A">
        <w:t>They have</w:t>
      </w:r>
      <w:r w:rsidR="00642725" w:rsidRPr="00796898">
        <w:t xml:space="preserve"> a diverse membership, ranging from unpublished writers to major music publishers</w:t>
      </w:r>
      <w:r w:rsidR="00642725">
        <w:t xml:space="preserve">. </w:t>
      </w:r>
    </w:p>
    <w:p w14:paraId="2C536272" w14:textId="2F1FD5A2" w:rsidR="004540C5" w:rsidRDefault="004540C5" w:rsidP="009E79A9">
      <w:r>
        <w:t>The Exposure Draft proposes to amend several unrelated aspects of the Act, and APRA AMCOS will deal with each separately.</w:t>
      </w:r>
      <w:r w:rsidR="00E0289A">
        <w:t xml:space="preserve"> </w:t>
      </w:r>
      <w:r w:rsidR="007C19D2">
        <w:t xml:space="preserve">It will come as no surprise to the Government that the aspect of the Bill with which </w:t>
      </w:r>
      <w:r w:rsidR="00E0289A">
        <w:t>APRA AMCOS</w:t>
      </w:r>
      <w:r w:rsidR="007C19D2">
        <w:t xml:space="preserve"> is most concerned is Schedule 2 relating to Safe Harbours. We feel </w:t>
      </w:r>
      <w:r w:rsidR="00E0289A">
        <w:t xml:space="preserve">strongly that the manner in which </w:t>
      </w:r>
      <w:r w:rsidR="007C19D2">
        <w:t xml:space="preserve">these </w:t>
      </w:r>
      <w:r w:rsidR="00E0289A">
        <w:t>amendments hav</w:t>
      </w:r>
      <w:r w:rsidR="007C19D2">
        <w:t>e been proposed is unfortunate. It appears as if r</w:t>
      </w:r>
      <w:r w:rsidR="00E0289A">
        <w:t xml:space="preserve">eforms proposed for the sake of </w:t>
      </w:r>
      <w:r w:rsidR="00BE0DBA">
        <w:t>advancing</w:t>
      </w:r>
      <w:r w:rsidR="00E0289A">
        <w:t xml:space="preserve"> the private commercial interests</w:t>
      </w:r>
      <w:r w:rsidR="007C19D2">
        <w:t xml:space="preserve"> have been</w:t>
      </w:r>
      <w:r w:rsidR="00493363">
        <w:t xml:space="preserve"> </w:t>
      </w:r>
      <w:r w:rsidR="007C19D2">
        <w:t xml:space="preserve">tacked on to </w:t>
      </w:r>
      <w:r w:rsidR="00E0289A">
        <w:t xml:space="preserve">the back of a draft Bill fashioning itself as </w:t>
      </w:r>
      <w:r w:rsidR="00BE0DBA">
        <w:t xml:space="preserve">primarily </w:t>
      </w:r>
      <w:r w:rsidR="00E0289A">
        <w:t xml:space="preserve">designed to alleviate </w:t>
      </w:r>
      <w:r w:rsidR="00BE0DBA">
        <w:t>the suffering of</w:t>
      </w:r>
      <w:r w:rsidR="00E0289A">
        <w:t xml:space="preserve"> </w:t>
      </w:r>
      <w:r w:rsidR="00493363">
        <w:t>people with disabilities</w:t>
      </w:r>
      <w:r w:rsidR="00E0289A">
        <w:t xml:space="preserve">. </w:t>
      </w:r>
      <w:r w:rsidR="00493363">
        <w:t>This objection will be taken up further below.</w:t>
      </w:r>
    </w:p>
    <w:p w14:paraId="1399834F" w14:textId="5C5A52C8" w:rsidR="00812BD4" w:rsidRPr="00812BD4" w:rsidRDefault="004540C5" w:rsidP="009E79A9">
      <w:pPr>
        <w:pStyle w:val="Heading2"/>
      </w:pPr>
      <w:r>
        <w:t>Disability access</w:t>
      </w:r>
    </w:p>
    <w:p w14:paraId="247EBC25" w14:textId="77D8CFC3" w:rsidR="00812BD4" w:rsidRDefault="002A2843" w:rsidP="009E79A9">
      <w:r>
        <w:t>APRA AMCOS</w:t>
      </w:r>
      <w:r w:rsidR="007C19D2">
        <w:t xml:space="preserve"> commends</w:t>
      </w:r>
      <w:r w:rsidR="00FD2713">
        <w:t xml:space="preserve"> the Government for taking measures to ease the difficulties that individuals with impaired abilities to receive visual or audio content </w:t>
      </w:r>
      <w:r w:rsidR="00AF6829">
        <w:t>face in their day-to-day lives.</w:t>
      </w:r>
      <w:r w:rsidR="00716CD8">
        <w:t xml:space="preserve"> A</w:t>
      </w:r>
      <w:r w:rsidR="00F846D6">
        <w:t xml:space="preserve">PRA AMCOS </w:t>
      </w:r>
      <w:r w:rsidR="00AF6829">
        <w:t>is aware that rights</w:t>
      </w:r>
      <w:r w:rsidR="0042172C">
        <w:t xml:space="preserve"> </w:t>
      </w:r>
      <w:r w:rsidR="00AF6829">
        <w:t>holders have in any event elected voluntarily to waive royalties to which they might be entitled in such instances</w:t>
      </w:r>
      <w:r w:rsidR="00D832DD">
        <w:t>, and notes the comment by Copyright Agency</w:t>
      </w:r>
      <w:r w:rsidR="00050D52">
        <w:t xml:space="preserve"> Limited</w:t>
      </w:r>
      <w:r w:rsidR="00AF6829">
        <w:t>, the declared collecting society for the statutory licence,</w:t>
      </w:r>
      <w:r w:rsidR="00D832DD">
        <w:t xml:space="preserve"> </w:t>
      </w:r>
      <w:r w:rsidR="009E7D7C">
        <w:t>in its submissions to the ALRC in 2013</w:t>
      </w:r>
      <w:r w:rsidR="003E2FBF">
        <w:t xml:space="preserve"> (sub 287)</w:t>
      </w:r>
      <w:r w:rsidR="009E7D7C">
        <w:t xml:space="preserve"> that </w:t>
      </w:r>
      <w:r w:rsidR="00D75840">
        <w:t xml:space="preserve">it </w:t>
      </w:r>
      <w:r w:rsidR="00D832DD">
        <w:t xml:space="preserve">does not collect remuneration for uses of copyright material under Part VB, </w:t>
      </w:r>
      <w:proofErr w:type="spellStart"/>
      <w:r w:rsidR="00D832DD">
        <w:t>Div</w:t>
      </w:r>
      <w:proofErr w:type="spellEnd"/>
      <w:r w:rsidR="00D832DD">
        <w:t xml:space="preserve"> 3</w:t>
      </w:r>
      <w:r w:rsidR="00716CD8">
        <w:t xml:space="preserve">. APRA AMCOS </w:t>
      </w:r>
      <w:r w:rsidR="00AF6829">
        <w:t>would be pleased</w:t>
      </w:r>
      <w:r w:rsidR="00D541F9">
        <w:t>, if possible,</w:t>
      </w:r>
      <w:r w:rsidR="00AF6829">
        <w:t xml:space="preserve"> to assist the Government in </w:t>
      </w:r>
      <w:r w:rsidR="003452AA">
        <w:t>bring</w:t>
      </w:r>
      <w:r w:rsidR="00AF6829">
        <w:t>ing</w:t>
      </w:r>
      <w:r w:rsidR="003452AA">
        <w:t xml:space="preserve"> this initiative to fruition. </w:t>
      </w:r>
    </w:p>
    <w:p w14:paraId="19251A7C" w14:textId="404E656A" w:rsidR="003452AA" w:rsidRDefault="003215B6" w:rsidP="009E79A9">
      <w:r>
        <w:t xml:space="preserve">APRA AMCOS is itself a proud and generous supporter of institutions that support people with disabilities, in particular we note its support of </w:t>
      </w:r>
      <w:proofErr w:type="spellStart"/>
      <w:r>
        <w:t>Nordoff</w:t>
      </w:r>
      <w:proofErr w:type="spellEnd"/>
      <w:r>
        <w:t>-Robbins Music Therapy Australia, which uses music as a tool for communication, change, transformation and healing.</w:t>
      </w:r>
    </w:p>
    <w:p w14:paraId="1D40BEDB" w14:textId="36D456C1" w:rsidR="003452AA" w:rsidRDefault="0042172C" w:rsidP="009E79A9">
      <w:r>
        <w:lastRenderedPageBreak/>
        <w:t xml:space="preserve">APRA AMCOS </w:t>
      </w:r>
      <w:r w:rsidR="003215B6">
        <w:t>note</w:t>
      </w:r>
      <w:r>
        <w:t>s</w:t>
      </w:r>
      <w:r w:rsidR="003215B6">
        <w:t xml:space="preserve"> that</w:t>
      </w:r>
      <w:r w:rsidR="00BA2307">
        <w:t xml:space="preserve"> the motivation behind this amendment should be to increase the a</w:t>
      </w:r>
      <w:r w:rsidR="00236FBA">
        <w:t>vaila</w:t>
      </w:r>
      <w:r w:rsidR="00BA2307">
        <w:t xml:space="preserve">bility of </w:t>
      </w:r>
      <w:r w:rsidR="00236FBA">
        <w:t xml:space="preserve">content to </w:t>
      </w:r>
      <w:r w:rsidR="00BA2307">
        <w:t>people with disabilit</w:t>
      </w:r>
      <w:r w:rsidR="00236FBA">
        <w:t>ies, which means both to increase supply and to ease access.</w:t>
      </w:r>
      <w:r w:rsidR="0080351E">
        <w:t xml:space="preserve"> </w:t>
      </w:r>
      <w:r>
        <w:t>However, we do have some concerns that t</w:t>
      </w:r>
      <w:r w:rsidR="0080351E">
        <w:t xml:space="preserve">he Exposure Draft </w:t>
      </w:r>
      <w:r w:rsidR="00D541F9">
        <w:t>might be focussing</w:t>
      </w:r>
      <w:r w:rsidR="0080351E">
        <w:t xml:space="preserve"> too much on the latter and not enough on the former. </w:t>
      </w:r>
      <w:r>
        <w:t>T</w:t>
      </w:r>
      <w:r w:rsidR="008B30EE">
        <w:t xml:space="preserve">he factors set out in proposed section </w:t>
      </w:r>
      <w:proofErr w:type="gramStart"/>
      <w:r w:rsidR="008B30EE">
        <w:t>113E(</w:t>
      </w:r>
      <w:proofErr w:type="gramEnd"/>
      <w:r w:rsidR="008B30EE">
        <w:t xml:space="preserve">2) </w:t>
      </w:r>
      <w:r w:rsidR="000B4ECC">
        <w:t>borrow from the factors set out in the fair dealing provision</w:t>
      </w:r>
      <w:r w:rsidR="00F32725">
        <w:t>s</w:t>
      </w:r>
      <w:r w:rsidR="000B4ECC">
        <w:t xml:space="preserve"> for the purpose of research of study</w:t>
      </w:r>
      <w:r w:rsidR="00DB5F8A">
        <w:t xml:space="preserve"> (ss40 and 103C)</w:t>
      </w:r>
      <w:r w:rsidR="000B4ECC">
        <w:t xml:space="preserve">, but omit factor (c), being “the possibility of obtaining the work or adaptation within a reasonable time at an ordinary commercial price”. </w:t>
      </w:r>
      <w:r w:rsidR="005948C0">
        <w:t xml:space="preserve">It is </w:t>
      </w:r>
      <w:r>
        <w:t>noteworthy</w:t>
      </w:r>
      <w:r w:rsidR="005948C0">
        <w:t>, given on 10 December 2015</w:t>
      </w:r>
      <w:r w:rsidR="00C3655E">
        <w:t>,</w:t>
      </w:r>
      <w:r w:rsidR="005948C0">
        <w:t xml:space="preserve"> </w:t>
      </w:r>
      <w:r w:rsidR="00C3655E">
        <w:t>when th</w:t>
      </w:r>
      <w:r>
        <w:t xml:space="preserve">e Marrakesh Treaty was ratified, that </w:t>
      </w:r>
      <w:r w:rsidR="005948C0">
        <w:t xml:space="preserve">Australia’s instrument of ratification contained only one reservation: namely, </w:t>
      </w:r>
      <w:r w:rsidR="00C3655E">
        <w:t xml:space="preserve">in relation to </w:t>
      </w:r>
      <w:r>
        <w:t>“</w:t>
      </w:r>
      <w:r w:rsidR="00C3655E">
        <w:t xml:space="preserve">works which can be obtained in an </w:t>
      </w:r>
      <w:r w:rsidR="005948C0">
        <w:t xml:space="preserve">accessible format </w:t>
      </w:r>
      <w:r w:rsidR="00C3655E">
        <w:t xml:space="preserve">commercially under reasonable terms for the beneficiary person.” </w:t>
      </w:r>
      <w:r w:rsidR="000B4ECC">
        <w:t xml:space="preserve">It is APRA AMCOS’s experience that such a factor is important </w:t>
      </w:r>
      <w:r w:rsidR="00E0289A">
        <w:t>for</w:t>
      </w:r>
      <w:r w:rsidR="000B4ECC">
        <w:t xml:space="preserve"> ensuring that supply is not adversely affected by the proposal.</w:t>
      </w:r>
      <w:r w:rsidR="00645E57">
        <w:t xml:space="preserve"> </w:t>
      </w:r>
      <w:r w:rsidR="00D541F9">
        <w:t>This is because in most cases suppliers need to be able to commercialise their products in order to continue supplying. If competitors are able to free-ride on their labour, that may have an unintention</w:t>
      </w:r>
      <w:r>
        <w:t>al adverse impact on supply. In our submission, the</w:t>
      </w:r>
      <w:r w:rsidR="00D541F9">
        <w:t xml:space="preserve"> omitted factor</w:t>
      </w:r>
      <w:r w:rsidR="00645E57">
        <w:t xml:space="preserve"> should be included.</w:t>
      </w:r>
    </w:p>
    <w:p w14:paraId="19CCE219" w14:textId="61FB9630" w:rsidR="00BC31BC" w:rsidRDefault="003215B6" w:rsidP="009E79A9">
      <w:r>
        <w:t>Further</w:t>
      </w:r>
      <w:r w:rsidR="00BC31BC">
        <w:t xml:space="preserve">, proposed section </w:t>
      </w:r>
      <w:proofErr w:type="gramStart"/>
      <w:r w:rsidR="00BC31BC">
        <w:t>113F(</w:t>
      </w:r>
      <w:proofErr w:type="gramEnd"/>
      <w:r w:rsidR="00BC31BC">
        <w:t xml:space="preserve">b) should place the word “reasonably” prior to “satisfied”, such that the institution, or the person acting on behalf of the institution, must be </w:t>
      </w:r>
      <w:r w:rsidR="00BC31BC">
        <w:rPr>
          <w:i/>
        </w:rPr>
        <w:t xml:space="preserve">reasonably </w:t>
      </w:r>
      <w:r w:rsidR="00BC31BC">
        <w:t>satisfied that the material (or a relevant part of the material) cannot be obtained in the format that the persons with a disability require, and within a reasonable time at an ordinary commercial price. Mere subjective satisfaction leaves the clause open to abuse for obvious reasons.</w:t>
      </w:r>
    </w:p>
    <w:p w14:paraId="05E4C242" w14:textId="7FA9F413" w:rsidR="00842F7F" w:rsidRPr="00796898" w:rsidRDefault="00736F5A" w:rsidP="009E79A9">
      <w:pPr>
        <w:pStyle w:val="Heading2"/>
      </w:pPr>
      <w:r>
        <w:t>Educational statutory licence</w:t>
      </w:r>
    </w:p>
    <w:p w14:paraId="2FA82A8E" w14:textId="77777777" w:rsidR="006245F6" w:rsidRDefault="00736F5A" w:rsidP="009E79A9">
      <w:r>
        <w:t>APRA AMCOS agree with the reforms proposed in relation to the educational statutory licence.</w:t>
      </w:r>
      <w:r w:rsidR="00050D52">
        <w:t xml:space="preserve"> AMCOS is a member of Copyright Agency Limited, which administers the statutory licence</w:t>
      </w:r>
      <w:r w:rsidR="00D541F9">
        <w:t>, and supports its submissions to this enquiry on this subject.</w:t>
      </w:r>
    </w:p>
    <w:p w14:paraId="0738A9C4" w14:textId="32D241E9" w:rsidR="00D45E1E" w:rsidRDefault="00453162" w:rsidP="009E79A9">
      <w:r>
        <w:t>The only item that APRA AMCOS wishes to address</w:t>
      </w:r>
      <w:r w:rsidR="006245F6">
        <w:t xml:space="preserve"> is </w:t>
      </w:r>
      <w:r w:rsidR="00DB5F8A">
        <w:t xml:space="preserve">that </w:t>
      </w:r>
      <w:r w:rsidR="006245F6">
        <w:t xml:space="preserve">the </w:t>
      </w:r>
      <w:r w:rsidR="00185028">
        <w:t>language</w:t>
      </w:r>
      <w:r w:rsidR="006245F6">
        <w:t xml:space="preserve"> – possibly accidental – in </w:t>
      </w:r>
      <w:r w:rsidR="002D25A0">
        <w:t xml:space="preserve">the </w:t>
      </w:r>
      <w:r w:rsidR="00DB5F8A">
        <w:t>proposal</w:t>
      </w:r>
      <w:r w:rsidR="00050D52">
        <w:t xml:space="preserve"> </w:t>
      </w:r>
      <w:r w:rsidR="006245F6">
        <w:t xml:space="preserve">restricts more than one </w:t>
      </w:r>
      <w:r w:rsidR="0042172C">
        <w:t xml:space="preserve">“works </w:t>
      </w:r>
      <w:r w:rsidR="006245F6">
        <w:t>collecting society</w:t>
      </w:r>
      <w:r w:rsidR="0042172C">
        <w:t>”</w:t>
      </w:r>
      <w:r w:rsidR="006245F6">
        <w:t xml:space="preserve"> being declared simultaneously. </w:t>
      </w:r>
      <w:r w:rsidR="003215B6">
        <w:t>Currently</w:t>
      </w:r>
      <w:r w:rsidR="009D7CED">
        <w:t xml:space="preserve">, </w:t>
      </w:r>
      <w:r w:rsidR="00185028">
        <w:t xml:space="preserve">in relation to </w:t>
      </w:r>
      <w:r w:rsidR="003215B6">
        <w:t xml:space="preserve">most of </w:t>
      </w:r>
      <w:r w:rsidR="002D25A0">
        <w:t>the</w:t>
      </w:r>
      <w:r w:rsidR="00185028">
        <w:t xml:space="preserve"> statutory licences</w:t>
      </w:r>
      <w:r w:rsidR="002D25A0">
        <w:t xml:space="preserve"> in the Act</w:t>
      </w:r>
      <w:r w:rsidR="00185028">
        <w:t xml:space="preserve">, </w:t>
      </w:r>
      <w:r w:rsidR="009D7CED">
        <w:t xml:space="preserve">the </w:t>
      </w:r>
      <w:r w:rsidR="002D25A0">
        <w:t>legislation</w:t>
      </w:r>
      <w:r w:rsidR="009D7CED">
        <w:t xml:space="preserve"> provides for a collecting society to be declared for all relevant copyright owners or specified classes of relevant copyright owners (see </w:t>
      </w:r>
      <w:proofErr w:type="spellStart"/>
      <w:r w:rsidR="009D7CED">
        <w:t>eg</w:t>
      </w:r>
      <w:proofErr w:type="spellEnd"/>
      <w:r w:rsidR="009D7CED">
        <w:t>, s135ZZB regarding the Part VB statutory licence, s135ZZT regarding the Part VC statutory licence and s135ZZZO regarding the Part VD statutory licence). The latter opportunity – that is, for the Minister to declare more than one body to administer the statutory licence</w:t>
      </w:r>
      <w:r w:rsidR="00185028">
        <w:t>, such that one may administer the statutory licence for certain classes of copyright owners</w:t>
      </w:r>
      <w:r w:rsidR="00D45E1E">
        <w:t xml:space="preserve"> while another administers the statutory licence for the remainder</w:t>
      </w:r>
      <w:r w:rsidR="009D7CED">
        <w:t xml:space="preserve"> – </w:t>
      </w:r>
      <w:r w:rsidR="00D45E1E">
        <w:t>c</w:t>
      </w:r>
      <w:r w:rsidR="009D7CED">
        <w:t xml:space="preserve">ould allow for a more efficient </w:t>
      </w:r>
      <w:r w:rsidR="00185028">
        <w:t xml:space="preserve">administration. For example, where one body has more expertise in one class of relevant copyright owners than another, it might apply for declaration in respect of that class. </w:t>
      </w:r>
    </w:p>
    <w:p w14:paraId="2B57F3CC" w14:textId="670B9C20" w:rsidR="005900CA" w:rsidRDefault="00185028" w:rsidP="009E79A9">
      <w:r>
        <w:t xml:space="preserve">To be clear, </w:t>
      </w:r>
      <w:r w:rsidR="00D45E1E">
        <w:t xml:space="preserve">the limitation to which reference is made is not solely resident in proposed section </w:t>
      </w:r>
      <w:proofErr w:type="gramStart"/>
      <w:r w:rsidR="00D45E1E">
        <w:t>113V(</w:t>
      </w:r>
      <w:proofErr w:type="gramEnd"/>
      <w:r w:rsidR="00D45E1E">
        <w:t xml:space="preserve">4), but throughout the </w:t>
      </w:r>
      <w:r w:rsidR="002D25A0">
        <w:t xml:space="preserve">whole </w:t>
      </w:r>
      <w:r w:rsidR="00D45E1E">
        <w:t xml:space="preserve">proposed </w:t>
      </w:r>
      <w:r w:rsidR="002D25A0">
        <w:t>statutory licence</w:t>
      </w:r>
      <w:r w:rsidR="00D45E1E">
        <w:t>. T</w:t>
      </w:r>
      <w:r>
        <w:t xml:space="preserve">he motivation </w:t>
      </w:r>
      <w:r w:rsidR="00D45E1E">
        <w:t>underpinning</w:t>
      </w:r>
      <w:r>
        <w:t xml:space="preserve"> subsection (4) is </w:t>
      </w:r>
      <w:r w:rsidR="00D45E1E">
        <w:t>sensible</w:t>
      </w:r>
      <w:r w:rsidR="003215B6">
        <w:t>;</w:t>
      </w:r>
      <w:r>
        <w:t xml:space="preserve"> </w:t>
      </w:r>
      <w:r w:rsidR="003215B6">
        <w:t>t</w:t>
      </w:r>
      <w:r>
        <w:t xml:space="preserve">here should never be two bodies declared in the same sphere of activity. But it is desirable for the Minister to have some flexibility in respect of declaring more than one body to administer the licence, if </w:t>
      </w:r>
      <w:r w:rsidR="005900CA">
        <w:t xml:space="preserve">she or </w:t>
      </w:r>
      <w:r w:rsidR="00D45E1E">
        <w:t>he deems it appropriate</w:t>
      </w:r>
      <w:r w:rsidR="002D25A0">
        <w:t xml:space="preserve"> in the circumstances</w:t>
      </w:r>
      <w:r w:rsidR="00D45E1E">
        <w:t xml:space="preserve">, so long as the respective declared bodies administer the statutory licence for distinct classes of </w:t>
      </w:r>
      <w:r w:rsidR="00D45E1E">
        <w:lastRenderedPageBreak/>
        <w:t>owners.</w:t>
      </w:r>
      <w:r w:rsidR="003215B6">
        <w:t xml:space="preserve"> For example, APRA AMCOS has particular expertise in the administration of licences of rights controlled by the owners of copyright in musical works.</w:t>
      </w:r>
    </w:p>
    <w:p w14:paraId="5E7221DD" w14:textId="3A4028BF" w:rsidR="002D329C" w:rsidRDefault="002D329C" w:rsidP="009E79A9">
      <w:r>
        <w:t>APRA AMCOS</w:t>
      </w:r>
      <w:r w:rsidR="00C45AD1">
        <w:t xml:space="preserve"> endorses the Copyright Agency </w:t>
      </w:r>
      <w:proofErr w:type="spellStart"/>
      <w:r w:rsidR="00C45AD1">
        <w:t>Ltd’s</w:t>
      </w:r>
      <w:proofErr w:type="spellEnd"/>
      <w:r w:rsidR="00C45AD1">
        <w:t xml:space="preserve"> proposed amendments to the Bill in relation to this issue.</w:t>
      </w:r>
    </w:p>
    <w:p w14:paraId="12F59919" w14:textId="3D2806BE" w:rsidR="002633F7" w:rsidRPr="00796898" w:rsidRDefault="002633F7" w:rsidP="009E79A9">
      <w:pPr>
        <w:pStyle w:val="Heading2"/>
      </w:pPr>
      <w:r>
        <w:t>Preservation copies</w:t>
      </w:r>
    </w:p>
    <w:p w14:paraId="407EE8B8" w14:textId="3086B900" w:rsidR="004155DF" w:rsidRDefault="009F3F8E" w:rsidP="009E79A9">
      <w:r>
        <w:t>APRA AMCOS has no concerns about the section of the Exposure Draft that deals with libraries, archives and key cultural institutions making copies of copyright material for the sole purpose of preserving their respective collections.</w:t>
      </w:r>
    </w:p>
    <w:p w14:paraId="439777DF" w14:textId="28C9482E" w:rsidR="002633F7" w:rsidRDefault="002633F7" w:rsidP="009E79A9">
      <w:pPr>
        <w:pStyle w:val="Heading2"/>
      </w:pPr>
      <w:r>
        <w:t>Terms of protection for unpublished works</w:t>
      </w:r>
    </w:p>
    <w:p w14:paraId="1C96BA77" w14:textId="1158DDEA" w:rsidR="00766EC4" w:rsidRDefault="00FF0918" w:rsidP="009E79A9">
      <w:r>
        <w:t xml:space="preserve">APRA AMCOS has no concerns about </w:t>
      </w:r>
      <w:r w:rsidR="00341404">
        <w:t>the section of the Exposure Draft that aligns the terms of protection for unpublished works with those for published works.</w:t>
      </w:r>
    </w:p>
    <w:p w14:paraId="36159385" w14:textId="1EE029D6" w:rsidR="002633F7" w:rsidRDefault="002633F7" w:rsidP="009E79A9">
      <w:pPr>
        <w:pStyle w:val="Heading2"/>
      </w:pPr>
      <w:r>
        <w:t>Safe harbour for search engines, universities and libraries</w:t>
      </w:r>
    </w:p>
    <w:p w14:paraId="4E3CD4C3" w14:textId="72653951" w:rsidR="00FC3364" w:rsidRDefault="0077650D" w:rsidP="009E79A9">
      <w:r>
        <w:t>The most contentious proposal in the Exposure Draft is the wide expansion of the safe harbour provisions. As mentioned before, APRA AMCOS has serious concerns about the manner in w</w:t>
      </w:r>
      <w:r w:rsidR="000278BE">
        <w:t xml:space="preserve">hich consultation about this amendment </w:t>
      </w:r>
      <w:r>
        <w:t>has been sought.</w:t>
      </w:r>
      <w:r w:rsidR="000278BE">
        <w:t xml:space="preserve"> Surely, given the long succession of enquiries that have raised this </w:t>
      </w:r>
      <w:r w:rsidR="00725E5B">
        <w:t xml:space="preserve">very </w:t>
      </w:r>
      <w:r w:rsidR="000278BE">
        <w:t>issue</w:t>
      </w:r>
      <w:r w:rsidR="00B57C6D">
        <w:t>,</w:t>
      </w:r>
      <w:r w:rsidR="006A3DB9">
        <w:t xml:space="preserve"> and the extent to which industry is divided on it,</w:t>
      </w:r>
      <w:r w:rsidR="00B57C6D">
        <w:t xml:space="preserve"> the Exposure Draft </w:t>
      </w:r>
      <w:r w:rsidR="005900CA">
        <w:t>sh</w:t>
      </w:r>
      <w:r w:rsidR="00B57C6D">
        <w:t xml:space="preserve">ould be more </w:t>
      </w:r>
      <w:r w:rsidR="003215B6">
        <w:t>transparent</w:t>
      </w:r>
      <w:r w:rsidR="00B57C6D">
        <w:t xml:space="preserve"> about its intention to make such a wide-</w:t>
      </w:r>
      <w:r w:rsidR="00FC3364">
        <w:t>ranging</w:t>
      </w:r>
      <w:r w:rsidR="00B57C6D">
        <w:t xml:space="preserve"> amendment. </w:t>
      </w:r>
    </w:p>
    <w:p w14:paraId="341465EC" w14:textId="77777777" w:rsidR="00FC3364" w:rsidRDefault="00FC3364" w:rsidP="009E79A9">
      <w:r>
        <w:t>The expansion of the safe harbour scheme has been on the agenda for some time:</w:t>
      </w:r>
    </w:p>
    <w:p w14:paraId="3B6900F2" w14:textId="5887ED67" w:rsidR="00FC3364" w:rsidRDefault="00FC3364" w:rsidP="009E79A9">
      <w:pPr>
        <w:pStyle w:val="Level4Legal"/>
      </w:pPr>
      <w:r>
        <w:t>t</w:t>
      </w:r>
      <w:r w:rsidR="000278BE">
        <w:t xml:space="preserve">he Attorney General’s Department produced a discussion paper in 2005 titled </w:t>
      </w:r>
      <w:r w:rsidR="000278BE" w:rsidRPr="00FC3364">
        <w:t xml:space="preserve">Part V </w:t>
      </w:r>
      <w:proofErr w:type="spellStart"/>
      <w:r w:rsidR="000278BE" w:rsidRPr="00FC3364">
        <w:t>Div</w:t>
      </w:r>
      <w:proofErr w:type="spellEnd"/>
      <w:r w:rsidR="000278BE" w:rsidRPr="00FC3364">
        <w:t xml:space="preserve"> 2AA of the Copyright Act 1968 Limitation on Remedies Available Against Carriage Service Providers: Does The Scheme Need To Be Expanded?</w:t>
      </w:r>
      <w:r w:rsidR="00725E5B">
        <w:t>;</w:t>
      </w:r>
    </w:p>
    <w:p w14:paraId="51E5EBA0" w14:textId="77777777" w:rsidR="00FC3364" w:rsidRDefault="004611EF" w:rsidP="009E79A9">
      <w:pPr>
        <w:pStyle w:val="Level4Legal"/>
      </w:pPr>
      <w:r>
        <w:t xml:space="preserve">the </w:t>
      </w:r>
      <w:r w:rsidR="00725E5B">
        <w:t xml:space="preserve">Department of Broadband Communications and the Digital Economy raised </w:t>
      </w:r>
      <w:r w:rsidR="00FC3364">
        <w:t>the issue</w:t>
      </w:r>
      <w:r w:rsidR="00725E5B">
        <w:t xml:space="preserve"> in their 2009 Report </w:t>
      </w:r>
      <w:r w:rsidR="00725E5B" w:rsidRPr="00FC3364">
        <w:rPr>
          <w:i/>
        </w:rPr>
        <w:t>Australia’s Digital Economy: Future Directions</w:t>
      </w:r>
      <w:r w:rsidR="00725E5B">
        <w:t>;</w:t>
      </w:r>
    </w:p>
    <w:p w14:paraId="28E73D31" w14:textId="49ED4A83" w:rsidR="00FC3364" w:rsidRDefault="00725E5B" w:rsidP="009E79A9">
      <w:pPr>
        <w:pStyle w:val="Level4Legal"/>
      </w:pPr>
      <w:r>
        <w:t xml:space="preserve">the </w:t>
      </w:r>
      <w:r w:rsidR="00FC3364">
        <w:t>Attorney General’s Department</w:t>
      </w:r>
      <w:r w:rsidR="004611EF">
        <w:t xml:space="preserve"> then held another enquiry in 2011 titled </w:t>
      </w:r>
      <w:r w:rsidR="004D5B8F" w:rsidRPr="00FC3364">
        <w:rPr>
          <w:i/>
        </w:rPr>
        <w:t>Revising the Scope of the Copyright Safe Harbour Scheme</w:t>
      </w:r>
      <w:r w:rsidR="004D5B8F">
        <w:t>;</w:t>
      </w:r>
      <w:r w:rsidR="00894339">
        <w:t xml:space="preserve"> and</w:t>
      </w:r>
    </w:p>
    <w:p w14:paraId="739D285E" w14:textId="7AB4D364" w:rsidR="0002113F" w:rsidRDefault="004D5B8F" w:rsidP="009E79A9">
      <w:pPr>
        <w:pStyle w:val="Level4Legal"/>
      </w:pPr>
      <w:proofErr w:type="gramStart"/>
      <w:r>
        <w:t>the</w:t>
      </w:r>
      <w:proofErr w:type="gramEnd"/>
      <w:r>
        <w:t xml:space="preserve"> </w:t>
      </w:r>
      <w:r w:rsidR="0002113F">
        <w:t>Attorney General’s Department</w:t>
      </w:r>
      <w:r w:rsidR="00B57C6D">
        <w:t xml:space="preserve"> held a further round of consultation in connection with </w:t>
      </w:r>
      <w:r w:rsidR="0002113F">
        <w:t xml:space="preserve">its 2014 Discussion Paper </w:t>
      </w:r>
      <w:r w:rsidR="00B57C6D" w:rsidRPr="0002113F">
        <w:rPr>
          <w:i/>
        </w:rPr>
        <w:t>Online Copyright Infringement</w:t>
      </w:r>
      <w:r w:rsidR="0002113F">
        <w:t>.</w:t>
      </w:r>
    </w:p>
    <w:p w14:paraId="6AF4C9B8" w14:textId="14A18BC0" w:rsidR="00FC3364" w:rsidRDefault="00894339" w:rsidP="009E79A9">
      <w:r>
        <w:t>Expansion of the safe harbour scheme</w:t>
      </w:r>
      <w:r w:rsidR="0002113F">
        <w:t xml:space="preserve"> has always </w:t>
      </w:r>
      <w:r>
        <w:t>divided the</w:t>
      </w:r>
      <w:r w:rsidR="003215B6">
        <w:t xml:space="preserve"> online and</w:t>
      </w:r>
      <w:r>
        <w:t xml:space="preserve"> copyright </w:t>
      </w:r>
      <w:r w:rsidR="003215B6">
        <w:t>industries</w:t>
      </w:r>
      <w:r>
        <w:t xml:space="preserve">. Given this, it is unreasonable to </w:t>
      </w:r>
      <w:r w:rsidR="006A3DB9">
        <w:t xml:space="preserve">present </w:t>
      </w:r>
      <w:r w:rsidR="005900CA">
        <w:t>an</w:t>
      </w:r>
      <w:r>
        <w:t xml:space="preserve"> amendment</w:t>
      </w:r>
      <w:r w:rsidR="005900CA">
        <w:t xml:space="preserve"> to the public</w:t>
      </w:r>
      <w:r>
        <w:t xml:space="preserve"> by inserting it in a </w:t>
      </w:r>
      <w:r w:rsidR="00481A03">
        <w:t>1-</w:t>
      </w:r>
      <w:r>
        <w:t xml:space="preserve">page schedule to a Bill purporting to deal primarily with access to copyright material by people with disabilities. </w:t>
      </w:r>
      <w:r w:rsidR="000B14A0">
        <w:t>All the more so when</w:t>
      </w:r>
      <w:r w:rsidR="006A3DB9">
        <w:t xml:space="preserve"> the schedule contains </w:t>
      </w:r>
      <w:r w:rsidR="00EB6191">
        <w:t xml:space="preserve">nothing more than a proposal to change the word “carriage service provider” to “service provider”, and </w:t>
      </w:r>
      <w:r w:rsidR="005900CA">
        <w:t xml:space="preserve">insert </w:t>
      </w:r>
      <w:r w:rsidR="00EB6191">
        <w:t>a definition of the new term.</w:t>
      </w:r>
      <w:r>
        <w:t xml:space="preserve"> </w:t>
      </w:r>
      <w:r w:rsidR="00481A03">
        <w:t>Similarly, t</w:t>
      </w:r>
      <w:r>
        <w:t xml:space="preserve">he Government’s commentary on this aspect of the Exposure Draft </w:t>
      </w:r>
      <w:r w:rsidR="00DB0A58">
        <w:t xml:space="preserve">in the document titled </w:t>
      </w:r>
      <w:r w:rsidR="00DB0A58">
        <w:rPr>
          <w:i/>
        </w:rPr>
        <w:t>Stakeholder Consultation: Proposed Reform of the Copyright Act 1968 – Guiding Questions (December 2015)</w:t>
      </w:r>
      <w:r w:rsidR="00F421D4">
        <w:rPr>
          <w:i/>
        </w:rPr>
        <w:t xml:space="preserve"> </w:t>
      </w:r>
      <w:r w:rsidR="00F421D4">
        <w:t>(</w:t>
      </w:r>
      <w:r w:rsidR="00F421D4" w:rsidRPr="00F421D4">
        <w:t>Stakeholder Consultation</w:t>
      </w:r>
      <w:r w:rsidR="00F421D4">
        <w:t xml:space="preserve"> Document)</w:t>
      </w:r>
      <w:r w:rsidR="00DB0A58">
        <w:rPr>
          <w:i/>
        </w:rPr>
        <w:t xml:space="preserve"> </w:t>
      </w:r>
      <w:r>
        <w:t xml:space="preserve">contains </w:t>
      </w:r>
      <w:r w:rsidR="00DB0A58">
        <w:t xml:space="preserve">but one </w:t>
      </w:r>
      <w:r w:rsidR="00F421D4">
        <w:t xml:space="preserve">two-sentence </w:t>
      </w:r>
      <w:r w:rsidR="00DB0A58">
        <w:t xml:space="preserve">paragraph on the subject. It describes the amendment, </w:t>
      </w:r>
      <w:r w:rsidR="00F421D4">
        <w:t>and provides scarce</w:t>
      </w:r>
      <w:r w:rsidR="00DB0A58">
        <w:t xml:space="preserve"> context or explanation for why it is proposed. </w:t>
      </w:r>
      <w:r w:rsidR="000B14A0">
        <w:t xml:space="preserve">Unlike the other proposals, no guiding questions are asked about expanding safe harbour. </w:t>
      </w:r>
      <w:r w:rsidR="00DB0A58">
        <w:t xml:space="preserve">Respectfully, APRA AMCOS questions the extent to which the </w:t>
      </w:r>
      <w:r w:rsidR="00107217">
        <w:t>drafters</w:t>
      </w:r>
      <w:r w:rsidR="00DB0A58">
        <w:t xml:space="preserve"> genuinely hoped for stakeholder consultation on this </w:t>
      </w:r>
      <w:r w:rsidR="00481A03">
        <w:t xml:space="preserve">contentious </w:t>
      </w:r>
      <w:r w:rsidR="00DB0A58">
        <w:t xml:space="preserve">topic. </w:t>
      </w:r>
      <w:r w:rsidR="00481A03">
        <w:t xml:space="preserve">None of this is to criticise the </w:t>
      </w:r>
      <w:r w:rsidR="00746E61">
        <w:t xml:space="preserve">merits of the </w:t>
      </w:r>
      <w:r w:rsidR="00481A03">
        <w:t>amendment –</w:t>
      </w:r>
      <w:r w:rsidR="008A03ED">
        <w:t xml:space="preserve"> such </w:t>
      </w:r>
      <w:r w:rsidR="00746E61">
        <w:t xml:space="preserve">criticism </w:t>
      </w:r>
      <w:r w:rsidR="008A03ED">
        <w:t>will follow – the purpose of this is t</w:t>
      </w:r>
      <w:r w:rsidR="00746E61">
        <w:t>o express the following</w:t>
      </w:r>
      <w:r w:rsidR="008A03ED">
        <w:t>: if the Government genuinely considers this proposed amendment to be desirable, then it should be transparent about its reasons</w:t>
      </w:r>
      <w:r w:rsidR="000B14A0">
        <w:t>,</w:t>
      </w:r>
      <w:r w:rsidR="008A03ED">
        <w:t xml:space="preserve"> and stakeholders should have access to the evidence that guides the Government’s judgment. Respectfully, good law </w:t>
      </w:r>
      <w:r w:rsidR="00746E61">
        <w:t>need</w:t>
      </w:r>
      <w:r w:rsidR="008A03ED">
        <w:t xml:space="preserve"> not</w:t>
      </w:r>
      <w:r w:rsidR="00746E61">
        <w:t xml:space="preserve"> be</w:t>
      </w:r>
      <w:r w:rsidR="008A03ED">
        <w:t xml:space="preserve"> made </w:t>
      </w:r>
      <w:r w:rsidR="008A03ED" w:rsidRPr="008A03ED">
        <w:t>covertly</w:t>
      </w:r>
      <w:r w:rsidR="008A03ED">
        <w:t>.</w:t>
      </w:r>
    </w:p>
    <w:p w14:paraId="3B1BF3E8" w14:textId="147AFC93" w:rsidR="0001189D" w:rsidRDefault="00746E61" w:rsidP="009E79A9">
      <w:r>
        <w:t>But this is not good law</w:t>
      </w:r>
      <w:r w:rsidR="000B14A0">
        <w:t xml:space="preserve">. </w:t>
      </w:r>
      <w:r w:rsidR="0057449D">
        <w:t xml:space="preserve">It is a poorly </w:t>
      </w:r>
      <w:r w:rsidR="00032062">
        <w:t>timed, and</w:t>
      </w:r>
      <w:r w:rsidR="006237ED">
        <w:t>, for no detectably principled reason,</w:t>
      </w:r>
      <w:r w:rsidR="00032062">
        <w:t xml:space="preserve"> shifts the balance inherent in the Act away from the creators </w:t>
      </w:r>
      <w:r w:rsidR="0001189D">
        <w:t>in favour of the online sector.</w:t>
      </w:r>
      <w:r w:rsidR="0057449D">
        <w:t xml:space="preserve"> </w:t>
      </w:r>
    </w:p>
    <w:p w14:paraId="67E265C9" w14:textId="7367AC54" w:rsidR="00402A9C" w:rsidRPr="00402A9C" w:rsidRDefault="00402A9C" w:rsidP="00DA4558">
      <w:pPr>
        <w:pStyle w:val="Heading2"/>
      </w:pPr>
      <w:r w:rsidRPr="00402A9C">
        <w:t>Poor timing</w:t>
      </w:r>
    </w:p>
    <w:p w14:paraId="1482073C" w14:textId="74FF1341" w:rsidR="006237ED" w:rsidRDefault="006237ED" w:rsidP="009E79A9">
      <w:r>
        <w:t>It is poorly timed because there is a range of developments in the area, both locally and internationally, which warrant attentio</w:t>
      </w:r>
      <w:r w:rsidR="0042172C">
        <w:t>n before making such significant</w:t>
      </w:r>
      <w:r>
        <w:t xml:space="preserve"> chan</w:t>
      </w:r>
      <w:r w:rsidR="00DA4558">
        <w:t>ges to the safe harbour scheme.</w:t>
      </w:r>
    </w:p>
    <w:p w14:paraId="6E9F8049" w14:textId="4D38533E" w:rsidR="00FC3364" w:rsidRDefault="0045256C" w:rsidP="009E79A9">
      <w:r>
        <w:t>First, i</w:t>
      </w:r>
      <w:r w:rsidR="0057449D">
        <w:t>t is well known that the safe harbour scheme in Australia</w:t>
      </w:r>
      <w:r w:rsidR="0057262F" w:rsidRPr="0057262F">
        <w:t xml:space="preserve"> </w:t>
      </w:r>
      <w:r w:rsidR="0057262F">
        <w:t>requires</w:t>
      </w:r>
      <w:r>
        <w:t xml:space="preserve">, at section </w:t>
      </w:r>
      <w:proofErr w:type="gramStart"/>
      <w:r>
        <w:t xml:space="preserve">116AH, </w:t>
      </w:r>
      <w:r w:rsidR="003F43B9">
        <w:t>that</w:t>
      </w:r>
      <w:proofErr w:type="gramEnd"/>
      <w:r w:rsidR="003F43B9">
        <w:t xml:space="preserve"> the carriage service provider </w:t>
      </w:r>
      <w:r w:rsidR="0058084E">
        <w:t>comply</w:t>
      </w:r>
      <w:r w:rsidR="003F43B9">
        <w:t xml:space="preserve"> with an industry code </w:t>
      </w:r>
      <w:r w:rsidR="003F43B9">
        <w:rPr>
          <w:i/>
        </w:rPr>
        <w:t>if there is one in force</w:t>
      </w:r>
      <w:r w:rsidR="003F43B9">
        <w:t>. The safe harbour scheme came into effect on 1 January 200</w:t>
      </w:r>
      <w:r w:rsidR="00B77F9D">
        <w:t xml:space="preserve">5, now more than 11 years ago. In the intervening years, despite each and every one of the enquiries listed above, and despite the high-profile hearings into the liability of ISPs for authorisation of users’ infringement, there is still no industry code. </w:t>
      </w:r>
      <w:r w:rsidR="0057262F">
        <w:t>APRA AMCOS is optimistic about the progress that has been made, but the delay thus far</w:t>
      </w:r>
      <w:r w:rsidR="00B77F9D">
        <w:t xml:space="preserve"> is truly unacceptable.</w:t>
      </w:r>
      <w:r w:rsidR="0057262F">
        <w:t xml:space="preserve"> </w:t>
      </w:r>
      <w:r w:rsidR="00883377">
        <w:t xml:space="preserve">No doubt one of the chief reasons for delay in developing an industry code is that </w:t>
      </w:r>
      <w:r w:rsidR="0057262F">
        <w:t xml:space="preserve">there is no incentive for CSPs to agree to one, and </w:t>
      </w:r>
      <w:r w:rsidR="00883377">
        <w:t xml:space="preserve">it would create a further layer of regulation on </w:t>
      </w:r>
      <w:r w:rsidR="0057262F">
        <w:t>CSPs</w:t>
      </w:r>
      <w:r w:rsidR="00883377">
        <w:t xml:space="preserve"> that would simply not exist prior to</w:t>
      </w:r>
      <w:r w:rsidR="006237ED">
        <w:t xml:space="preserve"> (or, without)</w:t>
      </w:r>
      <w:r w:rsidR="00883377">
        <w:t xml:space="preserve"> its creation. </w:t>
      </w:r>
      <w:r w:rsidR="00B77F9D">
        <w:t xml:space="preserve">Regulation 20B of the </w:t>
      </w:r>
      <w:r w:rsidR="00B77F9D" w:rsidRPr="00737B59">
        <w:rPr>
          <w:i/>
        </w:rPr>
        <w:t xml:space="preserve">Copyright Regulations </w:t>
      </w:r>
      <w:r w:rsidR="00B77F9D">
        <w:t>specifies the requirements that must be met by an industry code</w:t>
      </w:r>
      <w:r w:rsidR="00737B59">
        <w:t xml:space="preserve">, including that it </w:t>
      </w:r>
      <w:r w:rsidR="00D704E6">
        <w:t>“</w:t>
      </w:r>
      <w:r w:rsidR="00737B59">
        <w:t>must be developed through an open voluntary process by a broad consensus of copyright owners and carriage service providers.</w:t>
      </w:r>
      <w:r w:rsidR="00D704E6">
        <w:t>”</w:t>
      </w:r>
      <w:r w:rsidR="00737B59">
        <w:t xml:space="preserve"> If a broad consensus among copyright owners and CSPs has been </w:t>
      </w:r>
      <w:r w:rsidR="006237ED">
        <w:t>unachievable</w:t>
      </w:r>
      <w:r w:rsidR="00737B59">
        <w:t xml:space="preserve"> thus far, what awaits an industry code that requires a consensus of those parties as well as </w:t>
      </w:r>
      <w:r w:rsidR="003215B6">
        <w:t xml:space="preserve">many </w:t>
      </w:r>
      <w:r w:rsidR="00737B59">
        <w:t>other</w:t>
      </w:r>
      <w:r w:rsidR="006237ED">
        <w:t xml:space="preserve"> (undefined)</w:t>
      </w:r>
      <w:r w:rsidR="00737B59">
        <w:t xml:space="preserve"> service providers? Will a code need to be </w:t>
      </w:r>
      <w:r w:rsidR="006237ED">
        <w:t>“</w:t>
      </w:r>
      <w:r w:rsidR="00D704E6">
        <w:t>re</w:t>
      </w:r>
      <w:r w:rsidR="006237ED">
        <w:t>”-</w:t>
      </w:r>
      <w:r w:rsidR="00737B59">
        <w:t xml:space="preserve">negotiated to include the consensus of educational institutions, search engines, bulletin boards and </w:t>
      </w:r>
      <w:r w:rsidR="006237ED">
        <w:t>so on</w:t>
      </w:r>
      <w:r w:rsidR="00737B59">
        <w:t>?</w:t>
      </w:r>
    </w:p>
    <w:p w14:paraId="7985EFAD" w14:textId="67491773" w:rsidR="00CC27BD" w:rsidRDefault="00CC27BD" w:rsidP="009E79A9">
      <w:r>
        <w:t xml:space="preserve">Secondly, the future of this area of copyright law is uncertain, given the ALRC’s recommendations with respect to extending defences to some of the activities that entitle one to Safe Harbour protection. APRA AMCOS believes that </w:t>
      </w:r>
      <w:proofErr w:type="gramStart"/>
      <w:r>
        <w:t>a</w:t>
      </w:r>
      <w:r w:rsidR="003215B6">
        <w:t>n</w:t>
      </w:r>
      <w:proofErr w:type="gramEnd"/>
      <w:r>
        <w:t xml:space="preserve"> </w:t>
      </w:r>
      <w:r w:rsidR="003215B6">
        <w:t>holistic</w:t>
      </w:r>
      <w:r>
        <w:t xml:space="preserve"> approach to amending this area of copyright law should be taken, and respectfully query whether discussion should await a final indication from the government about the immediate future of the recommendations made by the ALRC.</w:t>
      </w:r>
    </w:p>
    <w:p w14:paraId="1D75781C" w14:textId="47B22610" w:rsidR="00FC3364" w:rsidRDefault="00CC27BD" w:rsidP="009E79A9">
      <w:r>
        <w:t>Third</w:t>
      </w:r>
      <w:r w:rsidR="00883377">
        <w:t xml:space="preserve">ly, </w:t>
      </w:r>
      <w:r w:rsidR="0058084E">
        <w:t xml:space="preserve">the safe harbour scheme in Australia was based largely on the American counterpart. The current proposed expansion appears to be based on mirroring the US version more closely. </w:t>
      </w:r>
      <w:r w:rsidR="008A63E5">
        <w:t xml:space="preserve">So it would be useful to consider the American experience of its scheme prior to reproducing it here. </w:t>
      </w:r>
      <w:r w:rsidR="00554266">
        <w:t>B</w:t>
      </w:r>
      <w:r w:rsidR="008A63E5">
        <w:t xml:space="preserve">y Notice of Inquiry dated 31 December 2015, the US Copyright Office launched a far-reaching public study to evaluate the impact and effectiveness of the safe harbor provisions contained in the US Copyright Act. </w:t>
      </w:r>
      <w:r w:rsidR="004976BA">
        <w:t xml:space="preserve">The Notice is extremely detailed, and the enquiry will address 30 specific questions about the effectiveness of the scheme. Respectfully, in APRA AMCOS’s view, it makes little sense to implement such a momentous change to Australia’s </w:t>
      </w:r>
      <w:r w:rsidR="007E32CA">
        <w:t>safe harbour</w:t>
      </w:r>
      <w:r w:rsidR="004976BA">
        <w:t xml:space="preserve"> scheme in order to align it with US law, when the US is itself beginning an enormous review of the </w:t>
      </w:r>
      <w:r w:rsidR="009B3766">
        <w:t xml:space="preserve">effectiveness of its </w:t>
      </w:r>
      <w:r w:rsidR="004976BA">
        <w:t xml:space="preserve">scheme. </w:t>
      </w:r>
    </w:p>
    <w:p w14:paraId="5E227A55" w14:textId="72DA5D24" w:rsidR="00402A9C" w:rsidRPr="001438C0" w:rsidRDefault="001438C0" w:rsidP="00DA4558">
      <w:pPr>
        <w:pStyle w:val="Heading2"/>
      </w:pPr>
      <w:r w:rsidRPr="001438C0">
        <w:t>Poor policy</w:t>
      </w:r>
    </w:p>
    <w:p w14:paraId="5E36FB54" w14:textId="296E727F" w:rsidR="009D091F" w:rsidRPr="00DE466B" w:rsidRDefault="009D091F" w:rsidP="009E79A9">
      <w:r w:rsidRPr="00DE466B">
        <w:t>The Australian legislature first dealt with the issue of liability for copyright infringement by carriage service providers in the Copyr</w:t>
      </w:r>
      <w:r w:rsidRPr="00DE466B">
        <w:rPr>
          <w:i/>
        </w:rPr>
        <w:t>ight Amendment (Digital Agenda) Act 2000</w:t>
      </w:r>
      <w:r w:rsidRPr="00DE466B">
        <w:t xml:space="preserve">. In doing so, it </w:t>
      </w:r>
      <w:r w:rsidR="00CA1E14">
        <w:t xml:space="preserve">deliberately </w:t>
      </w:r>
      <w:r w:rsidRPr="00DE466B">
        <w:t>distinguished between content providers and carriage service providers.</w:t>
      </w:r>
    </w:p>
    <w:p w14:paraId="7E54B2C2" w14:textId="77777777" w:rsidR="009D091F" w:rsidRPr="00DE466B" w:rsidRDefault="009D091F" w:rsidP="009E79A9">
      <w:r w:rsidRPr="00DE466B">
        <w:t xml:space="preserve">In his Second Reading Speech, the then Attorney-General, the Hon Daryl Williams MP stated: </w:t>
      </w:r>
    </w:p>
    <w:p w14:paraId="125AB63D" w14:textId="45E69059" w:rsidR="009D091F" w:rsidRPr="00CA1E14" w:rsidRDefault="009D091F" w:rsidP="009E79A9">
      <w:pPr>
        <w:rPr>
          <w:lang w:bidi="en-US"/>
        </w:rPr>
      </w:pPr>
      <w:r w:rsidRPr="00CA1E14">
        <w:rPr>
          <w:lang w:bidi="en-US"/>
        </w:rPr>
        <w:t>Under the amendments, therefore, carriers and Internet Service Providers will not be directly liable for communicating material to the public if they are not responsible for determining the content of the material. This is a key underlying principle in the government</w:t>
      </w:r>
      <w:r w:rsidR="00CA1E14" w:rsidRPr="00CA1E14">
        <w:rPr>
          <w:lang w:bidi="en-US"/>
        </w:rPr>
        <w:t>’</w:t>
      </w:r>
      <w:r w:rsidRPr="00CA1E14">
        <w:rPr>
          <w:lang w:bidi="en-US"/>
        </w:rPr>
        <w:t>s approach to regulating the new technological environment.</w:t>
      </w:r>
    </w:p>
    <w:p w14:paraId="63107281" w14:textId="77777777" w:rsidR="00CA1E14" w:rsidRPr="00CA1E14" w:rsidRDefault="009D091F" w:rsidP="009E79A9">
      <w:pPr>
        <w:rPr>
          <w:lang w:bidi="en-US"/>
        </w:rPr>
      </w:pPr>
      <w:r w:rsidRPr="00CA1E14">
        <w:rPr>
          <w:lang w:bidi="en-US"/>
        </w:rPr>
        <w:t>The reforms provide that a carrier or Internet Service Provider will not be taken to have authorised an infringement of copyright merely through the provision of facilities on which the infringement occurs.</w:t>
      </w:r>
    </w:p>
    <w:p w14:paraId="6B4B0A53" w14:textId="0905B5DA" w:rsidR="00402A9C" w:rsidRPr="00CA1E14" w:rsidRDefault="009D091F" w:rsidP="009E79A9">
      <w:pPr>
        <w:rPr>
          <w:lang w:bidi="en-US"/>
        </w:rPr>
      </w:pPr>
      <w:r w:rsidRPr="00CA1E14">
        <w:rPr>
          <w:lang w:bidi="en-US"/>
        </w:rPr>
        <w:t>Further, the bill provides an inclusive list of factors to assist in determining whether the authorisation of an infringement has occurred. This codification of authorisation principles provides greater certainty for all players in the digital environment.</w:t>
      </w:r>
    </w:p>
    <w:p w14:paraId="10A5E48D" w14:textId="632D9DC7" w:rsidR="009D091F" w:rsidRPr="00CA1E14" w:rsidRDefault="009D091F" w:rsidP="009E79A9">
      <w:pPr>
        <w:rPr>
          <w:lang w:val="en-US" w:bidi="en-US"/>
        </w:rPr>
      </w:pPr>
      <w:r w:rsidRPr="00DE466B">
        <w:rPr>
          <w:lang w:bidi="en-US"/>
        </w:rPr>
        <w:t xml:space="preserve">The factors to which the legislation referred included </w:t>
      </w:r>
      <w:r w:rsidRPr="00DE466B">
        <w:rPr>
          <w:lang w:val="en-US" w:bidi="en-US"/>
        </w:rPr>
        <w:t>the extent (if any) of the person’s power to prevent the infringement; the nature of any relationship between the service provider and the infringer; and whether the service provider took any reasonable steps to prevent the infringement (</w:t>
      </w:r>
      <w:proofErr w:type="spellStart"/>
      <w:r w:rsidRPr="00DE466B">
        <w:rPr>
          <w:lang w:val="en-US" w:bidi="en-US"/>
        </w:rPr>
        <w:t>eg</w:t>
      </w:r>
      <w:proofErr w:type="spellEnd"/>
      <w:r w:rsidR="00142659">
        <w:rPr>
          <w:lang w:val="en-US" w:bidi="en-US"/>
        </w:rPr>
        <w:t>, compliance with</w:t>
      </w:r>
      <w:r w:rsidRPr="00DE466B">
        <w:rPr>
          <w:lang w:val="en-US" w:bidi="en-US"/>
        </w:rPr>
        <w:t xml:space="preserve"> an industry code of practice). These factors were largely derived from Australian case law, notably </w:t>
      </w:r>
      <w:r w:rsidRPr="00DE466B">
        <w:rPr>
          <w:i/>
          <w:lang w:val="en-US" w:bidi="en-US"/>
        </w:rPr>
        <w:t xml:space="preserve">UNSW v </w:t>
      </w:r>
      <w:proofErr w:type="spellStart"/>
      <w:r w:rsidRPr="00DE466B">
        <w:rPr>
          <w:i/>
          <w:lang w:val="en-US" w:bidi="en-US"/>
        </w:rPr>
        <w:t>Moorhouse</w:t>
      </w:r>
      <w:proofErr w:type="spellEnd"/>
      <w:r w:rsidRPr="00DE466B">
        <w:rPr>
          <w:lang w:val="en-US" w:bidi="en-US"/>
        </w:rPr>
        <w:t xml:space="preserve"> (1975) 133 CLR 1. Thus the amendments to the </w:t>
      </w:r>
      <w:proofErr w:type="spellStart"/>
      <w:r w:rsidRPr="00DE466B">
        <w:rPr>
          <w:lang w:val="en-US" w:bidi="en-US"/>
        </w:rPr>
        <w:t>authorisation</w:t>
      </w:r>
      <w:proofErr w:type="spellEnd"/>
      <w:r w:rsidRPr="00DE466B">
        <w:rPr>
          <w:lang w:val="en-US" w:bidi="en-US"/>
        </w:rPr>
        <w:t xml:space="preserve"> provisions of the Act must also be considered as part of the context in which online service providers and copyright owners operate in the digital environment.</w:t>
      </w:r>
    </w:p>
    <w:p w14:paraId="6B5B1FAE" w14:textId="473DC193" w:rsidR="00402A9C" w:rsidRDefault="009D091F" w:rsidP="009E79A9">
      <w:r w:rsidRPr="00DE466B">
        <w:t xml:space="preserve">In his Second Reading Speech introducing the </w:t>
      </w:r>
      <w:r w:rsidRPr="00DE466B">
        <w:rPr>
          <w:i/>
        </w:rPr>
        <w:t>Digital Agenda Act</w:t>
      </w:r>
      <w:r w:rsidRPr="00DE466B">
        <w:t xml:space="preserve"> Mr Williams observed:</w:t>
      </w:r>
    </w:p>
    <w:p w14:paraId="66CFE28D" w14:textId="77777777" w:rsidR="009D091F" w:rsidRPr="00CA1E14" w:rsidRDefault="009D091F" w:rsidP="009E79A9">
      <w:pPr>
        <w:rPr>
          <w:lang w:val="en-US" w:bidi="en-US"/>
        </w:rPr>
      </w:pPr>
      <w:r w:rsidRPr="00CA1E14">
        <w:rPr>
          <w:lang w:val="en-US" w:bidi="en-US"/>
        </w:rPr>
        <w:t>Typically, the person responsible for determining the content of copyright material online would be a website proprietor, not a carrier or Internet Service Provider.</w:t>
      </w:r>
    </w:p>
    <w:p w14:paraId="503337D4" w14:textId="0097F159" w:rsidR="009D091F" w:rsidRPr="00DE466B" w:rsidRDefault="009D091F" w:rsidP="009E79A9">
      <w:pPr>
        <w:rPr>
          <w:lang w:val="en-US" w:bidi="en-US"/>
        </w:rPr>
      </w:pPr>
      <w:r w:rsidRPr="00DE466B">
        <w:rPr>
          <w:lang w:val="en-US" w:bidi="en-US"/>
        </w:rPr>
        <w:t>While this observation clearly preceded the proliferation of user-generated content on websites, APRA</w:t>
      </w:r>
      <w:r w:rsidR="00FC30A7">
        <w:rPr>
          <w:lang w:val="en-US" w:bidi="en-US"/>
        </w:rPr>
        <w:t xml:space="preserve"> </w:t>
      </w:r>
      <w:r w:rsidRPr="00DE466B">
        <w:rPr>
          <w:lang w:val="en-US" w:bidi="en-US"/>
        </w:rPr>
        <w:t>AMCOS submits that the distinction between carriage service providers and providers of content remains valid.</w:t>
      </w:r>
    </w:p>
    <w:p w14:paraId="57F19C7A" w14:textId="60129EC0" w:rsidR="009D091F" w:rsidRPr="00DE466B" w:rsidRDefault="009D091F" w:rsidP="009E79A9">
      <w:pPr>
        <w:rPr>
          <w:lang w:val="en-US" w:bidi="en-US"/>
        </w:rPr>
      </w:pPr>
      <w:r w:rsidRPr="00DE466B">
        <w:rPr>
          <w:lang w:val="en-US" w:bidi="en-US"/>
        </w:rPr>
        <w:t>In particular, it is very clear that the intended beneficiar</w:t>
      </w:r>
      <w:r>
        <w:rPr>
          <w:lang w:val="en-US" w:bidi="en-US"/>
        </w:rPr>
        <w:t>ies</w:t>
      </w:r>
      <w:r w:rsidRPr="00DE466B">
        <w:rPr>
          <w:lang w:val="en-US" w:bidi="en-US"/>
        </w:rPr>
        <w:t xml:space="preserve"> of the Safe </w:t>
      </w:r>
      <w:proofErr w:type="spellStart"/>
      <w:r w:rsidRPr="00DE466B">
        <w:rPr>
          <w:lang w:val="en-US" w:bidi="en-US"/>
        </w:rPr>
        <w:t>Harbour</w:t>
      </w:r>
      <w:proofErr w:type="spellEnd"/>
      <w:r w:rsidRPr="00DE466B">
        <w:rPr>
          <w:lang w:val="en-US" w:bidi="en-US"/>
        </w:rPr>
        <w:t xml:space="preserve"> provisions of the Act (and, indeed, of section 39B which relates to the </w:t>
      </w:r>
      <w:proofErr w:type="spellStart"/>
      <w:r w:rsidRPr="00DE466B">
        <w:rPr>
          <w:lang w:val="en-US" w:bidi="en-US"/>
        </w:rPr>
        <w:t>authorisation</w:t>
      </w:r>
      <w:proofErr w:type="spellEnd"/>
      <w:r w:rsidRPr="00DE466B">
        <w:rPr>
          <w:lang w:val="en-US" w:bidi="en-US"/>
        </w:rPr>
        <w:t xml:space="preserve"> provisions) </w:t>
      </w:r>
      <w:r>
        <w:rPr>
          <w:lang w:val="en-US" w:bidi="en-US"/>
        </w:rPr>
        <w:t>are</w:t>
      </w:r>
      <w:r w:rsidRPr="00DE466B">
        <w:rPr>
          <w:lang w:val="en-US" w:bidi="en-US"/>
        </w:rPr>
        <w:t xml:space="preserve"> persons who </w:t>
      </w:r>
      <w:r w:rsidRPr="00DE466B">
        <w:rPr>
          <w:i/>
          <w:lang w:val="en-US" w:bidi="en-US"/>
        </w:rPr>
        <w:t>provide facilities</w:t>
      </w:r>
      <w:r w:rsidRPr="00DE466B">
        <w:rPr>
          <w:lang w:val="en-US" w:bidi="en-US"/>
        </w:rPr>
        <w:t xml:space="preserve"> for online services, not the</w:t>
      </w:r>
      <w:r>
        <w:rPr>
          <w:lang w:val="en-US" w:bidi="en-US"/>
        </w:rPr>
        <w:t xml:space="preserve"> persons who provide the</w:t>
      </w:r>
      <w:r w:rsidRPr="00DE466B">
        <w:rPr>
          <w:lang w:val="en-US" w:bidi="en-US"/>
        </w:rPr>
        <w:t xml:space="preserve"> online services themselves. In common with other users of copyright material, online </w:t>
      </w:r>
      <w:r w:rsidRPr="00DE466B">
        <w:rPr>
          <w:i/>
          <w:lang w:val="en-US" w:bidi="en-US"/>
        </w:rPr>
        <w:t>service providers</w:t>
      </w:r>
      <w:r w:rsidRPr="00DE466B">
        <w:rPr>
          <w:lang w:val="en-US" w:bidi="en-US"/>
        </w:rPr>
        <w:t xml:space="preserve"> have the protection of the </w:t>
      </w:r>
      <w:proofErr w:type="spellStart"/>
      <w:r w:rsidRPr="00DE466B">
        <w:rPr>
          <w:lang w:val="en-US" w:bidi="en-US"/>
        </w:rPr>
        <w:t>authorisation</w:t>
      </w:r>
      <w:proofErr w:type="spellEnd"/>
      <w:r w:rsidRPr="00DE466B">
        <w:rPr>
          <w:lang w:val="en-US" w:bidi="en-US"/>
        </w:rPr>
        <w:t xml:space="preserve"> provisions of section 36(1A) (inserted in 2000 as described above, with section 39B as part of the Digital Agenda amendments), and the ‘innocent infringement’ provisions in section 115(3). Were the Safe </w:t>
      </w:r>
      <w:proofErr w:type="spellStart"/>
      <w:r w:rsidRPr="00DE466B">
        <w:rPr>
          <w:lang w:val="en-US" w:bidi="en-US"/>
        </w:rPr>
        <w:t>Harbour</w:t>
      </w:r>
      <w:proofErr w:type="spellEnd"/>
      <w:r w:rsidRPr="00DE466B">
        <w:rPr>
          <w:lang w:val="en-US" w:bidi="en-US"/>
        </w:rPr>
        <w:t xml:space="preserve"> protections to be extended to online service providers as well as the providers of facilities, it would have a serious impact on the effect of the </w:t>
      </w:r>
      <w:proofErr w:type="spellStart"/>
      <w:r w:rsidRPr="00DE466B">
        <w:rPr>
          <w:lang w:val="en-US" w:bidi="en-US"/>
        </w:rPr>
        <w:t>authorisation</w:t>
      </w:r>
      <w:proofErr w:type="spellEnd"/>
      <w:r w:rsidRPr="00DE466B">
        <w:rPr>
          <w:lang w:val="en-US" w:bidi="en-US"/>
        </w:rPr>
        <w:t xml:space="preserve"> provisions and section 115(3) in the context of online service providers. It would also create a two-tiered system of protection, with online businesses treated dramatically differently to other market participants. This is likely to result in confusion and higher compliance costs for copyright users, particularly those participating in both online and traditional media, and for copyright owners.</w:t>
      </w:r>
    </w:p>
    <w:p w14:paraId="6B0CD3B4" w14:textId="43503016" w:rsidR="009D091F" w:rsidRPr="00DE466B" w:rsidRDefault="009D091F" w:rsidP="009E79A9">
      <w:pPr>
        <w:rPr>
          <w:lang w:val="en-US" w:bidi="en-US"/>
        </w:rPr>
      </w:pPr>
      <w:r w:rsidRPr="00DE466B">
        <w:rPr>
          <w:lang w:val="en-US" w:bidi="en-US"/>
        </w:rPr>
        <w:t>In APRA</w:t>
      </w:r>
      <w:r w:rsidR="00FC30A7">
        <w:rPr>
          <w:lang w:val="en-US" w:bidi="en-US"/>
        </w:rPr>
        <w:t xml:space="preserve"> </w:t>
      </w:r>
      <w:r w:rsidRPr="00DE466B">
        <w:rPr>
          <w:lang w:val="en-US" w:bidi="en-US"/>
        </w:rPr>
        <w:t xml:space="preserve">AMCOS’ submission there is a clear distinction between someone who does no more than provide the facilities for a communication and someone who is in the business of </w:t>
      </w:r>
      <w:r w:rsidR="00FC30A7">
        <w:rPr>
          <w:lang w:val="en-US" w:bidi="en-US"/>
        </w:rPr>
        <w:t>providing content</w:t>
      </w:r>
      <w:r w:rsidRPr="00DE466B">
        <w:rPr>
          <w:lang w:val="en-US" w:bidi="en-US"/>
        </w:rPr>
        <w:t xml:space="preserve">. </w:t>
      </w:r>
      <w:r w:rsidR="00FC30A7">
        <w:rPr>
          <w:lang w:val="en-US" w:bidi="en-US"/>
        </w:rPr>
        <w:t>A</w:t>
      </w:r>
      <w:r w:rsidRPr="00DE466B">
        <w:rPr>
          <w:lang w:val="en-US" w:bidi="en-US"/>
        </w:rPr>
        <w:t>PRA</w:t>
      </w:r>
      <w:r w:rsidR="00FC30A7">
        <w:rPr>
          <w:lang w:val="en-US" w:bidi="en-US"/>
        </w:rPr>
        <w:t xml:space="preserve"> AMCOS submits that the Safe </w:t>
      </w:r>
      <w:proofErr w:type="spellStart"/>
      <w:r w:rsidR="00FC30A7">
        <w:rPr>
          <w:lang w:val="en-US" w:bidi="en-US"/>
        </w:rPr>
        <w:t>Harbour</w:t>
      </w:r>
      <w:proofErr w:type="spellEnd"/>
      <w:r w:rsidR="00FC30A7">
        <w:rPr>
          <w:lang w:val="en-US" w:bidi="en-US"/>
        </w:rPr>
        <w:t xml:space="preserve"> Scheme </w:t>
      </w:r>
      <w:r w:rsidRPr="00DE466B">
        <w:rPr>
          <w:lang w:val="en-US" w:bidi="en-US"/>
        </w:rPr>
        <w:t>should retain the distinction. In APRA</w:t>
      </w:r>
      <w:r w:rsidR="00FC30A7">
        <w:rPr>
          <w:lang w:val="en-US" w:bidi="en-US"/>
        </w:rPr>
        <w:t xml:space="preserve"> </w:t>
      </w:r>
      <w:r w:rsidRPr="00DE466B">
        <w:rPr>
          <w:lang w:val="en-US" w:bidi="en-US"/>
        </w:rPr>
        <w:t xml:space="preserve">AMCOS’ submission, entities who are in the business of providing content exercise a different level of control over the material on their site or network. For this reason, entities such as social networking and video sharing sites should not be included in the Safe </w:t>
      </w:r>
      <w:proofErr w:type="spellStart"/>
      <w:r w:rsidRPr="00DE466B">
        <w:rPr>
          <w:lang w:val="en-US" w:bidi="en-US"/>
        </w:rPr>
        <w:t>Harbour</w:t>
      </w:r>
      <w:proofErr w:type="spellEnd"/>
      <w:r w:rsidRPr="00DE466B">
        <w:rPr>
          <w:lang w:val="en-US" w:bidi="en-US"/>
        </w:rPr>
        <w:t xml:space="preserve"> Scheme.</w:t>
      </w:r>
    </w:p>
    <w:p w14:paraId="55084BF9" w14:textId="71DC15CF" w:rsidR="009D091F" w:rsidRPr="00DE466B" w:rsidRDefault="009D091F" w:rsidP="009E79A9">
      <w:pPr>
        <w:rPr>
          <w:rFonts w:cs="Helvetica"/>
          <w:lang w:val="en-US" w:bidi="en-US"/>
        </w:rPr>
      </w:pPr>
      <w:r w:rsidRPr="00DE466B">
        <w:t>In APRA</w:t>
      </w:r>
      <w:r w:rsidR="002D2C6F">
        <w:t xml:space="preserve"> </w:t>
      </w:r>
      <w:r w:rsidRPr="00DE466B">
        <w:t xml:space="preserve">AMCOS’ submission, extending the Safe Harbour Scheme to content providers will </w:t>
      </w:r>
      <w:r>
        <w:t xml:space="preserve">categorically </w:t>
      </w:r>
      <w:r w:rsidRPr="00DE466B">
        <w:t>disturb the balance</w:t>
      </w:r>
      <w:r w:rsidR="002D2C6F">
        <w:t xml:space="preserve"> inherent in the Act</w:t>
      </w:r>
      <w:r w:rsidRPr="00DE466B">
        <w:t xml:space="preserve">. First it will subvert the policy behind the Scheme, which distinguishes between content providers and those who merely facilitate the communication of content. Secondly and more tangibly, it will reduce the incentives for such entities to enter into commercial agreements with copyright owners. </w:t>
      </w:r>
    </w:p>
    <w:p w14:paraId="78AED936" w14:textId="65AEE234" w:rsidR="009D091F" w:rsidRPr="009D091F" w:rsidRDefault="009D091F" w:rsidP="009E79A9">
      <w:r w:rsidRPr="00DE466B">
        <w:rPr>
          <w:lang w:val="en-US" w:bidi="en-US"/>
        </w:rPr>
        <w:t xml:space="preserve">During the 12 month period from 1 July </w:t>
      </w:r>
      <w:r w:rsidR="002D2C6F">
        <w:rPr>
          <w:lang w:val="en-US" w:bidi="en-US"/>
        </w:rPr>
        <w:t>2014</w:t>
      </w:r>
      <w:r w:rsidRPr="00DE466B">
        <w:rPr>
          <w:lang w:val="en-US" w:bidi="en-US"/>
        </w:rPr>
        <w:t xml:space="preserve"> to 30 June </w:t>
      </w:r>
      <w:r w:rsidR="002D2C6F">
        <w:rPr>
          <w:lang w:val="en-US" w:bidi="en-US"/>
        </w:rPr>
        <w:t>2015</w:t>
      </w:r>
      <w:r w:rsidRPr="00DE466B">
        <w:rPr>
          <w:lang w:val="en-US" w:bidi="en-US"/>
        </w:rPr>
        <w:t>, APRA</w:t>
      </w:r>
      <w:r w:rsidR="002D2C6F">
        <w:rPr>
          <w:lang w:val="en-US" w:bidi="en-US"/>
        </w:rPr>
        <w:t xml:space="preserve"> </w:t>
      </w:r>
      <w:r w:rsidR="00AF7760">
        <w:rPr>
          <w:lang w:val="en-US" w:bidi="en-US"/>
        </w:rPr>
        <w:t>AMCOS administered over 250</w:t>
      </w:r>
      <w:r w:rsidR="002D2C6F" w:rsidRPr="00DE466B">
        <w:rPr>
          <w:lang w:val="en-US" w:bidi="en-US"/>
        </w:rPr>
        <w:t xml:space="preserve"> </w:t>
      </w:r>
      <w:proofErr w:type="spellStart"/>
      <w:r w:rsidRPr="00DE466B">
        <w:rPr>
          <w:lang w:val="en-US" w:bidi="en-US"/>
        </w:rPr>
        <w:t>licences</w:t>
      </w:r>
      <w:proofErr w:type="spellEnd"/>
      <w:r w:rsidRPr="00DE466B">
        <w:rPr>
          <w:lang w:val="en-US" w:bidi="en-US"/>
        </w:rPr>
        <w:t xml:space="preserve"> relating to various online services, including digital music and video retail and subscription services, video sharing and user-generated content services, online content portals, on-demand streaming services, </w:t>
      </w:r>
      <w:proofErr w:type="spellStart"/>
      <w:r w:rsidRPr="00DE466B">
        <w:rPr>
          <w:lang w:val="en-US" w:bidi="en-US"/>
        </w:rPr>
        <w:t>simulcasters</w:t>
      </w:r>
      <w:proofErr w:type="spellEnd"/>
      <w:r w:rsidRPr="00DE466B">
        <w:rPr>
          <w:lang w:val="en-US" w:bidi="en-US"/>
        </w:rPr>
        <w:t>, webcasters and podcasters.</w:t>
      </w:r>
      <w:r w:rsidR="002D2C6F">
        <w:rPr>
          <w:lang w:val="en-US" w:bidi="en-US"/>
        </w:rPr>
        <w:t xml:space="preserve"> The aggregate value of these </w:t>
      </w:r>
      <w:proofErr w:type="spellStart"/>
      <w:r w:rsidR="002D2C6F">
        <w:rPr>
          <w:lang w:val="en-US" w:bidi="en-US"/>
        </w:rPr>
        <w:t>licences</w:t>
      </w:r>
      <w:proofErr w:type="spellEnd"/>
      <w:r w:rsidR="00AF7760">
        <w:rPr>
          <w:lang w:val="en-US" w:bidi="en-US"/>
        </w:rPr>
        <w:t xml:space="preserve"> for that period was $48m, which</w:t>
      </w:r>
      <w:r w:rsidR="002D2C6F">
        <w:rPr>
          <w:lang w:val="en-US" w:bidi="en-US"/>
        </w:rPr>
        <w:t xml:space="preserve"> suggests that there is accepted industry recognition of the clear commercial difference between those who facilitate access and those who provide content.</w:t>
      </w:r>
    </w:p>
    <w:p w14:paraId="2D435F2E" w14:textId="6B457BC1" w:rsidR="009D091F" w:rsidRPr="00DE466B" w:rsidRDefault="009D091F" w:rsidP="009E79A9">
      <w:r>
        <w:t>APRA</w:t>
      </w:r>
      <w:r w:rsidR="002D2C6F">
        <w:t xml:space="preserve"> </w:t>
      </w:r>
      <w:r>
        <w:t xml:space="preserve">AMCOS does not understand Australia’s existing Safe Harbour Scheme to be inconsistent with Australia’s obligations under its international treaty obligations.  </w:t>
      </w:r>
      <w:r w:rsidR="002D2C6F">
        <w:t xml:space="preserve">In APRA </w:t>
      </w:r>
      <w:r w:rsidRPr="00DE466B">
        <w:t>AMCOS’ submission, the fact that</w:t>
      </w:r>
      <w:r>
        <w:t xml:space="preserve"> the scope of the Australian </w:t>
      </w:r>
      <w:r w:rsidRPr="00DE466B">
        <w:t xml:space="preserve">Scheme may be more restrictive than </w:t>
      </w:r>
      <w:r>
        <w:t xml:space="preserve">is possible while remaining consistent with Australia’s obligations under the </w:t>
      </w:r>
      <w:r w:rsidR="002D2C6F">
        <w:t>AUSFTA and TPP</w:t>
      </w:r>
      <w:r>
        <w:t xml:space="preserve"> </w:t>
      </w:r>
      <w:r w:rsidRPr="00DE466B">
        <w:t xml:space="preserve">is not in itself a reason for reform.  </w:t>
      </w:r>
    </w:p>
    <w:p w14:paraId="0CA72D79" w14:textId="7A98FCB0" w:rsidR="009D091F" w:rsidRPr="00DE466B" w:rsidRDefault="009D091F" w:rsidP="009E79A9">
      <w:r w:rsidRPr="00DE466B">
        <w:t>APRA</w:t>
      </w:r>
      <w:r w:rsidR="002D2C6F">
        <w:t xml:space="preserve"> </w:t>
      </w:r>
      <w:r w:rsidRPr="00DE466B">
        <w:t xml:space="preserve">AMCOS is unaware of any evidence suggesting that the limitation of the </w:t>
      </w:r>
      <w:r>
        <w:t xml:space="preserve">Australian </w:t>
      </w:r>
      <w:r w:rsidRPr="00DE466B">
        <w:t>Scheme to “carriage service providers” is having a chilling effect on the online activities of other types of service providers. Indeed, there has been a significant increase in such activity since the Scheme came into operation on 1 January 2005. As noted above, there is an existing market for the provision of copyright licences to such businesses.</w:t>
      </w:r>
    </w:p>
    <w:p w14:paraId="0488328F" w14:textId="748F4083" w:rsidR="009D091F" w:rsidRPr="00DE466B" w:rsidRDefault="009D091F" w:rsidP="009E79A9">
      <w:r w:rsidRPr="00DE466B">
        <w:t xml:space="preserve">This should not be surprising given that those who do no more than provide the facilities for making a communication of an a sound recording, film or broadcast are able to take advantage </w:t>
      </w:r>
      <w:r w:rsidR="00926ACB">
        <w:t>of the defence in section 112E.</w:t>
      </w:r>
    </w:p>
    <w:p w14:paraId="780842E1" w14:textId="73680495" w:rsidR="009D091F" w:rsidRPr="00DE466B" w:rsidRDefault="009D091F" w:rsidP="009E79A9">
      <w:r w:rsidRPr="00DE466B">
        <w:t>Furthermore, the Safe Harbour Scheme only operates in relation to copyright.  Service providers must still consider a range of other laws when managing their online presence. For example,</w:t>
      </w:r>
      <w:r w:rsidR="002206CD">
        <w:t xml:space="preserve"> a search engine or social media bulletin board can be held liable for defamatory comments made by users, once on notice: </w:t>
      </w:r>
      <w:proofErr w:type="spellStart"/>
      <w:r w:rsidR="002D0658">
        <w:rPr>
          <w:i/>
        </w:rPr>
        <w:t>Trkulja</w:t>
      </w:r>
      <w:proofErr w:type="spellEnd"/>
      <w:r w:rsidR="002D0658">
        <w:rPr>
          <w:i/>
        </w:rPr>
        <w:t xml:space="preserve"> v Yahoo!</w:t>
      </w:r>
      <w:r w:rsidR="002D0658">
        <w:t>;</w:t>
      </w:r>
      <w:r w:rsidRPr="00DE466B">
        <w:t xml:space="preserve"> </w:t>
      </w:r>
      <w:proofErr w:type="spellStart"/>
      <w:r w:rsidR="002D0658">
        <w:rPr>
          <w:i/>
        </w:rPr>
        <w:t>Trkulja</w:t>
      </w:r>
      <w:proofErr w:type="spellEnd"/>
      <w:r w:rsidR="002D0658">
        <w:rPr>
          <w:i/>
        </w:rPr>
        <w:t xml:space="preserve"> v Google</w:t>
      </w:r>
      <w:r w:rsidR="002D0658">
        <w:t xml:space="preserve">; </w:t>
      </w:r>
      <w:r w:rsidR="002D0658">
        <w:rPr>
          <w:i/>
        </w:rPr>
        <w:t>Duffy v Google</w:t>
      </w:r>
      <w:r w:rsidR="002D0658">
        <w:t>, etc. This and other regulatory regimes</w:t>
      </w:r>
      <w:r w:rsidRPr="00DE466B">
        <w:t xml:space="preserve"> will also influence how service providers do business online. It is therefore questionable whether amendments to the Safe Harbour Scheme will give service providers </w:t>
      </w:r>
      <w:r w:rsidR="002D0658">
        <w:t>much relief (if it is decided that any is required) in rela</w:t>
      </w:r>
      <w:r w:rsidR="00926ACB">
        <w:t>tion to their liability online.</w:t>
      </w:r>
    </w:p>
    <w:p w14:paraId="781F25AF" w14:textId="3A10A32F" w:rsidR="009D091F" w:rsidRDefault="00142659" w:rsidP="009E79A9">
      <w:r>
        <w:t xml:space="preserve">APRA </w:t>
      </w:r>
      <w:r w:rsidR="009D091F" w:rsidRPr="00DE466B">
        <w:t>AMCOS also submits that any expansion of the scope of the Safe Harbour Scheme cannot responsibly be achieved by the mere broadening of the categories of online businesses that will receive the protection of the Scheme. A proper review of the Scheme must also involve a detailed consideration of the appropriate levels of response that might be required from the different types of business that participate in the online markets, as evidenced by the current provisions that recognise different response levels for different activities. Such businesses are diverse, increasing in number, and difficult to define. For example, the businesses might include online auction sites, website hosts, user generated content sites, and search engines. In many cases, a single entity may provide more than one of these services, and the nature of the service itself may be difficult to categorise. The appropriateness of the response for each type of business is likely to be different in each case, leading to an unwieldy and confusing law.</w:t>
      </w:r>
      <w:r w:rsidR="002D0658">
        <w:t xml:space="preserve"> Such would </w:t>
      </w:r>
      <w:r w:rsidR="00524A34">
        <w:t>a perverse outcome of an attempt to simplify the Act.</w:t>
      </w:r>
    </w:p>
    <w:p w14:paraId="305E4FEF" w14:textId="52AAF629" w:rsidR="00D4046F" w:rsidRPr="00D4046F" w:rsidRDefault="00D4046F" w:rsidP="00DA4558">
      <w:pPr>
        <w:pStyle w:val="Heading2"/>
      </w:pPr>
      <w:r w:rsidRPr="00D4046F">
        <w:t>Alternative approach</w:t>
      </w:r>
    </w:p>
    <w:p w14:paraId="5F9B6BDF" w14:textId="77777777" w:rsidR="00AF7760" w:rsidRDefault="009B3766" w:rsidP="009E79A9">
      <w:r>
        <w:t xml:space="preserve">Given the scarcity of explanation surrounding this proposal, APRA AMCOS is unable to </w:t>
      </w:r>
      <w:r w:rsidR="00D41017">
        <w:t>assist</w:t>
      </w:r>
      <w:r>
        <w:t xml:space="preserve"> Government</w:t>
      </w:r>
      <w:r w:rsidR="002D6B26">
        <w:t>, in the manner it would ordinarily like,</w:t>
      </w:r>
      <w:r>
        <w:t xml:space="preserve"> to achieve its aims; </w:t>
      </w:r>
      <w:r w:rsidR="00AF7760">
        <w:t>we are genuinely struggling to understand</w:t>
      </w:r>
      <w:r>
        <w:t xml:space="preserve"> what Government is hoping to </w:t>
      </w:r>
      <w:r w:rsidR="00AF7760">
        <w:t xml:space="preserve">achieve with this proposal. </w:t>
      </w:r>
    </w:p>
    <w:p w14:paraId="2D2D40F8" w14:textId="6E6F4B71" w:rsidR="00D4046F" w:rsidRDefault="00AF7760" w:rsidP="009E79A9">
      <w:r>
        <w:t xml:space="preserve">However, if the </w:t>
      </w:r>
      <w:r w:rsidR="009B3766">
        <w:t xml:space="preserve">Government is </w:t>
      </w:r>
      <w:r>
        <w:t>minded</w:t>
      </w:r>
      <w:r w:rsidR="009B3766">
        <w:t xml:space="preserve"> to proceed with the Exposure Draft despite APRA AMCOS’s concerns, APRA AMCOS makes the following suggestions:</w:t>
      </w:r>
    </w:p>
    <w:p w14:paraId="7D976D5F" w14:textId="43C22F83" w:rsidR="00CE0DC8" w:rsidRDefault="002D6B26" w:rsidP="009E79A9">
      <w:pPr>
        <w:pStyle w:val="Level4Legal"/>
        <w:numPr>
          <w:ilvl w:val="4"/>
          <w:numId w:val="13"/>
        </w:numPr>
      </w:pPr>
      <w:r>
        <w:t>a</w:t>
      </w:r>
      <w:r w:rsidR="00CE0DC8">
        <w:t xml:space="preserve">ny amendment </w:t>
      </w:r>
      <w:r>
        <w:t>take place following</w:t>
      </w:r>
      <w:r w:rsidR="00CE0DC8">
        <w:t xml:space="preserve"> </w:t>
      </w:r>
      <w:r>
        <w:t xml:space="preserve">consideration of the American review of the US safe harbor scheme; </w:t>
      </w:r>
    </w:p>
    <w:p w14:paraId="005D1A31" w14:textId="0A0BC156" w:rsidR="00EA379A" w:rsidRDefault="002D6B26" w:rsidP="009E79A9">
      <w:pPr>
        <w:pStyle w:val="Level4Legal"/>
        <w:numPr>
          <w:ilvl w:val="4"/>
          <w:numId w:val="13"/>
        </w:numPr>
      </w:pPr>
      <w:proofErr w:type="gramStart"/>
      <w:r>
        <w:t>t</w:t>
      </w:r>
      <w:r w:rsidR="00CE0DC8">
        <w:t>he</w:t>
      </w:r>
      <w:proofErr w:type="gramEnd"/>
      <w:r w:rsidR="00CE0DC8">
        <w:t xml:space="preserve"> industry code requirement be fixed.</w:t>
      </w:r>
      <w:r>
        <w:t xml:space="preserve"> APRA AMCOS </w:t>
      </w:r>
      <w:r w:rsidR="006645C7">
        <w:t>consider that the author</w:t>
      </w:r>
      <w:r w:rsidR="008D339A">
        <w:t xml:space="preserve">isation provisions in sections </w:t>
      </w:r>
      <w:r w:rsidR="006645C7">
        <w:t>36(3) and 101(5)</w:t>
      </w:r>
      <w:r w:rsidR="008D339A">
        <w:t xml:space="preserve"> should be amended such that service providers will be taken to have authorised infringements of copyright that take place by way of their service, once on notice, if they do not </w:t>
      </w:r>
      <w:r w:rsidR="00815BEE">
        <w:t xml:space="preserve">reasonably </w:t>
      </w:r>
      <w:r w:rsidR="008D339A">
        <w:t xml:space="preserve">act to prevent the infringements. Such an amendment </w:t>
      </w:r>
      <w:r w:rsidR="00815BEE">
        <w:t xml:space="preserve">would provide service providers with the apparently necessary incentive of developing a Code, and </w:t>
      </w:r>
      <w:r w:rsidR="008D339A">
        <w:t xml:space="preserve">would </w:t>
      </w:r>
      <w:r w:rsidR="00815BEE">
        <w:t xml:space="preserve">at least </w:t>
      </w:r>
      <w:r w:rsidR="008D339A">
        <w:t xml:space="preserve">rebalance the Act so that creators and service providers are treated equitably </w:t>
      </w:r>
      <w:r w:rsidR="00815BEE">
        <w:t>if an agreement is not forthcoming</w:t>
      </w:r>
      <w:r w:rsidR="008D339A">
        <w:t xml:space="preserve">. In this respect, APRA AMCOS </w:t>
      </w:r>
      <w:r>
        <w:t>adopt</w:t>
      </w:r>
      <w:r w:rsidR="00AF7760">
        <w:t>s</w:t>
      </w:r>
      <w:r>
        <w:t xml:space="preserve"> the suggestions made Music R</w:t>
      </w:r>
      <w:r w:rsidR="00AF7760">
        <w:t>ights Australia in its</w:t>
      </w:r>
      <w:r>
        <w:t xml:space="preserve"> submissions </w:t>
      </w:r>
      <w:r w:rsidR="00E92C97">
        <w:t>to this enquiry; and</w:t>
      </w:r>
    </w:p>
    <w:p w14:paraId="2B512581" w14:textId="70E0B6FC" w:rsidR="00142659" w:rsidRPr="00C65244" w:rsidRDefault="00E92C97" w:rsidP="00C65244">
      <w:pPr>
        <w:pStyle w:val="Level4Legal"/>
        <w:numPr>
          <w:ilvl w:val="4"/>
          <w:numId w:val="13"/>
        </w:numPr>
        <w:rPr>
          <w:rFonts w:ascii="Times New Roman" w:hAnsi="Times New Roman"/>
        </w:rPr>
      </w:pPr>
      <w:proofErr w:type="gramStart"/>
      <w:r>
        <w:t>the</w:t>
      </w:r>
      <w:proofErr w:type="gramEnd"/>
      <w:r>
        <w:t xml:space="preserve"> proposed definition of service provider be altered, such that it does not extend to the provision of services that are more than merely technical, automatic and passive. In this respect APRA AMCOS adopt</w:t>
      </w:r>
      <w:r w:rsidR="00AF7760">
        <w:t>s</w:t>
      </w:r>
      <w:r>
        <w:t xml:space="preserve"> the suggestions made by </w:t>
      </w:r>
      <w:r w:rsidR="00AF7760">
        <w:t>Music Rights Australia in its</w:t>
      </w:r>
      <w:r>
        <w:t xml:space="preserve"> submissions to this enquiry.</w:t>
      </w:r>
    </w:p>
    <w:p w14:paraId="1449FBE9" w14:textId="77777777" w:rsidR="00970683" w:rsidRPr="008F279F" w:rsidRDefault="008F279F" w:rsidP="00DA4558">
      <w:pPr>
        <w:pStyle w:val="Heading2"/>
      </w:pPr>
      <w:r w:rsidRPr="008F279F">
        <w:t>Conclusion</w:t>
      </w:r>
    </w:p>
    <w:p w14:paraId="57AF2889" w14:textId="67059B54" w:rsidR="00D81610" w:rsidRDefault="008F279F" w:rsidP="009E79A9">
      <w:r>
        <w:t xml:space="preserve">APRA AMCOS is grateful </w:t>
      </w:r>
      <w:r w:rsidR="00FC7F94">
        <w:t xml:space="preserve">for </w:t>
      </w:r>
      <w:r>
        <w:t xml:space="preserve">the </w:t>
      </w:r>
      <w:r w:rsidR="008B5A3B">
        <w:t xml:space="preserve">opportunity to </w:t>
      </w:r>
      <w:r w:rsidR="00FC7F94">
        <w:t xml:space="preserve">comment on the </w:t>
      </w:r>
      <w:r w:rsidR="00D4046F">
        <w:t>Exposure Draft</w:t>
      </w:r>
      <w:r w:rsidR="00FC7F94">
        <w:t xml:space="preserve">. APRA AMCOS remains </w:t>
      </w:r>
      <w:r w:rsidR="002E0518">
        <w:t>available</w:t>
      </w:r>
      <w:r w:rsidR="00FC7F94">
        <w:t xml:space="preserve"> to assist in any aspect of this enquiry.</w:t>
      </w:r>
    </w:p>
    <w:p w14:paraId="0FE00E4E" w14:textId="0F242C5D" w:rsidR="006B5A26" w:rsidRDefault="00C45AD1" w:rsidP="00DA4558">
      <w:pPr>
        <w:numPr>
          <w:ilvl w:val="0"/>
          <w:numId w:val="0"/>
        </w:numPr>
        <w:spacing w:before="1080" w:after="0"/>
      </w:pPr>
      <w:r>
        <w:t>Jonathan Carter</w:t>
      </w:r>
    </w:p>
    <w:p w14:paraId="4A67E760" w14:textId="54207BC7" w:rsidR="00C45AD1" w:rsidRDefault="00C45AD1" w:rsidP="00DA4558">
      <w:pPr>
        <w:numPr>
          <w:ilvl w:val="0"/>
          <w:numId w:val="0"/>
        </w:numPr>
        <w:spacing w:after="0"/>
      </w:pPr>
      <w:r>
        <w:t>General Counsel</w:t>
      </w:r>
    </w:p>
    <w:p w14:paraId="79C6A122" w14:textId="7D3966D1" w:rsidR="00C45AD1" w:rsidRDefault="00C45AD1" w:rsidP="00DA4558">
      <w:pPr>
        <w:numPr>
          <w:ilvl w:val="0"/>
          <w:numId w:val="0"/>
        </w:numPr>
      </w:pPr>
      <w:r>
        <w:t>APRA AMCOS</w:t>
      </w:r>
    </w:p>
    <w:p w14:paraId="5B6BBBA9" w14:textId="4F0B32A3" w:rsidR="00C45AD1" w:rsidRDefault="00C45AD1" w:rsidP="00DA4558">
      <w:pPr>
        <w:numPr>
          <w:ilvl w:val="0"/>
          <w:numId w:val="0"/>
        </w:numPr>
        <w:spacing w:after="0"/>
      </w:pPr>
      <w:r>
        <w:t>12 February 2016</w:t>
      </w:r>
    </w:p>
    <w:sectPr w:rsidR="00C45AD1">
      <w:headerReference w:type="default" r:id="rId11"/>
      <w:pgSz w:w="11899" w:h="16838"/>
      <w:pgMar w:top="1138" w:right="1411" w:bottom="1138" w:left="1411"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BE556" w14:textId="77777777" w:rsidR="00142659" w:rsidRDefault="00142659" w:rsidP="009E79A9">
      <w:r>
        <w:separator/>
      </w:r>
    </w:p>
  </w:endnote>
  <w:endnote w:type="continuationSeparator" w:id="0">
    <w:p w14:paraId="75A2BF25" w14:textId="77777777" w:rsidR="00142659" w:rsidRDefault="00142659" w:rsidP="009E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DB47E" w14:textId="77777777" w:rsidR="00142659" w:rsidRDefault="00142659" w:rsidP="009E79A9">
      <w:r>
        <w:separator/>
      </w:r>
    </w:p>
  </w:footnote>
  <w:footnote w:type="continuationSeparator" w:id="0">
    <w:p w14:paraId="0A3A6F2A" w14:textId="77777777" w:rsidR="00142659" w:rsidRDefault="00142659" w:rsidP="009E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B0E1B" w14:textId="77777777" w:rsidR="00142659" w:rsidRDefault="00142659" w:rsidP="009E79A9">
    <w:pPr>
      <w:numPr>
        <w:ilvl w:val="0"/>
        <w:numId w:val="0"/>
      </w:numPr>
      <w:jc w:val="center"/>
    </w:pPr>
    <w:r>
      <w:t>-</w:t>
    </w:r>
    <w:r>
      <w:rPr>
        <w:rStyle w:val="PageNumber"/>
      </w:rPr>
      <w:fldChar w:fldCharType="begin"/>
    </w:r>
    <w:r>
      <w:rPr>
        <w:rStyle w:val="PageNumber"/>
      </w:rPr>
      <w:instrText xml:space="preserve"> PAGE </w:instrText>
    </w:r>
    <w:r>
      <w:rPr>
        <w:rStyle w:val="PageNumber"/>
      </w:rPr>
      <w:fldChar w:fldCharType="separate"/>
    </w:r>
    <w:r w:rsidR="002E43B4">
      <w:rPr>
        <w:rStyle w:val="PageNumber"/>
        <w:noProof/>
      </w:rPr>
      <w:t>8</w:t>
    </w:r>
    <w:r>
      <w:rPr>
        <w:rStyle w:val="PageNumber"/>
      </w:rPr>
      <w:fldChar w:fldCharType="end"/>
    </w:r>
    <w:r>
      <w:rPr>
        <w:rStyle w:val="PageNumb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Legal"/>
    <w:lvl w:ilvl="0">
      <w:start w:val="1"/>
      <w:numFmt w:val="upperLetter"/>
      <w:pStyle w:val="Level0Legal"/>
      <w:lvlText w:val="%1."/>
      <w:lvlJc w:val="left"/>
      <w:pPr>
        <w:tabs>
          <w:tab w:val="num" w:pos="992"/>
        </w:tabs>
        <w:ind w:left="992" w:hanging="992"/>
      </w:pPr>
      <w:rPr>
        <w:rFonts w:ascii="Arial" w:hAnsi="Arial"/>
        <w:b/>
      </w:rPr>
    </w:lvl>
    <w:lvl w:ilvl="1">
      <w:start w:val="1"/>
      <w:numFmt w:val="decimal"/>
      <w:pStyle w:val="Level1Legal"/>
      <w:lvlText w:val="%2."/>
      <w:lvlJc w:val="left"/>
      <w:pPr>
        <w:tabs>
          <w:tab w:val="num" w:pos="992"/>
        </w:tabs>
        <w:ind w:left="992" w:hanging="992"/>
      </w:pPr>
      <w:rPr>
        <w:rFonts w:ascii="Arial" w:hAnsi="Arial"/>
        <w:b/>
      </w:rPr>
    </w:lvl>
    <w:lvl w:ilvl="2">
      <w:start w:val="1"/>
      <w:numFmt w:val="decimal"/>
      <w:pStyle w:val="Level2Legal"/>
      <w:lvlText w:val="%2.%3"/>
      <w:lvlJc w:val="left"/>
      <w:pPr>
        <w:tabs>
          <w:tab w:val="num" w:pos="992"/>
        </w:tabs>
        <w:ind w:left="992" w:hanging="992"/>
      </w:pPr>
      <w:rPr>
        <w:rFonts w:ascii="Arial" w:hAnsi="Arial"/>
        <w:b w:val="0"/>
      </w:rPr>
    </w:lvl>
    <w:lvl w:ilvl="3">
      <w:start w:val="1"/>
      <w:numFmt w:val="decimal"/>
      <w:pStyle w:val="Level3Legal"/>
      <w:lvlText w:val="%2.%3.%4"/>
      <w:lvlJc w:val="left"/>
      <w:pPr>
        <w:tabs>
          <w:tab w:val="num" w:pos="992"/>
        </w:tabs>
        <w:ind w:left="992" w:hanging="992"/>
      </w:pPr>
      <w:rPr>
        <w:rFonts w:ascii="Arial" w:hAnsi="Arial"/>
        <w:b w:val="0"/>
      </w:rPr>
    </w:lvl>
    <w:lvl w:ilvl="4">
      <w:start w:val="1"/>
      <w:numFmt w:val="lowerLetter"/>
      <w:lvlText w:val="(%5)"/>
      <w:lvlJc w:val="left"/>
      <w:pPr>
        <w:tabs>
          <w:tab w:val="num" w:pos="1701"/>
        </w:tabs>
        <w:ind w:left="1701" w:hanging="709"/>
      </w:pPr>
      <w:rPr>
        <w:rFonts w:ascii="Times New Roman" w:hAnsi="Times New Roman"/>
        <w:b w:val="0"/>
      </w:rPr>
    </w:lvl>
    <w:lvl w:ilvl="5">
      <w:start w:val="1"/>
      <w:numFmt w:val="lowerRoman"/>
      <w:pStyle w:val="Level5Legal"/>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A24E17C0"/>
    <w:lvl w:ilvl="0">
      <w:start w:val="1"/>
      <w:numFmt w:val="upperLetter"/>
      <w:pStyle w:val="Level0General"/>
      <w:lvlText w:val="%1."/>
      <w:lvlJc w:val="left"/>
      <w:pPr>
        <w:tabs>
          <w:tab w:val="num" w:pos="992"/>
        </w:tabs>
        <w:ind w:left="992" w:hanging="992"/>
      </w:pPr>
      <w:rPr>
        <w:rFonts w:ascii="Arial" w:hAnsi="Arial"/>
        <w:b w:val="0"/>
      </w:rPr>
    </w:lvl>
    <w:lvl w:ilvl="1">
      <w:start w:val="1"/>
      <w:numFmt w:val="decimal"/>
      <w:pStyle w:val="Normal"/>
      <w:lvlText w:val="%2."/>
      <w:lvlJc w:val="left"/>
      <w:pPr>
        <w:tabs>
          <w:tab w:val="num" w:pos="992"/>
        </w:tabs>
        <w:ind w:left="992" w:hanging="992"/>
      </w:pPr>
      <w:rPr>
        <w:rFonts w:ascii="Arial" w:hAnsi="Arial"/>
        <w:b w:val="0"/>
        <w:sz w:val="23"/>
        <w:szCs w:val="23"/>
      </w:rPr>
    </w:lvl>
    <w:lvl w:ilvl="2">
      <w:start w:val="1"/>
      <w:numFmt w:val="lowerLetter"/>
      <w:pStyle w:val="Level2General"/>
      <w:lvlText w:val="(%3)"/>
      <w:lvlJc w:val="left"/>
      <w:pPr>
        <w:tabs>
          <w:tab w:val="num" w:pos="992"/>
        </w:tabs>
        <w:ind w:left="992" w:hanging="992"/>
      </w:pPr>
      <w:rPr>
        <w:rFonts w:ascii="Times New Roman" w:hAnsi="Times New Roman"/>
        <w:b w:val="0"/>
      </w:rPr>
    </w:lvl>
    <w:lvl w:ilvl="3">
      <w:start w:val="1"/>
      <w:numFmt w:val="lowerRoman"/>
      <w:pStyle w:val="Level3General"/>
      <w:lvlText w:val="(%4)"/>
      <w:lvlJc w:val="left"/>
      <w:pPr>
        <w:tabs>
          <w:tab w:val="num" w:pos="1701"/>
        </w:tabs>
        <w:ind w:left="1701" w:hanging="709"/>
      </w:pPr>
      <w:rPr>
        <w:rFonts w:ascii="Times New Roman" w:hAnsi="Times New Roman"/>
        <w:b w:val="0"/>
      </w:rPr>
    </w:lvl>
    <w:lvl w:ilvl="4">
      <w:start w:val="1"/>
      <w:numFmt w:val="lowerLetter"/>
      <w:lvlText w:val="(%5)"/>
      <w:lvlJc w:val="left"/>
      <w:pPr>
        <w:tabs>
          <w:tab w:val="num" w:pos="1800"/>
        </w:tabs>
        <w:ind w:left="1800" w:hanging="360"/>
      </w:pPr>
      <w:rPr>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multilevel"/>
    <w:tmpl w:val="00000000"/>
    <w:lvl w:ilvl="0">
      <w:start w:val="1"/>
      <w:numFmt w:val="upperLetter"/>
      <w:pStyle w:val="Background"/>
      <w:lvlText w:val="%1."/>
      <w:lvlJc w:val="left"/>
      <w:pPr>
        <w:tabs>
          <w:tab w:val="num" w:pos="992"/>
        </w:tabs>
        <w:ind w:left="992" w:hanging="992"/>
      </w:pPr>
      <w:rPr>
        <w:rFonts w:ascii="Arial" w:hAnsi="Arial" w:hint="default"/>
        <w:b/>
        <w:i w:val="0"/>
      </w:rPr>
    </w:lvl>
    <w:lvl w:ilvl="1">
      <w:start w:val="1"/>
      <w:numFmt w:val="lowerLetter"/>
      <w:pStyle w:val="Background"/>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0"/>
    <w:lvl w:ilvl="0">
      <w:start w:val="1"/>
      <w:numFmt w:val="decimal"/>
      <w:lvlText w:val="%1."/>
      <w:lvlJc w:val="left"/>
      <w:pPr>
        <w:tabs>
          <w:tab w:val="num" w:pos="992"/>
        </w:tabs>
        <w:ind w:left="992" w:hanging="992"/>
      </w:pPr>
      <w:rPr>
        <w:rFonts w:ascii="Arial" w:hAnsi="Arial"/>
        <w:b/>
      </w:rPr>
    </w:lvl>
    <w:lvl w:ilvl="1">
      <w:start w:val="1"/>
      <w:numFmt w:val="decimal"/>
      <w:lvlText w:val="%1.%2"/>
      <w:lvlJc w:val="left"/>
      <w:pPr>
        <w:tabs>
          <w:tab w:val="num" w:pos="992"/>
        </w:tabs>
        <w:ind w:left="992" w:hanging="992"/>
      </w:pPr>
      <w:rPr>
        <w:rFonts w:ascii="Arial" w:hAnsi="Arial"/>
        <w:b w:val="0"/>
      </w:rPr>
    </w:lvl>
    <w:lvl w:ilvl="2">
      <w:start w:val="1"/>
      <w:numFmt w:val="decimal"/>
      <w:lvlText w:val="%1.%2.%3"/>
      <w:lvlJc w:val="left"/>
      <w:pPr>
        <w:tabs>
          <w:tab w:val="num" w:pos="992"/>
        </w:tabs>
        <w:ind w:left="992" w:hanging="992"/>
      </w:pPr>
      <w:rPr>
        <w:rFonts w:ascii="Arial" w:hAnsi="Arial"/>
        <w:b w:val="0"/>
      </w:rPr>
    </w:lvl>
    <w:lvl w:ilvl="3">
      <w:start w:val="1"/>
      <w:numFmt w:val="lowerLetter"/>
      <w:lvlText w:val="(%4)"/>
      <w:lvlJc w:val="left"/>
      <w:pPr>
        <w:tabs>
          <w:tab w:val="num" w:pos="1701"/>
        </w:tabs>
        <w:ind w:left="1701" w:hanging="709"/>
      </w:pPr>
      <w:rPr>
        <w:rFonts w:ascii="Arial" w:hAnsi="Arial"/>
        <w:b w:val="0"/>
      </w:rPr>
    </w:lvl>
    <w:lvl w:ilvl="4">
      <w:start w:val="1"/>
      <w:numFmt w:val="lowerRoman"/>
      <w:lvlText w:val="(%5)"/>
      <w:lvlJc w:val="left"/>
      <w:pPr>
        <w:tabs>
          <w:tab w:val="num" w:pos="2409"/>
        </w:tabs>
        <w:ind w:left="2409" w:hanging="708"/>
      </w:pPr>
      <w:rPr>
        <w:rFonts w:ascii="Arial" w:hAnsi="Arial"/>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4B6B18"/>
    <w:multiLevelType w:val="multilevel"/>
    <w:tmpl w:val="8BC22DA2"/>
    <w:lvl w:ilvl="0">
      <w:start w:val="1"/>
      <w:numFmt w:val="upperLetter"/>
      <w:lvlText w:val="%1."/>
      <w:lvlJc w:val="left"/>
      <w:pPr>
        <w:tabs>
          <w:tab w:val="num" w:pos="992"/>
        </w:tabs>
        <w:ind w:left="992" w:hanging="992"/>
      </w:pPr>
      <w:rPr>
        <w:rFonts w:ascii="Arial" w:hAnsi="Arial"/>
        <w:b w:val="0"/>
      </w:rPr>
    </w:lvl>
    <w:lvl w:ilvl="1">
      <w:start w:val="1"/>
      <w:numFmt w:val="decimal"/>
      <w:lvlText w:val="%2."/>
      <w:lvlJc w:val="left"/>
      <w:pPr>
        <w:tabs>
          <w:tab w:val="num" w:pos="992"/>
        </w:tabs>
        <w:ind w:left="992" w:hanging="992"/>
      </w:pPr>
      <w:rPr>
        <w:rFonts w:ascii="Arial" w:hAnsi="Arial"/>
        <w:b w:val="0"/>
        <w:sz w:val="23"/>
        <w:szCs w:val="23"/>
      </w:rPr>
    </w:lvl>
    <w:lvl w:ilvl="2">
      <w:start w:val="1"/>
      <w:numFmt w:val="lowerLetter"/>
      <w:lvlText w:val="(%3)"/>
      <w:lvlJc w:val="left"/>
      <w:pPr>
        <w:tabs>
          <w:tab w:val="num" w:pos="992"/>
        </w:tabs>
        <w:ind w:left="992" w:hanging="992"/>
      </w:pPr>
      <w:rPr>
        <w:rFonts w:ascii="Times New Roman" w:hAnsi="Times New Roman"/>
        <w:b w:val="0"/>
      </w:rPr>
    </w:lvl>
    <w:lvl w:ilvl="3">
      <w:start w:val="1"/>
      <w:numFmt w:val="lowerRoman"/>
      <w:lvlText w:val="(%4)"/>
      <w:lvlJc w:val="left"/>
      <w:pPr>
        <w:tabs>
          <w:tab w:val="num" w:pos="1701"/>
        </w:tabs>
        <w:ind w:left="1701" w:hanging="709"/>
      </w:pPr>
      <w:rPr>
        <w:rFonts w:ascii="Times New Roman" w:hAnsi="Times New Roman"/>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695122"/>
    <w:multiLevelType w:val="hybridMultilevel"/>
    <w:tmpl w:val="B17C5AF2"/>
    <w:lvl w:ilvl="0" w:tplc="58D2DA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1CCB5466"/>
    <w:multiLevelType w:val="hybridMultilevel"/>
    <w:tmpl w:val="43382276"/>
    <w:lvl w:ilvl="0" w:tplc="F482D2C4">
      <w:start w:val="1"/>
      <w:numFmt w:val="lowerLetter"/>
      <w:pStyle w:val="Level4Legal"/>
      <w:lvlText w:val="(%1)"/>
      <w:lvlJc w:val="left"/>
      <w:pPr>
        <w:ind w:left="720" w:hanging="360"/>
      </w:pPr>
      <w:rPr>
        <w:rFonts w:ascii="Arial" w:hAnsi="Arial" w:hint="default"/>
        <w:b w:val="0"/>
        <w:i w:val="0"/>
        <w:caps w:val="0"/>
        <w:strike w:val="0"/>
        <w:dstrike w:val="0"/>
        <w:vanish w:val="0"/>
        <w:sz w:val="23"/>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1B191E"/>
    <w:multiLevelType w:val="hybridMultilevel"/>
    <w:tmpl w:val="7E448C0A"/>
    <w:lvl w:ilvl="0" w:tplc="2788118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6F235498"/>
    <w:multiLevelType w:val="hybridMultilevel"/>
    <w:tmpl w:val="4D7ACF7C"/>
    <w:lvl w:ilvl="0" w:tplc="1C6006C6">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C5"/>
    <w:rsid w:val="00002E1F"/>
    <w:rsid w:val="00007DE8"/>
    <w:rsid w:val="0001189D"/>
    <w:rsid w:val="0001208E"/>
    <w:rsid w:val="00020D2A"/>
    <w:rsid w:val="0002113F"/>
    <w:rsid w:val="000216A0"/>
    <w:rsid w:val="0002409F"/>
    <w:rsid w:val="000278BE"/>
    <w:rsid w:val="00032062"/>
    <w:rsid w:val="000425E9"/>
    <w:rsid w:val="00050D52"/>
    <w:rsid w:val="00054DA6"/>
    <w:rsid w:val="00060F03"/>
    <w:rsid w:val="000611D8"/>
    <w:rsid w:val="00067529"/>
    <w:rsid w:val="00080D75"/>
    <w:rsid w:val="00086573"/>
    <w:rsid w:val="00092FD5"/>
    <w:rsid w:val="000933FE"/>
    <w:rsid w:val="00094FC8"/>
    <w:rsid w:val="00096395"/>
    <w:rsid w:val="000A3443"/>
    <w:rsid w:val="000A34D9"/>
    <w:rsid w:val="000A3DCB"/>
    <w:rsid w:val="000A5D7A"/>
    <w:rsid w:val="000A68FB"/>
    <w:rsid w:val="000A6A10"/>
    <w:rsid w:val="000B14A0"/>
    <w:rsid w:val="000B4ECC"/>
    <w:rsid w:val="000B5386"/>
    <w:rsid w:val="000C0678"/>
    <w:rsid w:val="000C17A2"/>
    <w:rsid w:val="000C3F9D"/>
    <w:rsid w:val="000D0BA0"/>
    <w:rsid w:val="000E330E"/>
    <w:rsid w:val="000F1B66"/>
    <w:rsid w:val="00105DB5"/>
    <w:rsid w:val="00107217"/>
    <w:rsid w:val="0011758E"/>
    <w:rsid w:val="0012060B"/>
    <w:rsid w:val="00124A75"/>
    <w:rsid w:val="001263BC"/>
    <w:rsid w:val="00136A9D"/>
    <w:rsid w:val="00142235"/>
    <w:rsid w:val="00142549"/>
    <w:rsid w:val="00142659"/>
    <w:rsid w:val="001438C0"/>
    <w:rsid w:val="00154766"/>
    <w:rsid w:val="00156CA7"/>
    <w:rsid w:val="001733FD"/>
    <w:rsid w:val="00181F14"/>
    <w:rsid w:val="00184D11"/>
    <w:rsid w:val="00185028"/>
    <w:rsid w:val="00190DD9"/>
    <w:rsid w:val="00194A13"/>
    <w:rsid w:val="001A378E"/>
    <w:rsid w:val="001A65ED"/>
    <w:rsid w:val="001C6E56"/>
    <w:rsid w:val="001C79E0"/>
    <w:rsid w:val="001D2F98"/>
    <w:rsid w:val="001E502D"/>
    <w:rsid w:val="001F03ED"/>
    <w:rsid w:val="001F14E9"/>
    <w:rsid w:val="001F30F0"/>
    <w:rsid w:val="001F4043"/>
    <w:rsid w:val="001F5D17"/>
    <w:rsid w:val="00214418"/>
    <w:rsid w:val="00215F83"/>
    <w:rsid w:val="002161BE"/>
    <w:rsid w:val="002170D5"/>
    <w:rsid w:val="00217E06"/>
    <w:rsid w:val="002206CD"/>
    <w:rsid w:val="00221434"/>
    <w:rsid w:val="00221701"/>
    <w:rsid w:val="0023384F"/>
    <w:rsid w:val="002350A8"/>
    <w:rsid w:val="00236FBA"/>
    <w:rsid w:val="00247963"/>
    <w:rsid w:val="002633F7"/>
    <w:rsid w:val="00274BA6"/>
    <w:rsid w:val="002754C9"/>
    <w:rsid w:val="002828E0"/>
    <w:rsid w:val="00284876"/>
    <w:rsid w:val="00286979"/>
    <w:rsid w:val="002871AB"/>
    <w:rsid w:val="00292B2F"/>
    <w:rsid w:val="00293605"/>
    <w:rsid w:val="00294F6C"/>
    <w:rsid w:val="002978A8"/>
    <w:rsid w:val="002A1EB1"/>
    <w:rsid w:val="002A2843"/>
    <w:rsid w:val="002A74D5"/>
    <w:rsid w:val="002C2C0B"/>
    <w:rsid w:val="002C75BE"/>
    <w:rsid w:val="002C7849"/>
    <w:rsid w:val="002D0658"/>
    <w:rsid w:val="002D25A0"/>
    <w:rsid w:val="002D25FB"/>
    <w:rsid w:val="002D2C6F"/>
    <w:rsid w:val="002D329C"/>
    <w:rsid w:val="002D6B26"/>
    <w:rsid w:val="002E01AE"/>
    <w:rsid w:val="002E0518"/>
    <w:rsid w:val="002E3061"/>
    <w:rsid w:val="002E43B4"/>
    <w:rsid w:val="002E4C4F"/>
    <w:rsid w:val="003038BD"/>
    <w:rsid w:val="00311306"/>
    <w:rsid w:val="003151A5"/>
    <w:rsid w:val="003215B6"/>
    <w:rsid w:val="0032384E"/>
    <w:rsid w:val="00332319"/>
    <w:rsid w:val="00332E78"/>
    <w:rsid w:val="00340FB7"/>
    <w:rsid w:val="00341404"/>
    <w:rsid w:val="003452AA"/>
    <w:rsid w:val="003457BE"/>
    <w:rsid w:val="0034713C"/>
    <w:rsid w:val="0035462D"/>
    <w:rsid w:val="003647D6"/>
    <w:rsid w:val="00371913"/>
    <w:rsid w:val="00375FB7"/>
    <w:rsid w:val="00377250"/>
    <w:rsid w:val="003820B8"/>
    <w:rsid w:val="003829F6"/>
    <w:rsid w:val="003866D2"/>
    <w:rsid w:val="003901F1"/>
    <w:rsid w:val="00397296"/>
    <w:rsid w:val="003A65C3"/>
    <w:rsid w:val="003A6860"/>
    <w:rsid w:val="003B0A32"/>
    <w:rsid w:val="003B60DE"/>
    <w:rsid w:val="003C5504"/>
    <w:rsid w:val="003D034C"/>
    <w:rsid w:val="003D1CAD"/>
    <w:rsid w:val="003D36A5"/>
    <w:rsid w:val="003E2FBF"/>
    <w:rsid w:val="003E7C13"/>
    <w:rsid w:val="003F1DDF"/>
    <w:rsid w:val="003F43B9"/>
    <w:rsid w:val="003F52D5"/>
    <w:rsid w:val="00402164"/>
    <w:rsid w:val="00402A9C"/>
    <w:rsid w:val="00404A10"/>
    <w:rsid w:val="004155DF"/>
    <w:rsid w:val="0042172C"/>
    <w:rsid w:val="00427208"/>
    <w:rsid w:val="00427B18"/>
    <w:rsid w:val="00435D01"/>
    <w:rsid w:val="00440CD4"/>
    <w:rsid w:val="0044671C"/>
    <w:rsid w:val="0045256C"/>
    <w:rsid w:val="00453162"/>
    <w:rsid w:val="004540C2"/>
    <w:rsid w:val="004540C5"/>
    <w:rsid w:val="004611EF"/>
    <w:rsid w:val="00471079"/>
    <w:rsid w:val="00474C54"/>
    <w:rsid w:val="00481A03"/>
    <w:rsid w:val="00483E6F"/>
    <w:rsid w:val="00490820"/>
    <w:rsid w:val="00490833"/>
    <w:rsid w:val="00490DA6"/>
    <w:rsid w:val="004924D9"/>
    <w:rsid w:val="00493363"/>
    <w:rsid w:val="004976BA"/>
    <w:rsid w:val="004A0079"/>
    <w:rsid w:val="004A0D95"/>
    <w:rsid w:val="004A6244"/>
    <w:rsid w:val="004A7565"/>
    <w:rsid w:val="004C5809"/>
    <w:rsid w:val="004C7070"/>
    <w:rsid w:val="004C7182"/>
    <w:rsid w:val="004D2AD4"/>
    <w:rsid w:val="004D3078"/>
    <w:rsid w:val="004D5B8F"/>
    <w:rsid w:val="004E547E"/>
    <w:rsid w:val="004E7598"/>
    <w:rsid w:val="004F41D1"/>
    <w:rsid w:val="004F6A05"/>
    <w:rsid w:val="005067F7"/>
    <w:rsid w:val="00513639"/>
    <w:rsid w:val="00521E29"/>
    <w:rsid w:val="00524A34"/>
    <w:rsid w:val="0052788A"/>
    <w:rsid w:val="00533711"/>
    <w:rsid w:val="00534884"/>
    <w:rsid w:val="00546466"/>
    <w:rsid w:val="005500AB"/>
    <w:rsid w:val="00550D8C"/>
    <w:rsid w:val="00551FEF"/>
    <w:rsid w:val="00554266"/>
    <w:rsid w:val="00555A53"/>
    <w:rsid w:val="00562491"/>
    <w:rsid w:val="00562B67"/>
    <w:rsid w:val="0057262F"/>
    <w:rsid w:val="0057449D"/>
    <w:rsid w:val="00574FD5"/>
    <w:rsid w:val="005805DF"/>
    <w:rsid w:val="0058084E"/>
    <w:rsid w:val="005900CA"/>
    <w:rsid w:val="005908BA"/>
    <w:rsid w:val="00592E06"/>
    <w:rsid w:val="005948C0"/>
    <w:rsid w:val="00595223"/>
    <w:rsid w:val="00595A8A"/>
    <w:rsid w:val="00595AD4"/>
    <w:rsid w:val="0059606C"/>
    <w:rsid w:val="005B0B1B"/>
    <w:rsid w:val="005B14DC"/>
    <w:rsid w:val="005B3479"/>
    <w:rsid w:val="005B59C6"/>
    <w:rsid w:val="005C0C83"/>
    <w:rsid w:val="005D2439"/>
    <w:rsid w:val="005E0F3B"/>
    <w:rsid w:val="005F1AD7"/>
    <w:rsid w:val="00600A1C"/>
    <w:rsid w:val="00601399"/>
    <w:rsid w:val="00611E90"/>
    <w:rsid w:val="0061266C"/>
    <w:rsid w:val="006205D9"/>
    <w:rsid w:val="00621E02"/>
    <w:rsid w:val="006237ED"/>
    <w:rsid w:val="006245F6"/>
    <w:rsid w:val="00627AFE"/>
    <w:rsid w:val="00642725"/>
    <w:rsid w:val="00645E57"/>
    <w:rsid w:val="006465CB"/>
    <w:rsid w:val="00646EE6"/>
    <w:rsid w:val="00647F90"/>
    <w:rsid w:val="00651092"/>
    <w:rsid w:val="006524B5"/>
    <w:rsid w:val="00653353"/>
    <w:rsid w:val="006545F0"/>
    <w:rsid w:val="006645C7"/>
    <w:rsid w:val="00664F9D"/>
    <w:rsid w:val="00673CA1"/>
    <w:rsid w:val="00684A0D"/>
    <w:rsid w:val="00690287"/>
    <w:rsid w:val="00696186"/>
    <w:rsid w:val="006A3DB9"/>
    <w:rsid w:val="006A4F47"/>
    <w:rsid w:val="006B0B9D"/>
    <w:rsid w:val="006B1DD0"/>
    <w:rsid w:val="006B5A26"/>
    <w:rsid w:val="006B6FBA"/>
    <w:rsid w:val="006C09F7"/>
    <w:rsid w:val="006C17BC"/>
    <w:rsid w:val="006C40CB"/>
    <w:rsid w:val="006D4934"/>
    <w:rsid w:val="006D5C9D"/>
    <w:rsid w:val="006D6F65"/>
    <w:rsid w:val="006E1C8C"/>
    <w:rsid w:val="006E4418"/>
    <w:rsid w:val="006E5CF6"/>
    <w:rsid w:val="006F31D9"/>
    <w:rsid w:val="0070026F"/>
    <w:rsid w:val="00716997"/>
    <w:rsid w:val="00716CD8"/>
    <w:rsid w:val="007211AA"/>
    <w:rsid w:val="00725E5B"/>
    <w:rsid w:val="00730253"/>
    <w:rsid w:val="00732CDF"/>
    <w:rsid w:val="007352AB"/>
    <w:rsid w:val="00736A28"/>
    <w:rsid w:val="00736F5A"/>
    <w:rsid w:val="00737B59"/>
    <w:rsid w:val="00746E61"/>
    <w:rsid w:val="00752090"/>
    <w:rsid w:val="00752FCC"/>
    <w:rsid w:val="0075556D"/>
    <w:rsid w:val="00762053"/>
    <w:rsid w:val="00766EC4"/>
    <w:rsid w:val="007759FE"/>
    <w:rsid w:val="0077650D"/>
    <w:rsid w:val="00782A6B"/>
    <w:rsid w:val="00784B7A"/>
    <w:rsid w:val="007A5A59"/>
    <w:rsid w:val="007A685B"/>
    <w:rsid w:val="007A6CBA"/>
    <w:rsid w:val="007A7BAF"/>
    <w:rsid w:val="007B24A1"/>
    <w:rsid w:val="007B28E6"/>
    <w:rsid w:val="007C19D2"/>
    <w:rsid w:val="007C1BD4"/>
    <w:rsid w:val="007D40F0"/>
    <w:rsid w:val="007E32CA"/>
    <w:rsid w:val="007E42A4"/>
    <w:rsid w:val="007E64CA"/>
    <w:rsid w:val="007E76AA"/>
    <w:rsid w:val="0080351E"/>
    <w:rsid w:val="00812BD4"/>
    <w:rsid w:val="00815053"/>
    <w:rsid w:val="00815BEE"/>
    <w:rsid w:val="00822327"/>
    <w:rsid w:val="008239B9"/>
    <w:rsid w:val="00842F7F"/>
    <w:rsid w:val="00856388"/>
    <w:rsid w:val="00857227"/>
    <w:rsid w:val="008620E1"/>
    <w:rsid w:val="00862D4A"/>
    <w:rsid w:val="0086485C"/>
    <w:rsid w:val="008762C9"/>
    <w:rsid w:val="00883377"/>
    <w:rsid w:val="008909ED"/>
    <w:rsid w:val="00890DD0"/>
    <w:rsid w:val="0089344E"/>
    <w:rsid w:val="00894339"/>
    <w:rsid w:val="008A03ED"/>
    <w:rsid w:val="008A57F5"/>
    <w:rsid w:val="008A63E5"/>
    <w:rsid w:val="008A6888"/>
    <w:rsid w:val="008B2A89"/>
    <w:rsid w:val="008B30EE"/>
    <w:rsid w:val="008B3AD7"/>
    <w:rsid w:val="008B5A3B"/>
    <w:rsid w:val="008B69D3"/>
    <w:rsid w:val="008C5EB3"/>
    <w:rsid w:val="008C65AF"/>
    <w:rsid w:val="008D339A"/>
    <w:rsid w:val="008D4F3A"/>
    <w:rsid w:val="008E1744"/>
    <w:rsid w:val="008E6243"/>
    <w:rsid w:val="008E6877"/>
    <w:rsid w:val="008F279F"/>
    <w:rsid w:val="008F722B"/>
    <w:rsid w:val="00901DC8"/>
    <w:rsid w:val="00902B85"/>
    <w:rsid w:val="00903857"/>
    <w:rsid w:val="00906320"/>
    <w:rsid w:val="00920B80"/>
    <w:rsid w:val="00925F35"/>
    <w:rsid w:val="00926ACB"/>
    <w:rsid w:val="0093231C"/>
    <w:rsid w:val="00936410"/>
    <w:rsid w:val="00937304"/>
    <w:rsid w:val="0094368C"/>
    <w:rsid w:val="009543AB"/>
    <w:rsid w:val="00961C9C"/>
    <w:rsid w:val="00962F48"/>
    <w:rsid w:val="00970683"/>
    <w:rsid w:val="009A5F76"/>
    <w:rsid w:val="009A6607"/>
    <w:rsid w:val="009B1880"/>
    <w:rsid w:val="009B3766"/>
    <w:rsid w:val="009B6D62"/>
    <w:rsid w:val="009C287B"/>
    <w:rsid w:val="009D091F"/>
    <w:rsid w:val="009D1BF3"/>
    <w:rsid w:val="009D7CED"/>
    <w:rsid w:val="009D7F17"/>
    <w:rsid w:val="009E2693"/>
    <w:rsid w:val="009E67C2"/>
    <w:rsid w:val="009E79A9"/>
    <w:rsid w:val="009E7D7C"/>
    <w:rsid w:val="009F0CF4"/>
    <w:rsid w:val="009F37D9"/>
    <w:rsid w:val="009F3F8E"/>
    <w:rsid w:val="009F646F"/>
    <w:rsid w:val="00A04686"/>
    <w:rsid w:val="00A10E03"/>
    <w:rsid w:val="00A246A8"/>
    <w:rsid w:val="00A30363"/>
    <w:rsid w:val="00A333B3"/>
    <w:rsid w:val="00A33536"/>
    <w:rsid w:val="00A35FF9"/>
    <w:rsid w:val="00A51D76"/>
    <w:rsid w:val="00A53267"/>
    <w:rsid w:val="00A5355A"/>
    <w:rsid w:val="00A556D6"/>
    <w:rsid w:val="00A626A3"/>
    <w:rsid w:val="00A6503C"/>
    <w:rsid w:val="00A6551A"/>
    <w:rsid w:val="00A700A6"/>
    <w:rsid w:val="00A742A6"/>
    <w:rsid w:val="00A84FEE"/>
    <w:rsid w:val="00A941EC"/>
    <w:rsid w:val="00AA09EE"/>
    <w:rsid w:val="00AA6178"/>
    <w:rsid w:val="00AB2B0E"/>
    <w:rsid w:val="00AD347E"/>
    <w:rsid w:val="00AE2366"/>
    <w:rsid w:val="00AE397E"/>
    <w:rsid w:val="00AE7722"/>
    <w:rsid w:val="00AF6829"/>
    <w:rsid w:val="00AF7760"/>
    <w:rsid w:val="00B03608"/>
    <w:rsid w:val="00B05108"/>
    <w:rsid w:val="00B15F67"/>
    <w:rsid w:val="00B21723"/>
    <w:rsid w:val="00B311CD"/>
    <w:rsid w:val="00B403FD"/>
    <w:rsid w:val="00B40846"/>
    <w:rsid w:val="00B41CC5"/>
    <w:rsid w:val="00B50927"/>
    <w:rsid w:val="00B50B50"/>
    <w:rsid w:val="00B50E54"/>
    <w:rsid w:val="00B57C6D"/>
    <w:rsid w:val="00B60C98"/>
    <w:rsid w:val="00B6206A"/>
    <w:rsid w:val="00B64E44"/>
    <w:rsid w:val="00B724BD"/>
    <w:rsid w:val="00B77F9D"/>
    <w:rsid w:val="00B871FA"/>
    <w:rsid w:val="00B917FA"/>
    <w:rsid w:val="00B93BE4"/>
    <w:rsid w:val="00B9677F"/>
    <w:rsid w:val="00BA0DAF"/>
    <w:rsid w:val="00BA2307"/>
    <w:rsid w:val="00BB2977"/>
    <w:rsid w:val="00BB4C44"/>
    <w:rsid w:val="00BB6AC9"/>
    <w:rsid w:val="00BB7D4B"/>
    <w:rsid w:val="00BC31BC"/>
    <w:rsid w:val="00BC5866"/>
    <w:rsid w:val="00BC61A6"/>
    <w:rsid w:val="00BC7CA1"/>
    <w:rsid w:val="00BC7CEA"/>
    <w:rsid w:val="00BD243B"/>
    <w:rsid w:val="00BD392B"/>
    <w:rsid w:val="00BD5B3B"/>
    <w:rsid w:val="00BE0DBA"/>
    <w:rsid w:val="00BE4683"/>
    <w:rsid w:val="00BE64CD"/>
    <w:rsid w:val="00BE6AE0"/>
    <w:rsid w:val="00BE701D"/>
    <w:rsid w:val="00BF2D93"/>
    <w:rsid w:val="00BF560E"/>
    <w:rsid w:val="00BF7547"/>
    <w:rsid w:val="00C01A1C"/>
    <w:rsid w:val="00C022B6"/>
    <w:rsid w:val="00C02B52"/>
    <w:rsid w:val="00C066E1"/>
    <w:rsid w:val="00C133B6"/>
    <w:rsid w:val="00C1772C"/>
    <w:rsid w:val="00C1798F"/>
    <w:rsid w:val="00C22D86"/>
    <w:rsid w:val="00C2531C"/>
    <w:rsid w:val="00C272C0"/>
    <w:rsid w:val="00C3655E"/>
    <w:rsid w:val="00C446BE"/>
    <w:rsid w:val="00C45AD1"/>
    <w:rsid w:val="00C616ED"/>
    <w:rsid w:val="00C65244"/>
    <w:rsid w:val="00C74E7B"/>
    <w:rsid w:val="00C77A9B"/>
    <w:rsid w:val="00C82628"/>
    <w:rsid w:val="00C827B6"/>
    <w:rsid w:val="00C83ABA"/>
    <w:rsid w:val="00C84C0B"/>
    <w:rsid w:val="00C855C0"/>
    <w:rsid w:val="00C86745"/>
    <w:rsid w:val="00C86A13"/>
    <w:rsid w:val="00C950E1"/>
    <w:rsid w:val="00C965C6"/>
    <w:rsid w:val="00C96FFA"/>
    <w:rsid w:val="00C97F2A"/>
    <w:rsid w:val="00CA1E14"/>
    <w:rsid w:val="00CA4638"/>
    <w:rsid w:val="00CB176B"/>
    <w:rsid w:val="00CC27BD"/>
    <w:rsid w:val="00CC2F26"/>
    <w:rsid w:val="00CC64AE"/>
    <w:rsid w:val="00CD262C"/>
    <w:rsid w:val="00CE0DC8"/>
    <w:rsid w:val="00CE3BE3"/>
    <w:rsid w:val="00CE6F2F"/>
    <w:rsid w:val="00CF55FA"/>
    <w:rsid w:val="00CF5F2D"/>
    <w:rsid w:val="00D0378B"/>
    <w:rsid w:val="00D03BCB"/>
    <w:rsid w:val="00D1100D"/>
    <w:rsid w:val="00D11165"/>
    <w:rsid w:val="00D135EA"/>
    <w:rsid w:val="00D154DA"/>
    <w:rsid w:val="00D15631"/>
    <w:rsid w:val="00D1592E"/>
    <w:rsid w:val="00D16C14"/>
    <w:rsid w:val="00D22B85"/>
    <w:rsid w:val="00D23753"/>
    <w:rsid w:val="00D26A36"/>
    <w:rsid w:val="00D26FC1"/>
    <w:rsid w:val="00D333C5"/>
    <w:rsid w:val="00D40250"/>
    <w:rsid w:val="00D4046F"/>
    <w:rsid w:val="00D40BE5"/>
    <w:rsid w:val="00D41017"/>
    <w:rsid w:val="00D459ED"/>
    <w:rsid w:val="00D45E1E"/>
    <w:rsid w:val="00D4683C"/>
    <w:rsid w:val="00D536C9"/>
    <w:rsid w:val="00D53AAD"/>
    <w:rsid w:val="00D541F9"/>
    <w:rsid w:val="00D55967"/>
    <w:rsid w:val="00D563BB"/>
    <w:rsid w:val="00D607A3"/>
    <w:rsid w:val="00D61F47"/>
    <w:rsid w:val="00D66CD9"/>
    <w:rsid w:val="00D704E6"/>
    <w:rsid w:val="00D71D2A"/>
    <w:rsid w:val="00D71DDC"/>
    <w:rsid w:val="00D73756"/>
    <w:rsid w:val="00D75840"/>
    <w:rsid w:val="00D7596E"/>
    <w:rsid w:val="00D75D9D"/>
    <w:rsid w:val="00D7631C"/>
    <w:rsid w:val="00D81610"/>
    <w:rsid w:val="00D832DD"/>
    <w:rsid w:val="00D83FA1"/>
    <w:rsid w:val="00D865E3"/>
    <w:rsid w:val="00D945FF"/>
    <w:rsid w:val="00D9731F"/>
    <w:rsid w:val="00DA0126"/>
    <w:rsid w:val="00DA03F1"/>
    <w:rsid w:val="00DA396E"/>
    <w:rsid w:val="00DA4558"/>
    <w:rsid w:val="00DA7D90"/>
    <w:rsid w:val="00DB0A58"/>
    <w:rsid w:val="00DB5F8A"/>
    <w:rsid w:val="00DC7381"/>
    <w:rsid w:val="00DD0D26"/>
    <w:rsid w:val="00DD1C6E"/>
    <w:rsid w:val="00DE14E2"/>
    <w:rsid w:val="00DE1A8D"/>
    <w:rsid w:val="00DE408E"/>
    <w:rsid w:val="00DF0417"/>
    <w:rsid w:val="00DF14DA"/>
    <w:rsid w:val="00DF316E"/>
    <w:rsid w:val="00DF3CDB"/>
    <w:rsid w:val="00DF732A"/>
    <w:rsid w:val="00E0289A"/>
    <w:rsid w:val="00E03642"/>
    <w:rsid w:val="00E04EF2"/>
    <w:rsid w:val="00E075AE"/>
    <w:rsid w:val="00E4136D"/>
    <w:rsid w:val="00E41ABD"/>
    <w:rsid w:val="00E473DF"/>
    <w:rsid w:val="00E55ABF"/>
    <w:rsid w:val="00E56FAC"/>
    <w:rsid w:val="00E57A82"/>
    <w:rsid w:val="00E66E03"/>
    <w:rsid w:val="00E67CEF"/>
    <w:rsid w:val="00E859C1"/>
    <w:rsid w:val="00E87B25"/>
    <w:rsid w:val="00E90ECC"/>
    <w:rsid w:val="00E913AA"/>
    <w:rsid w:val="00E917B4"/>
    <w:rsid w:val="00E92C97"/>
    <w:rsid w:val="00E95112"/>
    <w:rsid w:val="00E96BF0"/>
    <w:rsid w:val="00EA16D2"/>
    <w:rsid w:val="00EA379A"/>
    <w:rsid w:val="00EB6191"/>
    <w:rsid w:val="00EC16ED"/>
    <w:rsid w:val="00EC34AF"/>
    <w:rsid w:val="00ED3B51"/>
    <w:rsid w:val="00EE17FC"/>
    <w:rsid w:val="00EE217F"/>
    <w:rsid w:val="00EE2F9A"/>
    <w:rsid w:val="00EF32ED"/>
    <w:rsid w:val="00EF35B6"/>
    <w:rsid w:val="00F07AE0"/>
    <w:rsid w:val="00F15074"/>
    <w:rsid w:val="00F15100"/>
    <w:rsid w:val="00F30060"/>
    <w:rsid w:val="00F31C6F"/>
    <w:rsid w:val="00F32725"/>
    <w:rsid w:val="00F3644B"/>
    <w:rsid w:val="00F421D4"/>
    <w:rsid w:val="00F43E83"/>
    <w:rsid w:val="00F44B95"/>
    <w:rsid w:val="00F639A4"/>
    <w:rsid w:val="00F63D16"/>
    <w:rsid w:val="00F66067"/>
    <w:rsid w:val="00F846D6"/>
    <w:rsid w:val="00F87DD6"/>
    <w:rsid w:val="00F9168D"/>
    <w:rsid w:val="00FB00FD"/>
    <w:rsid w:val="00FB0D45"/>
    <w:rsid w:val="00FB1F98"/>
    <w:rsid w:val="00FB32E2"/>
    <w:rsid w:val="00FC30A7"/>
    <w:rsid w:val="00FC3364"/>
    <w:rsid w:val="00FC7F94"/>
    <w:rsid w:val="00FC7FDC"/>
    <w:rsid w:val="00FD084C"/>
    <w:rsid w:val="00FD104C"/>
    <w:rsid w:val="00FD2713"/>
    <w:rsid w:val="00FD7F61"/>
    <w:rsid w:val="00FE3D83"/>
    <w:rsid w:val="00FE7314"/>
    <w:rsid w:val="00FF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29D662"/>
  <w14:defaultImageDpi w14:val="300"/>
  <w15:docId w15:val="{8D18DD2F-41DB-4C8D-B466-5B13411D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CB"/>
    <w:pPr>
      <w:numPr>
        <w:ilvl w:val="1"/>
        <w:numId w:val="2"/>
      </w:numPr>
      <w:tabs>
        <w:tab w:val="clear" w:pos="992"/>
        <w:tab w:val="num" w:pos="851"/>
      </w:tabs>
      <w:spacing w:after="240"/>
      <w:ind w:left="851" w:hanging="851"/>
      <w:jc w:val="both"/>
    </w:pPr>
    <w:rPr>
      <w:rFonts w:ascii="Arial" w:hAnsi="Arial"/>
      <w:sz w:val="23"/>
      <w:szCs w:val="23"/>
      <w:lang w:val="en-AU" w:eastAsia="en-US"/>
    </w:rPr>
  </w:style>
  <w:style w:type="paragraph" w:styleId="Heading1">
    <w:name w:val="heading 1"/>
    <w:basedOn w:val="Normal"/>
    <w:next w:val="Normal"/>
    <w:qFormat/>
    <w:rsid w:val="009E79A9"/>
    <w:pPr>
      <w:numPr>
        <w:ilvl w:val="0"/>
        <w:numId w:val="0"/>
      </w:numPr>
      <w:jc w:val="center"/>
      <w:outlineLvl w:val="0"/>
    </w:pPr>
    <w:rPr>
      <w:b/>
      <w:sz w:val="24"/>
      <w:szCs w:val="24"/>
    </w:rPr>
  </w:style>
  <w:style w:type="paragraph" w:styleId="Heading2">
    <w:name w:val="heading 2"/>
    <w:basedOn w:val="Normal"/>
    <w:next w:val="Normal"/>
    <w:qFormat/>
    <w:rsid w:val="00926ACB"/>
    <w:pPr>
      <w:keepNext/>
      <w:numPr>
        <w:ilvl w:val="0"/>
        <w:numId w:val="0"/>
      </w:numPr>
      <w:outlineLvl w:val="1"/>
    </w:pPr>
    <w:rPr>
      <w:b/>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1General">
    <w:name w:val="FO 1 (General)"/>
    <w:basedOn w:val="Normal"/>
    <w:pPr>
      <w:ind w:left="992"/>
    </w:pPr>
  </w:style>
  <w:style w:type="paragraph" w:customStyle="1" w:styleId="FO1Legal">
    <w:name w:val="FO 1 (Legal)"/>
    <w:basedOn w:val="Normal"/>
    <w:pPr>
      <w:ind w:left="992"/>
    </w:pPr>
  </w:style>
  <w:style w:type="paragraph" w:customStyle="1" w:styleId="FO2Legal">
    <w:name w:val="FO 2 (Legal)"/>
    <w:basedOn w:val="Normal"/>
    <w:pPr>
      <w:ind w:left="992"/>
    </w:pPr>
  </w:style>
  <w:style w:type="paragraph" w:customStyle="1" w:styleId="FO3Legal">
    <w:name w:val="FO 3 (Legal)"/>
    <w:basedOn w:val="Normal"/>
    <w:pPr>
      <w:ind w:left="992"/>
    </w:pPr>
  </w:style>
  <w:style w:type="paragraph" w:customStyle="1" w:styleId="FO4Legal">
    <w:name w:val="FO 4 (Legal)"/>
    <w:basedOn w:val="Normal"/>
    <w:pPr>
      <w:ind w:left="1701"/>
    </w:pPr>
  </w:style>
  <w:style w:type="paragraph" w:customStyle="1" w:styleId="FO5Legal">
    <w:name w:val="FO 5 (Legal)"/>
    <w:basedOn w:val="Normal"/>
    <w:pPr>
      <w:ind w:left="2410"/>
    </w:pPr>
  </w:style>
  <w:style w:type="paragraph" w:customStyle="1" w:styleId="Level1General">
    <w:name w:val="Level 1 (General)"/>
    <w:basedOn w:val="Normal"/>
    <w:pPr>
      <w:tabs>
        <w:tab w:val="clear" w:pos="851"/>
        <w:tab w:val="num" w:pos="992"/>
        <w:tab w:val="left" w:pos="2409"/>
      </w:tabs>
      <w:ind w:left="992" w:hanging="992"/>
      <w:outlineLvl w:val="0"/>
    </w:pPr>
  </w:style>
  <w:style w:type="paragraph" w:customStyle="1" w:styleId="Level1Legal">
    <w:name w:val="Level 1 (Legal)"/>
    <w:basedOn w:val="Normal"/>
    <w:pPr>
      <w:keepNext/>
      <w:numPr>
        <w:numId w:val="1"/>
      </w:numPr>
      <w:tabs>
        <w:tab w:val="left" w:pos="2409"/>
      </w:tabs>
      <w:spacing w:before="120"/>
      <w:outlineLvl w:val="0"/>
    </w:pPr>
    <w:rPr>
      <w:b/>
    </w:rPr>
  </w:style>
  <w:style w:type="paragraph" w:customStyle="1" w:styleId="Level2Legal">
    <w:name w:val="Level 2 (Legal)"/>
    <w:basedOn w:val="Normal"/>
    <w:pPr>
      <w:numPr>
        <w:ilvl w:val="2"/>
        <w:numId w:val="1"/>
      </w:numPr>
      <w:tabs>
        <w:tab w:val="left" w:pos="2409"/>
      </w:tabs>
    </w:pPr>
  </w:style>
  <w:style w:type="paragraph" w:customStyle="1" w:styleId="Level3Legal">
    <w:name w:val="Level 3 (Legal)"/>
    <w:basedOn w:val="Normal"/>
    <w:pPr>
      <w:numPr>
        <w:ilvl w:val="3"/>
        <w:numId w:val="1"/>
      </w:numPr>
      <w:tabs>
        <w:tab w:val="left" w:pos="2409"/>
      </w:tabs>
      <w:outlineLvl w:val="2"/>
    </w:pPr>
  </w:style>
  <w:style w:type="paragraph" w:customStyle="1" w:styleId="Level4Legal">
    <w:name w:val="Level 4 (Legal)"/>
    <w:basedOn w:val="Normal"/>
    <w:rsid w:val="00C65244"/>
    <w:pPr>
      <w:numPr>
        <w:ilvl w:val="0"/>
        <w:numId w:val="15"/>
      </w:numPr>
      <w:ind w:left="1418" w:hanging="567"/>
    </w:pPr>
  </w:style>
  <w:style w:type="paragraph" w:customStyle="1" w:styleId="Level5Legal">
    <w:name w:val="Level 5 (Legal)"/>
    <w:basedOn w:val="Normal"/>
    <w:pPr>
      <w:numPr>
        <w:ilvl w:val="5"/>
        <w:numId w:val="1"/>
      </w:numPr>
    </w:pPr>
  </w:style>
  <w:style w:type="paragraph" w:styleId="TOC1">
    <w:name w:val="toc 1"/>
    <w:basedOn w:val="Normal"/>
    <w:next w:val="Normal"/>
    <w:autoRedefine/>
    <w:semiHidden/>
    <w:pPr>
      <w:tabs>
        <w:tab w:val="right" w:pos="9056"/>
      </w:tabs>
      <w:spacing w:before="240"/>
      <w:jc w:val="left"/>
    </w:pPr>
    <w:rPr>
      <w:b/>
      <w:noProof/>
    </w:rPr>
  </w:style>
  <w:style w:type="paragraph" w:styleId="TOC2">
    <w:name w:val="toc 2"/>
    <w:basedOn w:val="Normal"/>
    <w:next w:val="Normal"/>
    <w:autoRedefine/>
    <w:semiHidden/>
    <w:pPr>
      <w:tabs>
        <w:tab w:val="right" w:pos="9056"/>
      </w:tabs>
      <w:spacing w:before="120"/>
      <w:ind w:left="992"/>
      <w:jc w:val="left"/>
    </w:pPr>
    <w:rPr>
      <w:noProof/>
      <w:sz w:val="20"/>
    </w:rPr>
  </w:style>
  <w:style w:type="paragraph" w:styleId="TOC3">
    <w:name w:val="toc 3"/>
    <w:basedOn w:val="Normal"/>
    <w:next w:val="Normal"/>
    <w:autoRedefine/>
    <w:semiHidden/>
    <w:pPr>
      <w:tabs>
        <w:tab w:val="right" w:pos="9056"/>
      </w:tabs>
      <w:ind w:left="1701"/>
      <w:jc w:val="left"/>
    </w:pPr>
    <w:rPr>
      <w:noProof/>
      <w:sz w:val="20"/>
    </w:rPr>
  </w:style>
  <w:style w:type="paragraph" w:customStyle="1" w:styleId="AgreementHeading">
    <w:name w:val="Agreement Heading"/>
    <w:basedOn w:val="Normal"/>
    <w:pPr>
      <w:tabs>
        <w:tab w:val="left" w:pos="2381"/>
      </w:tabs>
      <w:spacing w:before="120" w:after="360"/>
      <w:jc w:val="left"/>
    </w:pPr>
    <w:rPr>
      <w:b/>
      <w:caps/>
      <w:sz w:val="26"/>
    </w:rPr>
  </w:style>
  <w:style w:type="paragraph" w:customStyle="1" w:styleId="AgreementTitle">
    <w:name w:val="Agreement Title"/>
    <w:basedOn w:val="Normal"/>
    <w:pPr>
      <w:tabs>
        <w:tab w:val="left" w:pos="2381"/>
      </w:tabs>
      <w:jc w:val="center"/>
    </w:pPr>
    <w:rPr>
      <w:b/>
      <w:caps/>
      <w:sz w:val="26"/>
    </w:rPr>
  </w:style>
  <w:style w:type="paragraph" w:customStyle="1" w:styleId="FO2General">
    <w:name w:val="FO 2 (General)"/>
    <w:basedOn w:val="Normal"/>
    <w:pPr>
      <w:ind w:left="992"/>
    </w:pPr>
  </w:style>
  <w:style w:type="paragraph" w:customStyle="1" w:styleId="FO3General">
    <w:name w:val="FO 3 (General)"/>
    <w:basedOn w:val="Normal"/>
    <w:pPr>
      <w:ind w:left="1701"/>
    </w:pPr>
  </w:style>
  <w:style w:type="paragraph" w:customStyle="1" w:styleId="Level2General">
    <w:name w:val="Level 2 (General)"/>
    <w:basedOn w:val="Normal"/>
    <w:pPr>
      <w:numPr>
        <w:ilvl w:val="2"/>
      </w:numPr>
      <w:tabs>
        <w:tab w:val="left" w:pos="2409"/>
      </w:tabs>
      <w:outlineLvl w:val="1"/>
    </w:pPr>
  </w:style>
  <w:style w:type="paragraph" w:customStyle="1" w:styleId="Level3General">
    <w:name w:val="Level 3 (General)"/>
    <w:basedOn w:val="Normal"/>
    <w:pPr>
      <w:numPr>
        <w:ilvl w:val="3"/>
      </w:numPr>
      <w:tabs>
        <w:tab w:val="left" w:pos="2409"/>
      </w:tabs>
      <w:outlineLvl w:val="2"/>
    </w:pPr>
  </w:style>
  <w:style w:type="paragraph" w:customStyle="1" w:styleId="Background">
    <w:name w:val="Background"/>
    <w:basedOn w:val="Normal"/>
    <w:pPr>
      <w:numPr>
        <w:numId w:val="3"/>
      </w:numPr>
      <w:tabs>
        <w:tab w:val="left" w:pos="2381"/>
      </w:tabs>
    </w:pPr>
  </w:style>
  <w:style w:type="paragraph" w:styleId="Header">
    <w:name w:val="header"/>
    <w:basedOn w:val="Normal"/>
    <w:pPr>
      <w:tabs>
        <w:tab w:val="center" w:pos="4320"/>
        <w:tab w:val="right" w:pos="8640"/>
      </w:tabs>
    </w:pPr>
  </w:style>
  <w:style w:type="character" w:customStyle="1" w:styleId="Comment">
    <w:name w:val="Comment"/>
    <w:basedOn w:val="DefaultParagraphFont"/>
    <w:rPr>
      <w:b/>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0General">
    <w:name w:val="Level 0 (General)"/>
    <w:basedOn w:val="Normal"/>
    <w:next w:val="Normal"/>
    <w:pPr>
      <w:tabs>
        <w:tab w:val="clear" w:pos="851"/>
        <w:tab w:val="num" w:pos="992"/>
        <w:tab w:val="left" w:pos="2409"/>
      </w:tabs>
      <w:spacing w:line="20" w:lineRule="exact"/>
      <w:ind w:left="992" w:hanging="992"/>
    </w:pPr>
    <w:rPr>
      <w:b/>
      <w:color w:val="FFFFFF"/>
    </w:rPr>
  </w:style>
  <w:style w:type="paragraph" w:customStyle="1" w:styleId="Level0Legal">
    <w:name w:val="Level 0 (Legal)"/>
    <w:basedOn w:val="Normal"/>
    <w:next w:val="Normal"/>
    <w:pPr>
      <w:numPr>
        <w:ilvl w:val="0"/>
        <w:numId w:val="0"/>
      </w:numPr>
      <w:tabs>
        <w:tab w:val="num" w:pos="992"/>
        <w:tab w:val="left" w:pos="2409"/>
      </w:tabs>
      <w:spacing w:line="20" w:lineRule="exact"/>
      <w:ind w:left="992" w:hanging="992"/>
    </w:pPr>
    <w:rPr>
      <w:b/>
      <w:color w:val="FFFFFF"/>
    </w:rPr>
  </w:style>
  <w:style w:type="paragraph" w:customStyle="1" w:styleId="FO0General">
    <w:name w:val="FO 0 (General)"/>
    <w:basedOn w:val="Normal"/>
    <w:pPr>
      <w:ind w:left="992"/>
    </w:pPr>
  </w:style>
  <w:style w:type="paragraph" w:customStyle="1" w:styleId="FO0Legal">
    <w:name w:val="FO 0 (Legal)"/>
    <w:basedOn w:val="Normal"/>
    <w:pPr>
      <w:ind w:left="992"/>
    </w:pPr>
  </w:style>
  <w:style w:type="character" w:styleId="Hyperlink">
    <w:name w:val="Hyperlink"/>
    <w:basedOn w:val="DefaultParagraphFont"/>
    <w:rPr>
      <w:color w:val="0000FF"/>
      <w:u w:val="single"/>
    </w:rPr>
  </w:style>
  <w:style w:type="character" w:customStyle="1" w:styleId="DefinitionBrackets">
    <w:name w:val="DefinitionBrackets"/>
    <w:basedOn w:val="DefaultParagraphFont"/>
    <w:rsid w:val="00D333C5"/>
    <w:rPr>
      <w:rFonts w:ascii="Arial" w:hAnsi="Arial" w:cs="Arial"/>
      <w:b w:val="0"/>
      <w:sz w:val="21"/>
    </w:rPr>
  </w:style>
  <w:style w:type="paragraph" w:styleId="FootnoteText">
    <w:name w:val="footnote text"/>
    <w:basedOn w:val="Normal"/>
    <w:link w:val="FootnoteTextChar"/>
    <w:unhideWhenUsed/>
    <w:rsid w:val="00D333C5"/>
    <w:pPr>
      <w:jc w:val="left"/>
    </w:pPr>
    <w:rPr>
      <w:rFonts w:asciiTheme="minorHAnsi" w:hAnsiTheme="minorHAnsi" w:cstheme="minorBidi"/>
      <w:sz w:val="24"/>
      <w:szCs w:val="24"/>
      <w:lang w:eastAsia="ja-JP"/>
    </w:rPr>
  </w:style>
  <w:style w:type="character" w:customStyle="1" w:styleId="FootnoteTextChar">
    <w:name w:val="Footnote Text Char"/>
    <w:basedOn w:val="DefaultParagraphFont"/>
    <w:link w:val="FootnoteText"/>
    <w:rsid w:val="00D333C5"/>
    <w:rPr>
      <w:rFonts w:asciiTheme="minorHAnsi" w:hAnsiTheme="minorHAnsi" w:cstheme="minorBidi"/>
      <w:sz w:val="24"/>
      <w:szCs w:val="24"/>
      <w:lang w:val="en-AU"/>
    </w:rPr>
  </w:style>
  <w:style w:type="character" w:styleId="FootnoteReference">
    <w:name w:val="footnote reference"/>
    <w:basedOn w:val="DefaultParagraphFont"/>
    <w:unhideWhenUsed/>
    <w:rsid w:val="00D333C5"/>
    <w:rPr>
      <w:vertAlign w:val="superscript"/>
    </w:rPr>
  </w:style>
  <w:style w:type="numbering" w:customStyle="1" w:styleId="List1">
    <w:name w:val="List 1"/>
    <w:rsid w:val="001A65ED"/>
  </w:style>
  <w:style w:type="character" w:customStyle="1" w:styleId="FootnoteReference1">
    <w:name w:val="Footnote Reference1"/>
    <w:autoRedefine/>
    <w:rsid w:val="001A65ED"/>
    <w:rPr>
      <w:color w:val="000000"/>
      <w:sz w:val="20"/>
      <w:vertAlign w:val="superscript"/>
    </w:rPr>
  </w:style>
  <w:style w:type="paragraph" w:customStyle="1" w:styleId="FootnoteText1">
    <w:name w:val="Footnote Text1"/>
    <w:autoRedefine/>
    <w:rsid w:val="001A65ED"/>
    <w:pPr>
      <w:tabs>
        <w:tab w:val="left" w:pos="992"/>
        <w:tab w:val="left" w:pos="1701"/>
        <w:tab w:val="left" w:pos="2410"/>
      </w:tabs>
      <w:jc w:val="both"/>
    </w:pPr>
    <w:rPr>
      <w:rFonts w:eastAsia="ヒラギノ角ゴ Pro W3"/>
      <w:color w:val="000000"/>
      <w:lang w:val="en-AU" w:eastAsia="en-US"/>
    </w:rPr>
  </w:style>
  <w:style w:type="paragraph" w:styleId="ListParagraph">
    <w:name w:val="List Paragraph"/>
    <w:basedOn w:val="Normal"/>
    <w:uiPriority w:val="34"/>
    <w:qFormat/>
    <w:rsid w:val="00890DD0"/>
    <w:pPr>
      <w:ind w:left="720"/>
      <w:contextualSpacing/>
    </w:pPr>
  </w:style>
  <w:style w:type="paragraph" w:styleId="BalloonText">
    <w:name w:val="Balloon Text"/>
    <w:basedOn w:val="Normal"/>
    <w:link w:val="BalloonTextChar"/>
    <w:rsid w:val="00D73756"/>
    <w:rPr>
      <w:rFonts w:ascii="Lucida Grande" w:hAnsi="Lucida Grande" w:cs="Lucida Grande"/>
      <w:sz w:val="18"/>
      <w:szCs w:val="18"/>
    </w:rPr>
  </w:style>
  <w:style w:type="character" w:customStyle="1" w:styleId="BalloonTextChar">
    <w:name w:val="Balloon Text Char"/>
    <w:basedOn w:val="DefaultParagraphFont"/>
    <w:link w:val="BalloonText"/>
    <w:rsid w:val="00D73756"/>
    <w:rPr>
      <w:rFonts w:ascii="Lucida Grande" w:hAnsi="Lucida Grande" w:cs="Lucida Grande"/>
      <w:sz w:val="18"/>
      <w:szCs w:val="18"/>
      <w:lang w:val="en-AU" w:eastAsia="en-US"/>
    </w:rPr>
  </w:style>
  <w:style w:type="paragraph" w:customStyle="1" w:styleId="Fractions">
    <w:name w:val="Fractions"/>
    <w:basedOn w:val="Normal"/>
    <w:rsid w:val="009D091F"/>
    <w:pPr>
      <w:tabs>
        <w:tab w:val="left" w:pos="567"/>
      </w:tabs>
    </w:pPr>
    <w:rPr>
      <w:rFonts w:eastAsia="Times New Roman"/>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E3A57EF42484D8B194BCF43214089" ma:contentTypeVersion="0" ma:contentTypeDescription="Create a new document." ma:contentTypeScope="" ma:versionID="2cb408e1799b061d41d7dea5747947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9D18-8ABB-4FDB-86CD-02C94C8D2BAD}">
  <ds:schemaRefs>
    <ds:schemaRef ds:uri="http://schemas.microsoft.com/sharepoint/v3/contenttype/forms"/>
  </ds:schemaRefs>
</ds:datastoreItem>
</file>

<file path=customXml/itemProps2.xml><?xml version="1.0" encoding="utf-8"?>
<ds:datastoreItem xmlns:ds="http://schemas.openxmlformats.org/officeDocument/2006/customXml" ds:itemID="{6E1024E3-0F7E-45FC-91CA-268CFF73A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F0FC0-CC26-426D-B99F-E59561FE5E8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BC14D00-4119-4418-A4D0-370A7AEB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3644</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32—Response to the proposed reforms to the Copyright Act 1968—APRA / AMCOS</vt:lpstr>
    </vt:vector>
  </TitlesOfParts>
  <Company>Banki Haddock Fiora</Company>
  <LinksUpToDate>false</LinksUpToDate>
  <CharactersWithSpaces>22976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proposed reforms to the Copyright Act 1968—APRA / AMCOS</dc:title>
  <dc:subject/>
  <dc:creator>Banki Haddock Fiora</dc:creator>
  <cp:keywords/>
  <dc:description/>
  <cp:lastModifiedBy>Theresa Hall</cp:lastModifiedBy>
  <cp:revision>5</cp:revision>
  <cp:lastPrinted>2015-04-09T22:33:00Z</cp:lastPrinted>
  <dcterms:created xsi:type="dcterms:W3CDTF">2016-03-01T00:53:00Z</dcterms:created>
  <dcterms:modified xsi:type="dcterms:W3CDTF">2016-03-16T00:13:00Z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0x010100025E3A57EF42484D8B194BCF43214089</vt:lpwstr>
  </property>
  <property fmtid="{D5CDD505-2E9C-101B-9397-08002B2CF9AE}" pid="3" name="TrimRevisionNumber">
    <vt:i4>1</vt:i4>
  </property>
</Properties>
</file>