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36" w:rsidRPr="003949C2" w:rsidRDefault="00360236" w:rsidP="00360236">
      <w:pPr>
        <w:spacing w:after="0" w:line="240" w:lineRule="auto"/>
        <w:jc w:val="center"/>
        <w:rPr>
          <w:rFonts w:ascii="Geneva" w:hAnsi="Geneva" w:cs="Arial"/>
          <w:b/>
        </w:rPr>
      </w:pPr>
      <w:r w:rsidRPr="003949C2">
        <w:rPr>
          <w:rFonts w:ascii="Geneva" w:hAnsi="Geneva" w:cs="Arial"/>
          <w:b/>
        </w:rPr>
        <w:t>Department of Communications</w:t>
      </w:r>
    </w:p>
    <w:p w:rsidR="00360236" w:rsidRPr="003949C2" w:rsidRDefault="00360236" w:rsidP="00360236">
      <w:pPr>
        <w:spacing w:after="0"/>
        <w:jc w:val="center"/>
        <w:rPr>
          <w:rFonts w:ascii="Geneva" w:hAnsi="Geneva" w:cs="Arial"/>
          <w:b/>
        </w:rPr>
      </w:pPr>
      <w:r w:rsidRPr="003949C2">
        <w:rPr>
          <w:rFonts w:ascii="Geneva" w:hAnsi="Geneva" w:cs="Arial"/>
          <w:b/>
        </w:rPr>
        <w:t xml:space="preserve">Spectrum Review </w:t>
      </w:r>
    </w:p>
    <w:p w:rsidR="00360236" w:rsidRPr="00360236" w:rsidRDefault="00360236" w:rsidP="00360236">
      <w:pPr>
        <w:jc w:val="center"/>
        <w:rPr>
          <w:rFonts w:ascii="Geneva" w:hAnsi="Geneva" w:cs="Arial"/>
          <w:b/>
        </w:rPr>
      </w:pPr>
      <w:r w:rsidRPr="003949C2">
        <w:rPr>
          <w:rFonts w:ascii="Geneva" w:hAnsi="Geneva" w:cs="Arial"/>
          <w:b/>
        </w:rPr>
        <w:t>Public Consultation</w:t>
      </w:r>
    </w:p>
    <w:p w:rsidR="00360236" w:rsidRDefault="00360236" w:rsidP="00360236">
      <w:pPr>
        <w:jc w:val="center"/>
        <w:rPr>
          <w:rFonts w:ascii="Geneva" w:hAnsi="Geneva" w:cs="Arial"/>
          <w:sz w:val="28"/>
          <w:szCs w:val="28"/>
        </w:rPr>
      </w:pPr>
      <w:r>
        <w:rPr>
          <w:rFonts w:ascii="Geneva" w:hAnsi="Geneva" w:cs="Arial"/>
          <w:sz w:val="28"/>
          <w:szCs w:val="28"/>
        </w:rPr>
        <w:t>Response</w:t>
      </w:r>
      <w:r w:rsidRPr="00D27C48">
        <w:rPr>
          <w:rFonts w:ascii="Geneva" w:hAnsi="Geneva" w:cs="Arial"/>
          <w:sz w:val="28"/>
          <w:szCs w:val="28"/>
        </w:rPr>
        <w:t xml:space="preserve"> to Terms of Reference</w:t>
      </w:r>
    </w:p>
    <w:p w:rsidR="00360236" w:rsidRPr="00360236" w:rsidRDefault="00360236" w:rsidP="00360236">
      <w:pPr>
        <w:spacing w:line="240" w:lineRule="auto"/>
        <w:rPr>
          <w:rFonts w:cs="Arial"/>
        </w:rPr>
      </w:pPr>
      <w:r w:rsidRPr="00360236">
        <w:rPr>
          <w:rFonts w:cs="Arial"/>
        </w:rPr>
        <w:t>Whilst the author is currently a consultant in Australia for clients in the satellite industry, this submission represents a personal point of view which also draws on experience as a regulator with AUSTEL and its successor, the Australian Communications Authority.</w:t>
      </w:r>
      <w:r>
        <w:rPr>
          <w:rFonts w:cs="Arial"/>
        </w:rPr>
        <w:t xml:space="preserve"> </w:t>
      </w:r>
      <w:r w:rsidRPr="00360236">
        <w:rPr>
          <w:rFonts w:cs="Arial"/>
        </w:rPr>
        <w:t xml:space="preserve"> Some examples from the satellite industry are </w:t>
      </w:r>
      <w:r w:rsidR="00297617">
        <w:rPr>
          <w:rFonts w:cs="Arial"/>
        </w:rPr>
        <w:t>provided because of their</w:t>
      </w:r>
      <w:r w:rsidRPr="00360236">
        <w:rPr>
          <w:rFonts w:cs="Arial"/>
        </w:rPr>
        <w:t xml:space="preserve"> current </w:t>
      </w:r>
      <w:r w:rsidR="00297617">
        <w:rPr>
          <w:rFonts w:cs="Arial"/>
        </w:rPr>
        <w:t>value</w:t>
      </w:r>
      <w:r w:rsidRPr="00360236">
        <w:rPr>
          <w:rFonts w:cs="Arial"/>
        </w:rPr>
        <w:t>.</w:t>
      </w:r>
    </w:p>
    <w:p w:rsidR="00BF7163" w:rsidRDefault="00BF7163">
      <w:pPr>
        <w:rPr>
          <w:rFonts w:ascii="Calibri" w:hAnsi="Calibri" w:cs="Segoe UI"/>
          <w:b/>
          <w:color w:val="000000"/>
        </w:rPr>
      </w:pPr>
      <w:r w:rsidRPr="00BF7163">
        <w:rPr>
          <w:rFonts w:ascii="Calibri" w:hAnsi="Calibri" w:cs="Segoe UI"/>
          <w:b/>
          <w:color w:val="000000"/>
        </w:rPr>
        <w:t>PREFACING REMARKS</w:t>
      </w:r>
    </w:p>
    <w:p w:rsidR="00BF7163" w:rsidRDefault="00BF7163" w:rsidP="00BF7163">
      <w:pPr>
        <w:spacing w:line="240" w:lineRule="auto"/>
        <w:rPr>
          <w:rFonts w:ascii="Calibri" w:hAnsi="Calibri" w:cs="Segoe UI"/>
          <w:color w:val="000000"/>
        </w:rPr>
      </w:pPr>
      <w:r>
        <w:rPr>
          <w:rFonts w:ascii="Calibri" w:hAnsi="Calibri" w:cs="Segoe UI"/>
          <w:color w:val="000000"/>
        </w:rPr>
        <w:t xml:space="preserve">Spectrum – like energy – cannot be created or destroyed.  It merely exists.  Also like energy, it can assume many different forms, in terms of applications. The applications and the efficiency by which they use spectrum </w:t>
      </w:r>
      <w:r w:rsidR="00085A0D">
        <w:rPr>
          <w:rFonts w:ascii="Calibri" w:hAnsi="Calibri" w:cs="Segoe UI"/>
          <w:color w:val="000000"/>
        </w:rPr>
        <w:t xml:space="preserve">come </w:t>
      </w:r>
      <w:proofErr w:type="gramStart"/>
      <w:r w:rsidR="00085A0D">
        <w:rPr>
          <w:rFonts w:ascii="Calibri" w:hAnsi="Calibri" w:cs="Segoe UI"/>
          <w:color w:val="000000"/>
        </w:rPr>
        <w:t xml:space="preserve">about </w:t>
      </w:r>
      <w:r>
        <w:rPr>
          <w:rFonts w:ascii="Calibri" w:hAnsi="Calibri" w:cs="Segoe UI"/>
          <w:color w:val="000000"/>
        </w:rPr>
        <w:t xml:space="preserve"> because</w:t>
      </w:r>
      <w:proofErr w:type="gramEnd"/>
      <w:r>
        <w:rPr>
          <w:rFonts w:ascii="Calibri" w:hAnsi="Calibri" w:cs="Segoe UI"/>
          <w:color w:val="000000"/>
        </w:rPr>
        <w:t xml:space="preserve"> of technology advances and economic boundaries which apply to this limited natural resource. The scale of implementation of applications follows market demand and international determination. </w:t>
      </w:r>
    </w:p>
    <w:p w:rsidR="00BF7163" w:rsidRDefault="00BF7163" w:rsidP="00BF7163">
      <w:pPr>
        <w:spacing w:line="240" w:lineRule="auto"/>
        <w:rPr>
          <w:rFonts w:ascii="Calibri" w:hAnsi="Calibri" w:cs="Segoe UI"/>
          <w:color w:val="000000"/>
        </w:rPr>
      </w:pPr>
      <w:r>
        <w:rPr>
          <w:rFonts w:ascii="Calibri" w:hAnsi="Calibri" w:cs="Segoe UI"/>
          <w:color w:val="000000"/>
        </w:rPr>
        <w:t xml:space="preserve">Once a backwater reserved to the attention of an exclusive group of technocrats, spectrum came to broader visibility on a political and </w:t>
      </w:r>
      <w:r w:rsidR="001E55BB">
        <w:rPr>
          <w:rFonts w:ascii="Calibri" w:hAnsi="Calibri" w:cs="Segoe UI"/>
          <w:color w:val="000000"/>
        </w:rPr>
        <w:t xml:space="preserve">larger </w:t>
      </w:r>
      <w:r>
        <w:rPr>
          <w:rFonts w:ascii="Calibri" w:hAnsi="Calibri" w:cs="Segoe UI"/>
          <w:color w:val="000000"/>
        </w:rPr>
        <w:t>industry scale with the onset of spectrum auctions</w:t>
      </w:r>
      <w:r w:rsidR="007A748A">
        <w:rPr>
          <w:rFonts w:ascii="Calibri" w:hAnsi="Calibri" w:cs="Segoe UI"/>
          <w:color w:val="000000"/>
        </w:rPr>
        <w:t xml:space="preserve"> designed to cope with spectrum scarcity which began to appear especially below 6 GHz.  Treasuries became aware of the value of spectrum through windfall gains from auctions and thereupon extracted public recompense for the use of the natural resource on a level never seen before. </w:t>
      </w:r>
      <w:r>
        <w:rPr>
          <w:rFonts w:ascii="Calibri" w:hAnsi="Calibri" w:cs="Segoe UI"/>
          <w:color w:val="000000"/>
        </w:rPr>
        <w:t xml:space="preserve"> </w:t>
      </w:r>
      <w:r w:rsidR="007A748A">
        <w:rPr>
          <w:rFonts w:ascii="Calibri" w:hAnsi="Calibri" w:cs="Segoe UI"/>
          <w:color w:val="000000"/>
        </w:rPr>
        <w:t xml:space="preserve">At the same time, these were funds usually lost to the specific communications industry forever and mobile carriers in particular. This was the first </w:t>
      </w:r>
      <w:r w:rsidR="001E55BB">
        <w:rPr>
          <w:rFonts w:ascii="Calibri" w:hAnsi="Calibri" w:cs="Segoe UI"/>
          <w:color w:val="000000"/>
        </w:rPr>
        <w:t xml:space="preserve">of </w:t>
      </w:r>
      <w:r w:rsidR="007A748A">
        <w:rPr>
          <w:rFonts w:ascii="Calibri" w:hAnsi="Calibri" w:cs="Segoe UI"/>
          <w:color w:val="000000"/>
        </w:rPr>
        <w:t xml:space="preserve">broader consequence of spectrum management initiatives beyond the clinical valuation and sale process.  Today, mobile carriage is a commodity business – creation of value and profits comes with “over-the-top” IP services riding on these networks </w:t>
      </w:r>
      <w:r w:rsidR="00B42B3E">
        <w:rPr>
          <w:rFonts w:ascii="Calibri" w:hAnsi="Calibri" w:cs="Segoe UI"/>
          <w:color w:val="000000"/>
        </w:rPr>
        <w:t xml:space="preserve">- </w:t>
      </w:r>
      <w:r w:rsidR="007A748A">
        <w:rPr>
          <w:rFonts w:ascii="Calibri" w:hAnsi="Calibri" w:cs="Segoe UI"/>
          <w:color w:val="000000"/>
        </w:rPr>
        <w:t xml:space="preserve">and the deep pockets of pure carriage providers are a thing of </w:t>
      </w:r>
      <w:r w:rsidR="001E55BB">
        <w:rPr>
          <w:rFonts w:ascii="Calibri" w:hAnsi="Calibri" w:cs="Segoe UI"/>
          <w:color w:val="000000"/>
        </w:rPr>
        <w:t>history</w:t>
      </w:r>
      <w:r w:rsidR="007A748A">
        <w:rPr>
          <w:rFonts w:ascii="Calibri" w:hAnsi="Calibri" w:cs="Segoe UI"/>
          <w:color w:val="000000"/>
        </w:rPr>
        <w:t>.</w:t>
      </w:r>
      <w:r w:rsidR="00B42B3E">
        <w:rPr>
          <w:rFonts w:ascii="Calibri" w:hAnsi="Calibri" w:cs="Segoe UI"/>
          <w:color w:val="000000"/>
        </w:rPr>
        <w:t xml:space="preserve">  Survival</w:t>
      </w:r>
      <w:r w:rsidR="00085A0D">
        <w:rPr>
          <w:rFonts w:ascii="Calibri" w:hAnsi="Calibri" w:cs="Segoe UI"/>
          <w:color w:val="000000"/>
        </w:rPr>
        <w:t xml:space="preserve"> for mobile carriage operators</w:t>
      </w:r>
      <w:r w:rsidR="00B42B3E">
        <w:rPr>
          <w:rFonts w:ascii="Calibri" w:hAnsi="Calibri" w:cs="Segoe UI"/>
          <w:color w:val="000000"/>
        </w:rPr>
        <w:t xml:space="preserve"> is now a serious concern</w:t>
      </w:r>
      <w:r w:rsidR="00085A0D">
        <w:rPr>
          <w:rFonts w:ascii="Calibri" w:hAnsi="Calibri" w:cs="Segoe UI"/>
          <w:color w:val="000000"/>
        </w:rPr>
        <w:t xml:space="preserve"> and misleading information on spectrum needs can be financially ruinous</w:t>
      </w:r>
      <w:r w:rsidR="00B42B3E">
        <w:rPr>
          <w:rFonts w:ascii="Calibri" w:hAnsi="Calibri" w:cs="Segoe UI"/>
          <w:color w:val="000000"/>
        </w:rPr>
        <w:t>.</w:t>
      </w:r>
    </w:p>
    <w:p w:rsidR="00B42B3E" w:rsidRDefault="00B42B3E" w:rsidP="00BF7163">
      <w:pPr>
        <w:spacing w:line="240" w:lineRule="auto"/>
        <w:rPr>
          <w:rFonts w:ascii="Calibri" w:hAnsi="Calibri" w:cs="Segoe UI"/>
          <w:color w:val="000000"/>
        </w:rPr>
      </w:pPr>
      <w:r>
        <w:rPr>
          <w:rFonts w:ascii="Calibri" w:hAnsi="Calibri" w:cs="Segoe UI"/>
          <w:color w:val="000000"/>
        </w:rPr>
        <w:t xml:space="preserve">Since the creation of the </w:t>
      </w:r>
      <w:proofErr w:type="spellStart"/>
      <w:r>
        <w:rPr>
          <w:rFonts w:ascii="Calibri" w:hAnsi="Calibri" w:cs="Segoe UI"/>
          <w:color w:val="000000"/>
        </w:rPr>
        <w:t>Radiocommunications</w:t>
      </w:r>
      <w:proofErr w:type="spellEnd"/>
      <w:r>
        <w:rPr>
          <w:rFonts w:ascii="Calibri" w:hAnsi="Calibri" w:cs="Segoe UI"/>
          <w:color w:val="000000"/>
        </w:rPr>
        <w:t xml:space="preserve"> Act, the importance of communications has grown significantly, especially with convergence.  Communications – that is telecommunications, radio communications and broadcasting – has formed the bedrock of broadband policies and their implementation throughout the world. In Australia, Communications has been a Cabinet Portfolio for some time, recognising its importance. At the same time, </w:t>
      </w:r>
      <w:r w:rsidR="0003567B">
        <w:rPr>
          <w:rFonts w:ascii="Calibri" w:hAnsi="Calibri" w:cs="Segoe UI"/>
          <w:color w:val="000000"/>
        </w:rPr>
        <w:t>the creation of national broadband policies has</w:t>
      </w:r>
      <w:r>
        <w:rPr>
          <w:rFonts w:ascii="Calibri" w:hAnsi="Calibri" w:cs="Segoe UI"/>
          <w:color w:val="000000"/>
        </w:rPr>
        <w:t xml:space="preserve"> sought to embrace all forms of government portfolios and programs together with the broadest range of industry and social inclusion.  Not to do this would consign broadband policy to failure.</w:t>
      </w:r>
    </w:p>
    <w:p w:rsidR="0003567B" w:rsidRDefault="0003567B" w:rsidP="00BF7163">
      <w:pPr>
        <w:spacing w:line="240" w:lineRule="auto"/>
        <w:rPr>
          <w:rFonts w:ascii="Calibri" w:hAnsi="Calibri" w:cs="Segoe UI"/>
          <w:color w:val="000000"/>
        </w:rPr>
      </w:pPr>
      <w:r>
        <w:rPr>
          <w:rFonts w:ascii="Calibri" w:hAnsi="Calibri" w:cs="Segoe UI"/>
          <w:color w:val="000000"/>
        </w:rPr>
        <w:t>Telecommunications regulation</w:t>
      </w:r>
      <w:r w:rsidR="00085A0D">
        <w:rPr>
          <w:rFonts w:ascii="Calibri" w:hAnsi="Calibri" w:cs="Segoe UI"/>
          <w:color w:val="000000"/>
        </w:rPr>
        <w:t xml:space="preserve"> in Australia</w:t>
      </w:r>
      <w:r>
        <w:rPr>
          <w:rFonts w:ascii="Calibri" w:hAnsi="Calibri" w:cs="Segoe UI"/>
          <w:color w:val="000000"/>
        </w:rPr>
        <w:t xml:space="preserve"> has seen a modernised adaptation to the current environment with the outsourcing of many regulatory functions to industry over the past decade or so.  This has occurred</w:t>
      </w:r>
      <w:r w:rsidR="00C671E6">
        <w:rPr>
          <w:rFonts w:ascii="Calibri" w:hAnsi="Calibri" w:cs="Segoe UI"/>
          <w:color w:val="000000"/>
        </w:rPr>
        <w:t xml:space="preserve">, </w:t>
      </w:r>
      <w:r>
        <w:rPr>
          <w:rFonts w:ascii="Calibri" w:hAnsi="Calibri" w:cs="Segoe UI"/>
          <w:color w:val="000000"/>
        </w:rPr>
        <w:t>for instance</w:t>
      </w:r>
      <w:r w:rsidR="00C671E6">
        <w:rPr>
          <w:rFonts w:ascii="Calibri" w:hAnsi="Calibri" w:cs="Segoe UI"/>
          <w:color w:val="000000"/>
        </w:rPr>
        <w:t>,</w:t>
      </w:r>
      <w:r>
        <w:rPr>
          <w:rFonts w:ascii="Calibri" w:hAnsi="Calibri" w:cs="Segoe UI"/>
          <w:color w:val="000000"/>
        </w:rPr>
        <w:t xml:space="preserve"> with the previous myriad of subordinate legislation involving codes and standards, together with simplifications to licensing overheads.  The creation of ACIF and its successor the Communications Alliance and their performance bears witness to the successful investment of confidence in industry to take on regulatory functions and to reduce the need for government involvement and sometimes secondary priority</w:t>
      </w:r>
      <w:r w:rsidR="00085A0D">
        <w:rPr>
          <w:rFonts w:ascii="Calibri" w:hAnsi="Calibri" w:cs="Segoe UI"/>
          <w:color w:val="000000"/>
        </w:rPr>
        <w:t xml:space="preserve"> setting by a government regulator</w:t>
      </w:r>
      <w:r>
        <w:rPr>
          <w:rFonts w:ascii="Calibri" w:hAnsi="Calibri" w:cs="Segoe UI"/>
          <w:color w:val="000000"/>
        </w:rPr>
        <w:t xml:space="preserve"> in a dynamic market place.</w:t>
      </w:r>
      <w:r w:rsidR="00C671E6">
        <w:rPr>
          <w:rFonts w:ascii="Calibri" w:hAnsi="Calibri" w:cs="Segoe UI"/>
          <w:color w:val="000000"/>
        </w:rPr>
        <w:t xml:space="preserve">  The approach has also eased </w:t>
      </w:r>
      <w:r w:rsidR="00085A0D">
        <w:rPr>
          <w:rFonts w:ascii="Calibri" w:hAnsi="Calibri" w:cs="Segoe UI"/>
          <w:color w:val="000000"/>
        </w:rPr>
        <w:t xml:space="preserve">what would otherwise have been </w:t>
      </w:r>
      <w:r w:rsidR="00C671E6">
        <w:rPr>
          <w:rFonts w:ascii="Calibri" w:hAnsi="Calibri" w:cs="Segoe UI"/>
          <w:color w:val="000000"/>
        </w:rPr>
        <w:t xml:space="preserve">an unrealistic budget demand.  </w:t>
      </w:r>
      <w:proofErr w:type="spellStart"/>
      <w:r w:rsidR="00C671E6">
        <w:rPr>
          <w:rFonts w:ascii="Calibri" w:hAnsi="Calibri" w:cs="Segoe UI"/>
          <w:color w:val="000000"/>
        </w:rPr>
        <w:t>Radiocommunications</w:t>
      </w:r>
      <w:proofErr w:type="spellEnd"/>
      <w:r w:rsidR="00C671E6">
        <w:rPr>
          <w:rFonts w:ascii="Calibri" w:hAnsi="Calibri" w:cs="Segoe UI"/>
          <w:color w:val="000000"/>
        </w:rPr>
        <w:t xml:space="preserve"> has yet to undergo such radical surgery.</w:t>
      </w:r>
    </w:p>
    <w:p w:rsidR="00C671E6" w:rsidRDefault="00C671E6" w:rsidP="00BF7163">
      <w:pPr>
        <w:spacing w:line="240" w:lineRule="auto"/>
        <w:rPr>
          <w:rFonts w:ascii="Calibri" w:hAnsi="Calibri" w:cs="Segoe UI"/>
          <w:color w:val="000000"/>
        </w:rPr>
      </w:pPr>
      <w:r>
        <w:rPr>
          <w:rFonts w:ascii="Calibri" w:hAnsi="Calibri" w:cs="Segoe UI"/>
          <w:color w:val="000000"/>
        </w:rPr>
        <w:t xml:space="preserve">The ACMA has done a formidable job in </w:t>
      </w:r>
      <w:proofErr w:type="spellStart"/>
      <w:r>
        <w:rPr>
          <w:rFonts w:ascii="Calibri" w:hAnsi="Calibri" w:cs="Segoe UI"/>
          <w:color w:val="000000"/>
        </w:rPr>
        <w:t>radiocommunications</w:t>
      </w:r>
      <w:proofErr w:type="spellEnd"/>
      <w:r>
        <w:rPr>
          <w:rFonts w:ascii="Calibri" w:hAnsi="Calibri" w:cs="Segoe UI"/>
          <w:color w:val="000000"/>
        </w:rPr>
        <w:t xml:space="preserve"> within the constraints of its remit.  The noble aim of becoming the World’s best converged regulator is a good aspiration and rallying </w:t>
      </w:r>
      <w:r>
        <w:rPr>
          <w:rFonts w:ascii="Calibri" w:hAnsi="Calibri" w:cs="Segoe UI"/>
          <w:color w:val="000000"/>
        </w:rPr>
        <w:lastRenderedPageBreak/>
        <w:t>cry, and the ACMA has done its best to achieve that.  It has established a reputation amongst its peers for innovation and timely and sensible outcomes.</w:t>
      </w:r>
    </w:p>
    <w:p w:rsidR="00F947E9" w:rsidRDefault="00C671E6" w:rsidP="00BF7163">
      <w:pPr>
        <w:spacing w:line="240" w:lineRule="auto"/>
        <w:rPr>
          <w:rFonts w:ascii="Calibri" w:hAnsi="Calibri" w:cs="Segoe UI"/>
          <w:color w:val="000000"/>
        </w:rPr>
      </w:pPr>
      <w:r>
        <w:rPr>
          <w:rFonts w:ascii="Calibri" w:hAnsi="Calibri" w:cs="Segoe UI"/>
          <w:color w:val="000000"/>
        </w:rPr>
        <w:t>Despite this, the ACMA is a victim of narrowly cast legislation</w:t>
      </w:r>
      <w:r w:rsidR="00F3040E">
        <w:rPr>
          <w:rFonts w:ascii="Calibri" w:hAnsi="Calibri" w:cs="Segoe UI"/>
          <w:color w:val="000000"/>
        </w:rPr>
        <w:t xml:space="preserve"> and structure </w:t>
      </w:r>
      <w:r>
        <w:rPr>
          <w:rFonts w:ascii="Calibri" w:hAnsi="Calibri" w:cs="Segoe UI"/>
          <w:color w:val="000000"/>
        </w:rPr>
        <w:t xml:space="preserve">provided </w:t>
      </w:r>
      <w:r w:rsidR="00265CEA">
        <w:rPr>
          <w:rFonts w:ascii="Calibri" w:hAnsi="Calibri" w:cs="Segoe UI"/>
          <w:color w:val="000000"/>
        </w:rPr>
        <w:t>for in</w:t>
      </w:r>
      <w:r>
        <w:rPr>
          <w:rFonts w:ascii="Calibri" w:hAnsi="Calibri" w:cs="Segoe UI"/>
          <w:color w:val="000000"/>
        </w:rPr>
        <w:t xml:space="preserve"> the current </w:t>
      </w:r>
      <w:proofErr w:type="spellStart"/>
      <w:r>
        <w:rPr>
          <w:rFonts w:ascii="Calibri" w:hAnsi="Calibri" w:cs="Segoe UI"/>
          <w:color w:val="000000"/>
        </w:rPr>
        <w:t>Radiocommunications</w:t>
      </w:r>
      <w:proofErr w:type="spellEnd"/>
      <w:r>
        <w:rPr>
          <w:rFonts w:ascii="Calibri" w:hAnsi="Calibri" w:cs="Segoe UI"/>
          <w:color w:val="000000"/>
        </w:rPr>
        <w:t xml:space="preserve"> Act and the ACMA Act. The Object of the </w:t>
      </w:r>
      <w:proofErr w:type="spellStart"/>
      <w:r>
        <w:rPr>
          <w:rFonts w:ascii="Calibri" w:hAnsi="Calibri" w:cs="Segoe UI"/>
          <w:color w:val="000000"/>
        </w:rPr>
        <w:t>Radiocommunications</w:t>
      </w:r>
      <w:proofErr w:type="spellEnd"/>
      <w:r>
        <w:rPr>
          <w:rFonts w:ascii="Calibri" w:hAnsi="Calibri" w:cs="Segoe UI"/>
          <w:color w:val="000000"/>
        </w:rPr>
        <w:t xml:space="preserve"> Act centres around Communications Policy </w:t>
      </w:r>
      <w:r w:rsidR="00F3040E">
        <w:rPr>
          <w:rFonts w:ascii="Calibri" w:hAnsi="Calibri" w:cs="Segoe UI"/>
          <w:color w:val="000000"/>
        </w:rPr>
        <w:t>objectives</w:t>
      </w:r>
      <w:r w:rsidR="00265CEA">
        <w:rPr>
          <w:rFonts w:ascii="Calibri" w:hAnsi="Calibri" w:cs="Segoe UI"/>
          <w:color w:val="000000"/>
        </w:rPr>
        <w:t xml:space="preserve"> only, and these are</w:t>
      </w:r>
      <w:r w:rsidR="00F3040E">
        <w:rPr>
          <w:rFonts w:ascii="Calibri" w:hAnsi="Calibri" w:cs="Segoe UI"/>
          <w:color w:val="000000"/>
        </w:rPr>
        <w:t xml:space="preserve"> framed in technical efficiency and technology terms, and the valuation and charging for spectrum. In its role of </w:t>
      </w:r>
      <w:proofErr w:type="gramStart"/>
      <w:r w:rsidR="00F3040E">
        <w:rPr>
          <w:rFonts w:ascii="Calibri" w:hAnsi="Calibri" w:cs="Segoe UI"/>
          <w:color w:val="000000"/>
        </w:rPr>
        <w:t>implementing  policy</w:t>
      </w:r>
      <w:proofErr w:type="gramEnd"/>
      <w:r w:rsidR="00F3040E">
        <w:rPr>
          <w:rFonts w:ascii="Calibri" w:hAnsi="Calibri" w:cs="Segoe UI"/>
          <w:color w:val="000000"/>
        </w:rPr>
        <w:t xml:space="preserve">, the ACMA Act </w:t>
      </w:r>
      <w:r w:rsidR="00F02C27">
        <w:rPr>
          <w:rFonts w:ascii="Calibri" w:hAnsi="Calibri" w:cs="Segoe UI"/>
          <w:color w:val="000000"/>
        </w:rPr>
        <w:t>is obliged to continue</w:t>
      </w:r>
      <w:r w:rsidR="00F3040E">
        <w:rPr>
          <w:rFonts w:ascii="Calibri" w:hAnsi="Calibri" w:cs="Segoe UI"/>
          <w:color w:val="000000"/>
        </w:rPr>
        <w:t xml:space="preserve"> this </w:t>
      </w:r>
      <w:r w:rsidR="00F947E9">
        <w:rPr>
          <w:rFonts w:ascii="Calibri" w:hAnsi="Calibri" w:cs="Segoe UI"/>
          <w:color w:val="000000"/>
        </w:rPr>
        <w:t xml:space="preserve">narrow </w:t>
      </w:r>
      <w:r w:rsidR="00F3040E">
        <w:rPr>
          <w:rFonts w:ascii="Calibri" w:hAnsi="Calibri" w:cs="Segoe UI"/>
          <w:color w:val="000000"/>
        </w:rPr>
        <w:t>constraint and the ACMA</w:t>
      </w:r>
      <w:r w:rsidR="00243624">
        <w:rPr>
          <w:rFonts w:ascii="Calibri" w:hAnsi="Calibri" w:cs="Segoe UI"/>
          <w:color w:val="000000"/>
        </w:rPr>
        <w:t xml:space="preserve"> is virtually left</w:t>
      </w:r>
      <w:r w:rsidR="00F3040E">
        <w:rPr>
          <w:rFonts w:ascii="Calibri" w:hAnsi="Calibri" w:cs="Segoe UI"/>
          <w:color w:val="000000"/>
        </w:rPr>
        <w:t xml:space="preserve"> on its own to feel its way forward in interpreting the practical meaning of Parliament’s intentions.  Neither is the ACMA subject to a formalised</w:t>
      </w:r>
      <w:r w:rsidR="00F947E9">
        <w:rPr>
          <w:rFonts w:ascii="Calibri" w:hAnsi="Calibri" w:cs="Segoe UI"/>
          <w:color w:val="000000"/>
        </w:rPr>
        <w:t xml:space="preserve"> continu</w:t>
      </w:r>
      <w:r w:rsidR="00F3040E">
        <w:rPr>
          <w:rFonts w:ascii="Calibri" w:hAnsi="Calibri" w:cs="Segoe UI"/>
          <w:color w:val="000000"/>
        </w:rPr>
        <w:t xml:space="preserve">ous </w:t>
      </w:r>
      <w:r w:rsidR="00F947E9">
        <w:rPr>
          <w:rFonts w:ascii="Calibri" w:hAnsi="Calibri" w:cs="Segoe UI"/>
          <w:color w:val="000000"/>
        </w:rPr>
        <w:t>oversight</w:t>
      </w:r>
      <w:r w:rsidR="00F3040E">
        <w:rPr>
          <w:rFonts w:ascii="Calibri" w:hAnsi="Calibri" w:cs="Segoe UI"/>
          <w:color w:val="000000"/>
        </w:rPr>
        <w:t xml:space="preserve"> working relationship with policy makers </w:t>
      </w:r>
      <w:r w:rsidR="00265CEA">
        <w:rPr>
          <w:rFonts w:ascii="Calibri" w:hAnsi="Calibri" w:cs="Segoe UI"/>
          <w:color w:val="000000"/>
        </w:rPr>
        <w:t>in t</w:t>
      </w:r>
      <w:r w:rsidR="00F947E9">
        <w:rPr>
          <w:rFonts w:ascii="Calibri" w:hAnsi="Calibri" w:cs="Segoe UI"/>
          <w:color w:val="000000"/>
        </w:rPr>
        <w:t xml:space="preserve">he Department of Communications </w:t>
      </w:r>
      <w:r w:rsidR="00F3040E">
        <w:rPr>
          <w:rFonts w:ascii="Calibri" w:hAnsi="Calibri" w:cs="Segoe UI"/>
          <w:color w:val="000000"/>
        </w:rPr>
        <w:t xml:space="preserve">who could </w:t>
      </w:r>
      <w:r w:rsidR="00F947E9">
        <w:rPr>
          <w:rFonts w:ascii="Calibri" w:hAnsi="Calibri" w:cs="Segoe UI"/>
          <w:color w:val="000000"/>
        </w:rPr>
        <w:t xml:space="preserve">conceivably </w:t>
      </w:r>
      <w:r w:rsidR="00243624">
        <w:rPr>
          <w:rFonts w:ascii="Calibri" w:hAnsi="Calibri" w:cs="Segoe UI"/>
          <w:color w:val="000000"/>
        </w:rPr>
        <w:t>bring</w:t>
      </w:r>
      <w:r w:rsidR="00F947E9">
        <w:rPr>
          <w:rFonts w:ascii="Calibri" w:hAnsi="Calibri" w:cs="Segoe UI"/>
          <w:color w:val="000000"/>
        </w:rPr>
        <w:t xml:space="preserve"> in broader perspectives</w:t>
      </w:r>
      <w:r w:rsidR="00F3040E">
        <w:rPr>
          <w:rFonts w:ascii="Calibri" w:hAnsi="Calibri" w:cs="Segoe UI"/>
          <w:color w:val="000000"/>
        </w:rPr>
        <w:t xml:space="preserve">. </w:t>
      </w:r>
    </w:p>
    <w:p w:rsidR="00F3040E" w:rsidRDefault="00F3040E" w:rsidP="00BF7163">
      <w:pPr>
        <w:spacing w:line="240" w:lineRule="auto"/>
        <w:rPr>
          <w:rFonts w:ascii="Calibri" w:hAnsi="Calibri" w:cs="Segoe UI"/>
          <w:color w:val="000000"/>
        </w:rPr>
      </w:pPr>
      <w:r>
        <w:rPr>
          <w:rFonts w:ascii="Calibri" w:hAnsi="Calibri" w:cs="Segoe UI"/>
          <w:color w:val="000000"/>
        </w:rPr>
        <w:t>There are unintended consequences – even collateral damage – which can arise through lack of a broader evaluation of the effect of spectrum management decisions</w:t>
      </w:r>
      <w:r w:rsidR="00576F3D">
        <w:rPr>
          <w:rFonts w:ascii="Calibri" w:hAnsi="Calibri" w:cs="Segoe UI"/>
          <w:color w:val="000000"/>
        </w:rPr>
        <w:t xml:space="preserve">. For instance, in the satellite industry, an issue over the future use of C-band in Australia – whether this should be adapted for terrestrial IMT applications or </w:t>
      </w:r>
      <w:r w:rsidR="00265CEA">
        <w:rPr>
          <w:rFonts w:ascii="Calibri" w:hAnsi="Calibri" w:cs="Segoe UI"/>
          <w:color w:val="000000"/>
        </w:rPr>
        <w:t>retained</w:t>
      </w:r>
      <w:r w:rsidR="00576F3D">
        <w:rPr>
          <w:rFonts w:ascii="Calibri" w:hAnsi="Calibri" w:cs="Segoe UI"/>
          <w:color w:val="000000"/>
        </w:rPr>
        <w:t xml:space="preserve"> for use by satellite communications has some consequences :</w:t>
      </w:r>
    </w:p>
    <w:p w:rsidR="00576F3D" w:rsidRDefault="00576F3D" w:rsidP="00576F3D">
      <w:pPr>
        <w:pStyle w:val="ListParagraph"/>
        <w:numPr>
          <w:ilvl w:val="0"/>
          <w:numId w:val="1"/>
        </w:numPr>
        <w:spacing w:line="240" w:lineRule="auto"/>
        <w:rPr>
          <w:rFonts w:ascii="Calibri" w:hAnsi="Calibri" w:cs="Segoe UI"/>
          <w:color w:val="000000"/>
        </w:rPr>
      </w:pPr>
      <w:r>
        <w:rPr>
          <w:rFonts w:ascii="Calibri" w:hAnsi="Calibri" w:cs="Segoe UI"/>
          <w:color w:val="000000"/>
        </w:rPr>
        <w:t>Australia’s regional neighbours in the Pacific are highly dependent on C-band which is virtually a lifeline service.  Australia’s foreign policy would indicate that Australia’s role as a regional leader should be taken into account</w:t>
      </w:r>
      <w:r w:rsidR="00243624">
        <w:rPr>
          <w:rFonts w:ascii="Calibri" w:hAnsi="Calibri" w:cs="Segoe UI"/>
          <w:color w:val="000000"/>
        </w:rPr>
        <w:t xml:space="preserve"> in a supportive</w:t>
      </w:r>
      <w:r w:rsidR="00265CEA">
        <w:rPr>
          <w:rFonts w:ascii="Calibri" w:hAnsi="Calibri" w:cs="Segoe UI"/>
          <w:color w:val="000000"/>
        </w:rPr>
        <w:t xml:space="preserve"> way</w:t>
      </w:r>
      <w:r>
        <w:rPr>
          <w:rFonts w:ascii="Calibri" w:hAnsi="Calibri" w:cs="Segoe UI"/>
          <w:color w:val="000000"/>
        </w:rPr>
        <w:t xml:space="preserve"> in arriving at C-band decisions in the international arena</w:t>
      </w:r>
    </w:p>
    <w:p w:rsidR="00256C40" w:rsidRDefault="00256C40" w:rsidP="00256C40">
      <w:pPr>
        <w:pStyle w:val="ListParagraph"/>
        <w:spacing w:line="240" w:lineRule="auto"/>
        <w:rPr>
          <w:rFonts w:ascii="Calibri" w:hAnsi="Calibri" w:cs="Segoe UI"/>
          <w:color w:val="000000"/>
        </w:rPr>
      </w:pPr>
    </w:p>
    <w:p w:rsidR="00576F3D" w:rsidRDefault="00576F3D" w:rsidP="00576F3D">
      <w:pPr>
        <w:pStyle w:val="ListParagraph"/>
        <w:numPr>
          <w:ilvl w:val="0"/>
          <w:numId w:val="1"/>
        </w:numPr>
        <w:spacing w:line="240" w:lineRule="auto"/>
        <w:rPr>
          <w:rFonts w:ascii="Calibri" w:hAnsi="Calibri" w:cs="Segoe UI"/>
          <w:color w:val="000000"/>
        </w:rPr>
      </w:pPr>
      <w:r>
        <w:rPr>
          <w:rFonts w:ascii="Calibri" w:hAnsi="Calibri" w:cs="Segoe UI"/>
          <w:color w:val="000000"/>
        </w:rPr>
        <w:t>The r</w:t>
      </w:r>
      <w:r w:rsidR="00F81873">
        <w:rPr>
          <w:rFonts w:ascii="Calibri" w:hAnsi="Calibri" w:cs="Segoe UI"/>
          <w:color w:val="000000"/>
        </w:rPr>
        <w:t xml:space="preserve">esources industry in Australia </w:t>
      </w:r>
      <w:r>
        <w:rPr>
          <w:rFonts w:ascii="Calibri" w:hAnsi="Calibri" w:cs="Segoe UI"/>
          <w:color w:val="000000"/>
        </w:rPr>
        <w:t xml:space="preserve">has significant investments in Africa (with $27b poised for investment).  This industry is controlled 24/7 from Perth via a C-band network.  The consequences of electronic isolation from </w:t>
      </w:r>
      <w:r w:rsidR="00F81873">
        <w:rPr>
          <w:rFonts w:ascii="Calibri" w:hAnsi="Calibri" w:cs="Segoe UI"/>
          <w:color w:val="000000"/>
        </w:rPr>
        <w:t xml:space="preserve">the workface of </w:t>
      </w:r>
      <w:r>
        <w:rPr>
          <w:rFonts w:ascii="Calibri" w:hAnsi="Calibri" w:cs="Segoe UI"/>
          <w:color w:val="000000"/>
        </w:rPr>
        <w:t>this industry</w:t>
      </w:r>
      <w:r w:rsidR="00243624">
        <w:rPr>
          <w:rFonts w:ascii="Calibri" w:hAnsi="Calibri" w:cs="Segoe UI"/>
          <w:color w:val="000000"/>
        </w:rPr>
        <w:t xml:space="preserve"> by the demise of C-band</w:t>
      </w:r>
      <w:r>
        <w:rPr>
          <w:rFonts w:ascii="Calibri" w:hAnsi="Calibri" w:cs="Segoe UI"/>
          <w:color w:val="000000"/>
        </w:rPr>
        <w:t xml:space="preserve"> </w:t>
      </w:r>
      <w:r w:rsidR="00243624">
        <w:rPr>
          <w:rFonts w:ascii="Calibri" w:hAnsi="Calibri" w:cs="Segoe UI"/>
          <w:color w:val="000000"/>
        </w:rPr>
        <w:t>would</w:t>
      </w:r>
      <w:r>
        <w:rPr>
          <w:rFonts w:ascii="Calibri" w:hAnsi="Calibri" w:cs="Segoe UI"/>
          <w:color w:val="000000"/>
        </w:rPr>
        <w:t xml:space="preserve"> cause it to walk</w:t>
      </w:r>
      <w:r w:rsidR="00F81873">
        <w:rPr>
          <w:rFonts w:ascii="Calibri" w:hAnsi="Calibri" w:cs="Segoe UI"/>
          <w:color w:val="000000"/>
        </w:rPr>
        <w:t xml:space="preserve"> </w:t>
      </w:r>
      <w:r>
        <w:rPr>
          <w:rFonts w:ascii="Calibri" w:hAnsi="Calibri" w:cs="Segoe UI"/>
          <w:color w:val="000000"/>
        </w:rPr>
        <w:t>away from being established in Australia, and an unintended consequential loss estimated at some $8b</w:t>
      </w:r>
      <w:r w:rsidR="005141BB">
        <w:rPr>
          <w:rFonts w:ascii="Calibri" w:hAnsi="Calibri" w:cs="Segoe UI"/>
          <w:color w:val="000000"/>
        </w:rPr>
        <w:t>pa</w:t>
      </w:r>
      <w:r>
        <w:rPr>
          <w:rFonts w:ascii="Calibri" w:hAnsi="Calibri" w:cs="Segoe UI"/>
          <w:color w:val="000000"/>
        </w:rPr>
        <w:t xml:space="preserve"> to the tax take.  This indicates that </w:t>
      </w:r>
      <w:r w:rsidR="00F81873">
        <w:rPr>
          <w:rFonts w:ascii="Calibri" w:hAnsi="Calibri" w:cs="Segoe UI"/>
          <w:color w:val="000000"/>
        </w:rPr>
        <w:t>parties</w:t>
      </w:r>
      <w:r>
        <w:rPr>
          <w:rFonts w:ascii="Calibri" w:hAnsi="Calibri" w:cs="Segoe UI"/>
          <w:color w:val="000000"/>
        </w:rPr>
        <w:t xml:space="preserve"> which are not primary stakeholders for the ACMA are not accounted for in decisions.</w:t>
      </w:r>
    </w:p>
    <w:p w:rsidR="00256C40" w:rsidRDefault="00256C40" w:rsidP="00256C40">
      <w:pPr>
        <w:pStyle w:val="ListParagraph"/>
        <w:spacing w:line="240" w:lineRule="auto"/>
        <w:rPr>
          <w:rFonts w:ascii="Calibri" w:hAnsi="Calibri" w:cs="Segoe UI"/>
          <w:color w:val="000000"/>
        </w:rPr>
      </w:pPr>
    </w:p>
    <w:p w:rsidR="00576F3D" w:rsidRPr="00576F3D" w:rsidRDefault="00256C40" w:rsidP="00576F3D">
      <w:pPr>
        <w:pStyle w:val="ListParagraph"/>
        <w:numPr>
          <w:ilvl w:val="0"/>
          <w:numId w:val="1"/>
        </w:numPr>
        <w:spacing w:line="240" w:lineRule="auto"/>
        <w:rPr>
          <w:rFonts w:ascii="Calibri" w:hAnsi="Calibri" w:cs="Segoe UI"/>
          <w:color w:val="000000"/>
        </w:rPr>
      </w:pPr>
      <w:r>
        <w:rPr>
          <w:rFonts w:ascii="Calibri" w:hAnsi="Calibri" w:cs="Segoe UI"/>
          <w:color w:val="000000"/>
        </w:rPr>
        <w:t>At the last count, the ACMA estimated some 200,000 C-band earth stations in Australia receiving Direct to the Home transmissions in C-band.  Many of these are via fortuitous reception from foreign broadcasters.  Yet the ACMA steadfastly refuses to accept and offer protection to ubiquitous satellite reception as being a valid market.   This is in contrast to the 10-year strategy of OFCOM</w:t>
      </w:r>
      <w:r w:rsidR="00F81873">
        <w:rPr>
          <w:rFonts w:ascii="Calibri" w:hAnsi="Calibri" w:cs="Segoe UI"/>
          <w:color w:val="000000"/>
        </w:rPr>
        <w:t xml:space="preserve"> in the UK</w:t>
      </w:r>
      <w:r>
        <w:rPr>
          <w:rFonts w:ascii="Calibri" w:hAnsi="Calibri" w:cs="Segoe UI"/>
          <w:color w:val="000000"/>
        </w:rPr>
        <w:t xml:space="preserve"> which welcomes the viable future of DTH in the UK. It is also in contrast with the ACMA acceptance of ubiquitous mobile terrestrial terminals.  Ubiquity is a fact of life in the industry and a proposal from the UK intended for the ITU-R Working Party 5D in June 2014 adequately captures the appropriate sentiment :</w:t>
      </w:r>
    </w:p>
    <w:p w:rsidR="00183ED1" w:rsidRDefault="00256C40">
      <w:pPr>
        <w:rPr>
          <w:rFonts w:ascii="Calibri" w:hAnsi="Calibri" w:cs="Segoe UI"/>
          <w:color w:val="000000"/>
        </w:rPr>
      </w:pPr>
      <w:r>
        <w:rPr>
          <w:rFonts w:ascii="Calibri" w:hAnsi="Calibri" w:cs="Segoe UI"/>
          <w:color w:val="000000"/>
        </w:rPr>
        <w:t>“</w:t>
      </w:r>
      <w:r w:rsidR="00EF0CBB" w:rsidRPr="00256C40">
        <w:rPr>
          <w:rFonts w:ascii="Calibri" w:hAnsi="Calibri" w:cs="Segoe UI"/>
          <w:i/>
          <w:color w:val="000000"/>
        </w:rPr>
        <w:t xml:space="preserve">Users should be able to receive ubiquitous access to the services that they desire from any device, anywhere, anytime – whether they are in an urban, sub-urban or rural area. To achieve this, it will be necessary to integrate various access technologies, which might include a combination of different fixed, terrestrial mobile and </w:t>
      </w:r>
      <w:r w:rsidR="00EF0CBB" w:rsidRPr="00256C40">
        <w:rPr>
          <w:rFonts w:ascii="Calibri" w:hAnsi="Calibri" w:cs="Segoe UI"/>
          <w:b/>
          <w:bCs/>
          <w:i/>
          <w:color w:val="000000"/>
        </w:rPr>
        <w:t>satellite</w:t>
      </w:r>
      <w:r w:rsidR="00EF0CBB" w:rsidRPr="00256C40">
        <w:rPr>
          <w:rFonts w:ascii="Calibri" w:hAnsi="Calibri" w:cs="Segoe UI"/>
          <w:i/>
          <w:color w:val="000000"/>
        </w:rPr>
        <w:t xml:space="preserve"> networks.  The key characteristic of this convergence is that each component should not only play its own important role but should also be integrated with other components to provide ubiquitous and seamless coverage of IMT capabilities</w:t>
      </w:r>
      <w:r w:rsidR="00EF0CBB">
        <w:rPr>
          <w:rFonts w:ascii="Calibri" w:hAnsi="Calibri" w:cs="Segoe UI"/>
          <w:color w:val="000000"/>
        </w:rPr>
        <w:t>.</w:t>
      </w:r>
      <w:r>
        <w:rPr>
          <w:rFonts w:ascii="Calibri" w:hAnsi="Calibri" w:cs="Segoe UI"/>
          <w:color w:val="000000"/>
        </w:rPr>
        <w:t>”</w:t>
      </w:r>
    </w:p>
    <w:p w:rsidR="00FB203E" w:rsidRDefault="00FB203E">
      <w:pPr>
        <w:rPr>
          <w:rFonts w:ascii="Calibri" w:hAnsi="Calibri" w:cs="Segoe UI"/>
          <w:color w:val="000000"/>
        </w:rPr>
      </w:pPr>
      <w:r>
        <w:rPr>
          <w:rFonts w:ascii="Calibri" w:hAnsi="Calibri" w:cs="Segoe UI"/>
          <w:color w:val="000000"/>
        </w:rPr>
        <w:t xml:space="preserve">The UK also offers a useful structural model for spectrum management </w:t>
      </w:r>
      <w:r w:rsidR="00243624">
        <w:rPr>
          <w:rFonts w:ascii="Calibri" w:hAnsi="Calibri" w:cs="Segoe UI"/>
          <w:color w:val="000000"/>
        </w:rPr>
        <w:t>involving</w:t>
      </w:r>
      <w:r>
        <w:rPr>
          <w:rFonts w:ascii="Calibri" w:hAnsi="Calibri" w:cs="Segoe UI"/>
          <w:color w:val="000000"/>
        </w:rPr>
        <w:t xml:space="preserve"> oversight of the regulatory decisions by OFCOM, by a Committee of the Department on spectrum matters.  This enables a broader caucus of consideration of regulatory decisions and policy advice by various Government portfolio representatives, together with inputs from a parallel industry body feeding into the Committee.  OFCOM can then get on with the job with a clear </w:t>
      </w:r>
      <w:r w:rsidR="00F947E9">
        <w:rPr>
          <w:rFonts w:ascii="Calibri" w:hAnsi="Calibri" w:cs="Segoe UI"/>
          <w:color w:val="000000"/>
        </w:rPr>
        <w:t>implementation perspective</w:t>
      </w:r>
      <w:r>
        <w:rPr>
          <w:rFonts w:ascii="Calibri" w:hAnsi="Calibri" w:cs="Segoe UI"/>
          <w:color w:val="000000"/>
        </w:rPr>
        <w:t>.</w:t>
      </w:r>
    </w:p>
    <w:p w:rsidR="00FB203E" w:rsidRDefault="00FB203E">
      <w:pPr>
        <w:rPr>
          <w:rFonts w:ascii="Calibri" w:hAnsi="Calibri" w:cs="Segoe UI"/>
          <w:color w:val="000000"/>
        </w:rPr>
      </w:pPr>
      <w:r>
        <w:rPr>
          <w:rFonts w:ascii="Calibri" w:hAnsi="Calibri" w:cs="Segoe UI"/>
          <w:color w:val="000000"/>
        </w:rPr>
        <w:lastRenderedPageBreak/>
        <w:t xml:space="preserve">By contrast, in Australia we </w:t>
      </w:r>
      <w:r w:rsidR="00F947E9">
        <w:rPr>
          <w:rFonts w:ascii="Calibri" w:hAnsi="Calibri" w:cs="Segoe UI"/>
          <w:color w:val="000000"/>
        </w:rPr>
        <w:t xml:space="preserve">have </w:t>
      </w:r>
      <w:r>
        <w:rPr>
          <w:rFonts w:ascii="Calibri" w:hAnsi="Calibri" w:cs="Segoe UI"/>
          <w:color w:val="000000"/>
        </w:rPr>
        <w:t xml:space="preserve">had </w:t>
      </w:r>
      <w:r w:rsidR="00F81873">
        <w:rPr>
          <w:rFonts w:ascii="Calibri" w:hAnsi="Calibri" w:cs="Segoe UI"/>
          <w:color w:val="000000"/>
        </w:rPr>
        <w:t>a degree of</w:t>
      </w:r>
      <w:r>
        <w:rPr>
          <w:rFonts w:ascii="Calibri" w:hAnsi="Calibri" w:cs="Segoe UI"/>
          <w:color w:val="000000"/>
        </w:rPr>
        <w:t xml:space="preserve"> broader oversight and interaction through the ACMA’s International </w:t>
      </w:r>
      <w:proofErr w:type="spellStart"/>
      <w:r>
        <w:rPr>
          <w:rFonts w:ascii="Calibri" w:hAnsi="Calibri" w:cs="Segoe UI"/>
          <w:color w:val="000000"/>
        </w:rPr>
        <w:t>Radiocommunications</w:t>
      </w:r>
      <w:proofErr w:type="spellEnd"/>
      <w:r>
        <w:rPr>
          <w:rFonts w:ascii="Calibri" w:hAnsi="Calibri" w:cs="Segoe UI"/>
          <w:color w:val="000000"/>
        </w:rPr>
        <w:t xml:space="preserve"> Advisory Committee (now in demise), an</w:t>
      </w:r>
      <w:r w:rsidR="00F947E9">
        <w:rPr>
          <w:rFonts w:ascii="Calibri" w:hAnsi="Calibri" w:cs="Segoe UI"/>
          <w:color w:val="000000"/>
        </w:rPr>
        <w:t xml:space="preserve">d the </w:t>
      </w:r>
      <w:proofErr w:type="spellStart"/>
      <w:r w:rsidR="00F947E9">
        <w:rPr>
          <w:rFonts w:ascii="Calibri" w:hAnsi="Calibri" w:cs="Segoe UI"/>
          <w:color w:val="000000"/>
        </w:rPr>
        <w:t>Radiocommunication</w:t>
      </w:r>
      <w:r>
        <w:rPr>
          <w:rFonts w:ascii="Calibri" w:hAnsi="Calibri" w:cs="Segoe UI"/>
          <w:color w:val="000000"/>
        </w:rPr>
        <w:t>s</w:t>
      </w:r>
      <w:proofErr w:type="spellEnd"/>
      <w:r>
        <w:rPr>
          <w:rFonts w:ascii="Calibri" w:hAnsi="Calibri" w:cs="Segoe UI"/>
          <w:color w:val="000000"/>
        </w:rPr>
        <w:t xml:space="preserve"> Consultative Committee (which has not met for 2 years).  It appears that the ACMA has retreated from broader consultation, except for public discussion papers </w:t>
      </w:r>
      <w:r w:rsidR="00F947E9">
        <w:rPr>
          <w:rFonts w:ascii="Calibri" w:hAnsi="Calibri" w:cs="Segoe UI"/>
          <w:color w:val="000000"/>
        </w:rPr>
        <w:t xml:space="preserve">- </w:t>
      </w:r>
      <w:r>
        <w:rPr>
          <w:rFonts w:ascii="Calibri" w:hAnsi="Calibri" w:cs="Segoe UI"/>
          <w:color w:val="000000"/>
        </w:rPr>
        <w:t xml:space="preserve">at a time when such consultation is very valid.  Even with the public consultation which occurs, this is often one way, and resulting ACMA decisions are </w:t>
      </w:r>
      <w:r w:rsidR="00F947E9">
        <w:rPr>
          <w:rFonts w:ascii="Calibri" w:hAnsi="Calibri" w:cs="Segoe UI"/>
          <w:color w:val="000000"/>
        </w:rPr>
        <w:t xml:space="preserve">often </w:t>
      </w:r>
      <w:r>
        <w:rPr>
          <w:rFonts w:ascii="Calibri" w:hAnsi="Calibri" w:cs="Segoe UI"/>
          <w:color w:val="000000"/>
        </w:rPr>
        <w:t>not substantiated</w:t>
      </w:r>
      <w:r w:rsidR="00F947E9">
        <w:rPr>
          <w:rFonts w:ascii="Calibri" w:hAnsi="Calibri" w:cs="Segoe UI"/>
          <w:color w:val="000000"/>
        </w:rPr>
        <w:t xml:space="preserve"> with </w:t>
      </w:r>
      <w:r w:rsidR="005141BB">
        <w:rPr>
          <w:rFonts w:ascii="Calibri" w:hAnsi="Calibri" w:cs="Segoe UI"/>
          <w:color w:val="000000"/>
        </w:rPr>
        <w:t xml:space="preserve">publicised </w:t>
      </w:r>
      <w:r w:rsidR="00F947E9">
        <w:rPr>
          <w:rFonts w:ascii="Calibri" w:hAnsi="Calibri" w:cs="Segoe UI"/>
          <w:color w:val="000000"/>
        </w:rPr>
        <w:t>reasons.</w:t>
      </w:r>
      <w:r>
        <w:rPr>
          <w:rFonts w:ascii="Calibri" w:hAnsi="Calibri" w:cs="Segoe UI"/>
          <w:color w:val="000000"/>
        </w:rPr>
        <w:t xml:space="preserve"> </w:t>
      </w:r>
      <w:r w:rsidR="00F947E9">
        <w:rPr>
          <w:rFonts w:ascii="Calibri" w:hAnsi="Calibri" w:cs="Segoe UI"/>
          <w:color w:val="000000"/>
        </w:rPr>
        <w:t>Therefore, it seems the ACMA could assist better in this regard, but would still be limited by its formal mandate.</w:t>
      </w:r>
    </w:p>
    <w:p w:rsidR="00F947E9" w:rsidRDefault="00F947E9">
      <w:pPr>
        <w:rPr>
          <w:rFonts w:ascii="Calibri" w:hAnsi="Calibri" w:cs="Segoe UI"/>
          <w:color w:val="000000"/>
        </w:rPr>
      </w:pPr>
      <w:r>
        <w:rPr>
          <w:rFonts w:ascii="Calibri" w:hAnsi="Calibri" w:cs="Segoe UI"/>
          <w:color w:val="000000"/>
        </w:rPr>
        <w:t>Thus, as an introductory summary, a root and branch approach to reviewing spectrum management in Australia is appropriate.  The root is the legislation and structures which are created</w:t>
      </w:r>
      <w:r w:rsidR="00243624">
        <w:rPr>
          <w:rFonts w:ascii="Calibri" w:hAnsi="Calibri" w:cs="Segoe UI"/>
          <w:color w:val="000000"/>
        </w:rPr>
        <w:t xml:space="preserve"> in the Acts</w:t>
      </w:r>
      <w:r w:rsidR="00732339">
        <w:rPr>
          <w:rFonts w:ascii="Calibri" w:hAnsi="Calibri" w:cs="Segoe UI"/>
          <w:color w:val="000000"/>
        </w:rPr>
        <w:t xml:space="preserve">.  These need a </w:t>
      </w:r>
      <w:r w:rsidR="00243624">
        <w:rPr>
          <w:rFonts w:ascii="Calibri" w:hAnsi="Calibri" w:cs="Segoe UI"/>
          <w:color w:val="000000"/>
        </w:rPr>
        <w:t xml:space="preserve">better </w:t>
      </w:r>
      <w:r w:rsidR="00F81873">
        <w:rPr>
          <w:rFonts w:ascii="Calibri" w:hAnsi="Calibri" w:cs="Segoe UI"/>
          <w:color w:val="000000"/>
        </w:rPr>
        <w:t xml:space="preserve">national </w:t>
      </w:r>
      <w:r w:rsidR="00732339">
        <w:rPr>
          <w:rFonts w:ascii="Calibri" w:hAnsi="Calibri" w:cs="Segoe UI"/>
          <w:color w:val="000000"/>
        </w:rPr>
        <w:t xml:space="preserve">vision which captures the importance, the spreading influence, the scale, and the international nature of spectrum.  Industry should play a more leading role and take up some of the current burden of regulation which should also ease budgetary constraints or apply government resources to more prioritised needs.  Industry could play a more vital part in </w:t>
      </w:r>
      <w:r w:rsidR="00A66145">
        <w:rPr>
          <w:rFonts w:ascii="Calibri" w:hAnsi="Calibri" w:cs="Segoe UI"/>
          <w:color w:val="000000"/>
        </w:rPr>
        <w:t xml:space="preserve">national and </w:t>
      </w:r>
      <w:r w:rsidR="00732339">
        <w:rPr>
          <w:rFonts w:ascii="Calibri" w:hAnsi="Calibri" w:cs="Segoe UI"/>
          <w:color w:val="000000"/>
        </w:rPr>
        <w:t xml:space="preserve">international processes, and be given a more trusted role.  The closeted spectrum regulation of past </w:t>
      </w:r>
      <w:proofErr w:type="gramStart"/>
      <w:r w:rsidR="00732339">
        <w:rPr>
          <w:rFonts w:ascii="Calibri" w:hAnsi="Calibri" w:cs="Segoe UI"/>
          <w:color w:val="000000"/>
        </w:rPr>
        <w:t>decades,</w:t>
      </w:r>
      <w:proofErr w:type="gramEnd"/>
      <w:r w:rsidR="00732339">
        <w:rPr>
          <w:rFonts w:ascii="Calibri" w:hAnsi="Calibri" w:cs="Segoe UI"/>
          <w:color w:val="000000"/>
        </w:rPr>
        <w:t xml:space="preserve"> and a command and control style of spectrum management should remain a feature of the past.</w:t>
      </w:r>
    </w:p>
    <w:p w:rsidR="004D0671" w:rsidRDefault="004D0671">
      <w:pPr>
        <w:rPr>
          <w:rFonts w:ascii="Calibri" w:hAnsi="Calibri" w:cs="Segoe UI"/>
          <w:color w:val="000000"/>
        </w:rPr>
      </w:pPr>
      <w:r>
        <w:rPr>
          <w:rFonts w:ascii="Calibri" w:hAnsi="Calibri" w:cs="Segoe UI"/>
          <w:color w:val="000000"/>
        </w:rPr>
        <w:t>Some comments related to the particular terms of reference are as follows.</w:t>
      </w:r>
    </w:p>
    <w:p w:rsidR="007717C4" w:rsidRDefault="007717C4">
      <w:pPr>
        <w:rPr>
          <w:rFonts w:ascii="Calibri" w:hAnsi="Calibri" w:cs="Segoe UI"/>
          <w:color w:val="000000"/>
        </w:rPr>
      </w:pPr>
    </w:p>
    <w:p w:rsidR="007717C4" w:rsidRPr="007717C4" w:rsidRDefault="007717C4" w:rsidP="007717C4">
      <w:pPr>
        <w:pStyle w:val="Default"/>
        <w:numPr>
          <w:ilvl w:val="0"/>
          <w:numId w:val="2"/>
        </w:numPr>
        <w:rPr>
          <w:rFonts w:asciiTheme="minorHAnsi" w:hAnsiTheme="minorHAnsi"/>
          <w:b/>
          <w:sz w:val="22"/>
          <w:szCs w:val="22"/>
        </w:rPr>
      </w:pPr>
      <w:r w:rsidRPr="007717C4">
        <w:rPr>
          <w:rFonts w:asciiTheme="minorHAnsi" w:hAnsiTheme="minorHAnsi"/>
          <w:b/>
          <w:sz w:val="22"/>
          <w:szCs w:val="22"/>
        </w:rPr>
        <w:t>Simplify the framework to reduce its complexity and impact on spectrum users and administrators, and eliminate unnecessary and excessive regulatory provisions</w:t>
      </w:r>
    </w:p>
    <w:p w:rsidR="007717C4" w:rsidRPr="007717C4" w:rsidRDefault="007717C4" w:rsidP="007717C4">
      <w:pPr>
        <w:pStyle w:val="Default"/>
        <w:ind w:left="360"/>
        <w:rPr>
          <w:rFonts w:asciiTheme="minorHAnsi" w:hAnsiTheme="minorHAnsi"/>
          <w:b/>
          <w:sz w:val="22"/>
          <w:szCs w:val="22"/>
        </w:rPr>
      </w:pPr>
      <w:r w:rsidRPr="007717C4">
        <w:rPr>
          <w:rFonts w:asciiTheme="minorHAnsi" w:hAnsiTheme="minorHAnsi"/>
          <w:b/>
          <w:sz w:val="22"/>
          <w:szCs w:val="22"/>
        </w:rPr>
        <w:t xml:space="preserve"> </w:t>
      </w:r>
    </w:p>
    <w:p w:rsidR="000623A5" w:rsidRDefault="007717C4" w:rsidP="000623A5">
      <w:pPr>
        <w:ind w:left="360"/>
        <w:rPr>
          <w:rFonts w:cs="Arial"/>
          <w:i/>
          <w:iCs/>
          <w:color w:val="0000FF"/>
        </w:rPr>
      </w:pPr>
      <w:r w:rsidRPr="007717C4">
        <w:rPr>
          <w:rFonts w:cs="Arial"/>
          <w:i/>
          <w:iCs/>
          <w:color w:val="0000FF"/>
        </w:rPr>
        <w:t xml:space="preserve">Planning, allocation, licensing and re-issue processes are unnecessarily complex. </w:t>
      </w:r>
      <w:r w:rsidR="00BD28AD">
        <w:rPr>
          <w:rFonts w:cs="Arial"/>
          <w:i/>
          <w:iCs/>
          <w:color w:val="0000FF"/>
        </w:rPr>
        <w:t xml:space="preserve">Some simplification of </w:t>
      </w:r>
      <w:r w:rsidRPr="007717C4">
        <w:rPr>
          <w:rFonts w:cs="Arial"/>
          <w:i/>
          <w:iCs/>
          <w:color w:val="0000FF"/>
        </w:rPr>
        <w:t xml:space="preserve">processes </w:t>
      </w:r>
      <w:r w:rsidR="00BD28AD">
        <w:rPr>
          <w:rFonts w:cs="Arial"/>
          <w:i/>
          <w:iCs/>
          <w:color w:val="0000FF"/>
        </w:rPr>
        <w:t xml:space="preserve">could </w:t>
      </w:r>
      <w:proofErr w:type="gramStart"/>
      <w:r w:rsidR="00BD28AD">
        <w:rPr>
          <w:rFonts w:cs="Arial"/>
          <w:i/>
          <w:iCs/>
          <w:color w:val="0000FF"/>
        </w:rPr>
        <w:t xml:space="preserve">see </w:t>
      </w:r>
      <w:r w:rsidRPr="007717C4">
        <w:rPr>
          <w:rFonts w:cs="Arial"/>
          <w:i/>
          <w:iCs/>
          <w:color w:val="0000FF"/>
        </w:rPr>
        <w:t xml:space="preserve"> a</w:t>
      </w:r>
      <w:proofErr w:type="gramEnd"/>
      <w:r w:rsidRPr="007717C4">
        <w:rPr>
          <w:rFonts w:cs="Arial"/>
          <w:i/>
          <w:iCs/>
          <w:color w:val="0000FF"/>
        </w:rPr>
        <w:t xml:space="preserve"> m</w:t>
      </w:r>
      <w:r w:rsidR="00BD28AD">
        <w:rPr>
          <w:rFonts w:cs="Arial"/>
          <w:i/>
          <w:iCs/>
          <w:color w:val="0000FF"/>
        </w:rPr>
        <w:t xml:space="preserve">ore technology neutral approach, </w:t>
      </w:r>
      <w:r w:rsidRPr="007717C4">
        <w:rPr>
          <w:rFonts w:cs="Arial"/>
          <w:i/>
          <w:iCs/>
          <w:color w:val="0000FF"/>
        </w:rPr>
        <w:t>more class licensing</w:t>
      </w:r>
      <w:r w:rsidR="00BD28AD">
        <w:rPr>
          <w:rFonts w:cs="Arial"/>
          <w:i/>
          <w:iCs/>
          <w:color w:val="0000FF"/>
        </w:rPr>
        <w:t>, and</w:t>
      </w:r>
      <w:r w:rsidRPr="007717C4">
        <w:rPr>
          <w:rFonts w:cs="Arial"/>
          <w:i/>
          <w:iCs/>
          <w:color w:val="0000FF"/>
        </w:rPr>
        <w:t xml:space="preserve"> </w:t>
      </w:r>
      <w:r w:rsidR="00BD28AD">
        <w:rPr>
          <w:rFonts w:cs="Arial"/>
          <w:i/>
          <w:iCs/>
          <w:color w:val="0000FF"/>
        </w:rPr>
        <w:t>an</w:t>
      </w:r>
      <w:r w:rsidRPr="007717C4">
        <w:rPr>
          <w:rFonts w:cs="Arial"/>
          <w:i/>
          <w:iCs/>
          <w:color w:val="0000FF"/>
        </w:rPr>
        <w:t xml:space="preserve"> emphasis on self-certification of regulatory compliance</w:t>
      </w:r>
      <w:r w:rsidR="00BD28AD">
        <w:rPr>
          <w:rFonts w:cs="Arial"/>
          <w:i/>
          <w:iCs/>
          <w:color w:val="0000FF"/>
        </w:rPr>
        <w:t xml:space="preserve">. </w:t>
      </w:r>
      <w:r w:rsidRPr="007717C4">
        <w:rPr>
          <w:rFonts w:cs="Arial"/>
          <w:i/>
          <w:iCs/>
          <w:color w:val="0000FF"/>
        </w:rPr>
        <w:t xml:space="preserve"> </w:t>
      </w:r>
      <w:r w:rsidR="000623A5">
        <w:rPr>
          <w:rFonts w:cs="Arial"/>
          <w:i/>
          <w:iCs/>
          <w:color w:val="0000FF"/>
        </w:rPr>
        <w:t>Licensing and associated instructions could have a greater component of industry responsibility.</w:t>
      </w:r>
    </w:p>
    <w:p w:rsidR="007717C4" w:rsidRPr="007717C4" w:rsidRDefault="000623A5" w:rsidP="000623A5">
      <w:pPr>
        <w:ind w:left="360"/>
        <w:rPr>
          <w:rFonts w:cs="Arial"/>
          <w:i/>
          <w:iCs/>
          <w:color w:val="0000FF"/>
        </w:rPr>
      </w:pPr>
      <w:r>
        <w:rPr>
          <w:rFonts w:cs="Arial"/>
          <w:i/>
          <w:iCs/>
          <w:color w:val="0000FF"/>
        </w:rPr>
        <w:t>O</w:t>
      </w:r>
      <w:r w:rsidR="007717C4" w:rsidRPr="007717C4">
        <w:rPr>
          <w:rFonts w:cs="Arial"/>
          <w:i/>
          <w:iCs/>
          <w:color w:val="0000FF"/>
        </w:rPr>
        <w:t>utsourcing for what is currently subordinate legislation is now overdue in radio communications. The parallels which were undertaken in the telecommunications area over a decade ago offer a useful example, where – because of increasing tec</w:t>
      </w:r>
      <w:r>
        <w:rPr>
          <w:rFonts w:cs="Arial"/>
          <w:i/>
          <w:iCs/>
          <w:color w:val="0000FF"/>
        </w:rPr>
        <w:t>h</w:t>
      </w:r>
      <w:r w:rsidR="007717C4" w:rsidRPr="007717C4">
        <w:rPr>
          <w:rFonts w:cs="Arial"/>
          <w:i/>
          <w:iCs/>
          <w:color w:val="0000FF"/>
        </w:rPr>
        <w:t xml:space="preserve">nology complexity, industry availability of professional competence, and the incentives within industry of the real needs of the market place - much regulatory activity was outsourced to industry </w:t>
      </w:r>
      <w:proofErr w:type="spellStart"/>
      <w:r w:rsidR="007717C4" w:rsidRPr="007717C4">
        <w:rPr>
          <w:rFonts w:cs="Arial"/>
          <w:i/>
          <w:iCs/>
          <w:color w:val="0000FF"/>
        </w:rPr>
        <w:t>eg</w:t>
      </w:r>
      <w:proofErr w:type="spellEnd"/>
      <w:r w:rsidR="007717C4" w:rsidRPr="007717C4">
        <w:rPr>
          <w:rFonts w:cs="Arial"/>
          <w:i/>
          <w:iCs/>
          <w:color w:val="0000FF"/>
        </w:rPr>
        <w:t xml:space="preserve">. </w:t>
      </w:r>
      <w:proofErr w:type="gramStart"/>
      <w:r w:rsidR="007717C4" w:rsidRPr="007717C4">
        <w:rPr>
          <w:rFonts w:cs="Arial"/>
          <w:i/>
          <w:iCs/>
          <w:color w:val="0000FF"/>
        </w:rPr>
        <w:t>with</w:t>
      </w:r>
      <w:proofErr w:type="gramEnd"/>
      <w:r w:rsidR="007717C4" w:rsidRPr="007717C4">
        <w:rPr>
          <w:rFonts w:cs="Arial"/>
          <w:i/>
          <w:iCs/>
          <w:color w:val="0000FF"/>
        </w:rPr>
        <w:t xml:space="preserve"> codes, standards etc. which can still be registered or called up by the regulator.</w:t>
      </w:r>
    </w:p>
    <w:p w:rsidR="007717C4" w:rsidRPr="007717C4" w:rsidRDefault="007717C4" w:rsidP="000623A5">
      <w:pPr>
        <w:ind w:left="360"/>
        <w:rPr>
          <w:rFonts w:cs="Arial"/>
          <w:i/>
          <w:iCs/>
          <w:color w:val="0000FF"/>
        </w:rPr>
      </w:pPr>
      <w:r w:rsidRPr="007717C4">
        <w:rPr>
          <w:rFonts w:cs="Arial"/>
          <w:i/>
          <w:iCs/>
          <w:color w:val="0000FF"/>
        </w:rPr>
        <w:t>This led to the creation of ACIF and more recently Communications Alliance</w:t>
      </w:r>
      <w:r w:rsidR="000623A5">
        <w:rPr>
          <w:rFonts w:cs="Arial"/>
          <w:i/>
          <w:iCs/>
          <w:color w:val="0000FF"/>
        </w:rPr>
        <w:t xml:space="preserve">, which could probably adapt to an increased role in </w:t>
      </w:r>
      <w:proofErr w:type="spellStart"/>
      <w:r w:rsidR="000623A5">
        <w:rPr>
          <w:rFonts w:cs="Arial"/>
          <w:i/>
          <w:iCs/>
          <w:color w:val="0000FF"/>
        </w:rPr>
        <w:t>radiocommunications</w:t>
      </w:r>
      <w:proofErr w:type="spellEnd"/>
      <w:r w:rsidRPr="007717C4">
        <w:rPr>
          <w:rFonts w:cs="Arial"/>
          <w:i/>
          <w:iCs/>
          <w:color w:val="0000FF"/>
        </w:rPr>
        <w:t xml:space="preserve">.  </w:t>
      </w:r>
    </w:p>
    <w:p w:rsidR="007717C4" w:rsidRPr="007717C4" w:rsidRDefault="007717C4" w:rsidP="007717C4">
      <w:pPr>
        <w:ind w:left="360"/>
        <w:rPr>
          <w:rFonts w:cs="Arial"/>
          <w:color w:val="0000FF"/>
        </w:rPr>
      </w:pPr>
      <w:r w:rsidRPr="007717C4">
        <w:rPr>
          <w:rFonts w:cs="Arial"/>
          <w:i/>
          <w:iCs/>
          <w:color w:val="0000FF"/>
        </w:rPr>
        <w:t xml:space="preserve">The budget for these activities could also be outsourced – at a reduced level </w:t>
      </w:r>
      <w:r w:rsidR="000623A5">
        <w:rPr>
          <w:rFonts w:cs="Arial"/>
          <w:i/>
          <w:iCs/>
          <w:color w:val="0000FF"/>
        </w:rPr>
        <w:t xml:space="preserve">and </w:t>
      </w:r>
      <w:r w:rsidRPr="007717C4">
        <w:rPr>
          <w:rFonts w:cs="Arial"/>
          <w:i/>
          <w:iCs/>
          <w:color w:val="0000FF"/>
        </w:rPr>
        <w:t xml:space="preserve">on a shared responsibility basis with industry – thus achieving both aims of reducing overbearing intervention by government in regulation as well as reducing the bottom line of un-necessary costs for government regulation. </w:t>
      </w:r>
    </w:p>
    <w:p w:rsidR="007717C4" w:rsidRPr="007717C4" w:rsidRDefault="007717C4" w:rsidP="007717C4">
      <w:pPr>
        <w:ind w:left="360"/>
        <w:rPr>
          <w:rFonts w:cs="Arial"/>
        </w:rPr>
      </w:pPr>
    </w:p>
    <w:p w:rsidR="007717C4" w:rsidRPr="007717C4" w:rsidRDefault="007717C4" w:rsidP="007717C4">
      <w:pPr>
        <w:pStyle w:val="Default"/>
        <w:numPr>
          <w:ilvl w:val="0"/>
          <w:numId w:val="2"/>
        </w:numPr>
        <w:rPr>
          <w:rFonts w:asciiTheme="minorHAnsi" w:hAnsiTheme="minorHAnsi"/>
          <w:b/>
          <w:sz w:val="22"/>
          <w:szCs w:val="22"/>
        </w:rPr>
      </w:pPr>
      <w:r w:rsidRPr="007717C4">
        <w:rPr>
          <w:rFonts w:asciiTheme="minorHAnsi" w:hAnsiTheme="minorHAnsi"/>
          <w:b/>
          <w:sz w:val="22"/>
          <w:szCs w:val="22"/>
        </w:rPr>
        <w:lastRenderedPageBreak/>
        <w:t xml:space="preserve">Improve the flexibility of the framework and its ability to facilitate new and emerging services including advancements that offer greater potential for efficient spectrum use, while continuing to manage interference and providing certainty for incumbents </w:t>
      </w:r>
    </w:p>
    <w:p w:rsidR="007717C4" w:rsidRPr="007717C4" w:rsidRDefault="007717C4" w:rsidP="007717C4">
      <w:pPr>
        <w:ind w:left="360"/>
        <w:rPr>
          <w:rFonts w:cs="Arial"/>
          <w:i/>
          <w:iCs/>
          <w:color w:val="C00000"/>
        </w:rPr>
      </w:pPr>
    </w:p>
    <w:p w:rsidR="007717C4" w:rsidRPr="00D813B1" w:rsidRDefault="00D813B1" w:rsidP="00D813B1">
      <w:pPr>
        <w:ind w:left="360"/>
        <w:rPr>
          <w:rFonts w:cs="Arial"/>
          <w:i/>
          <w:iCs/>
          <w:color w:val="0000FF"/>
        </w:rPr>
      </w:pPr>
      <w:r>
        <w:rPr>
          <w:rFonts w:cs="Arial"/>
          <w:i/>
          <w:iCs/>
          <w:color w:val="0000FF"/>
        </w:rPr>
        <w:t>The ACMA should remain the steward</w:t>
      </w:r>
      <w:r w:rsidR="007717C4" w:rsidRPr="007717C4">
        <w:rPr>
          <w:rFonts w:cs="Arial"/>
          <w:i/>
          <w:iCs/>
          <w:color w:val="0000FF"/>
        </w:rPr>
        <w:t xml:space="preserve"> for the Australian Radiofrequency Spectrum Plan. Its relationship to the ITU-R spectrum planning process should be made more readily discernable to spectrum end-users </w:t>
      </w:r>
      <w:r>
        <w:rPr>
          <w:rFonts w:cs="Arial"/>
          <w:i/>
          <w:iCs/>
          <w:color w:val="0000FF"/>
        </w:rPr>
        <w:t>who would then be in a better informed position</w:t>
      </w:r>
      <w:r w:rsidR="007717C4" w:rsidRPr="007717C4">
        <w:rPr>
          <w:rFonts w:cs="Arial"/>
          <w:i/>
          <w:iCs/>
          <w:color w:val="0000FF"/>
        </w:rPr>
        <w:t xml:space="preserve">.  </w:t>
      </w:r>
    </w:p>
    <w:p w:rsidR="00D813B1" w:rsidRPr="00D813B1" w:rsidRDefault="005141BB" w:rsidP="00D813B1">
      <w:pPr>
        <w:ind w:left="360"/>
        <w:rPr>
          <w:rFonts w:cs="Arial"/>
          <w:i/>
          <w:iCs/>
          <w:color w:val="0000FF"/>
        </w:rPr>
      </w:pPr>
      <w:r>
        <w:rPr>
          <w:rFonts w:cs="Arial"/>
          <w:i/>
          <w:iCs/>
          <w:color w:val="0000FF"/>
        </w:rPr>
        <w:t>T</w:t>
      </w:r>
      <w:r w:rsidR="007717C4" w:rsidRPr="007717C4">
        <w:rPr>
          <w:rFonts w:cs="Arial"/>
          <w:i/>
          <w:iCs/>
          <w:color w:val="0000FF"/>
        </w:rPr>
        <w:t xml:space="preserve">here is no doubt that greater flexibility in spectrum sharing by incumbents and potentially new </w:t>
      </w:r>
      <w:proofErr w:type="gramStart"/>
      <w:r w:rsidR="007717C4" w:rsidRPr="007717C4">
        <w:rPr>
          <w:rFonts w:cs="Arial"/>
          <w:i/>
          <w:iCs/>
          <w:color w:val="0000FF"/>
        </w:rPr>
        <w:t>users</w:t>
      </w:r>
      <w:proofErr w:type="gramEnd"/>
      <w:r w:rsidR="007717C4" w:rsidRPr="007717C4">
        <w:rPr>
          <w:rFonts w:cs="Arial"/>
          <w:i/>
          <w:iCs/>
          <w:color w:val="0000FF"/>
        </w:rPr>
        <w:t xml:space="preserve"> leads to more efficient use of spectrum questions</w:t>
      </w:r>
      <w:r w:rsidR="00D813B1">
        <w:rPr>
          <w:rFonts w:cs="Arial"/>
          <w:i/>
          <w:iCs/>
          <w:color w:val="0000FF"/>
        </w:rPr>
        <w:t xml:space="preserve">. What conditions dictate </w:t>
      </w:r>
      <w:r w:rsidR="007717C4" w:rsidRPr="007717C4">
        <w:rPr>
          <w:rFonts w:cs="Arial"/>
          <w:i/>
          <w:iCs/>
          <w:color w:val="0000FF"/>
        </w:rPr>
        <w:t>fairness</w:t>
      </w:r>
      <w:r>
        <w:rPr>
          <w:rFonts w:cs="Arial"/>
          <w:i/>
          <w:iCs/>
          <w:color w:val="0000FF"/>
        </w:rPr>
        <w:t>, though,</w:t>
      </w:r>
      <w:r w:rsidR="007717C4" w:rsidRPr="007717C4">
        <w:rPr>
          <w:rFonts w:cs="Arial"/>
          <w:i/>
          <w:iCs/>
          <w:color w:val="0000FF"/>
        </w:rPr>
        <w:t xml:space="preserve"> </w:t>
      </w:r>
      <w:r w:rsidR="00D813B1">
        <w:rPr>
          <w:rFonts w:cs="Arial"/>
          <w:i/>
          <w:iCs/>
          <w:color w:val="0000FF"/>
        </w:rPr>
        <w:t>is a key consideration</w:t>
      </w:r>
      <w:r w:rsidR="007717C4" w:rsidRPr="007717C4">
        <w:rPr>
          <w:rFonts w:cs="Arial"/>
          <w:i/>
          <w:iCs/>
          <w:color w:val="0000FF"/>
        </w:rPr>
        <w:t xml:space="preserve">. </w:t>
      </w:r>
      <w:r w:rsidR="00D813B1">
        <w:rPr>
          <w:rFonts w:cs="Arial"/>
          <w:i/>
          <w:iCs/>
          <w:color w:val="0000FF"/>
        </w:rPr>
        <w:t>The current debate</w:t>
      </w:r>
      <w:r>
        <w:rPr>
          <w:rFonts w:cs="Arial"/>
          <w:i/>
          <w:iCs/>
          <w:color w:val="0000FF"/>
        </w:rPr>
        <w:t xml:space="preserve"> </w:t>
      </w:r>
      <w:r w:rsidR="00D813B1">
        <w:rPr>
          <w:rFonts w:cs="Arial"/>
          <w:i/>
          <w:iCs/>
          <w:color w:val="0000FF"/>
        </w:rPr>
        <w:t>in Australia over</w:t>
      </w:r>
      <w:r w:rsidR="007717C4" w:rsidRPr="007717C4">
        <w:rPr>
          <w:rFonts w:cs="Arial"/>
          <w:i/>
          <w:iCs/>
          <w:color w:val="0000FF"/>
        </w:rPr>
        <w:t xml:space="preserve"> WRC-15 AI 1.1 </w:t>
      </w:r>
      <w:r w:rsidR="00D813B1">
        <w:rPr>
          <w:rFonts w:cs="Arial"/>
          <w:i/>
          <w:iCs/>
          <w:color w:val="0000FF"/>
        </w:rPr>
        <w:t>poses a severe threat to</w:t>
      </w:r>
      <w:r w:rsidR="007717C4" w:rsidRPr="007717C4">
        <w:rPr>
          <w:rFonts w:cs="Arial"/>
          <w:i/>
          <w:iCs/>
          <w:color w:val="0000FF"/>
        </w:rPr>
        <w:t xml:space="preserve"> incumbents’ use of certain spectrum </w:t>
      </w:r>
      <w:r>
        <w:rPr>
          <w:rFonts w:cs="Arial"/>
          <w:i/>
          <w:iCs/>
          <w:color w:val="0000FF"/>
        </w:rPr>
        <w:t xml:space="preserve">(not just satellite spectrum) </w:t>
      </w:r>
      <w:r w:rsidR="007717C4" w:rsidRPr="007717C4">
        <w:rPr>
          <w:rFonts w:cs="Arial"/>
          <w:i/>
          <w:iCs/>
          <w:color w:val="0000FF"/>
        </w:rPr>
        <w:t xml:space="preserve">by a powerful and influential lobby arguing that it requires greater access to spectrum for mobile services. </w:t>
      </w:r>
      <w:r w:rsidR="00D813B1">
        <w:rPr>
          <w:rFonts w:cs="Arial"/>
          <w:i/>
          <w:iCs/>
          <w:color w:val="0000FF"/>
        </w:rPr>
        <w:t>These</w:t>
      </w:r>
      <w:r w:rsidR="007717C4" w:rsidRPr="007717C4">
        <w:rPr>
          <w:rFonts w:cs="Arial"/>
          <w:i/>
          <w:iCs/>
          <w:color w:val="0000FF"/>
        </w:rPr>
        <w:t xml:space="preserve"> potenti</w:t>
      </w:r>
      <w:r w:rsidR="00D813B1">
        <w:rPr>
          <w:rFonts w:cs="Arial"/>
          <w:i/>
          <w:iCs/>
          <w:color w:val="0000FF"/>
        </w:rPr>
        <w:t xml:space="preserve">al new users of the spectrum </w:t>
      </w:r>
      <w:r w:rsidR="007717C4" w:rsidRPr="007717C4">
        <w:rPr>
          <w:rFonts w:cs="Arial"/>
          <w:i/>
          <w:iCs/>
          <w:color w:val="0000FF"/>
        </w:rPr>
        <w:t xml:space="preserve">have far superior resources to argue the case leading to a possible outcome that </w:t>
      </w:r>
      <w:r w:rsidR="00D813B1">
        <w:rPr>
          <w:rFonts w:cs="Arial"/>
          <w:i/>
          <w:iCs/>
          <w:color w:val="0000FF"/>
        </w:rPr>
        <w:t>is</w:t>
      </w:r>
      <w:r w:rsidR="007717C4" w:rsidRPr="007717C4">
        <w:rPr>
          <w:rFonts w:cs="Arial"/>
          <w:i/>
          <w:iCs/>
          <w:color w:val="0000FF"/>
        </w:rPr>
        <w:t xml:space="preserve"> not merit based.</w:t>
      </w:r>
    </w:p>
    <w:p w:rsidR="007717C4" w:rsidRPr="007717C4" w:rsidRDefault="007717C4" w:rsidP="007717C4">
      <w:pPr>
        <w:ind w:left="360"/>
        <w:rPr>
          <w:rFonts w:cs="Arial"/>
        </w:rPr>
      </w:pPr>
    </w:p>
    <w:p w:rsidR="007717C4" w:rsidRPr="007717C4" w:rsidRDefault="007717C4" w:rsidP="007717C4">
      <w:pPr>
        <w:pStyle w:val="ListParagraph"/>
        <w:numPr>
          <w:ilvl w:val="0"/>
          <w:numId w:val="2"/>
        </w:numPr>
        <w:spacing w:after="0" w:line="240" w:lineRule="auto"/>
        <w:contextualSpacing w:val="0"/>
        <w:rPr>
          <w:rFonts w:cs="Arial"/>
          <w:b/>
        </w:rPr>
      </w:pPr>
      <w:r w:rsidRPr="007717C4">
        <w:rPr>
          <w:b/>
        </w:rPr>
        <w:t>Ensure efficient allocation, ongoing use and management of spectrum, and incentivise its efficient use by all commercial, public and community spectrum users</w:t>
      </w:r>
    </w:p>
    <w:p w:rsidR="007717C4" w:rsidRPr="007717C4" w:rsidRDefault="007717C4" w:rsidP="007717C4">
      <w:pPr>
        <w:rPr>
          <w:b/>
        </w:rPr>
      </w:pPr>
    </w:p>
    <w:p w:rsidR="007717C4" w:rsidRPr="00033399" w:rsidRDefault="007717C4" w:rsidP="00033399">
      <w:pPr>
        <w:ind w:left="360"/>
        <w:rPr>
          <w:rFonts w:cs="Arial"/>
          <w:i/>
          <w:iCs/>
          <w:color w:val="0000FF"/>
        </w:rPr>
      </w:pPr>
      <w:r w:rsidRPr="007717C4">
        <w:rPr>
          <w:rFonts w:cs="Arial"/>
          <w:i/>
          <w:iCs/>
          <w:color w:val="0000FF"/>
        </w:rPr>
        <w:t xml:space="preserve">The </w:t>
      </w:r>
      <w:r w:rsidR="005141BB">
        <w:rPr>
          <w:rFonts w:cs="Arial"/>
          <w:i/>
          <w:iCs/>
          <w:color w:val="0000FF"/>
        </w:rPr>
        <w:t xml:space="preserve">current </w:t>
      </w:r>
      <w:r w:rsidRPr="007717C4">
        <w:rPr>
          <w:rFonts w:cs="Arial"/>
          <w:i/>
          <w:iCs/>
          <w:color w:val="0000FF"/>
        </w:rPr>
        <w:t xml:space="preserve">pricing of spectrum is </w:t>
      </w:r>
      <w:proofErr w:type="spellStart"/>
      <w:r w:rsidR="005B35A0">
        <w:rPr>
          <w:rFonts w:cs="Arial"/>
          <w:i/>
          <w:iCs/>
          <w:color w:val="0000FF"/>
        </w:rPr>
        <w:t>unidimensional</w:t>
      </w:r>
      <w:proofErr w:type="spellEnd"/>
      <w:r w:rsidRPr="007717C4">
        <w:rPr>
          <w:rFonts w:cs="Arial"/>
          <w:i/>
          <w:iCs/>
          <w:color w:val="0000FF"/>
        </w:rPr>
        <w:t xml:space="preserve">. </w:t>
      </w:r>
      <w:r w:rsidR="00033399">
        <w:rPr>
          <w:rFonts w:cs="Arial"/>
          <w:i/>
          <w:iCs/>
          <w:color w:val="0000FF"/>
        </w:rPr>
        <w:t xml:space="preserve"> </w:t>
      </w:r>
      <w:r w:rsidRPr="007717C4">
        <w:rPr>
          <w:rFonts w:cs="Arial"/>
          <w:i/>
          <w:iCs/>
          <w:color w:val="0000FF"/>
        </w:rPr>
        <w:t xml:space="preserve">Under </w:t>
      </w:r>
      <w:r w:rsidR="005B35A0">
        <w:rPr>
          <w:rFonts w:cs="Arial"/>
          <w:i/>
          <w:iCs/>
          <w:color w:val="0000FF"/>
        </w:rPr>
        <w:t>narrow technical or economic assessments</w:t>
      </w:r>
      <w:r w:rsidRPr="007717C4">
        <w:rPr>
          <w:rFonts w:cs="Arial"/>
          <w:i/>
          <w:iCs/>
          <w:color w:val="0000FF"/>
        </w:rPr>
        <w:t xml:space="preserve">, </w:t>
      </w:r>
      <w:r w:rsidR="00033399">
        <w:rPr>
          <w:rFonts w:cs="Arial"/>
          <w:i/>
          <w:iCs/>
          <w:color w:val="0000FF"/>
        </w:rPr>
        <w:t>affluent</w:t>
      </w:r>
      <w:r w:rsidRPr="007717C4">
        <w:rPr>
          <w:rFonts w:cs="Arial"/>
          <w:i/>
          <w:iCs/>
          <w:color w:val="0000FF"/>
        </w:rPr>
        <w:t xml:space="preserve"> spectrum users are able to dictate the terms of spectrum allocation and have undue influence over spectrum sharing. The inability of other spectrum users to match the </w:t>
      </w:r>
      <w:r w:rsidR="00033399">
        <w:rPr>
          <w:rFonts w:cs="Arial"/>
          <w:i/>
          <w:iCs/>
          <w:color w:val="0000FF"/>
        </w:rPr>
        <w:t>advocacy leads to a lack of</w:t>
      </w:r>
      <w:r w:rsidRPr="007717C4">
        <w:rPr>
          <w:rFonts w:cs="Arial"/>
          <w:i/>
          <w:iCs/>
          <w:color w:val="0000FF"/>
        </w:rPr>
        <w:t xml:space="preserve"> “merit” based</w:t>
      </w:r>
      <w:r w:rsidR="00033399">
        <w:rPr>
          <w:rFonts w:cs="Arial"/>
          <w:i/>
          <w:iCs/>
          <w:color w:val="0000FF"/>
        </w:rPr>
        <w:t xml:space="preserve"> outcomes</w:t>
      </w:r>
      <w:r w:rsidRPr="007717C4">
        <w:rPr>
          <w:rFonts w:cs="Arial"/>
          <w:i/>
          <w:iCs/>
          <w:color w:val="0000FF"/>
        </w:rPr>
        <w:t xml:space="preserve">. </w:t>
      </w:r>
      <w:r w:rsidR="00033399">
        <w:rPr>
          <w:rFonts w:cs="Arial"/>
          <w:i/>
          <w:iCs/>
          <w:color w:val="0000FF"/>
        </w:rPr>
        <w:t xml:space="preserve">This consideration also allows </w:t>
      </w:r>
      <w:r w:rsidRPr="007717C4">
        <w:rPr>
          <w:rFonts w:cs="Arial"/>
          <w:i/>
          <w:iCs/>
          <w:color w:val="0000FF"/>
        </w:rPr>
        <w:t xml:space="preserve">pre-emptive </w:t>
      </w:r>
      <w:r w:rsidR="00033399">
        <w:rPr>
          <w:rFonts w:cs="Arial"/>
          <w:i/>
          <w:iCs/>
          <w:color w:val="0000FF"/>
        </w:rPr>
        <w:t>purchasing and hording</w:t>
      </w:r>
      <w:r w:rsidRPr="007717C4">
        <w:rPr>
          <w:rFonts w:cs="Arial"/>
          <w:i/>
          <w:iCs/>
          <w:color w:val="0000FF"/>
        </w:rPr>
        <w:t xml:space="preserve"> </w:t>
      </w:r>
      <w:r w:rsidR="005141BB">
        <w:rPr>
          <w:rFonts w:cs="Arial"/>
          <w:i/>
          <w:iCs/>
          <w:color w:val="0000FF"/>
        </w:rPr>
        <w:t xml:space="preserve">as </w:t>
      </w:r>
      <w:r w:rsidR="00033399">
        <w:rPr>
          <w:rFonts w:cs="Arial"/>
          <w:i/>
          <w:iCs/>
          <w:color w:val="0000FF"/>
        </w:rPr>
        <w:t>a counter to other would be</w:t>
      </w:r>
      <w:r w:rsidRPr="007717C4">
        <w:rPr>
          <w:rFonts w:cs="Arial"/>
          <w:i/>
          <w:iCs/>
          <w:color w:val="0000FF"/>
        </w:rPr>
        <w:t xml:space="preserve"> competitors</w:t>
      </w:r>
      <w:r w:rsidR="005141BB">
        <w:rPr>
          <w:rFonts w:cs="Arial"/>
          <w:i/>
          <w:iCs/>
          <w:color w:val="0000FF"/>
        </w:rPr>
        <w:t>.</w:t>
      </w:r>
      <w:r w:rsidR="00033399">
        <w:rPr>
          <w:rFonts w:cs="Arial"/>
          <w:i/>
          <w:iCs/>
          <w:color w:val="0000FF"/>
        </w:rPr>
        <w:t xml:space="preserve"> </w:t>
      </w:r>
      <w:r w:rsidR="005141BB">
        <w:rPr>
          <w:rFonts w:cs="Arial"/>
          <w:i/>
          <w:iCs/>
          <w:color w:val="0000FF"/>
        </w:rPr>
        <w:t>This</w:t>
      </w:r>
      <w:r w:rsidR="00033399">
        <w:rPr>
          <w:rFonts w:cs="Arial"/>
          <w:i/>
          <w:iCs/>
          <w:color w:val="0000FF"/>
        </w:rPr>
        <w:t xml:space="preserve"> goes against</w:t>
      </w:r>
      <w:r w:rsidRPr="007717C4">
        <w:rPr>
          <w:rFonts w:cs="Arial"/>
          <w:i/>
          <w:iCs/>
          <w:color w:val="0000FF"/>
        </w:rPr>
        <w:t xml:space="preserve"> a secondary spectrum market and </w:t>
      </w:r>
      <w:r w:rsidR="00033399">
        <w:rPr>
          <w:rFonts w:cs="Arial"/>
          <w:i/>
          <w:iCs/>
          <w:color w:val="0000FF"/>
        </w:rPr>
        <w:t xml:space="preserve">associated </w:t>
      </w:r>
      <w:r w:rsidRPr="007717C4">
        <w:rPr>
          <w:rFonts w:cs="Arial"/>
          <w:i/>
          <w:iCs/>
          <w:color w:val="0000FF"/>
        </w:rPr>
        <w:t xml:space="preserve">competition in services. The Review needs to </w:t>
      </w:r>
      <w:r w:rsidR="005141BB">
        <w:rPr>
          <w:rFonts w:cs="Arial"/>
          <w:i/>
          <w:iCs/>
          <w:color w:val="0000FF"/>
        </w:rPr>
        <w:t>balance out the unfai</w:t>
      </w:r>
      <w:r w:rsidR="00033399">
        <w:rPr>
          <w:rFonts w:cs="Arial"/>
          <w:i/>
          <w:iCs/>
          <w:color w:val="0000FF"/>
        </w:rPr>
        <w:t xml:space="preserve">r consequences of </w:t>
      </w:r>
      <w:r w:rsidRPr="007717C4">
        <w:rPr>
          <w:rFonts w:cs="Arial"/>
          <w:i/>
          <w:iCs/>
          <w:color w:val="0000FF"/>
        </w:rPr>
        <w:t>a wide variation in the resources available to spectrum users.</w:t>
      </w:r>
    </w:p>
    <w:p w:rsidR="007717C4" w:rsidRPr="00033399" w:rsidRDefault="007717C4" w:rsidP="00033399">
      <w:pPr>
        <w:ind w:left="360"/>
        <w:rPr>
          <w:rFonts w:cs="Arial"/>
          <w:color w:val="0000FF"/>
        </w:rPr>
      </w:pPr>
      <w:r w:rsidRPr="007717C4">
        <w:rPr>
          <w:rFonts w:cs="Arial"/>
          <w:i/>
          <w:iCs/>
          <w:color w:val="0000FF"/>
        </w:rPr>
        <w:t xml:space="preserve">Fundamentally the ACMA </w:t>
      </w:r>
      <w:r w:rsidR="00033399">
        <w:rPr>
          <w:rFonts w:cs="Arial"/>
          <w:i/>
          <w:iCs/>
          <w:color w:val="0000FF"/>
        </w:rPr>
        <w:t>can do little</w:t>
      </w:r>
      <w:r w:rsidR="005141BB">
        <w:rPr>
          <w:rFonts w:cs="Arial"/>
          <w:i/>
          <w:iCs/>
          <w:color w:val="0000FF"/>
        </w:rPr>
        <w:t>,</w:t>
      </w:r>
      <w:r w:rsidR="00033399">
        <w:rPr>
          <w:rFonts w:cs="Arial"/>
          <w:i/>
          <w:iCs/>
          <w:color w:val="0000FF"/>
        </w:rPr>
        <w:t xml:space="preserve"> given </w:t>
      </w:r>
      <w:r w:rsidRPr="007717C4">
        <w:rPr>
          <w:rFonts w:cs="Arial"/>
          <w:i/>
          <w:iCs/>
          <w:color w:val="0000FF"/>
        </w:rPr>
        <w:t>the narrow definition of its purpose and means within the Act</w:t>
      </w:r>
      <w:r w:rsidR="00033399">
        <w:rPr>
          <w:rFonts w:cs="Arial"/>
          <w:i/>
          <w:iCs/>
          <w:color w:val="0000FF"/>
        </w:rPr>
        <w:t>s</w:t>
      </w:r>
      <w:r w:rsidRPr="007717C4">
        <w:rPr>
          <w:rFonts w:cs="Arial"/>
          <w:i/>
          <w:iCs/>
          <w:color w:val="0000FF"/>
        </w:rPr>
        <w:t xml:space="preserve"> at its disposal.  Inevitably</w:t>
      </w:r>
      <w:r w:rsidR="005141BB">
        <w:rPr>
          <w:rFonts w:cs="Arial"/>
          <w:i/>
          <w:iCs/>
          <w:color w:val="0000FF"/>
        </w:rPr>
        <w:t>,</w:t>
      </w:r>
      <w:r w:rsidRPr="007717C4">
        <w:rPr>
          <w:rFonts w:cs="Arial"/>
          <w:i/>
          <w:iCs/>
          <w:color w:val="0000FF"/>
        </w:rPr>
        <w:t xml:space="preserve"> the ACMA tends to rely on technical and economic concepts which lead to a version of what is the most valued application of spectrum. The ACMA is also a victim of its own lack of broader consultation available (witness the demise of the </w:t>
      </w:r>
      <w:proofErr w:type="spellStart"/>
      <w:r w:rsidRPr="007717C4">
        <w:rPr>
          <w:rFonts w:cs="Arial"/>
          <w:i/>
          <w:iCs/>
          <w:color w:val="0000FF"/>
        </w:rPr>
        <w:t>Radiocommunications</w:t>
      </w:r>
      <w:proofErr w:type="spellEnd"/>
      <w:r w:rsidRPr="007717C4">
        <w:rPr>
          <w:rFonts w:cs="Arial"/>
          <w:i/>
          <w:iCs/>
          <w:color w:val="0000FF"/>
        </w:rPr>
        <w:t xml:space="preserve"> Consultative Committee and the International </w:t>
      </w:r>
      <w:proofErr w:type="spellStart"/>
      <w:r w:rsidRPr="007717C4">
        <w:rPr>
          <w:rFonts w:cs="Arial"/>
          <w:i/>
          <w:iCs/>
          <w:color w:val="0000FF"/>
        </w:rPr>
        <w:t>Radiocommunications</w:t>
      </w:r>
      <w:proofErr w:type="spellEnd"/>
      <w:r w:rsidRPr="007717C4">
        <w:rPr>
          <w:rFonts w:cs="Arial"/>
          <w:i/>
          <w:iCs/>
          <w:color w:val="0000FF"/>
        </w:rPr>
        <w:t xml:space="preserve"> Advisory Committee, followed by a greater degree of the ACMA pulling back within its shell). A more widespread effect of the ACMA’s decision making </w:t>
      </w:r>
      <w:r w:rsidR="00033399">
        <w:rPr>
          <w:rFonts w:cs="Arial"/>
          <w:i/>
          <w:iCs/>
          <w:color w:val="0000FF"/>
        </w:rPr>
        <w:t>may appear</w:t>
      </w:r>
      <w:r w:rsidRPr="007717C4">
        <w:rPr>
          <w:rFonts w:cs="Arial"/>
          <w:i/>
          <w:iCs/>
          <w:color w:val="0000FF"/>
        </w:rPr>
        <w:t xml:space="preserve"> in collateral effects on foreign affairs, trade and overseas investment</w:t>
      </w:r>
      <w:r w:rsidR="00033399">
        <w:rPr>
          <w:rFonts w:cs="Arial"/>
          <w:i/>
          <w:iCs/>
          <w:color w:val="0000FF"/>
        </w:rPr>
        <w:t>, a lack of socio-economic and even humanitarian considerations</w:t>
      </w:r>
      <w:proofErr w:type="gramStart"/>
      <w:r w:rsidR="00033399">
        <w:rPr>
          <w:rFonts w:cs="Arial"/>
          <w:i/>
          <w:iCs/>
          <w:color w:val="0000FF"/>
        </w:rPr>
        <w:t xml:space="preserve">, </w:t>
      </w:r>
      <w:r w:rsidRPr="007717C4">
        <w:rPr>
          <w:rFonts w:cs="Arial"/>
          <w:i/>
          <w:iCs/>
          <w:color w:val="0000FF"/>
        </w:rPr>
        <w:t xml:space="preserve"> all</w:t>
      </w:r>
      <w:proofErr w:type="gramEnd"/>
      <w:r w:rsidRPr="007717C4">
        <w:rPr>
          <w:rFonts w:cs="Arial"/>
          <w:i/>
          <w:iCs/>
          <w:color w:val="0000FF"/>
        </w:rPr>
        <w:t xml:space="preserve"> of which are beyond the scope and </w:t>
      </w:r>
      <w:r w:rsidR="00033399">
        <w:rPr>
          <w:rFonts w:cs="Arial"/>
          <w:i/>
          <w:iCs/>
          <w:color w:val="0000FF"/>
        </w:rPr>
        <w:t xml:space="preserve">current </w:t>
      </w:r>
      <w:r w:rsidRPr="007717C4">
        <w:rPr>
          <w:rFonts w:cs="Arial"/>
          <w:i/>
          <w:iCs/>
          <w:color w:val="0000FF"/>
        </w:rPr>
        <w:t xml:space="preserve">vision </w:t>
      </w:r>
      <w:r w:rsidR="00033399">
        <w:rPr>
          <w:rFonts w:cs="Arial"/>
          <w:i/>
          <w:iCs/>
          <w:color w:val="0000FF"/>
        </w:rPr>
        <w:t>given to</w:t>
      </w:r>
      <w:r w:rsidRPr="007717C4">
        <w:rPr>
          <w:rFonts w:cs="Arial"/>
          <w:i/>
          <w:iCs/>
          <w:color w:val="0000FF"/>
        </w:rPr>
        <w:t xml:space="preserve"> the ACMA.   </w:t>
      </w:r>
    </w:p>
    <w:p w:rsidR="007717C4" w:rsidRPr="007717C4" w:rsidRDefault="007717C4" w:rsidP="007717C4">
      <w:pPr>
        <w:rPr>
          <w:rFonts w:cs="Arial"/>
        </w:rPr>
      </w:pPr>
    </w:p>
    <w:p w:rsidR="007717C4" w:rsidRPr="007717C4" w:rsidRDefault="007717C4" w:rsidP="007717C4">
      <w:pPr>
        <w:pStyle w:val="ListParagraph"/>
        <w:numPr>
          <w:ilvl w:val="0"/>
          <w:numId w:val="2"/>
        </w:numPr>
        <w:spacing w:after="0" w:line="240" w:lineRule="auto"/>
        <w:contextualSpacing w:val="0"/>
        <w:rPr>
          <w:rFonts w:cs="Arial"/>
          <w:b/>
        </w:rPr>
      </w:pPr>
      <w:r w:rsidRPr="007717C4">
        <w:rPr>
          <w:b/>
        </w:rPr>
        <w:t>Consider institutional arrangements and ensure an appropriate level of Ministerial oversight of spectrum policy and management, by identifying appropriate roles for the Minister, the Australian Communications and Media Authority, the Department of Communications and others involved in spectrum management</w:t>
      </w:r>
    </w:p>
    <w:p w:rsidR="007717C4" w:rsidRPr="007717C4" w:rsidRDefault="007717C4" w:rsidP="007717C4">
      <w:pPr>
        <w:pStyle w:val="Default"/>
        <w:rPr>
          <w:rFonts w:asciiTheme="minorHAnsi" w:hAnsiTheme="minorHAnsi"/>
          <w:sz w:val="22"/>
          <w:szCs w:val="22"/>
        </w:rPr>
      </w:pPr>
    </w:p>
    <w:p w:rsidR="007717C4" w:rsidRPr="004E4430" w:rsidRDefault="007717C4" w:rsidP="004E4430">
      <w:pPr>
        <w:ind w:left="360"/>
        <w:rPr>
          <w:rFonts w:cs="Arial"/>
          <w:color w:val="0000FF"/>
        </w:rPr>
      </w:pPr>
      <w:r w:rsidRPr="007717C4">
        <w:rPr>
          <w:rFonts w:cs="Arial"/>
          <w:i/>
          <w:iCs/>
          <w:color w:val="0000FF"/>
        </w:rPr>
        <w:lastRenderedPageBreak/>
        <w:t xml:space="preserve">The roles assigned to the Minister, the Department of Communications and the ACMA under </w:t>
      </w:r>
      <w:r w:rsidR="004E4430">
        <w:rPr>
          <w:rFonts w:cs="Arial"/>
          <w:i/>
          <w:iCs/>
          <w:color w:val="0000FF"/>
        </w:rPr>
        <w:t xml:space="preserve">the </w:t>
      </w:r>
      <w:proofErr w:type="spellStart"/>
      <w:r w:rsidR="004E4430">
        <w:rPr>
          <w:rFonts w:cs="Arial"/>
          <w:i/>
          <w:iCs/>
          <w:color w:val="0000FF"/>
        </w:rPr>
        <w:t>Radiocommunications</w:t>
      </w:r>
      <w:proofErr w:type="spellEnd"/>
      <w:r w:rsidR="004E4430">
        <w:rPr>
          <w:rFonts w:cs="Arial"/>
          <w:i/>
          <w:iCs/>
          <w:color w:val="0000FF"/>
        </w:rPr>
        <w:t xml:space="preserve"> Act and the ACMA Act form the framework and the structure for spectrum management. </w:t>
      </w:r>
      <w:r w:rsidRPr="007717C4">
        <w:rPr>
          <w:rFonts w:cs="Arial"/>
          <w:i/>
          <w:iCs/>
          <w:color w:val="0000FF"/>
        </w:rPr>
        <w:t xml:space="preserve"> </w:t>
      </w:r>
      <w:proofErr w:type="gramStart"/>
      <w:r w:rsidR="004E4430">
        <w:rPr>
          <w:rFonts w:cs="Arial"/>
          <w:i/>
          <w:iCs/>
          <w:color w:val="0000FF"/>
        </w:rPr>
        <w:t xml:space="preserve">The </w:t>
      </w:r>
      <w:r w:rsidRPr="007717C4">
        <w:rPr>
          <w:rFonts w:cs="Arial"/>
          <w:i/>
          <w:iCs/>
          <w:color w:val="0000FF"/>
        </w:rPr>
        <w:t xml:space="preserve"> Department</w:t>
      </w:r>
      <w:proofErr w:type="gramEnd"/>
      <w:r w:rsidRPr="007717C4">
        <w:rPr>
          <w:rFonts w:cs="Arial"/>
          <w:i/>
          <w:iCs/>
          <w:color w:val="0000FF"/>
        </w:rPr>
        <w:t xml:space="preserve"> and the Authority </w:t>
      </w:r>
      <w:r w:rsidR="004E4430">
        <w:rPr>
          <w:rFonts w:cs="Arial"/>
          <w:i/>
          <w:iCs/>
          <w:color w:val="0000FF"/>
        </w:rPr>
        <w:t>need to be re-</w:t>
      </w:r>
      <w:r w:rsidRPr="007717C4">
        <w:rPr>
          <w:rFonts w:cs="Arial"/>
          <w:i/>
          <w:iCs/>
          <w:color w:val="0000FF"/>
        </w:rPr>
        <w:t xml:space="preserve">resourced </w:t>
      </w:r>
      <w:r w:rsidR="004E4430">
        <w:rPr>
          <w:rFonts w:cs="Arial"/>
          <w:i/>
          <w:iCs/>
          <w:color w:val="0000FF"/>
        </w:rPr>
        <w:t>with better balance to undertake the</w:t>
      </w:r>
      <w:r w:rsidRPr="007717C4">
        <w:rPr>
          <w:rFonts w:cs="Arial"/>
          <w:i/>
          <w:iCs/>
          <w:color w:val="0000FF"/>
        </w:rPr>
        <w:t>se roles. Spectrum policy-making should remain the exclusive purview of the Department and the Authority’s sole role with regard to spectrum policy should be its implementation.</w:t>
      </w:r>
      <w:r w:rsidR="004E4430">
        <w:rPr>
          <w:rFonts w:cs="Arial"/>
          <w:i/>
          <w:iCs/>
          <w:color w:val="0000FF"/>
        </w:rPr>
        <w:t xml:space="preserve"> It should not have the burden of interpreting policy in an ongoing way – constant feedback and closer integration with the Department would be beneficial.</w:t>
      </w:r>
    </w:p>
    <w:p w:rsidR="004E4430" w:rsidRDefault="007717C4" w:rsidP="004E4430">
      <w:pPr>
        <w:ind w:left="360"/>
        <w:rPr>
          <w:rFonts w:cs="Arial"/>
          <w:i/>
          <w:iCs/>
          <w:color w:val="0000FF"/>
        </w:rPr>
      </w:pPr>
      <w:r w:rsidRPr="007717C4">
        <w:rPr>
          <w:rFonts w:cs="Arial"/>
          <w:i/>
          <w:iCs/>
          <w:color w:val="0000FF"/>
        </w:rPr>
        <w:t xml:space="preserve">The ACMA should </w:t>
      </w:r>
      <w:r w:rsidR="004E4430">
        <w:rPr>
          <w:rFonts w:cs="Arial"/>
          <w:i/>
          <w:iCs/>
          <w:color w:val="0000FF"/>
        </w:rPr>
        <w:t xml:space="preserve">continue to </w:t>
      </w:r>
      <w:r w:rsidRPr="007717C4">
        <w:rPr>
          <w:rFonts w:cs="Arial"/>
          <w:i/>
          <w:iCs/>
          <w:color w:val="0000FF"/>
        </w:rPr>
        <w:t xml:space="preserve">be resourced well enough to enable it to take a lead role in spectrum harmonisation </w:t>
      </w:r>
      <w:r w:rsidR="004E4430">
        <w:rPr>
          <w:rFonts w:cs="Arial"/>
          <w:i/>
          <w:iCs/>
          <w:color w:val="0000FF"/>
        </w:rPr>
        <w:t xml:space="preserve">at peak meetings </w:t>
      </w:r>
      <w:r w:rsidRPr="007717C4">
        <w:rPr>
          <w:rFonts w:cs="Arial"/>
          <w:i/>
          <w:iCs/>
          <w:color w:val="0000FF"/>
        </w:rPr>
        <w:t>both within the region through the APT and globally through the ITU</w:t>
      </w:r>
      <w:r w:rsidR="006A52B9">
        <w:rPr>
          <w:rFonts w:cs="Arial"/>
          <w:i/>
          <w:iCs/>
          <w:color w:val="0000FF"/>
        </w:rPr>
        <w:t>-R</w:t>
      </w:r>
      <w:r w:rsidRPr="007717C4">
        <w:rPr>
          <w:rFonts w:cs="Arial"/>
          <w:i/>
          <w:iCs/>
          <w:color w:val="0000FF"/>
        </w:rPr>
        <w:t>. This should involve active participation and leadership at ITU</w:t>
      </w:r>
      <w:r w:rsidR="006A52B9">
        <w:rPr>
          <w:rFonts w:cs="Arial"/>
          <w:i/>
          <w:iCs/>
          <w:color w:val="0000FF"/>
        </w:rPr>
        <w:t>-R</w:t>
      </w:r>
      <w:r w:rsidRPr="007717C4">
        <w:rPr>
          <w:rFonts w:cs="Arial"/>
          <w:i/>
          <w:iCs/>
          <w:color w:val="0000FF"/>
        </w:rPr>
        <w:t xml:space="preserve"> Study Groups and associated Working Party meetings</w:t>
      </w:r>
      <w:r w:rsidR="004E4430">
        <w:rPr>
          <w:rFonts w:cs="Arial"/>
          <w:i/>
          <w:iCs/>
          <w:color w:val="0000FF"/>
        </w:rPr>
        <w:t xml:space="preserve"> and better use of the capabilities of industry to do this at non-treaty meetings</w:t>
      </w:r>
      <w:r w:rsidRPr="007717C4">
        <w:rPr>
          <w:rFonts w:cs="Arial"/>
          <w:i/>
          <w:iCs/>
          <w:color w:val="0000FF"/>
        </w:rPr>
        <w:t xml:space="preserve">. The Spectrum Review needs to address this issue and the wider </w:t>
      </w:r>
      <w:r w:rsidR="005141BB">
        <w:rPr>
          <w:rFonts w:cs="Arial"/>
          <w:i/>
          <w:iCs/>
          <w:color w:val="0000FF"/>
        </w:rPr>
        <w:t>matter</w:t>
      </w:r>
      <w:r w:rsidRPr="007717C4">
        <w:rPr>
          <w:rFonts w:cs="Arial"/>
          <w:i/>
          <w:iCs/>
          <w:color w:val="0000FF"/>
        </w:rPr>
        <w:t xml:space="preserve"> of industry consultation and participation in these efforts. </w:t>
      </w:r>
    </w:p>
    <w:p w:rsidR="007717C4" w:rsidRPr="004E4430" w:rsidRDefault="007717C4" w:rsidP="004E4430">
      <w:pPr>
        <w:ind w:left="360"/>
        <w:rPr>
          <w:rFonts w:cs="Arial"/>
          <w:color w:val="0000FF"/>
        </w:rPr>
      </w:pPr>
      <w:r w:rsidRPr="007717C4">
        <w:rPr>
          <w:rFonts w:cs="Arial"/>
          <w:i/>
          <w:iCs/>
          <w:color w:val="0000FF"/>
        </w:rPr>
        <w:t xml:space="preserve">The roles assigned to the Minister, the Department of Communications and the ACMA under the Act </w:t>
      </w:r>
      <w:r w:rsidR="004E4430">
        <w:rPr>
          <w:rFonts w:cs="Arial"/>
          <w:i/>
          <w:iCs/>
          <w:color w:val="0000FF"/>
        </w:rPr>
        <w:t>could</w:t>
      </w:r>
      <w:r w:rsidRPr="007717C4">
        <w:rPr>
          <w:rFonts w:cs="Arial"/>
          <w:i/>
          <w:iCs/>
          <w:color w:val="0000FF"/>
        </w:rPr>
        <w:t xml:space="preserve"> </w:t>
      </w:r>
      <w:r w:rsidR="005141BB">
        <w:rPr>
          <w:rFonts w:cs="Arial"/>
          <w:i/>
          <w:iCs/>
          <w:color w:val="0000FF"/>
        </w:rPr>
        <w:t xml:space="preserve">also </w:t>
      </w:r>
      <w:r w:rsidRPr="007717C4">
        <w:rPr>
          <w:rFonts w:cs="Arial"/>
          <w:i/>
          <w:iCs/>
          <w:color w:val="0000FF"/>
        </w:rPr>
        <w:t>be re-cast</w:t>
      </w:r>
      <w:r w:rsidR="004E4430">
        <w:rPr>
          <w:rFonts w:cs="Arial"/>
          <w:i/>
          <w:iCs/>
          <w:color w:val="0000FF"/>
        </w:rPr>
        <w:t xml:space="preserve"> in a clearer way</w:t>
      </w:r>
      <w:r w:rsidRPr="007717C4">
        <w:rPr>
          <w:rFonts w:cs="Arial"/>
          <w:i/>
          <w:iCs/>
          <w:color w:val="0000FF"/>
        </w:rPr>
        <w:t>. Spectrum policy-making should remain the exclusive purview of the Minister and the Department with the Authority’s sole role with regard to spectrum policy being its implementation. However, the broader implication of national and international decision making and how policy is interpreted by the ACMA needs to graduate from the present open circuit arr</w:t>
      </w:r>
      <w:r w:rsidR="005141BB">
        <w:rPr>
          <w:rFonts w:cs="Arial"/>
          <w:i/>
          <w:iCs/>
          <w:color w:val="0000FF"/>
        </w:rPr>
        <w:t xml:space="preserve">angements for the ACMA. </w:t>
      </w:r>
      <w:r w:rsidRPr="007717C4">
        <w:rPr>
          <w:rFonts w:cs="Arial"/>
          <w:i/>
          <w:iCs/>
          <w:color w:val="0000FF"/>
        </w:rPr>
        <w:t xml:space="preserve"> </w:t>
      </w:r>
      <w:r w:rsidR="005141BB">
        <w:rPr>
          <w:rFonts w:cs="Arial"/>
          <w:i/>
          <w:iCs/>
          <w:color w:val="0000FF"/>
        </w:rPr>
        <w:t>T</w:t>
      </w:r>
      <w:r w:rsidRPr="007717C4">
        <w:rPr>
          <w:rFonts w:cs="Arial"/>
          <w:i/>
          <w:iCs/>
          <w:color w:val="0000FF"/>
        </w:rPr>
        <w:t xml:space="preserve">here is a need for a higher level of </w:t>
      </w:r>
      <w:r w:rsidR="004E4430">
        <w:rPr>
          <w:rFonts w:cs="Arial"/>
          <w:i/>
          <w:iCs/>
          <w:color w:val="0000FF"/>
        </w:rPr>
        <w:t>accountability (</w:t>
      </w:r>
      <w:proofErr w:type="spellStart"/>
      <w:r w:rsidR="004E4430">
        <w:rPr>
          <w:rFonts w:cs="Arial"/>
          <w:i/>
          <w:iCs/>
          <w:color w:val="0000FF"/>
        </w:rPr>
        <w:t>eg</w:t>
      </w:r>
      <w:proofErr w:type="spellEnd"/>
      <w:r w:rsidR="005141BB">
        <w:rPr>
          <w:rFonts w:cs="Arial"/>
          <w:i/>
          <w:iCs/>
          <w:color w:val="0000FF"/>
        </w:rPr>
        <w:t>.</w:t>
      </w:r>
      <w:r w:rsidR="004E4430">
        <w:rPr>
          <w:rFonts w:cs="Arial"/>
          <w:i/>
          <w:iCs/>
          <w:color w:val="0000FF"/>
        </w:rPr>
        <w:t xml:space="preserve"> as with OFCOM</w:t>
      </w:r>
      <w:r w:rsidRPr="007717C4">
        <w:rPr>
          <w:rFonts w:cs="Arial"/>
          <w:i/>
          <w:iCs/>
          <w:color w:val="0000FF"/>
        </w:rPr>
        <w:t xml:space="preserve"> and the Government in the UK) and greater exposure to the needs of other portfolios of Government and industry with direct and indirect interests.  This can be done by the Department of Communications having a Committee oversight responsibility</w:t>
      </w:r>
      <w:r w:rsidR="006A52B9">
        <w:rPr>
          <w:rFonts w:cs="Arial"/>
          <w:i/>
          <w:iCs/>
          <w:color w:val="0000FF"/>
        </w:rPr>
        <w:t xml:space="preserve"> for both national and international spectrum matters</w:t>
      </w:r>
      <w:r w:rsidRPr="007717C4">
        <w:rPr>
          <w:rFonts w:cs="Arial"/>
          <w:i/>
          <w:iCs/>
          <w:color w:val="0000FF"/>
        </w:rPr>
        <w:t>.</w:t>
      </w:r>
    </w:p>
    <w:p w:rsidR="007717C4" w:rsidRPr="007717C4" w:rsidRDefault="007717C4" w:rsidP="006A52B9">
      <w:pPr>
        <w:ind w:left="360"/>
        <w:rPr>
          <w:rFonts w:cs="Arial"/>
          <w:i/>
          <w:iCs/>
          <w:color w:val="0000FF"/>
        </w:rPr>
      </w:pPr>
      <w:r w:rsidRPr="007717C4">
        <w:rPr>
          <w:rFonts w:cs="Arial"/>
          <w:i/>
          <w:iCs/>
          <w:color w:val="0000FF"/>
        </w:rPr>
        <w:t>Spectrum harmonisation both within the region through the APT and globally through the ITU</w:t>
      </w:r>
      <w:r w:rsidR="006A52B9">
        <w:rPr>
          <w:rFonts w:cs="Arial"/>
          <w:i/>
          <w:iCs/>
          <w:color w:val="0000FF"/>
        </w:rPr>
        <w:t>-R</w:t>
      </w:r>
      <w:r w:rsidRPr="007717C4">
        <w:rPr>
          <w:rFonts w:cs="Arial"/>
          <w:i/>
          <w:iCs/>
          <w:color w:val="0000FF"/>
        </w:rPr>
        <w:t xml:space="preserve"> should involve better active participation and leadership at ITU</w:t>
      </w:r>
      <w:r w:rsidR="005141BB">
        <w:rPr>
          <w:rFonts w:cs="Arial"/>
          <w:i/>
          <w:iCs/>
          <w:color w:val="0000FF"/>
        </w:rPr>
        <w:t>-R</w:t>
      </w:r>
      <w:r w:rsidRPr="007717C4">
        <w:rPr>
          <w:rFonts w:cs="Arial"/>
          <w:i/>
          <w:iCs/>
          <w:color w:val="0000FF"/>
        </w:rPr>
        <w:t xml:space="preserve"> Study Groups and associated Working Party meetings through industry participants. Quite often, industry is instructed to adopt a “follow discussion” position, despite industry having the competence and ideas to </w:t>
      </w:r>
      <w:r w:rsidR="00ED494F">
        <w:rPr>
          <w:rFonts w:cs="Arial"/>
          <w:i/>
          <w:iCs/>
          <w:color w:val="0000FF"/>
        </w:rPr>
        <w:t xml:space="preserve">progress </w:t>
      </w:r>
      <w:r w:rsidRPr="007717C4">
        <w:rPr>
          <w:rFonts w:cs="Arial"/>
          <w:i/>
          <w:iCs/>
          <w:color w:val="0000FF"/>
        </w:rPr>
        <w:t>further interactive discussion to Australia’s benefit. This still can be achieved within the</w:t>
      </w:r>
      <w:r w:rsidR="004E4430">
        <w:rPr>
          <w:rFonts w:cs="Arial"/>
          <w:i/>
          <w:iCs/>
          <w:color w:val="0000FF"/>
        </w:rPr>
        <w:t xml:space="preserve"> constraints of a</w:t>
      </w:r>
      <w:r w:rsidRPr="007717C4">
        <w:rPr>
          <w:rFonts w:cs="Arial"/>
          <w:i/>
          <w:iCs/>
          <w:color w:val="0000FF"/>
        </w:rPr>
        <w:t xml:space="preserve"> Delegation Brief. </w:t>
      </w:r>
      <w:r w:rsidR="006A52B9">
        <w:rPr>
          <w:rFonts w:cs="Arial"/>
          <w:i/>
          <w:iCs/>
          <w:color w:val="0000FF"/>
        </w:rPr>
        <w:t xml:space="preserve"> </w:t>
      </w:r>
      <w:r w:rsidRPr="007717C4">
        <w:rPr>
          <w:rFonts w:cs="Arial"/>
          <w:i/>
          <w:iCs/>
          <w:color w:val="0000FF"/>
        </w:rPr>
        <w:t>In other words, ACMA’s command style of management of Australia’s involvement is well short of optimal. There also is no reason why the Australian Radio Study Groups structure and operations could not be excised from the ACMA to industry.  Already industry does much of the work. The role of the should be enshrined better in the legislation</w:t>
      </w:r>
    </w:p>
    <w:p w:rsidR="007717C4" w:rsidRPr="007717C4" w:rsidRDefault="007717C4" w:rsidP="007717C4">
      <w:pPr>
        <w:pStyle w:val="Default"/>
        <w:rPr>
          <w:rFonts w:asciiTheme="minorHAnsi" w:hAnsiTheme="minorHAnsi"/>
          <w:sz w:val="22"/>
          <w:szCs w:val="22"/>
        </w:rPr>
      </w:pPr>
    </w:p>
    <w:p w:rsidR="007717C4" w:rsidRPr="007717C4" w:rsidRDefault="007717C4" w:rsidP="007717C4">
      <w:pPr>
        <w:pStyle w:val="ListParagraph"/>
        <w:numPr>
          <w:ilvl w:val="0"/>
          <w:numId w:val="2"/>
        </w:numPr>
        <w:spacing w:after="0" w:line="240" w:lineRule="auto"/>
        <w:contextualSpacing w:val="0"/>
        <w:rPr>
          <w:rFonts w:cs="Arial"/>
          <w:b/>
        </w:rPr>
      </w:pPr>
      <w:r w:rsidRPr="007717C4">
        <w:rPr>
          <w:b/>
        </w:rPr>
        <w:t>Promote consistency across legislation and sectors, including in relation to compliance mechanisms, technical regulation and the planning and licensing of spectrum</w:t>
      </w:r>
    </w:p>
    <w:p w:rsidR="007717C4" w:rsidRPr="007717C4" w:rsidRDefault="007717C4" w:rsidP="007717C4">
      <w:pPr>
        <w:rPr>
          <w:b/>
        </w:rPr>
      </w:pPr>
    </w:p>
    <w:p w:rsidR="007717C4" w:rsidRPr="007717C4" w:rsidRDefault="007717C4" w:rsidP="006A52B9">
      <w:pPr>
        <w:ind w:left="360"/>
        <w:rPr>
          <w:rFonts w:cs="Arial"/>
          <w:i/>
          <w:iCs/>
          <w:color w:val="0000FF"/>
        </w:rPr>
      </w:pPr>
      <w:r w:rsidRPr="007717C4">
        <w:rPr>
          <w:rFonts w:cs="Arial"/>
          <w:i/>
          <w:iCs/>
          <w:color w:val="0000FF"/>
        </w:rPr>
        <w:t>All spectrum users, regardless of their size or deployed technology should be treated consistently and transparently by the ACMA. Industry participation in spectrum planning needs to be mandated through legislation and/or regulation to ensure it happens consistently.</w:t>
      </w:r>
    </w:p>
    <w:p w:rsidR="007717C4" w:rsidRPr="007717C4" w:rsidRDefault="007717C4" w:rsidP="007717C4">
      <w:pPr>
        <w:ind w:left="360"/>
        <w:rPr>
          <w:rFonts w:cs="Arial"/>
          <w:i/>
          <w:iCs/>
          <w:color w:val="0000FF"/>
        </w:rPr>
      </w:pPr>
      <w:r w:rsidRPr="007717C4">
        <w:rPr>
          <w:rFonts w:cs="Arial"/>
          <w:i/>
          <w:iCs/>
          <w:color w:val="0000FF"/>
        </w:rPr>
        <w:t>The time is ripe to bring about similar changes as have been achieved in the telecommunications area, as mentioned previously.</w:t>
      </w:r>
    </w:p>
    <w:p w:rsidR="007717C4" w:rsidRPr="007717C4" w:rsidRDefault="007717C4" w:rsidP="007717C4">
      <w:pPr>
        <w:ind w:left="360"/>
        <w:rPr>
          <w:rFonts w:cs="Arial"/>
          <w:b/>
        </w:rPr>
      </w:pPr>
    </w:p>
    <w:p w:rsidR="007717C4" w:rsidRPr="007717C4" w:rsidRDefault="007717C4" w:rsidP="007717C4">
      <w:pPr>
        <w:pStyle w:val="Default"/>
        <w:rPr>
          <w:rFonts w:asciiTheme="minorHAnsi" w:hAnsiTheme="minorHAnsi"/>
          <w:sz w:val="22"/>
          <w:szCs w:val="22"/>
        </w:rPr>
      </w:pPr>
    </w:p>
    <w:p w:rsidR="006A52B9" w:rsidRPr="00ED494F" w:rsidRDefault="007717C4" w:rsidP="007717C4">
      <w:pPr>
        <w:pStyle w:val="ListParagraph"/>
        <w:numPr>
          <w:ilvl w:val="0"/>
          <w:numId w:val="2"/>
        </w:numPr>
        <w:spacing w:after="0" w:line="240" w:lineRule="auto"/>
        <w:contextualSpacing w:val="0"/>
        <w:rPr>
          <w:rFonts w:cs="Arial"/>
          <w:b/>
        </w:rPr>
      </w:pPr>
      <w:r w:rsidRPr="007717C4">
        <w:rPr>
          <w:b/>
        </w:rPr>
        <w:t>Develop an appropriate framework to consider public interest spectrum</w:t>
      </w:r>
    </w:p>
    <w:p w:rsidR="00ED494F" w:rsidRPr="006A52B9" w:rsidRDefault="00ED494F" w:rsidP="00ED494F">
      <w:pPr>
        <w:pStyle w:val="ListParagraph"/>
        <w:spacing w:after="0" w:line="240" w:lineRule="auto"/>
        <w:ind w:left="360"/>
        <w:contextualSpacing w:val="0"/>
        <w:rPr>
          <w:rFonts w:cs="Arial"/>
          <w:b/>
        </w:rPr>
      </w:pPr>
    </w:p>
    <w:p w:rsidR="007717C4" w:rsidRDefault="007717C4" w:rsidP="006A52B9">
      <w:pPr>
        <w:pStyle w:val="ListParagraph"/>
        <w:spacing w:after="0" w:line="240" w:lineRule="auto"/>
        <w:ind w:left="360"/>
        <w:contextualSpacing w:val="0"/>
        <w:rPr>
          <w:rFonts w:cs="Arial"/>
          <w:i/>
          <w:iCs/>
          <w:color w:val="0000FF"/>
        </w:rPr>
      </w:pPr>
      <w:r w:rsidRPr="006A52B9">
        <w:rPr>
          <w:rFonts w:cs="Arial"/>
          <w:i/>
          <w:iCs/>
          <w:color w:val="0000FF"/>
        </w:rPr>
        <w:t>Legislation should prov</w:t>
      </w:r>
      <w:r w:rsidR="006A52B9">
        <w:rPr>
          <w:rFonts w:cs="Arial"/>
          <w:i/>
          <w:iCs/>
          <w:color w:val="0000FF"/>
        </w:rPr>
        <w:t>ide unambiguous definitions of public i</w:t>
      </w:r>
      <w:r w:rsidRPr="006A52B9">
        <w:rPr>
          <w:rFonts w:cs="Arial"/>
          <w:i/>
          <w:iCs/>
          <w:color w:val="0000FF"/>
        </w:rPr>
        <w:t>nterest and clarify expectations of how, and at what, if any, cost public interest services gain access to spectrum</w:t>
      </w:r>
    </w:p>
    <w:p w:rsidR="006A52B9" w:rsidRPr="006A52B9" w:rsidRDefault="006A52B9" w:rsidP="006A52B9">
      <w:pPr>
        <w:pStyle w:val="ListParagraph"/>
        <w:spacing w:after="0" w:line="240" w:lineRule="auto"/>
        <w:ind w:left="360"/>
        <w:contextualSpacing w:val="0"/>
        <w:rPr>
          <w:rFonts w:cs="Arial"/>
          <w:b/>
        </w:rPr>
      </w:pPr>
    </w:p>
    <w:p w:rsidR="007717C4" w:rsidRPr="007717C4" w:rsidRDefault="007717C4" w:rsidP="007717C4">
      <w:pPr>
        <w:ind w:left="360"/>
        <w:rPr>
          <w:b/>
          <w:i/>
        </w:rPr>
      </w:pPr>
      <w:r w:rsidRPr="007717C4">
        <w:rPr>
          <w:rFonts w:cs="Arial"/>
          <w:i/>
          <w:iCs/>
          <w:color w:val="0000FF"/>
        </w:rPr>
        <w:t xml:space="preserve">The concepts of what is in the public interest should also be run past a </w:t>
      </w:r>
      <w:r w:rsidR="006A52B9">
        <w:rPr>
          <w:rFonts w:cs="Arial"/>
          <w:i/>
          <w:iCs/>
          <w:color w:val="0000FF"/>
        </w:rPr>
        <w:t xml:space="preserve">test of a </w:t>
      </w:r>
      <w:r w:rsidRPr="007717C4">
        <w:rPr>
          <w:rFonts w:cs="Arial"/>
          <w:i/>
          <w:iCs/>
          <w:color w:val="0000FF"/>
        </w:rPr>
        <w:t xml:space="preserve">broader level of accountability such as would occur by a Departmental oversight committee.  </w:t>
      </w:r>
    </w:p>
    <w:p w:rsidR="007717C4" w:rsidRPr="007717C4" w:rsidRDefault="007717C4" w:rsidP="007717C4">
      <w:pPr>
        <w:ind w:left="360"/>
        <w:rPr>
          <w:b/>
          <w:i/>
        </w:rPr>
      </w:pPr>
    </w:p>
    <w:p w:rsidR="007717C4" w:rsidRPr="007717C4" w:rsidRDefault="007717C4" w:rsidP="007717C4">
      <w:pPr>
        <w:pStyle w:val="ListParagraph"/>
        <w:numPr>
          <w:ilvl w:val="0"/>
          <w:numId w:val="2"/>
        </w:numPr>
        <w:spacing w:after="0" w:line="240" w:lineRule="auto"/>
        <w:contextualSpacing w:val="0"/>
        <w:rPr>
          <w:rFonts w:cs="Arial"/>
          <w:b/>
        </w:rPr>
      </w:pPr>
      <w:r w:rsidRPr="007717C4">
        <w:rPr>
          <w:b/>
        </w:rPr>
        <w:t xml:space="preserve">Develop a whole-of-government approach to spectrum policy </w:t>
      </w:r>
    </w:p>
    <w:p w:rsidR="007717C4" w:rsidRPr="007717C4" w:rsidRDefault="007717C4" w:rsidP="007717C4">
      <w:pPr>
        <w:autoSpaceDE w:val="0"/>
        <w:autoSpaceDN w:val="0"/>
        <w:ind w:left="360"/>
        <w:rPr>
          <w:rFonts w:cs="Arial"/>
          <w:i/>
          <w:iCs/>
          <w:color w:val="C00000"/>
        </w:rPr>
      </w:pPr>
    </w:p>
    <w:p w:rsidR="007717C4" w:rsidRPr="007717C4" w:rsidRDefault="007717C4" w:rsidP="006A52B9">
      <w:pPr>
        <w:autoSpaceDE w:val="0"/>
        <w:autoSpaceDN w:val="0"/>
        <w:ind w:left="360"/>
        <w:rPr>
          <w:rFonts w:cs="Arial"/>
          <w:i/>
          <w:iCs/>
          <w:color w:val="0000FF"/>
        </w:rPr>
      </w:pPr>
      <w:r w:rsidRPr="007717C4">
        <w:rPr>
          <w:rFonts w:cs="Arial"/>
          <w:i/>
          <w:iCs/>
          <w:color w:val="0000FF"/>
        </w:rPr>
        <w:t xml:space="preserve">Legislation should provide for an industry/government advisory committee chaired by the Department of Communications whose role is to provide </w:t>
      </w:r>
      <w:r w:rsidR="006A52B9">
        <w:rPr>
          <w:rFonts w:cs="Arial"/>
          <w:i/>
          <w:iCs/>
          <w:color w:val="0000FF"/>
        </w:rPr>
        <w:t xml:space="preserve">interpretation and </w:t>
      </w:r>
      <w:r w:rsidRPr="007717C4">
        <w:rPr>
          <w:rFonts w:cs="Arial"/>
          <w:i/>
          <w:iCs/>
          <w:color w:val="0000FF"/>
        </w:rPr>
        <w:t>advice on international developments,</w:t>
      </w:r>
      <w:r w:rsidR="006A52B9">
        <w:rPr>
          <w:rFonts w:cs="Arial"/>
          <w:i/>
          <w:iCs/>
          <w:color w:val="0000FF"/>
        </w:rPr>
        <w:t xml:space="preserve"> the assessment of the</w:t>
      </w:r>
      <w:r w:rsidRPr="007717C4">
        <w:rPr>
          <w:rFonts w:cs="Arial"/>
          <w:i/>
          <w:iCs/>
          <w:color w:val="0000FF"/>
        </w:rPr>
        <w:t xml:space="preserve"> impact of new and emerging technologies on spectrum management and provide guidance to the ACMA on the implementation of spectrum policy</w:t>
      </w:r>
      <w:r w:rsidR="006A52B9">
        <w:rPr>
          <w:rFonts w:cs="Arial"/>
          <w:i/>
          <w:iCs/>
          <w:color w:val="0000FF"/>
        </w:rPr>
        <w:t xml:space="preserve"> from a broader input and perspective of direct and indirect stakeholders</w:t>
      </w:r>
      <w:r w:rsidRPr="007717C4">
        <w:rPr>
          <w:rFonts w:cs="Arial"/>
          <w:i/>
          <w:iCs/>
          <w:color w:val="0000FF"/>
        </w:rPr>
        <w:t xml:space="preserve">. Australian participation in regional (APT) and global (ITU-R) fora would be a primary </w:t>
      </w:r>
      <w:r w:rsidR="006A52B9">
        <w:rPr>
          <w:rFonts w:cs="Arial"/>
          <w:i/>
          <w:iCs/>
          <w:color w:val="0000FF"/>
        </w:rPr>
        <w:t xml:space="preserve">international </w:t>
      </w:r>
      <w:r w:rsidRPr="007717C4">
        <w:rPr>
          <w:rFonts w:cs="Arial"/>
          <w:i/>
          <w:iCs/>
          <w:color w:val="0000FF"/>
        </w:rPr>
        <w:t>focus of such a committee</w:t>
      </w:r>
      <w:r w:rsidR="006A52B9">
        <w:rPr>
          <w:rFonts w:cs="Arial"/>
          <w:i/>
          <w:iCs/>
          <w:color w:val="0000FF"/>
        </w:rPr>
        <w:t>.</w:t>
      </w:r>
      <w:r w:rsidRPr="007717C4">
        <w:rPr>
          <w:rFonts w:cs="Arial"/>
          <w:i/>
          <w:iCs/>
          <w:color w:val="0000FF"/>
        </w:rPr>
        <w:t xml:space="preserve"> </w:t>
      </w:r>
      <w:r w:rsidR="006A52B9">
        <w:rPr>
          <w:rFonts w:cs="Arial"/>
          <w:i/>
          <w:iCs/>
          <w:color w:val="0000FF"/>
        </w:rPr>
        <w:t>T</w:t>
      </w:r>
      <w:r w:rsidRPr="007717C4">
        <w:rPr>
          <w:rFonts w:cs="Arial"/>
          <w:i/>
          <w:iCs/>
          <w:color w:val="0000FF"/>
        </w:rPr>
        <w:t xml:space="preserve">he committee would </w:t>
      </w:r>
      <w:r w:rsidR="006A52B9">
        <w:rPr>
          <w:rFonts w:cs="Arial"/>
          <w:i/>
          <w:iCs/>
          <w:color w:val="0000FF"/>
        </w:rPr>
        <w:t xml:space="preserve">also </w:t>
      </w:r>
      <w:r w:rsidRPr="007717C4">
        <w:rPr>
          <w:rFonts w:cs="Arial"/>
          <w:i/>
          <w:iCs/>
          <w:color w:val="0000FF"/>
        </w:rPr>
        <w:t>be expected to ensure, wherever possible, that Australian spectrum use is harmonised with regional and global practice</w:t>
      </w:r>
      <w:r w:rsidR="006A52B9">
        <w:rPr>
          <w:rFonts w:cs="Arial"/>
          <w:i/>
          <w:iCs/>
          <w:color w:val="0000FF"/>
        </w:rPr>
        <w:t>, attends to effects on all spectrum users</w:t>
      </w:r>
      <w:r w:rsidR="003C0FD4">
        <w:rPr>
          <w:rFonts w:cs="Arial"/>
          <w:i/>
          <w:iCs/>
          <w:color w:val="0000FF"/>
        </w:rPr>
        <w:t xml:space="preserve"> in Australia</w:t>
      </w:r>
      <w:bookmarkStart w:id="0" w:name="_GoBack"/>
      <w:bookmarkEnd w:id="0"/>
      <w:r w:rsidR="006A52B9">
        <w:rPr>
          <w:rFonts w:cs="Arial"/>
          <w:i/>
          <w:iCs/>
          <w:color w:val="0000FF"/>
        </w:rPr>
        <w:t>, and maintains consistency with general government plans and policies.</w:t>
      </w:r>
    </w:p>
    <w:p w:rsidR="007717C4" w:rsidRPr="007717C4" w:rsidRDefault="007717C4" w:rsidP="007717C4">
      <w:pPr>
        <w:rPr>
          <w:rFonts w:cs="Arial"/>
        </w:rPr>
      </w:pPr>
    </w:p>
    <w:p w:rsidR="007717C4" w:rsidRPr="007717C4" w:rsidRDefault="007717C4" w:rsidP="007717C4">
      <w:pPr>
        <w:pStyle w:val="Default"/>
        <w:numPr>
          <w:ilvl w:val="0"/>
          <w:numId w:val="2"/>
        </w:numPr>
        <w:rPr>
          <w:rFonts w:asciiTheme="minorHAnsi" w:hAnsiTheme="minorHAnsi"/>
          <w:b/>
          <w:sz w:val="22"/>
          <w:szCs w:val="22"/>
        </w:rPr>
      </w:pPr>
      <w:r w:rsidRPr="007717C4">
        <w:rPr>
          <w:rFonts w:asciiTheme="minorHAnsi" w:hAnsiTheme="minorHAnsi"/>
          <w:b/>
          <w:sz w:val="22"/>
          <w:szCs w:val="22"/>
        </w:rPr>
        <w:t xml:space="preserve">Develop a whole-of-economy approach to valuation of spectrum that includes consideration of the broader economic and social benefits. </w:t>
      </w:r>
    </w:p>
    <w:p w:rsidR="007717C4" w:rsidRPr="007717C4" w:rsidRDefault="007717C4" w:rsidP="007717C4">
      <w:pPr>
        <w:pStyle w:val="ListParagraph"/>
        <w:ind w:left="360"/>
        <w:rPr>
          <w:rFonts w:cs="Arial"/>
          <w:b/>
        </w:rPr>
      </w:pPr>
    </w:p>
    <w:p w:rsidR="007717C4" w:rsidRPr="007717C4" w:rsidRDefault="007717C4" w:rsidP="00116B4A">
      <w:pPr>
        <w:ind w:left="360"/>
        <w:rPr>
          <w:i/>
          <w:iCs/>
          <w:color w:val="0000FF"/>
        </w:rPr>
      </w:pPr>
      <w:r w:rsidRPr="007717C4">
        <w:rPr>
          <w:i/>
          <w:iCs/>
          <w:color w:val="0000FF"/>
        </w:rPr>
        <w:t xml:space="preserve">The secondary level of social, economic and global interests by entities which are not necessarily direct ACMA stakeholders is way beyond the narrow views of the ACMA. </w:t>
      </w:r>
      <w:r w:rsidR="00D2356A">
        <w:rPr>
          <w:i/>
          <w:iCs/>
          <w:color w:val="0000FF"/>
        </w:rPr>
        <w:t xml:space="preserve"> </w:t>
      </w:r>
      <w:r w:rsidRPr="007717C4">
        <w:rPr>
          <w:i/>
          <w:iCs/>
          <w:color w:val="0000FF"/>
        </w:rPr>
        <w:t xml:space="preserve">As a result, there is significant latent and actual collateral damage </w:t>
      </w:r>
      <w:r w:rsidR="00116B4A">
        <w:rPr>
          <w:i/>
          <w:iCs/>
          <w:color w:val="0000FF"/>
        </w:rPr>
        <w:t>which can be</w:t>
      </w:r>
      <w:r w:rsidRPr="007717C4">
        <w:rPr>
          <w:i/>
          <w:iCs/>
          <w:color w:val="0000FF"/>
        </w:rPr>
        <w:t xml:space="preserve"> caused.</w:t>
      </w:r>
      <w:r w:rsidR="00116B4A">
        <w:rPr>
          <w:i/>
          <w:iCs/>
          <w:color w:val="0000FF"/>
        </w:rPr>
        <w:t xml:space="preserve"> A re-casting of the objects of legislation and relationship structures would greatly assist this.</w:t>
      </w:r>
    </w:p>
    <w:p w:rsidR="007717C4" w:rsidRPr="007717C4" w:rsidRDefault="007717C4" w:rsidP="007717C4">
      <w:pPr>
        <w:ind w:left="360"/>
        <w:rPr>
          <w:i/>
          <w:iCs/>
          <w:color w:val="0000FF"/>
        </w:rPr>
      </w:pPr>
      <w:r w:rsidRPr="007717C4">
        <w:rPr>
          <w:i/>
          <w:iCs/>
          <w:color w:val="0000FF"/>
        </w:rPr>
        <w:t xml:space="preserve">Regarding direct stakeholders, the Review should consider the current system of determining the cost of spectrum with a view to introducing far greater transparency in how spectrum is priced. Moreover, industry needs to be given a formal role in determining spectrum pricing to ensure that the government’s need for revenue does not become the major driver of how spectrum is priced. </w:t>
      </w:r>
    </w:p>
    <w:p w:rsidR="007717C4" w:rsidRPr="007717C4" w:rsidRDefault="007717C4" w:rsidP="007717C4">
      <w:pPr>
        <w:ind w:left="360"/>
        <w:rPr>
          <w:i/>
          <w:iCs/>
          <w:color w:val="0000FF"/>
        </w:rPr>
      </w:pPr>
    </w:p>
    <w:p w:rsidR="007717C4" w:rsidRDefault="007717C4" w:rsidP="007717C4">
      <w:pPr>
        <w:spacing w:after="0" w:line="240" w:lineRule="auto"/>
        <w:ind w:left="360"/>
        <w:rPr>
          <w:iCs/>
        </w:rPr>
      </w:pPr>
      <w:r>
        <w:rPr>
          <w:iCs/>
        </w:rPr>
        <w:t xml:space="preserve">Dr </w:t>
      </w:r>
      <w:r w:rsidRPr="007717C4">
        <w:rPr>
          <w:iCs/>
        </w:rPr>
        <w:t>Bob Horton,</w:t>
      </w:r>
    </w:p>
    <w:p w:rsidR="007717C4" w:rsidRPr="007717C4" w:rsidRDefault="007717C4" w:rsidP="007717C4">
      <w:pPr>
        <w:spacing w:after="0"/>
        <w:ind w:left="360"/>
        <w:rPr>
          <w:iCs/>
        </w:rPr>
      </w:pPr>
      <w:r>
        <w:rPr>
          <w:iCs/>
        </w:rPr>
        <w:t>Horton Consulting,</w:t>
      </w:r>
    </w:p>
    <w:p w:rsidR="007717C4" w:rsidRPr="007717C4" w:rsidRDefault="007717C4" w:rsidP="007717C4">
      <w:pPr>
        <w:ind w:left="360"/>
        <w:rPr>
          <w:iCs/>
        </w:rPr>
      </w:pPr>
      <w:r>
        <w:rPr>
          <w:iCs/>
        </w:rPr>
        <w:t>20</w:t>
      </w:r>
      <w:r w:rsidRPr="007717C4">
        <w:rPr>
          <w:iCs/>
        </w:rPr>
        <w:t xml:space="preserve"> June 2014</w:t>
      </w:r>
    </w:p>
    <w:p w:rsidR="007717C4" w:rsidRDefault="007717C4"/>
    <w:sectPr w:rsidR="00771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2CF5"/>
    <w:multiLevelType w:val="hybridMultilevel"/>
    <w:tmpl w:val="BFA0F70E"/>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nsid w:val="266C3E63"/>
    <w:multiLevelType w:val="hybridMultilevel"/>
    <w:tmpl w:val="A6C42F60"/>
    <w:lvl w:ilvl="0" w:tplc="F89287DC">
      <w:numFmt w:val="bullet"/>
      <w:lvlText w:val="-"/>
      <w:lvlJc w:val="left"/>
      <w:pPr>
        <w:ind w:left="720" w:hanging="360"/>
      </w:pPr>
      <w:rPr>
        <w:rFonts w:ascii="Calibri" w:eastAsiaTheme="minorHAnsi" w:hAnsi="Calibr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BB"/>
    <w:rsid w:val="00033399"/>
    <w:rsid w:val="0003567B"/>
    <w:rsid w:val="000623A5"/>
    <w:rsid w:val="00085A0D"/>
    <w:rsid w:val="00116B4A"/>
    <w:rsid w:val="00183ED1"/>
    <w:rsid w:val="001E55BB"/>
    <w:rsid w:val="00243624"/>
    <w:rsid w:val="00256C40"/>
    <w:rsid w:val="00265CEA"/>
    <w:rsid w:val="00297617"/>
    <w:rsid w:val="00360236"/>
    <w:rsid w:val="003C0FD4"/>
    <w:rsid w:val="004577F7"/>
    <w:rsid w:val="004D0671"/>
    <w:rsid w:val="004E4430"/>
    <w:rsid w:val="005141BB"/>
    <w:rsid w:val="00576F3D"/>
    <w:rsid w:val="005B35A0"/>
    <w:rsid w:val="006526C8"/>
    <w:rsid w:val="006A52B9"/>
    <w:rsid w:val="00732339"/>
    <w:rsid w:val="007717C4"/>
    <w:rsid w:val="007A748A"/>
    <w:rsid w:val="00A66145"/>
    <w:rsid w:val="00B42B3E"/>
    <w:rsid w:val="00BD28AD"/>
    <w:rsid w:val="00BF7163"/>
    <w:rsid w:val="00C671E6"/>
    <w:rsid w:val="00D2356A"/>
    <w:rsid w:val="00D813B1"/>
    <w:rsid w:val="00ED494F"/>
    <w:rsid w:val="00EF0CBB"/>
    <w:rsid w:val="00F02C27"/>
    <w:rsid w:val="00F3040E"/>
    <w:rsid w:val="00F81873"/>
    <w:rsid w:val="00F947E9"/>
    <w:rsid w:val="00FB2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3D"/>
    <w:pPr>
      <w:ind w:left="720"/>
      <w:contextualSpacing/>
    </w:pPr>
  </w:style>
  <w:style w:type="paragraph" w:customStyle="1" w:styleId="Default">
    <w:name w:val="Default"/>
    <w:rsid w:val="007717C4"/>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3D"/>
    <w:pPr>
      <w:ind w:left="720"/>
      <w:contextualSpacing/>
    </w:pPr>
  </w:style>
  <w:style w:type="paragraph" w:customStyle="1" w:styleId="Default">
    <w:name w:val="Default"/>
    <w:rsid w:val="007717C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Inherit</trimRootDocACLCanViewDocument>
    <trimRootDocACLCanUpdateMetadata xmlns="4597da67-68a3-4e9d-8803-ba3e1787ab6c">Inherit</trimRootDocACLCanUpdateMetadata>
    <trimRootDocACLCanModifyAccess xmlns="4597da67-68a3-4e9d-8803-ba3e1787ab6c">Inherit</trimRootDocACLCanModifyAccess>
    <trimRootDocSecurityCaveats xmlns="4597da67-68a3-4e9d-8803-ba3e1787ab6c">
      <Value>Departmental Staff</Value>
    </trimRootDocSecurityCaveats>
    <c1aa94c1bcce43cc9138ccb9c7bf6e69 xmlns="4597da67-68a3-4e9d-8803-ba3e1787ab6c">
      <Terms xmlns="http://schemas.microsoft.com/office/infopath/2007/PartnerControls"/>
    </c1aa94c1bcce43cc9138ccb9c7bf6e69>
    <trimRootDocSecurityLevel xmlns="4597da67-68a3-4e9d-8803-ba3e1787ab6c">For Official Use Only</trimRootDocSecurityLevel>
    <dd9c7627a75f4720a6ccce58a35e4d75 xmlns="4597da67-68a3-4e9d-8803-ba3e1787ab6c">
      <Terms xmlns="http://schemas.microsoft.com/office/infopath/2007/PartnerControls"/>
    </dd9c7627a75f4720a6ccce58a35e4d75>
    <trimRootDocACLCanContributeDocuments xmlns="4597da67-68a3-4e9d-8803-ba3e1787ab6c">Inherit</trimRootDocACLCanContributeDocuments>
    <ie56bdfdc4a44ef997c05b4ed8c67594 xmlns="4597da67-68a3-4e9d-8803-ba3e1787ab6c">
      <Terms xmlns="http://schemas.microsoft.com/office/infopath/2007/PartnerControls"/>
    </ie56bdfdc4a44ef997c05b4ed8c67594>
    <TaxCatchAll xmlns="4597da67-68a3-4e9d-8803-ba3e1787ab6c">
      <Value>1007</Value>
    </TaxCatchAll>
    <trimRootDocACLCanUpdateDocument xmlns="4597da67-68a3-4e9d-8803-ba3e1787ab6c">Inherit</trimRootDocACLCanUpdateDocument>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Networks and Industry Engagement [Organization] [internal] [84683]</TermName>
          <TermId xmlns="http://schemas.microsoft.com/office/infopath/2007/PartnerControls">20b3b6c8-9cae-4308-8348-90f56bbff876</TermId>
        </TermInfo>
      </Terms>
    </me786d0e3c9949dc83d6a9826d3f7afb>
    <trimRootDocACLCanViewMetadata xmlns="4597da67-68a3-4e9d-8803-ba3e1787ab6c">Inherit</trimRootDocACLCanViewMetadata>
    <l30152c64bc5409cb0d6af5fc7998329 xmlns="4597da67-68a3-4e9d-8803-ba3e1787ab6c">
      <Terms xmlns="http://schemas.microsoft.com/office/infopath/2007/PartnerControls"/>
    </l30152c64bc5409cb0d6af5fc7998329>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UDF_String_39 xmlns="4597da67-68a3-4e9d-8803-ba3e1787ab6c" xsi:nil="true"/>
    <TrimUDF_String_40 xmlns="4597da67-68a3-4e9d-8803-ba3e1787ab6c" xsi:nil="true"/>
    <trimRootDocURI xmlns="4597da67-68a3-4e9d-8803-ba3e1787ab6c">4051308</trimRootDocURI>
    <trimRootDocNotes xmlns="4597da67-68a3-4e9d-8803-ba3e1787ab6c" xsi:nil="true"/>
    <TrimUDF_String_696 xmlns="4597da67-68a3-4e9d-8803-ba3e1787ab6c" xsi:nil="true"/>
    <TrimUDF_Text_698 xmlns="4597da67-68a3-4e9d-8803-ba3e1787ab6c" xsi:nil="true"/>
    <trimRootDocParentURI xmlns="4597da67-68a3-4e9d-8803-ba3e1787ab6c" xsi:nil="true"/>
    <TrimUDF_Text_706 xmlns="4597da67-68a3-4e9d-8803-ba3e1787a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C47CCEDD8332D346A751DCB3EAB153C7" ma:contentTypeVersion="18" ma:contentTypeDescription="106" ma:contentTypeScope="" ma:versionID="e53de1611f19f15e5eaec4b75abc104c">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4B5EB-5ACC-4B49-BDDF-1708D945270E}"/>
</file>

<file path=customXml/itemProps2.xml><?xml version="1.0" encoding="utf-8"?>
<ds:datastoreItem xmlns:ds="http://schemas.openxmlformats.org/officeDocument/2006/customXml" ds:itemID="{ECD14ABB-B261-4447-952C-4A24EA0548E5}"/>
</file>

<file path=customXml/itemProps3.xml><?xml version="1.0" encoding="utf-8"?>
<ds:datastoreItem xmlns:ds="http://schemas.openxmlformats.org/officeDocument/2006/customXml" ds:itemID="{3AA5AE72-E58C-4B32-9F1C-0293DD6B56AF}"/>
</file>

<file path=docProps/app.xml><?xml version="1.0" encoding="utf-8"?>
<Properties xmlns="http://schemas.openxmlformats.org/officeDocument/2006/extended-properties" xmlns:vt="http://schemas.openxmlformats.org/officeDocument/2006/docPropsVTypes">
  <Template>Normal</Template>
  <TotalTime>200</TotalTime>
  <Pages>7</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Horton Consulting.docx</dc:title>
  <dc:creator>Owner</dc:creator>
  <cp:lastModifiedBy>Owner</cp:lastModifiedBy>
  <cp:revision>19</cp:revision>
  <dcterms:created xsi:type="dcterms:W3CDTF">2014-06-19T21:52:00Z</dcterms:created>
  <dcterms:modified xsi:type="dcterms:W3CDTF">2014-06-20T02:40:00Z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0x010100407620DDFF47524F86BCF55EDD3946430100C47CCEDD8332D346A751DCB3EAB153C7</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ACLCanUpdateMetadata_List">
    <vt:lpwstr/>
  </property>
  <property fmtid="{D5CDD505-2E9C-101B-9397-08002B2CF9AE}" pid="6" name="trimRootDocOwnerLocation">
    <vt:lpwstr>1007;#Networks and Industry Engagement [Organization] [internal] [84683]|20b3b6c8-9cae-4308-8348-90f56bbff876</vt:lpwstr>
  </property>
  <property fmtid="{D5CDD505-2E9C-101B-9397-08002B2CF9AE}" pid="7" name="trimRootDocOtherContactLocation">
    <vt:lpwstr/>
  </property>
  <property fmtid="{D5CDD505-2E9C-101B-9397-08002B2CF9AE}" pid="8" name="trimRootDocACLCanContributeDocuments_List">
    <vt:lpwstr/>
  </property>
  <property fmtid="{D5CDD505-2E9C-101B-9397-08002B2CF9AE}" pid="9" name="trimRootDocACLCanModifyAcces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evisionNumber">
    <vt:i4>1</vt:i4>
  </property>
</Properties>
</file>