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7E9" w:rsidRDefault="00973C7C" w:rsidP="001813A0">
      <w:pPr>
        <w:rPr>
          <w:sz w:val="24"/>
          <w:szCs w:val="24"/>
        </w:rPr>
      </w:pPr>
      <w:r w:rsidRPr="00973C7C">
        <w:rPr>
          <w:noProof/>
          <w:sz w:val="24"/>
          <w:szCs w:val="24"/>
          <w:lang w:eastAsia="en-AU"/>
        </w:rPr>
        <w:drawing>
          <wp:anchor distT="0" distB="0" distL="114300" distR="114300" simplePos="0" relativeHeight="251659264" behindDoc="1" locked="0" layoutInCell="1" allowOverlap="1">
            <wp:simplePos x="0" y="0"/>
            <wp:positionH relativeFrom="column">
              <wp:posOffset>9525</wp:posOffset>
            </wp:positionH>
            <wp:positionV relativeFrom="paragraph">
              <wp:posOffset>-285750</wp:posOffset>
            </wp:positionV>
            <wp:extent cx="1769110" cy="1543050"/>
            <wp:effectExtent l="19050" t="0" r="2540" b="0"/>
            <wp:wrapTight wrapText="bothSides">
              <wp:wrapPolygon edited="0">
                <wp:start x="-233" y="0"/>
                <wp:lineTo x="-233" y="21333"/>
                <wp:lineTo x="21631" y="21333"/>
                <wp:lineTo x="21631" y="0"/>
                <wp:lineTo x="-233"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9110" cy="1543050"/>
                    </a:xfrm>
                    <a:prstGeom prst="rect">
                      <a:avLst/>
                    </a:prstGeom>
                    <a:noFill/>
                  </pic:spPr>
                </pic:pic>
              </a:graphicData>
            </a:graphic>
          </wp:anchor>
        </w:drawing>
      </w:r>
    </w:p>
    <w:p w:rsidR="002D07E9" w:rsidRDefault="002D07E9" w:rsidP="001813A0">
      <w:pPr>
        <w:rPr>
          <w:sz w:val="24"/>
          <w:szCs w:val="24"/>
        </w:rPr>
      </w:pPr>
    </w:p>
    <w:p w:rsidR="002D07E9" w:rsidRDefault="002D07E9" w:rsidP="001813A0">
      <w:pPr>
        <w:rPr>
          <w:sz w:val="24"/>
          <w:szCs w:val="24"/>
        </w:rPr>
      </w:pPr>
    </w:p>
    <w:p w:rsidR="002D07E9" w:rsidRDefault="002D07E9" w:rsidP="001813A0">
      <w:pPr>
        <w:rPr>
          <w:sz w:val="24"/>
          <w:szCs w:val="24"/>
        </w:rPr>
      </w:pPr>
    </w:p>
    <w:p w:rsidR="002D07E9" w:rsidRPr="00C227BF" w:rsidRDefault="008E1D1A" w:rsidP="001813A0">
      <w:pPr>
        <w:rPr>
          <w:b/>
          <w:sz w:val="28"/>
          <w:szCs w:val="28"/>
        </w:rPr>
      </w:pPr>
      <w:r w:rsidRPr="00C227BF">
        <w:rPr>
          <w:b/>
          <w:sz w:val="28"/>
          <w:szCs w:val="28"/>
        </w:rPr>
        <w:t xml:space="preserve">Supplementary Submission to </w:t>
      </w:r>
      <w:r w:rsidR="00C227BF" w:rsidRPr="00C227BF">
        <w:rPr>
          <w:b/>
          <w:sz w:val="28"/>
          <w:szCs w:val="28"/>
        </w:rPr>
        <w:t>NBN Non-Commercial Service Funding Options</w:t>
      </w:r>
    </w:p>
    <w:p w:rsidR="00C227BF" w:rsidRPr="00C227BF" w:rsidRDefault="00C227BF" w:rsidP="001813A0">
      <w:pPr>
        <w:rPr>
          <w:b/>
          <w:sz w:val="24"/>
          <w:szCs w:val="24"/>
        </w:rPr>
      </w:pPr>
      <w:r w:rsidRPr="00C227BF">
        <w:rPr>
          <w:b/>
          <w:sz w:val="24"/>
          <w:szCs w:val="24"/>
        </w:rPr>
        <w:t>July 10 2015</w:t>
      </w:r>
    </w:p>
    <w:p w:rsidR="008E1D1A" w:rsidRPr="008E1D1A" w:rsidRDefault="008E1D1A" w:rsidP="001813A0">
      <w:pPr>
        <w:rPr>
          <w:sz w:val="24"/>
          <w:szCs w:val="24"/>
        </w:rPr>
      </w:pPr>
    </w:p>
    <w:p w:rsidR="008E1D1A" w:rsidRPr="008E1D1A" w:rsidRDefault="008E1D1A" w:rsidP="008E1D1A">
      <w:pPr>
        <w:rPr>
          <w:sz w:val="24"/>
          <w:szCs w:val="24"/>
        </w:rPr>
      </w:pPr>
      <w:r>
        <w:rPr>
          <w:sz w:val="24"/>
          <w:szCs w:val="24"/>
        </w:rPr>
        <w:t>The</w:t>
      </w:r>
      <w:r w:rsidR="00890E3F" w:rsidRPr="008E5B14">
        <w:rPr>
          <w:sz w:val="24"/>
          <w:szCs w:val="24"/>
        </w:rPr>
        <w:t xml:space="preserve"> </w:t>
      </w:r>
      <w:r>
        <w:rPr>
          <w:sz w:val="24"/>
          <w:szCs w:val="24"/>
        </w:rPr>
        <w:t xml:space="preserve">CCC </w:t>
      </w:r>
      <w:r w:rsidR="00890E3F" w:rsidRPr="008E5B14">
        <w:rPr>
          <w:sz w:val="24"/>
          <w:szCs w:val="24"/>
        </w:rPr>
        <w:t>wish</w:t>
      </w:r>
      <w:r>
        <w:rPr>
          <w:sz w:val="24"/>
          <w:szCs w:val="24"/>
        </w:rPr>
        <w:t>es</w:t>
      </w:r>
      <w:r w:rsidR="00890E3F" w:rsidRPr="008E5B14">
        <w:rPr>
          <w:sz w:val="24"/>
          <w:szCs w:val="24"/>
        </w:rPr>
        <w:t xml:space="preserve"> to provide this short supplementary s</w:t>
      </w:r>
      <w:r w:rsidR="00747AA9" w:rsidRPr="008E5B14">
        <w:rPr>
          <w:sz w:val="24"/>
          <w:szCs w:val="24"/>
        </w:rPr>
        <w:t xml:space="preserve">ubmission to </w:t>
      </w:r>
      <w:r w:rsidR="001A3C21">
        <w:rPr>
          <w:sz w:val="24"/>
          <w:szCs w:val="24"/>
        </w:rPr>
        <w:t xml:space="preserve">respond to </w:t>
      </w:r>
      <w:r w:rsidR="006436C0">
        <w:rPr>
          <w:sz w:val="24"/>
          <w:szCs w:val="24"/>
        </w:rPr>
        <w:t xml:space="preserve">the </w:t>
      </w:r>
      <w:r w:rsidR="004B7F75" w:rsidRPr="008E5B14">
        <w:rPr>
          <w:sz w:val="24"/>
          <w:szCs w:val="24"/>
        </w:rPr>
        <w:t>model that NBN Co has put forward to fu</w:t>
      </w:r>
      <w:r w:rsidR="0079438E" w:rsidRPr="008E5B14">
        <w:rPr>
          <w:sz w:val="24"/>
          <w:szCs w:val="24"/>
        </w:rPr>
        <w:t>n</w:t>
      </w:r>
      <w:r w:rsidR="004B7F75" w:rsidRPr="008E5B14">
        <w:rPr>
          <w:sz w:val="24"/>
          <w:szCs w:val="24"/>
        </w:rPr>
        <w:t xml:space="preserve">d its loss making </w:t>
      </w:r>
      <w:r w:rsidR="0079438E" w:rsidRPr="008E5B14">
        <w:rPr>
          <w:sz w:val="24"/>
          <w:szCs w:val="24"/>
        </w:rPr>
        <w:t xml:space="preserve">fixed wireless and satellite </w:t>
      </w:r>
      <w:r w:rsidR="004B7F75" w:rsidRPr="008E5B14">
        <w:rPr>
          <w:sz w:val="24"/>
          <w:szCs w:val="24"/>
        </w:rPr>
        <w:t>services.</w:t>
      </w:r>
      <w:r w:rsidR="00D66425" w:rsidRPr="008E5B14">
        <w:rPr>
          <w:sz w:val="24"/>
          <w:szCs w:val="24"/>
        </w:rPr>
        <w:t xml:space="preserve"> </w:t>
      </w:r>
      <w:r>
        <w:rPr>
          <w:sz w:val="24"/>
          <w:szCs w:val="24"/>
        </w:rPr>
        <w:t xml:space="preserve">We note that </w:t>
      </w:r>
      <w:r>
        <w:rPr>
          <w:rFonts w:ascii="Calibri" w:hAnsi="Calibri"/>
        </w:rPr>
        <w:t>Optus and</w:t>
      </w:r>
      <w:r w:rsidRPr="008E1D1A">
        <w:rPr>
          <w:rFonts w:ascii="Calibri" w:hAnsi="Calibri"/>
        </w:rPr>
        <w:t xml:space="preserve"> Vodafone have reviewed this submission and support the views expressed</w:t>
      </w:r>
      <w:r>
        <w:rPr>
          <w:rFonts w:ascii="Calibri" w:hAnsi="Calibri"/>
        </w:rPr>
        <w:t>.</w:t>
      </w:r>
    </w:p>
    <w:p w:rsidR="00AE758A" w:rsidRDefault="00D66425" w:rsidP="001813A0">
      <w:pPr>
        <w:rPr>
          <w:sz w:val="24"/>
          <w:szCs w:val="24"/>
        </w:rPr>
      </w:pPr>
      <w:r w:rsidRPr="008E5B14">
        <w:rPr>
          <w:sz w:val="24"/>
          <w:szCs w:val="24"/>
        </w:rPr>
        <w:t>NBN quite correctly identifies the policy challenges of delivering equitable and economically efficient broadband services to all</w:t>
      </w:r>
      <w:r w:rsidR="00524E0B">
        <w:rPr>
          <w:sz w:val="24"/>
          <w:szCs w:val="24"/>
        </w:rPr>
        <w:t xml:space="preserve"> </w:t>
      </w:r>
      <w:r w:rsidRPr="008E5B14">
        <w:rPr>
          <w:sz w:val="24"/>
          <w:szCs w:val="24"/>
        </w:rPr>
        <w:t>Australian</w:t>
      </w:r>
      <w:r w:rsidR="00524E0B">
        <w:rPr>
          <w:sz w:val="24"/>
          <w:szCs w:val="24"/>
        </w:rPr>
        <w:t>s</w:t>
      </w:r>
      <w:r w:rsidR="006436C0">
        <w:rPr>
          <w:sz w:val="24"/>
          <w:szCs w:val="24"/>
        </w:rPr>
        <w:t xml:space="preserve">. </w:t>
      </w:r>
    </w:p>
    <w:p w:rsidR="00A02345" w:rsidRDefault="00D66425" w:rsidP="001813A0">
      <w:pPr>
        <w:rPr>
          <w:sz w:val="24"/>
          <w:szCs w:val="24"/>
        </w:rPr>
      </w:pPr>
      <w:r w:rsidRPr="008E5B14">
        <w:rPr>
          <w:sz w:val="24"/>
          <w:szCs w:val="24"/>
        </w:rPr>
        <w:t>However</w:t>
      </w:r>
      <w:r w:rsidR="009578D5">
        <w:rPr>
          <w:sz w:val="24"/>
          <w:szCs w:val="24"/>
        </w:rPr>
        <w:t>,</w:t>
      </w:r>
      <w:r w:rsidR="001813A0" w:rsidRPr="008E5B14">
        <w:rPr>
          <w:sz w:val="24"/>
          <w:szCs w:val="24"/>
        </w:rPr>
        <w:t xml:space="preserve"> </w:t>
      </w:r>
      <w:r w:rsidRPr="008E5B14">
        <w:rPr>
          <w:sz w:val="24"/>
          <w:szCs w:val="24"/>
        </w:rPr>
        <w:t xml:space="preserve">we fundamentally disagree </w:t>
      </w:r>
      <w:r w:rsidR="00C227BF">
        <w:rPr>
          <w:sz w:val="24"/>
          <w:szCs w:val="24"/>
        </w:rPr>
        <w:t>with NBN</w:t>
      </w:r>
      <w:r w:rsidRPr="008E5B14">
        <w:rPr>
          <w:sz w:val="24"/>
          <w:szCs w:val="24"/>
        </w:rPr>
        <w:t>’s</w:t>
      </w:r>
      <w:r w:rsidR="00C227BF">
        <w:rPr>
          <w:sz w:val="24"/>
          <w:szCs w:val="24"/>
        </w:rPr>
        <w:t xml:space="preserve"> suggestion that a USO-</w:t>
      </w:r>
      <w:r w:rsidRPr="008E5B14">
        <w:rPr>
          <w:sz w:val="24"/>
          <w:szCs w:val="24"/>
        </w:rPr>
        <w:t xml:space="preserve">style funding regime for the NBN should operate in parallel with the now completely redundant </w:t>
      </w:r>
      <w:r w:rsidR="00C227BF">
        <w:rPr>
          <w:sz w:val="24"/>
          <w:szCs w:val="24"/>
        </w:rPr>
        <w:t>voice-</w:t>
      </w:r>
      <w:r w:rsidR="00BB7CCB">
        <w:rPr>
          <w:sz w:val="24"/>
          <w:szCs w:val="24"/>
        </w:rPr>
        <w:t xml:space="preserve">only </w:t>
      </w:r>
      <w:r w:rsidR="005C00F6" w:rsidRPr="008E5B14">
        <w:rPr>
          <w:sz w:val="24"/>
          <w:szCs w:val="24"/>
        </w:rPr>
        <w:t>Universal Service regime</w:t>
      </w:r>
      <w:r w:rsidR="00EC451F" w:rsidRPr="008E5B14">
        <w:rPr>
          <w:sz w:val="24"/>
          <w:szCs w:val="24"/>
        </w:rPr>
        <w:t>.</w:t>
      </w:r>
      <w:r w:rsidR="005C00F6" w:rsidRPr="008E5B14">
        <w:rPr>
          <w:sz w:val="24"/>
          <w:szCs w:val="24"/>
        </w:rPr>
        <w:t xml:space="preserve"> </w:t>
      </w:r>
      <w:r w:rsidR="00AE758A">
        <w:rPr>
          <w:sz w:val="24"/>
          <w:szCs w:val="24"/>
        </w:rPr>
        <w:t>Further, we note t</w:t>
      </w:r>
      <w:r w:rsidR="00C227BF">
        <w:rPr>
          <w:sz w:val="24"/>
          <w:szCs w:val="24"/>
        </w:rPr>
        <w:t>he clear inconsistency in NBN</w:t>
      </w:r>
      <w:r w:rsidR="00AE758A">
        <w:rPr>
          <w:sz w:val="24"/>
          <w:szCs w:val="24"/>
        </w:rPr>
        <w:t>’s argument that mobile services are substituta</w:t>
      </w:r>
      <w:r w:rsidR="00D312D0">
        <w:rPr>
          <w:sz w:val="24"/>
          <w:szCs w:val="24"/>
        </w:rPr>
        <w:t xml:space="preserve">ble </w:t>
      </w:r>
      <w:r w:rsidR="00AE758A">
        <w:rPr>
          <w:sz w:val="24"/>
          <w:szCs w:val="24"/>
        </w:rPr>
        <w:t>and should contribute to a non-commercial services levy. If mobile networks are substitutable there can be no non-commercial areas</w:t>
      </w:r>
      <w:r w:rsidR="00D312D0">
        <w:rPr>
          <w:sz w:val="24"/>
          <w:szCs w:val="24"/>
        </w:rPr>
        <w:t>,</w:t>
      </w:r>
      <w:r w:rsidR="00AE758A">
        <w:rPr>
          <w:sz w:val="24"/>
          <w:szCs w:val="24"/>
        </w:rPr>
        <w:t xml:space="preserve"> as mobile networks already serve these areas.</w:t>
      </w:r>
      <w:r w:rsidR="00524E0B">
        <w:rPr>
          <w:sz w:val="24"/>
          <w:szCs w:val="24"/>
        </w:rPr>
        <w:t xml:space="preserve"> </w:t>
      </w:r>
    </w:p>
    <w:p w:rsidR="005C00F6" w:rsidRPr="008E5B14" w:rsidRDefault="00524E0B" w:rsidP="001813A0">
      <w:pPr>
        <w:rPr>
          <w:sz w:val="24"/>
          <w:szCs w:val="24"/>
        </w:rPr>
      </w:pPr>
      <w:r>
        <w:rPr>
          <w:sz w:val="24"/>
          <w:szCs w:val="24"/>
        </w:rPr>
        <w:t xml:space="preserve">Indeed, the primary ‘competitor’ in regional areas is Telstra’s (admittedly inferior) copper network. We are currently in the absurd situation where, rather than Telstra making a contribution to the NBN for non-commercial fixed wireless and satellite services, Telstra is actually being </w:t>
      </w:r>
      <w:r w:rsidRPr="00524E0B">
        <w:rPr>
          <w:i/>
          <w:sz w:val="24"/>
          <w:szCs w:val="24"/>
        </w:rPr>
        <w:t>paid</w:t>
      </w:r>
      <w:r>
        <w:rPr>
          <w:sz w:val="24"/>
          <w:szCs w:val="24"/>
        </w:rPr>
        <w:t xml:space="preserve"> by the industry and taxpayers to keep the redundant copper network operational. A subsidy to fund non-commercial infrastructure to compete against NBN’s non-commercial network is a ludicrous policy situation.</w:t>
      </w:r>
    </w:p>
    <w:p w:rsidR="00EC451F" w:rsidRPr="008E5B14" w:rsidRDefault="00EC451F" w:rsidP="005C00F6">
      <w:pPr>
        <w:rPr>
          <w:sz w:val="24"/>
          <w:szCs w:val="24"/>
        </w:rPr>
      </w:pPr>
      <w:r w:rsidRPr="008E5B14">
        <w:rPr>
          <w:sz w:val="24"/>
          <w:szCs w:val="24"/>
        </w:rPr>
        <w:t xml:space="preserve">We believe that NBN will reshape the way services in regional Australia </w:t>
      </w:r>
      <w:r w:rsidR="008E5B14">
        <w:rPr>
          <w:sz w:val="24"/>
          <w:szCs w:val="24"/>
        </w:rPr>
        <w:t xml:space="preserve">are delivered. With this change, current </w:t>
      </w:r>
      <w:r w:rsidRPr="008E5B14">
        <w:rPr>
          <w:sz w:val="24"/>
          <w:szCs w:val="24"/>
        </w:rPr>
        <w:t xml:space="preserve">policy frameworks must change. In doing so there is a substantial opportunity to </w:t>
      </w:r>
      <w:r w:rsidR="00AE758A">
        <w:rPr>
          <w:sz w:val="24"/>
          <w:szCs w:val="24"/>
        </w:rPr>
        <w:t xml:space="preserve">reform </w:t>
      </w:r>
      <w:r w:rsidRPr="008E5B14">
        <w:rPr>
          <w:sz w:val="24"/>
          <w:szCs w:val="24"/>
        </w:rPr>
        <w:t xml:space="preserve">the currently wasteful USO scheme and </w:t>
      </w:r>
      <w:r w:rsidR="00AE758A">
        <w:rPr>
          <w:sz w:val="24"/>
          <w:szCs w:val="24"/>
        </w:rPr>
        <w:t xml:space="preserve">ensure improved </w:t>
      </w:r>
      <w:r w:rsidRPr="008E5B14">
        <w:rPr>
          <w:sz w:val="24"/>
          <w:szCs w:val="24"/>
        </w:rPr>
        <w:t>funding for delivery of mo</w:t>
      </w:r>
      <w:r w:rsidR="001813A0" w:rsidRPr="008E5B14">
        <w:rPr>
          <w:sz w:val="24"/>
          <w:szCs w:val="24"/>
        </w:rPr>
        <w:t>d</w:t>
      </w:r>
      <w:r w:rsidRPr="008E5B14">
        <w:rPr>
          <w:sz w:val="24"/>
          <w:szCs w:val="24"/>
        </w:rPr>
        <w:t>ern telecommunications services for consumers in uneconomic areas</w:t>
      </w:r>
      <w:r w:rsidR="001813A0" w:rsidRPr="008E5B14">
        <w:rPr>
          <w:sz w:val="24"/>
          <w:szCs w:val="24"/>
        </w:rPr>
        <w:t xml:space="preserve"> in a way that delivers a level competitive playing field</w:t>
      </w:r>
      <w:r w:rsidRPr="008E5B14">
        <w:rPr>
          <w:sz w:val="24"/>
          <w:szCs w:val="24"/>
        </w:rPr>
        <w:t xml:space="preserve">.  </w:t>
      </w:r>
    </w:p>
    <w:p w:rsidR="005C00F6" w:rsidRPr="008E5B14" w:rsidRDefault="001E55E9" w:rsidP="005C00F6">
      <w:pPr>
        <w:rPr>
          <w:sz w:val="24"/>
          <w:szCs w:val="24"/>
        </w:rPr>
      </w:pPr>
      <w:r w:rsidRPr="008E5B14">
        <w:rPr>
          <w:sz w:val="24"/>
          <w:szCs w:val="24"/>
        </w:rPr>
        <w:t xml:space="preserve">We note that </w:t>
      </w:r>
      <w:r w:rsidR="005C00F6" w:rsidRPr="008E5B14">
        <w:rPr>
          <w:sz w:val="24"/>
          <w:szCs w:val="24"/>
        </w:rPr>
        <w:t xml:space="preserve">NBN agrees that a review of the </w:t>
      </w:r>
      <w:r w:rsidRPr="008E5B14">
        <w:rPr>
          <w:sz w:val="24"/>
          <w:szCs w:val="24"/>
        </w:rPr>
        <w:t xml:space="preserve">current </w:t>
      </w:r>
      <w:r w:rsidR="005C00F6" w:rsidRPr="008E5B14">
        <w:rPr>
          <w:sz w:val="24"/>
          <w:szCs w:val="24"/>
        </w:rPr>
        <w:t xml:space="preserve">USO </w:t>
      </w:r>
      <w:r w:rsidRPr="008E5B14">
        <w:rPr>
          <w:sz w:val="24"/>
          <w:szCs w:val="24"/>
        </w:rPr>
        <w:t xml:space="preserve">arrangements </w:t>
      </w:r>
      <w:r w:rsidR="005C00F6" w:rsidRPr="008E5B14">
        <w:rPr>
          <w:sz w:val="24"/>
          <w:szCs w:val="24"/>
        </w:rPr>
        <w:t>is warranted</w:t>
      </w:r>
      <w:r w:rsidR="00BB7CCB">
        <w:rPr>
          <w:sz w:val="24"/>
          <w:szCs w:val="24"/>
        </w:rPr>
        <w:t>. Indeed they submit</w:t>
      </w:r>
      <w:r w:rsidRPr="008E5B14">
        <w:rPr>
          <w:sz w:val="24"/>
          <w:szCs w:val="24"/>
        </w:rPr>
        <w:t>:</w:t>
      </w:r>
      <w:r w:rsidR="005C00F6" w:rsidRPr="008E5B14">
        <w:rPr>
          <w:sz w:val="24"/>
          <w:szCs w:val="24"/>
        </w:rPr>
        <w:t xml:space="preserve">  </w:t>
      </w:r>
    </w:p>
    <w:p w:rsidR="005C00F6" w:rsidRPr="008E5B14" w:rsidRDefault="005C00F6" w:rsidP="005C00F6">
      <w:pPr>
        <w:ind w:left="851" w:right="1229"/>
        <w:rPr>
          <w:szCs w:val="24"/>
        </w:rPr>
      </w:pPr>
      <w:r w:rsidRPr="008E5B14">
        <w:rPr>
          <w:szCs w:val="24"/>
        </w:rPr>
        <w:t>That</w:t>
      </w:r>
      <w:r w:rsidR="001813A0" w:rsidRPr="008E5B14">
        <w:rPr>
          <w:szCs w:val="24"/>
        </w:rPr>
        <w:t xml:space="preserve"> [USO]</w:t>
      </w:r>
      <w:r w:rsidRPr="008E5B14">
        <w:rPr>
          <w:szCs w:val="24"/>
        </w:rPr>
        <w:t xml:space="preserve"> review should consider whether the USO is still required given that in the </w:t>
      </w:r>
      <w:r w:rsidR="008E5B14">
        <w:rPr>
          <w:szCs w:val="24"/>
        </w:rPr>
        <w:t>NBN</w:t>
      </w:r>
      <w:r w:rsidRPr="008E5B14">
        <w:rPr>
          <w:szCs w:val="24"/>
        </w:rPr>
        <w:t xml:space="preserve"> environment the obligation for Telstra would solely be a retail obligation. Where Telstra fulfils its obligation using the </w:t>
      </w:r>
      <w:r w:rsidR="008E5B14">
        <w:rPr>
          <w:szCs w:val="24"/>
        </w:rPr>
        <w:t>NBN</w:t>
      </w:r>
      <w:r w:rsidRPr="008E5B14">
        <w:rPr>
          <w:szCs w:val="24"/>
        </w:rPr>
        <w:t>, it is likely that any losses incurred are significantly less than what is curr</w:t>
      </w:r>
      <w:r w:rsidR="0061376E">
        <w:rPr>
          <w:szCs w:val="24"/>
        </w:rPr>
        <w:t>ently reflected in the USO levy</w:t>
      </w:r>
      <w:r w:rsidR="008E5B14">
        <w:rPr>
          <w:szCs w:val="24"/>
        </w:rPr>
        <w:t>.</w:t>
      </w:r>
      <w:r w:rsidR="001E55E9" w:rsidRPr="008E5B14">
        <w:rPr>
          <w:rStyle w:val="FootnoteReference"/>
          <w:szCs w:val="24"/>
        </w:rPr>
        <w:footnoteReference w:id="1"/>
      </w:r>
      <w:r w:rsidRPr="008E5B14">
        <w:rPr>
          <w:szCs w:val="24"/>
        </w:rPr>
        <w:t xml:space="preserve"> </w:t>
      </w:r>
    </w:p>
    <w:p w:rsidR="001813A0" w:rsidRPr="008E5B14" w:rsidRDefault="001E55E9" w:rsidP="001E55E9">
      <w:pPr>
        <w:rPr>
          <w:sz w:val="24"/>
          <w:szCs w:val="24"/>
        </w:rPr>
      </w:pPr>
      <w:r w:rsidRPr="008E5B14">
        <w:rPr>
          <w:sz w:val="24"/>
          <w:szCs w:val="24"/>
        </w:rPr>
        <w:t>We agree with NBN’s view</w:t>
      </w:r>
      <w:r w:rsidR="00AE758A">
        <w:rPr>
          <w:sz w:val="24"/>
          <w:szCs w:val="24"/>
        </w:rPr>
        <w:t xml:space="preserve"> on this point</w:t>
      </w:r>
      <w:r w:rsidRPr="008E5B14">
        <w:rPr>
          <w:sz w:val="24"/>
          <w:szCs w:val="24"/>
        </w:rPr>
        <w:t>. However we are perplexed with NBN’</w:t>
      </w:r>
      <w:r w:rsidR="001813A0" w:rsidRPr="008E5B14">
        <w:rPr>
          <w:sz w:val="24"/>
          <w:szCs w:val="24"/>
        </w:rPr>
        <w:t xml:space="preserve">s suggestion (ostensibly on ‘transparency’ grounds) </w:t>
      </w:r>
      <w:r w:rsidRPr="008E5B14">
        <w:rPr>
          <w:sz w:val="24"/>
          <w:szCs w:val="24"/>
        </w:rPr>
        <w:t xml:space="preserve">that the NBN specific non-commercial funding should </w:t>
      </w:r>
      <w:r w:rsidR="00AE758A">
        <w:rPr>
          <w:sz w:val="24"/>
          <w:szCs w:val="24"/>
        </w:rPr>
        <w:t xml:space="preserve">effectively operate in parallel to the existing </w:t>
      </w:r>
      <w:r w:rsidRPr="008E5B14">
        <w:rPr>
          <w:sz w:val="24"/>
          <w:szCs w:val="24"/>
        </w:rPr>
        <w:t xml:space="preserve">USO scheme. </w:t>
      </w:r>
    </w:p>
    <w:p w:rsidR="001A3C21" w:rsidRDefault="008E5B14" w:rsidP="001A3C21">
      <w:pPr>
        <w:rPr>
          <w:sz w:val="24"/>
          <w:szCs w:val="24"/>
        </w:rPr>
      </w:pPr>
      <w:r>
        <w:rPr>
          <w:sz w:val="24"/>
          <w:szCs w:val="24"/>
        </w:rPr>
        <w:t>NBN makes the</w:t>
      </w:r>
      <w:r w:rsidR="00F73FE9" w:rsidRPr="008E5B14">
        <w:rPr>
          <w:sz w:val="24"/>
          <w:szCs w:val="24"/>
        </w:rPr>
        <w:t xml:space="preserve"> argument</w:t>
      </w:r>
      <w:r w:rsidR="003F5439" w:rsidRPr="008E5B14">
        <w:rPr>
          <w:sz w:val="24"/>
          <w:szCs w:val="24"/>
        </w:rPr>
        <w:t xml:space="preserve"> </w:t>
      </w:r>
      <w:r>
        <w:rPr>
          <w:sz w:val="24"/>
          <w:szCs w:val="24"/>
        </w:rPr>
        <w:t xml:space="preserve">for the burden of a new cross subsidy scheme </w:t>
      </w:r>
      <w:r w:rsidR="003F5439" w:rsidRPr="008E5B14">
        <w:rPr>
          <w:sz w:val="24"/>
          <w:szCs w:val="24"/>
        </w:rPr>
        <w:t>at a time it has become clear the USO</w:t>
      </w:r>
      <w:r w:rsidR="00F73FE9" w:rsidRPr="008E5B14">
        <w:rPr>
          <w:sz w:val="24"/>
          <w:szCs w:val="24"/>
        </w:rPr>
        <w:t xml:space="preserve"> itself is</w:t>
      </w:r>
      <w:r w:rsidR="003F5439" w:rsidRPr="008E5B14">
        <w:rPr>
          <w:sz w:val="24"/>
          <w:szCs w:val="24"/>
        </w:rPr>
        <w:t xml:space="preserve"> in desperate need of fundamental review.</w:t>
      </w:r>
      <w:r w:rsidR="00E546E5" w:rsidRPr="008E5B14">
        <w:rPr>
          <w:sz w:val="24"/>
          <w:szCs w:val="24"/>
        </w:rPr>
        <w:t xml:space="preserve"> </w:t>
      </w:r>
      <w:r w:rsidR="00890E3F" w:rsidRPr="008E5B14">
        <w:rPr>
          <w:sz w:val="24"/>
          <w:szCs w:val="24"/>
        </w:rPr>
        <w:t>There is a strong argument</w:t>
      </w:r>
      <w:r w:rsidR="00663BC5" w:rsidRPr="008E5B14">
        <w:rPr>
          <w:sz w:val="24"/>
          <w:szCs w:val="24"/>
        </w:rPr>
        <w:t xml:space="preserve"> for comprehensive </w:t>
      </w:r>
      <w:r>
        <w:rPr>
          <w:sz w:val="24"/>
          <w:szCs w:val="24"/>
        </w:rPr>
        <w:t>restructuring of the</w:t>
      </w:r>
      <w:r w:rsidR="00890E3F" w:rsidRPr="008E5B14">
        <w:rPr>
          <w:sz w:val="24"/>
          <w:szCs w:val="24"/>
        </w:rPr>
        <w:t xml:space="preserve"> USO </w:t>
      </w:r>
      <w:r>
        <w:rPr>
          <w:sz w:val="24"/>
          <w:szCs w:val="24"/>
        </w:rPr>
        <w:t>scheme</w:t>
      </w:r>
      <w:r w:rsidR="00890E3F" w:rsidRPr="008E5B14">
        <w:rPr>
          <w:sz w:val="24"/>
          <w:szCs w:val="24"/>
        </w:rPr>
        <w:t xml:space="preserve"> and that the NBN, as a universal infrastructure provider, </w:t>
      </w:r>
      <w:r w:rsidR="00AE758A">
        <w:rPr>
          <w:sz w:val="24"/>
          <w:szCs w:val="24"/>
        </w:rPr>
        <w:t>p</w:t>
      </w:r>
      <w:r w:rsidR="0061376E">
        <w:rPr>
          <w:sz w:val="24"/>
          <w:szCs w:val="24"/>
        </w:rPr>
        <w:t>rovides an appropriate platform for</w:t>
      </w:r>
      <w:r w:rsidR="00890E3F" w:rsidRPr="008E5B14">
        <w:rPr>
          <w:sz w:val="24"/>
          <w:szCs w:val="24"/>
        </w:rPr>
        <w:t xml:space="preserve"> delivering a new, modern USO.</w:t>
      </w:r>
      <w:r w:rsidR="001813A0" w:rsidRPr="008E5B14">
        <w:rPr>
          <w:sz w:val="24"/>
          <w:szCs w:val="24"/>
        </w:rPr>
        <w:t xml:space="preserve"> It is therefore crucial that USO reform be part of the move to a sustainable funding arrangement for non-commercial NBN infrastructure</w:t>
      </w:r>
      <w:r w:rsidR="00663BC5" w:rsidRPr="008E5B14">
        <w:rPr>
          <w:sz w:val="24"/>
          <w:szCs w:val="24"/>
        </w:rPr>
        <w:t>.</w:t>
      </w:r>
      <w:r w:rsidR="001A3C21" w:rsidRPr="001A3C21">
        <w:rPr>
          <w:sz w:val="24"/>
          <w:szCs w:val="24"/>
        </w:rPr>
        <w:t xml:space="preserve"> </w:t>
      </w:r>
    </w:p>
    <w:p w:rsidR="00890E3F" w:rsidRDefault="001A3C21">
      <w:pPr>
        <w:rPr>
          <w:sz w:val="24"/>
          <w:szCs w:val="24"/>
        </w:rPr>
      </w:pPr>
      <w:r w:rsidRPr="008E5B14">
        <w:rPr>
          <w:sz w:val="24"/>
          <w:szCs w:val="24"/>
        </w:rPr>
        <w:t xml:space="preserve">NBN’s proposed model is so broad it would have the effect of duplicating the USO levy. This would result in more red tape for the industry and require industry and taxpayers to </w:t>
      </w:r>
      <w:r>
        <w:rPr>
          <w:sz w:val="24"/>
          <w:szCs w:val="24"/>
        </w:rPr>
        <w:t xml:space="preserve">continue </w:t>
      </w:r>
      <w:r w:rsidRPr="008E5B14">
        <w:rPr>
          <w:sz w:val="24"/>
          <w:szCs w:val="24"/>
        </w:rPr>
        <w:t>fund redundant incumbent infrastructure. This is wasteful, costly and unnecessary.</w:t>
      </w:r>
    </w:p>
    <w:p w:rsidR="00ED1E04" w:rsidRDefault="008E37E1">
      <w:pPr>
        <w:rPr>
          <w:sz w:val="24"/>
          <w:szCs w:val="24"/>
        </w:rPr>
      </w:pPr>
      <w:r w:rsidRPr="0061376E">
        <w:rPr>
          <w:sz w:val="24"/>
          <w:szCs w:val="24"/>
        </w:rPr>
        <w:t xml:space="preserve">The funding of NBN’s uneconomic infrastructure cannot be a new regulatory edifice beholden to NBN and </w:t>
      </w:r>
      <w:r w:rsidR="006436C0" w:rsidRPr="0061376E">
        <w:rPr>
          <w:sz w:val="24"/>
          <w:szCs w:val="24"/>
        </w:rPr>
        <w:t xml:space="preserve">its self-determined </w:t>
      </w:r>
      <w:r w:rsidRPr="0061376E">
        <w:rPr>
          <w:sz w:val="24"/>
          <w:szCs w:val="24"/>
        </w:rPr>
        <w:t>objectives</w:t>
      </w:r>
      <w:r w:rsidR="00441E75" w:rsidRPr="0061376E">
        <w:rPr>
          <w:sz w:val="24"/>
          <w:szCs w:val="24"/>
        </w:rPr>
        <w:t>.</w:t>
      </w:r>
      <w:r w:rsidR="00441E75">
        <w:rPr>
          <w:sz w:val="24"/>
          <w:szCs w:val="24"/>
        </w:rPr>
        <w:t xml:space="preserve"> All this will do is perpetuate the mistakes of the past.</w:t>
      </w:r>
      <w:r w:rsidR="00ED1E04">
        <w:rPr>
          <w:sz w:val="24"/>
          <w:szCs w:val="24"/>
        </w:rPr>
        <w:t xml:space="preserve"> The main objective should be to deliver essential uneconomic services in a way that does not distort competition. </w:t>
      </w:r>
      <w:r w:rsidR="00AE758A">
        <w:rPr>
          <w:sz w:val="24"/>
          <w:szCs w:val="24"/>
        </w:rPr>
        <w:t>The</w:t>
      </w:r>
      <w:r w:rsidR="0061376E">
        <w:rPr>
          <w:sz w:val="24"/>
          <w:szCs w:val="24"/>
        </w:rPr>
        <w:t>re is merit in the</w:t>
      </w:r>
      <w:r w:rsidR="001A3C21">
        <w:rPr>
          <w:sz w:val="24"/>
          <w:szCs w:val="24"/>
        </w:rPr>
        <w:t xml:space="preserve"> BCR</w:t>
      </w:r>
      <w:r w:rsidR="00AE758A">
        <w:rPr>
          <w:sz w:val="24"/>
          <w:szCs w:val="24"/>
        </w:rPr>
        <w:t xml:space="preserve"> consider</w:t>
      </w:r>
      <w:r w:rsidR="006436C0">
        <w:rPr>
          <w:sz w:val="24"/>
          <w:szCs w:val="24"/>
        </w:rPr>
        <w:t xml:space="preserve">ing whether an alternate </w:t>
      </w:r>
      <w:r w:rsidR="001A3C21">
        <w:rPr>
          <w:sz w:val="24"/>
          <w:szCs w:val="24"/>
        </w:rPr>
        <w:t>NBN cross subsidy solution</w:t>
      </w:r>
      <w:r w:rsidR="006436C0">
        <w:rPr>
          <w:sz w:val="24"/>
          <w:szCs w:val="24"/>
        </w:rPr>
        <w:t xml:space="preserve"> should proceed in advance of broader reform of the USO</w:t>
      </w:r>
      <w:r w:rsidR="001A3C21">
        <w:rPr>
          <w:sz w:val="24"/>
          <w:szCs w:val="24"/>
        </w:rPr>
        <w:t xml:space="preserve">. </w:t>
      </w:r>
    </w:p>
    <w:p w:rsidR="00090515" w:rsidRDefault="00ED1E04">
      <w:pPr>
        <w:rPr>
          <w:sz w:val="24"/>
          <w:szCs w:val="24"/>
        </w:rPr>
      </w:pPr>
      <w:r>
        <w:rPr>
          <w:sz w:val="24"/>
          <w:szCs w:val="24"/>
        </w:rPr>
        <w:t>The other issue that NBN is silent on</w:t>
      </w:r>
      <w:r w:rsidR="001A3C21">
        <w:rPr>
          <w:sz w:val="24"/>
          <w:szCs w:val="24"/>
        </w:rPr>
        <w:t xml:space="preserve"> in their proposal</w:t>
      </w:r>
      <w:r>
        <w:rPr>
          <w:sz w:val="24"/>
          <w:szCs w:val="24"/>
        </w:rPr>
        <w:t xml:space="preserve"> is the fact that </w:t>
      </w:r>
      <w:r w:rsidR="00AE758A">
        <w:rPr>
          <w:sz w:val="24"/>
          <w:szCs w:val="24"/>
        </w:rPr>
        <w:t xml:space="preserve">if there is </w:t>
      </w:r>
      <w:r w:rsidR="00524E0B">
        <w:rPr>
          <w:sz w:val="24"/>
          <w:szCs w:val="24"/>
        </w:rPr>
        <w:t xml:space="preserve">to be </w:t>
      </w:r>
      <w:r w:rsidR="006436C0">
        <w:rPr>
          <w:sz w:val="24"/>
          <w:szCs w:val="24"/>
        </w:rPr>
        <w:t xml:space="preserve">cross-subsidy </w:t>
      </w:r>
      <w:r w:rsidR="00AE758A">
        <w:rPr>
          <w:sz w:val="24"/>
          <w:szCs w:val="24"/>
        </w:rPr>
        <w:t xml:space="preserve">levy </w:t>
      </w:r>
      <w:proofErr w:type="gramStart"/>
      <w:r w:rsidR="00AE758A">
        <w:rPr>
          <w:sz w:val="24"/>
          <w:szCs w:val="24"/>
        </w:rPr>
        <w:t xml:space="preserve">mechanism </w:t>
      </w:r>
      <w:r>
        <w:rPr>
          <w:sz w:val="24"/>
          <w:szCs w:val="24"/>
        </w:rPr>
        <w:t xml:space="preserve"> (</w:t>
      </w:r>
      <w:proofErr w:type="gramEnd"/>
      <w:r>
        <w:rPr>
          <w:sz w:val="24"/>
          <w:szCs w:val="24"/>
        </w:rPr>
        <w:t>i.e. new revenue stream) for uneconomic NBN services</w:t>
      </w:r>
      <w:r w:rsidR="001A3C21">
        <w:rPr>
          <w:sz w:val="24"/>
          <w:szCs w:val="24"/>
        </w:rPr>
        <w:t>, NBN’s</w:t>
      </w:r>
      <w:r>
        <w:rPr>
          <w:sz w:val="24"/>
          <w:szCs w:val="24"/>
        </w:rPr>
        <w:t xml:space="preserve"> </w:t>
      </w:r>
      <w:r w:rsidR="006436C0">
        <w:rPr>
          <w:sz w:val="24"/>
          <w:szCs w:val="24"/>
        </w:rPr>
        <w:t xml:space="preserve">existing access prices </w:t>
      </w:r>
      <w:r>
        <w:rPr>
          <w:sz w:val="24"/>
          <w:szCs w:val="24"/>
        </w:rPr>
        <w:t xml:space="preserve"> </w:t>
      </w:r>
      <w:r w:rsidR="00AE758A">
        <w:rPr>
          <w:sz w:val="24"/>
          <w:szCs w:val="24"/>
        </w:rPr>
        <w:t xml:space="preserve">should be </w:t>
      </w:r>
      <w:r>
        <w:rPr>
          <w:sz w:val="24"/>
          <w:szCs w:val="24"/>
        </w:rPr>
        <w:t xml:space="preserve"> reduce</w:t>
      </w:r>
      <w:r w:rsidR="00AE758A">
        <w:rPr>
          <w:sz w:val="24"/>
          <w:szCs w:val="24"/>
        </w:rPr>
        <w:t>d</w:t>
      </w:r>
      <w:r w:rsidR="006436C0">
        <w:rPr>
          <w:sz w:val="24"/>
          <w:szCs w:val="24"/>
        </w:rPr>
        <w:t xml:space="preserve"> as they currently include the cross-subsidy</w:t>
      </w:r>
      <w:r>
        <w:rPr>
          <w:sz w:val="24"/>
          <w:szCs w:val="24"/>
        </w:rPr>
        <w:t>. The BCR must examine how this would reduce NBN’s pricing of their unsubsidised services. Reducing overall NBN prices is the crucial ‘win’ for NBN, consumers and competition</w:t>
      </w:r>
      <w:r w:rsidR="001A3C21">
        <w:rPr>
          <w:sz w:val="24"/>
          <w:szCs w:val="24"/>
        </w:rPr>
        <w:t xml:space="preserve"> and must be part of the BCR’s definition of success</w:t>
      </w:r>
      <w:r>
        <w:rPr>
          <w:sz w:val="24"/>
          <w:szCs w:val="24"/>
        </w:rPr>
        <w:t xml:space="preserve">. </w:t>
      </w:r>
      <w:r w:rsidR="00AE758A">
        <w:rPr>
          <w:sz w:val="24"/>
          <w:szCs w:val="24"/>
        </w:rPr>
        <w:t xml:space="preserve">Failure to make such an adjustment to NBN Co’s existing access charges (which include the cross-subsidy) will lead to double cost recovery and increased </w:t>
      </w:r>
      <w:r w:rsidR="00524E0B">
        <w:rPr>
          <w:sz w:val="24"/>
          <w:szCs w:val="24"/>
        </w:rPr>
        <w:t>prices</w:t>
      </w:r>
      <w:r w:rsidR="00AE758A">
        <w:rPr>
          <w:sz w:val="24"/>
          <w:szCs w:val="24"/>
        </w:rPr>
        <w:t xml:space="preserve"> for consumers.</w:t>
      </w:r>
    </w:p>
    <w:p w:rsidR="00441E75" w:rsidRPr="008E5B14" w:rsidRDefault="00090515">
      <w:pPr>
        <w:rPr>
          <w:sz w:val="24"/>
          <w:szCs w:val="24"/>
        </w:rPr>
      </w:pPr>
      <w:r>
        <w:rPr>
          <w:sz w:val="24"/>
          <w:szCs w:val="24"/>
        </w:rPr>
        <w:t>The BCR must provide guidance on how this benefit is realised.</w:t>
      </w:r>
      <w:r w:rsidR="00ED1E04">
        <w:rPr>
          <w:sz w:val="24"/>
          <w:szCs w:val="24"/>
        </w:rPr>
        <w:t xml:space="preserve"> </w:t>
      </w:r>
    </w:p>
    <w:p w:rsidR="003208E2" w:rsidRPr="00441E75" w:rsidRDefault="003208E2" w:rsidP="003208E2">
      <w:pPr>
        <w:rPr>
          <w:rFonts w:cs="Arial"/>
          <w:sz w:val="24"/>
          <w:szCs w:val="24"/>
        </w:rPr>
      </w:pPr>
    </w:p>
    <w:p w:rsidR="003208E2" w:rsidRPr="008E5B14" w:rsidRDefault="003208E2" w:rsidP="003208E2">
      <w:pPr>
        <w:rPr>
          <w:rFonts w:cs="Arial"/>
          <w:sz w:val="24"/>
          <w:szCs w:val="24"/>
          <w:lang w:val="en-GB"/>
        </w:rPr>
      </w:pPr>
    </w:p>
    <w:p w:rsidR="003208E2" w:rsidRPr="008E5B14" w:rsidRDefault="003208E2">
      <w:pPr>
        <w:rPr>
          <w:sz w:val="24"/>
          <w:szCs w:val="24"/>
          <w:lang w:val="en-GB"/>
        </w:rPr>
      </w:pPr>
    </w:p>
    <w:p w:rsidR="00DA073B" w:rsidRPr="008E5B14" w:rsidRDefault="00DA073B" w:rsidP="001813A0">
      <w:pPr>
        <w:rPr>
          <w:sz w:val="24"/>
          <w:szCs w:val="24"/>
        </w:rPr>
      </w:pPr>
    </w:p>
    <w:p w:rsidR="007858E2" w:rsidRPr="008E5B14" w:rsidRDefault="007858E2" w:rsidP="00D52609">
      <w:pPr>
        <w:rPr>
          <w:sz w:val="24"/>
          <w:szCs w:val="24"/>
        </w:rPr>
      </w:pPr>
    </w:p>
    <w:sectPr w:rsidR="007858E2" w:rsidRPr="008E5B14" w:rsidSect="00C12F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806" w:rsidRDefault="009F6806" w:rsidP="001E55E9">
      <w:pPr>
        <w:spacing w:after="0" w:line="240" w:lineRule="auto"/>
      </w:pPr>
      <w:r>
        <w:separator/>
      </w:r>
    </w:p>
  </w:endnote>
  <w:endnote w:type="continuationSeparator" w:id="0">
    <w:p w:rsidR="009F6806" w:rsidRDefault="009F6806" w:rsidP="001E5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Verdana">
    <w:altName w:val="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806" w:rsidRDefault="009F6806" w:rsidP="001E55E9">
      <w:pPr>
        <w:spacing w:after="0" w:line="240" w:lineRule="auto"/>
      </w:pPr>
      <w:r>
        <w:separator/>
      </w:r>
    </w:p>
  </w:footnote>
  <w:footnote w:type="continuationSeparator" w:id="0">
    <w:p w:rsidR="009F6806" w:rsidRDefault="009F6806" w:rsidP="001E55E9">
      <w:pPr>
        <w:spacing w:after="0" w:line="240" w:lineRule="auto"/>
      </w:pPr>
      <w:r>
        <w:continuationSeparator/>
      </w:r>
    </w:p>
  </w:footnote>
  <w:footnote w:id="1">
    <w:p w:rsidR="001E55E9" w:rsidRDefault="001E55E9">
      <w:pPr>
        <w:pStyle w:val="FootnoteText"/>
      </w:pPr>
      <w:r>
        <w:rPr>
          <w:rStyle w:val="FootnoteReference"/>
        </w:rPr>
        <w:footnoteRef/>
      </w:r>
      <w:r>
        <w:t xml:space="preserve"> NBN Co BCR submission, page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432B3"/>
    <w:multiLevelType w:val="hybridMultilevel"/>
    <w:tmpl w:val="8C7E2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331652"/>
    <w:multiLevelType w:val="hybridMultilevel"/>
    <w:tmpl w:val="E67E0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64FAC"/>
    <w:rsid w:val="00006F9A"/>
    <w:rsid w:val="0005558A"/>
    <w:rsid w:val="00090515"/>
    <w:rsid w:val="001813A0"/>
    <w:rsid w:val="00190582"/>
    <w:rsid w:val="001A3A8B"/>
    <w:rsid w:val="001A3C21"/>
    <w:rsid w:val="001C2319"/>
    <w:rsid w:val="001E55E9"/>
    <w:rsid w:val="002B0950"/>
    <w:rsid w:val="002D07E9"/>
    <w:rsid w:val="003039A5"/>
    <w:rsid w:val="003208E2"/>
    <w:rsid w:val="00333613"/>
    <w:rsid w:val="003F5439"/>
    <w:rsid w:val="00441E75"/>
    <w:rsid w:val="004B0085"/>
    <w:rsid w:val="004B0276"/>
    <w:rsid w:val="004B7F75"/>
    <w:rsid w:val="00524E0B"/>
    <w:rsid w:val="00572BDE"/>
    <w:rsid w:val="00577018"/>
    <w:rsid w:val="005C00F6"/>
    <w:rsid w:val="0061376E"/>
    <w:rsid w:val="006436C0"/>
    <w:rsid w:val="00663BC5"/>
    <w:rsid w:val="006A0731"/>
    <w:rsid w:val="00747AA9"/>
    <w:rsid w:val="007721C5"/>
    <w:rsid w:val="007858E2"/>
    <w:rsid w:val="0079438E"/>
    <w:rsid w:val="007E60D4"/>
    <w:rsid w:val="00816517"/>
    <w:rsid w:val="00890E3F"/>
    <w:rsid w:val="00897309"/>
    <w:rsid w:val="008E1D1A"/>
    <w:rsid w:val="008E37E1"/>
    <w:rsid w:val="008E5B14"/>
    <w:rsid w:val="009118AB"/>
    <w:rsid w:val="009578D5"/>
    <w:rsid w:val="00973C7C"/>
    <w:rsid w:val="009A615C"/>
    <w:rsid w:val="009F6806"/>
    <w:rsid w:val="00A02345"/>
    <w:rsid w:val="00A64FAC"/>
    <w:rsid w:val="00AE6E68"/>
    <w:rsid w:val="00AE758A"/>
    <w:rsid w:val="00B533D6"/>
    <w:rsid w:val="00BB253E"/>
    <w:rsid w:val="00BB7CCB"/>
    <w:rsid w:val="00C12F25"/>
    <w:rsid w:val="00C21ADE"/>
    <w:rsid w:val="00C227BF"/>
    <w:rsid w:val="00D312D0"/>
    <w:rsid w:val="00D52609"/>
    <w:rsid w:val="00D66425"/>
    <w:rsid w:val="00DA073B"/>
    <w:rsid w:val="00E215E1"/>
    <w:rsid w:val="00E53ABF"/>
    <w:rsid w:val="00E546E5"/>
    <w:rsid w:val="00E60188"/>
    <w:rsid w:val="00EA3914"/>
    <w:rsid w:val="00EC451F"/>
    <w:rsid w:val="00ED1E04"/>
    <w:rsid w:val="00F41532"/>
    <w:rsid w:val="00F73F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2E4874B-07B9-4254-90FF-85663D5B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F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558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558A"/>
    <w:rPr>
      <w:rFonts w:ascii="Lucida Grande" w:hAnsi="Lucida Grande" w:cs="Lucida Grande"/>
      <w:sz w:val="18"/>
      <w:szCs w:val="18"/>
    </w:rPr>
  </w:style>
  <w:style w:type="paragraph" w:customStyle="1" w:styleId="Default">
    <w:name w:val="Default"/>
    <w:rsid w:val="00E546E5"/>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5C00F6"/>
    <w:pPr>
      <w:ind w:left="720"/>
      <w:contextualSpacing/>
    </w:pPr>
  </w:style>
  <w:style w:type="paragraph" w:styleId="FootnoteText">
    <w:name w:val="footnote text"/>
    <w:basedOn w:val="Normal"/>
    <w:link w:val="FootnoteTextChar"/>
    <w:uiPriority w:val="99"/>
    <w:semiHidden/>
    <w:unhideWhenUsed/>
    <w:rsid w:val="001E55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55E9"/>
    <w:rPr>
      <w:sz w:val="20"/>
      <w:szCs w:val="20"/>
    </w:rPr>
  </w:style>
  <w:style w:type="character" w:styleId="FootnoteReference">
    <w:name w:val="footnote reference"/>
    <w:basedOn w:val="DefaultParagraphFont"/>
    <w:uiPriority w:val="99"/>
    <w:semiHidden/>
    <w:unhideWhenUsed/>
    <w:rsid w:val="001E55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4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720F8-B206-4435-B307-0F0FEC1FE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FE871C64.dotm</Template>
  <TotalTime>5</TotalTime>
  <Pages>1</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Optus Systems Pty Ltd</Company>
  <LinksUpToDate>false</LinksUpToDate>
  <CharactersWithSpaces>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dforman</dc:creator>
  <cp:lastModifiedBy>dforman</cp:lastModifiedBy>
  <cp:revision>5</cp:revision>
  <dcterms:created xsi:type="dcterms:W3CDTF">2015-07-10T03:57:00Z</dcterms:created>
  <dcterms:modified xsi:type="dcterms:W3CDTF">2015-07-10T04:01:00Z</dcterms:modified>
</cp:coreProperties>
</file>