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CE90C" w14:textId="2446824D" w:rsidR="003610F5" w:rsidRDefault="00AE3F83" w:rsidP="00AE3F83">
      <w:pPr>
        <w:pStyle w:val="BodyText"/>
        <w:jc w:val="right"/>
      </w:pPr>
      <w:bookmarkStart w:id="0" w:name="_GoBack"/>
      <w:r>
        <w:rPr>
          <w:noProof/>
          <w:lang w:eastAsia="zh-TW" w:bidi="hi-IN"/>
        </w:rPr>
        <w:drawing>
          <wp:inline distT="0" distB="0" distL="0" distR="0" wp14:anchorId="400187A2" wp14:editId="6A1C2304">
            <wp:extent cx="1798617" cy="390525"/>
            <wp:effectExtent l="0" t="0" r="0" b="0"/>
            <wp:docPr id="5" name="Picture 5" descr="Logo: Australian Government, Australia Council for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traliacouncil.gov.au/workspace/uploads/images/aca_logo_horizontal_small_rgb-543223f8c880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4752" cy="396200"/>
                    </a:xfrm>
                    <a:prstGeom prst="rect">
                      <a:avLst/>
                    </a:prstGeom>
                    <a:noFill/>
                    <a:ln>
                      <a:noFill/>
                    </a:ln>
                  </pic:spPr>
                </pic:pic>
              </a:graphicData>
            </a:graphic>
          </wp:inline>
        </w:drawing>
      </w:r>
      <w:bookmarkEnd w:id="0"/>
    </w:p>
    <w:p w14:paraId="00BA4C17" w14:textId="2D999440" w:rsidR="00E76C6B" w:rsidRPr="003F3214" w:rsidRDefault="003F3214" w:rsidP="00991133">
      <w:pPr>
        <w:pStyle w:val="Heading1"/>
      </w:pPr>
      <w:r w:rsidRPr="00991133">
        <w:t>ATTACHMENT</w:t>
      </w:r>
      <w:r w:rsidRPr="003F3214">
        <w:t xml:space="preserve"> A</w:t>
      </w:r>
    </w:p>
    <w:p w14:paraId="63597F38" w14:textId="77777777" w:rsidR="005C2556" w:rsidRDefault="005C2556" w:rsidP="007B724C">
      <w:pPr>
        <w:pStyle w:val="BodyText"/>
        <w:rPr>
          <w:b/>
          <w:sz w:val="28"/>
          <w:szCs w:val="28"/>
        </w:rPr>
      </w:pPr>
    </w:p>
    <w:p w14:paraId="0605C67B" w14:textId="77777777" w:rsidR="00E76C6B" w:rsidRDefault="00E76C6B" w:rsidP="00991133">
      <w:pPr>
        <w:pStyle w:val="Heading2"/>
      </w:pPr>
      <w:r w:rsidRPr="00E76C6B">
        <w:t xml:space="preserve">Australia </w:t>
      </w:r>
      <w:r w:rsidRPr="00991133">
        <w:t>Council</w:t>
      </w:r>
      <w:r w:rsidRPr="00E76C6B">
        <w:t xml:space="preserve"> for the Arts submission in response to </w:t>
      </w:r>
      <w:r>
        <w:t xml:space="preserve">the </w:t>
      </w:r>
      <w:r w:rsidRPr="00E76C6B">
        <w:t>Productivity Commission</w:t>
      </w:r>
      <w:r w:rsidR="005C6E5A">
        <w:t>’s</w:t>
      </w:r>
      <w:r w:rsidRPr="00E76C6B">
        <w:t xml:space="preserve"> Intellectual Property Arrangements</w:t>
      </w:r>
      <w:r>
        <w:t xml:space="preserve"> Issues Paper</w:t>
      </w:r>
    </w:p>
    <w:p w14:paraId="3CA3E129" w14:textId="0A9D5B65" w:rsidR="00AE3F83" w:rsidRDefault="00C624BC" w:rsidP="00991133">
      <w:pPr>
        <w:pStyle w:val="BodyText"/>
        <w:rPr>
          <w:b/>
          <w:sz w:val="28"/>
          <w:szCs w:val="28"/>
        </w:rPr>
      </w:pPr>
      <w:r>
        <w:rPr>
          <w:b/>
          <w:sz w:val="28"/>
          <w:szCs w:val="28"/>
        </w:rPr>
        <w:t>D</w:t>
      </w:r>
      <w:r w:rsidR="001D754B">
        <w:rPr>
          <w:b/>
          <w:sz w:val="28"/>
          <w:szCs w:val="28"/>
        </w:rPr>
        <w:t>ecemb</w:t>
      </w:r>
      <w:r>
        <w:rPr>
          <w:b/>
          <w:sz w:val="28"/>
          <w:szCs w:val="28"/>
        </w:rPr>
        <w:t>er</w:t>
      </w:r>
      <w:r w:rsidR="00E76C6B">
        <w:rPr>
          <w:b/>
          <w:sz w:val="28"/>
          <w:szCs w:val="28"/>
        </w:rPr>
        <w:t xml:space="preserve"> 2015</w:t>
      </w:r>
      <w:r w:rsidR="00AE3F83">
        <w:rPr>
          <w:b/>
          <w:sz w:val="28"/>
          <w:szCs w:val="28"/>
        </w:rPr>
        <w:br w:type="page"/>
      </w:r>
      <w:bookmarkStart w:id="1" w:name="_Toc437970000"/>
      <w:bookmarkStart w:id="2" w:name="_Toc437348753"/>
    </w:p>
    <w:sdt>
      <w:sdtPr>
        <w:rPr>
          <w:bCs/>
          <w:caps/>
        </w:rPr>
        <w:id w:val="-691145968"/>
        <w:docPartObj>
          <w:docPartGallery w:val="Table of Contents"/>
          <w:docPartUnique/>
        </w:docPartObj>
      </w:sdtPr>
      <w:sdtEndPr>
        <w:rPr>
          <w:b/>
          <w:bCs w:val="0"/>
          <w:caps w:val="0"/>
          <w:noProof/>
        </w:rPr>
      </w:sdtEndPr>
      <w:sdtContent>
        <w:p w14:paraId="39E281A2" w14:textId="5D486051" w:rsidR="0077100F" w:rsidRDefault="0077100F" w:rsidP="00AE3F83">
          <w:pPr>
            <w:spacing w:before="80" w:after="80"/>
          </w:pPr>
          <w:r>
            <w:t>Table of Contents</w:t>
          </w:r>
          <w:bookmarkEnd w:id="1"/>
        </w:p>
        <w:p w14:paraId="2DEDCBB7" w14:textId="77777777" w:rsidR="00A83F63" w:rsidRDefault="0077100F">
          <w:pPr>
            <w:pStyle w:val="TOC1"/>
            <w:tabs>
              <w:tab w:val="right" w:leader="dot" w:pos="9854"/>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437970000" w:history="1">
            <w:r w:rsidR="00A83F63" w:rsidRPr="00D2434F">
              <w:rPr>
                <w:rStyle w:val="Hyperlink"/>
                <w:noProof/>
              </w:rPr>
              <w:t>Table of Contents</w:t>
            </w:r>
            <w:r w:rsidR="00A83F63">
              <w:rPr>
                <w:noProof/>
                <w:webHidden/>
              </w:rPr>
              <w:tab/>
            </w:r>
            <w:r w:rsidR="00A83F63">
              <w:rPr>
                <w:noProof/>
                <w:webHidden/>
              </w:rPr>
              <w:fldChar w:fldCharType="begin"/>
            </w:r>
            <w:r w:rsidR="00A83F63">
              <w:rPr>
                <w:noProof/>
                <w:webHidden/>
              </w:rPr>
              <w:instrText xml:space="preserve"> PAGEREF _Toc437970000 \h </w:instrText>
            </w:r>
            <w:r w:rsidR="00A83F63">
              <w:rPr>
                <w:noProof/>
                <w:webHidden/>
              </w:rPr>
            </w:r>
            <w:r w:rsidR="00A83F63">
              <w:rPr>
                <w:noProof/>
                <w:webHidden/>
              </w:rPr>
              <w:fldChar w:fldCharType="separate"/>
            </w:r>
            <w:r w:rsidR="00763507">
              <w:rPr>
                <w:noProof/>
                <w:webHidden/>
              </w:rPr>
              <w:t>2</w:t>
            </w:r>
            <w:r w:rsidR="00A83F63">
              <w:rPr>
                <w:noProof/>
                <w:webHidden/>
              </w:rPr>
              <w:fldChar w:fldCharType="end"/>
            </w:r>
          </w:hyperlink>
        </w:p>
        <w:p w14:paraId="16ACF4C3" w14:textId="77777777" w:rsidR="00A83F63" w:rsidRDefault="00BA6A81">
          <w:pPr>
            <w:pStyle w:val="TOC3"/>
            <w:tabs>
              <w:tab w:val="right" w:leader="dot" w:pos="9854"/>
            </w:tabs>
            <w:rPr>
              <w:rFonts w:eastAsiaTheme="minorEastAsia" w:cstheme="minorBidi"/>
              <w:noProof/>
              <w:sz w:val="22"/>
              <w:szCs w:val="22"/>
              <w:lang w:eastAsia="en-AU"/>
            </w:rPr>
          </w:pPr>
          <w:hyperlink w:anchor="_Toc437970001" w:history="1">
            <w:r w:rsidR="00A83F63" w:rsidRPr="00D2434F">
              <w:rPr>
                <w:rStyle w:val="Hyperlink"/>
                <w:noProof/>
              </w:rPr>
              <w:t>About the Australia Council for the Arts</w:t>
            </w:r>
            <w:r w:rsidR="00A83F63">
              <w:rPr>
                <w:noProof/>
                <w:webHidden/>
              </w:rPr>
              <w:tab/>
            </w:r>
            <w:r w:rsidR="00A83F63">
              <w:rPr>
                <w:noProof/>
                <w:webHidden/>
              </w:rPr>
              <w:fldChar w:fldCharType="begin"/>
            </w:r>
            <w:r w:rsidR="00A83F63">
              <w:rPr>
                <w:noProof/>
                <w:webHidden/>
              </w:rPr>
              <w:instrText xml:space="preserve"> PAGEREF _Toc437970001 \h </w:instrText>
            </w:r>
            <w:r w:rsidR="00A83F63">
              <w:rPr>
                <w:noProof/>
                <w:webHidden/>
              </w:rPr>
            </w:r>
            <w:r w:rsidR="00A83F63">
              <w:rPr>
                <w:noProof/>
                <w:webHidden/>
              </w:rPr>
              <w:fldChar w:fldCharType="separate"/>
            </w:r>
            <w:r w:rsidR="00763507">
              <w:rPr>
                <w:noProof/>
                <w:webHidden/>
              </w:rPr>
              <w:t>3</w:t>
            </w:r>
            <w:r w:rsidR="00A83F63">
              <w:rPr>
                <w:noProof/>
                <w:webHidden/>
              </w:rPr>
              <w:fldChar w:fldCharType="end"/>
            </w:r>
          </w:hyperlink>
        </w:p>
        <w:p w14:paraId="0436A90C" w14:textId="77777777" w:rsidR="00A83F63" w:rsidRDefault="00BA6A81">
          <w:pPr>
            <w:pStyle w:val="TOC3"/>
            <w:tabs>
              <w:tab w:val="right" w:leader="dot" w:pos="9854"/>
            </w:tabs>
            <w:rPr>
              <w:rFonts w:eastAsiaTheme="minorEastAsia" w:cstheme="minorBidi"/>
              <w:noProof/>
              <w:sz w:val="22"/>
              <w:szCs w:val="22"/>
              <w:lang w:eastAsia="en-AU"/>
            </w:rPr>
          </w:pPr>
          <w:hyperlink w:anchor="_Toc437970002" w:history="1">
            <w:r w:rsidR="00A83F63" w:rsidRPr="00D2434F">
              <w:rPr>
                <w:rStyle w:val="Hyperlink"/>
                <w:noProof/>
              </w:rPr>
              <w:t>Introduction</w:t>
            </w:r>
            <w:r w:rsidR="00A83F63">
              <w:rPr>
                <w:noProof/>
                <w:webHidden/>
              </w:rPr>
              <w:tab/>
            </w:r>
            <w:r w:rsidR="00A83F63">
              <w:rPr>
                <w:noProof/>
                <w:webHidden/>
              </w:rPr>
              <w:fldChar w:fldCharType="begin"/>
            </w:r>
            <w:r w:rsidR="00A83F63">
              <w:rPr>
                <w:noProof/>
                <w:webHidden/>
              </w:rPr>
              <w:instrText xml:space="preserve"> PAGEREF _Toc437970002 \h </w:instrText>
            </w:r>
            <w:r w:rsidR="00A83F63">
              <w:rPr>
                <w:noProof/>
                <w:webHidden/>
              </w:rPr>
            </w:r>
            <w:r w:rsidR="00A83F63">
              <w:rPr>
                <w:noProof/>
                <w:webHidden/>
              </w:rPr>
              <w:fldChar w:fldCharType="separate"/>
            </w:r>
            <w:r w:rsidR="00763507">
              <w:rPr>
                <w:noProof/>
                <w:webHidden/>
              </w:rPr>
              <w:t>4</w:t>
            </w:r>
            <w:r w:rsidR="00A83F63">
              <w:rPr>
                <w:noProof/>
                <w:webHidden/>
              </w:rPr>
              <w:fldChar w:fldCharType="end"/>
            </w:r>
          </w:hyperlink>
        </w:p>
        <w:p w14:paraId="3FFFDA6C" w14:textId="77777777" w:rsidR="00A83F63" w:rsidRDefault="00BA6A81">
          <w:pPr>
            <w:pStyle w:val="TOC3"/>
            <w:tabs>
              <w:tab w:val="right" w:leader="dot" w:pos="9854"/>
            </w:tabs>
            <w:rPr>
              <w:rFonts w:eastAsiaTheme="minorEastAsia" w:cstheme="minorBidi"/>
              <w:noProof/>
              <w:sz w:val="22"/>
              <w:szCs w:val="22"/>
              <w:lang w:eastAsia="en-AU"/>
            </w:rPr>
          </w:pPr>
          <w:hyperlink w:anchor="_Toc437970003" w:history="1">
            <w:r w:rsidR="00A83F63" w:rsidRPr="00D2434F">
              <w:rPr>
                <w:rStyle w:val="Hyperlink"/>
                <w:noProof/>
              </w:rPr>
              <w:t>Executive Summary</w:t>
            </w:r>
            <w:r w:rsidR="00A83F63">
              <w:rPr>
                <w:noProof/>
                <w:webHidden/>
              </w:rPr>
              <w:tab/>
            </w:r>
            <w:r w:rsidR="00A83F63">
              <w:rPr>
                <w:noProof/>
                <w:webHidden/>
              </w:rPr>
              <w:fldChar w:fldCharType="begin"/>
            </w:r>
            <w:r w:rsidR="00A83F63">
              <w:rPr>
                <w:noProof/>
                <w:webHidden/>
              </w:rPr>
              <w:instrText xml:space="preserve"> PAGEREF _Toc437970003 \h </w:instrText>
            </w:r>
            <w:r w:rsidR="00A83F63">
              <w:rPr>
                <w:noProof/>
                <w:webHidden/>
              </w:rPr>
            </w:r>
            <w:r w:rsidR="00A83F63">
              <w:rPr>
                <w:noProof/>
                <w:webHidden/>
              </w:rPr>
              <w:fldChar w:fldCharType="separate"/>
            </w:r>
            <w:r w:rsidR="00763507">
              <w:rPr>
                <w:noProof/>
                <w:webHidden/>
              </w:rPr>
              <w:t>4</w:t>
            </w:r>
            <w:r w:rsidR="00A83F63">
              <w:rPr>
                <w:noProof/>
                <w:webHidden/>
              </w:rPr>
              <w:fldChar w:fldCharType="end"/>
            </w:r>
          </w:hyperlink>
        </w:p>
        <w:p w14:paraId="556B2964" w14:textId="77777777" w:rsidR="00A83F63" w:rsidRDefault="00BA6A81">
          <w:pPr>
            <w:pStyle w:val="TOC3"/>
            <w:tabs>
              <w:tab w:val="right" w:leader="dot" w:pos="9854"/>
            </w:tabs>
            <w:rPr>
              <w:rFonts w:eastAsiaTheme="minorEastAsia" w:cstheme="minorBidi"/>
              <w:noProof/>
              <w:sz w:val="22"/>
              <w:szCs w:val="22"/>
              <w:lang w:eastAsia="en-AU"/>
            </w:rPr>
          </w:pPr>
          <w:hyperlink w:anchor="_Toc437970004" w:history="1">
            <w:r w:rsidR="00A83F63" w:rsidRPr="00D2434F">
              <w:rPr>
                <w:rStyle w:val="Hyperlink"/>
                <w:noProof/>
              </w:rPr>
              <w:t>Artists’ income, careers and the cultural economy</w:t>
            </w:r>
            <w:r w:rsidR="00A83F63">
              <w:rPr>
                <w:noProof/>
                <w:webHidden/>
              </w:rPr>
              <w:tab/>
            </w:r>
            <w:r w:rsidR="00A83F63">
              <w:rPr>
                <w:noProof/>
                <w:webHidden/>
              </w:rPr>
              <w:fldChar w:fldCharType="begin"/>
            </w:r>
            <w:r w:rsidR="00A83F63">
              <w:rPr>
                <w:noProof/>
                <w:webHidden/>
              </w:rPr>
              <w:instrText xml:space="preserve"> PAGEREF _Toc437970004 \h </w:instrText>
            </w:r>
            <w:r w:rsidR="00A83F63">
              <w:rPr>
                <w:noProof/>
                <w:webHidden/>
              </w:rPr>
            </w:r>
            <w:r w:rsidR="00A83F63">
              <w:rPr>
                <w:noProof/>
                <w:webHidden/>
              </w:rPr>
              <w:fldChar w:fldCharType="separate"/>
            </w:r>
            <w:r w:rsidR="00763507">
              <w:rPr>
                <w:noProof/>
                <w:webHidden/>
              </w:rPr>
              <w:t>6</w:t>
            </w:r>
            <w:r w:rsidR="00A83F63">
              <w:rPr>
                <w:noProof/>
                <w:webHidden/>
              </w:rPr>
              <w:fldChar w:fldCharType="end"/>
            </w:r>
          </w:hyperlink>
        </w:p>
        <w:p w14:paraId="0B1FB819" w14:textId="77777777" w:rsidR="00A83F63" w:rsidRDefault="00BA6A81">
          <w:pPr>
            <w:pStyle w:val="TOC3"/>
            <w:tabs>
              <w:tab w:val="right" w:leader="dot" w:pos="9854"/>
            </w:tabs>
            <w:rPr>
              <w:rFonts w:eastAsiaTheme="minorEastAsia" w:cstheme="minorBidi"/>
              <w:noProof/>
              <w:sz w:val="22"/>
              <w:szCs w:val="22"/>
              <w:lang w:eastAsia="en-AU"/>
            </w:rPr>
          </w:pPr>
          <w:hyperlink w:anchor="_Toc437970005" w:history="1">
            <w:r w:rsidR="00A83F63" w:rsidRPr="00D2434F">
              <w:rPr>
                <w:rStyle w:val="Hyperlink"/>
                <w:noProof/>
              </w:rPr>
              <w:t>Effectiveness of the copyright law framework</w:t>
            </w:r>
            <w:r w:rsidR="00A83F63">
              <w:rPr>
                <w:noProof/>
                <w:webHidden/>
              </w:rPr>
              <w:tab/>
            </w:r>
            <w:r w:rsidR="00A83F63">
              <w:rPr>
                <w:noProof/>
                <w:webHidden/>
              </w:rPr>
              <w:fldChar w:fldCharType="begin"/>
            </w:r>
            <w:r w:rsidR="00A83F63">
              <w:rPr>
                <w:noProof/>
                <w:webHidden/>
              </w:rPr>
              <w:instrText xml:space="preserve"> PAGEREF _Toc437970005 \h </w:instrText>
            </w:r>
            <w:r w:rsidR="00A83F63">
              <w:rPr>
                <w:noProof/>
                <w:webHidden/>
              </w:rPr>
            </w:r>
            <w:r w:rsidR="00A83F63">
              <w:rPr>
                <w:noProof/>
                <w:webHidden/>
              </w:rPr>
              <w:fldChar w:fldCharType="separate"/>
            </w:r>
            <w:r w:rsidR="00763507">
              <w:rPr>
                <w:noProof/>
                <w:webHidden/>
              </w:rPr>
              <w:t>7</w:t>
            </w:r>
            <w:r w:rsidR="00A83F63">
              <w:rPr>
                <w:noProof/>
                <w:webHidden/>
              </w:rPr>
              <w:fldChar w:fldCharType="end"/>
            </w:r>
          </w:hyperlink>
        </w:p>
        <w:p w14:paraId="5AE65798" w14:textId="77777777" w:rsidR="00A83F63" w:rsidRDefault="00BA6A81">
          <w:pPr>
            <w:pStyle w:val="TOC3"/>
            <w:tabs>
              <w:tab w:val="right" w:leader="dot" w:pos="9854"/>
            </w:tabs>
            <w:rPr>
              <w:rFonts w:eastAsiaTheme="minorEastAsia" w:cstheme="minorBidi"/>
              <w:noProof/>
              <w:sz w:val="22"/>
              <w:szCs w:val="22"/>
              <w:lang w:eastAsia="en-AU"/>
            </w:rPr>
          </w:pPr>
          <w:hyperlink w:anchor="_Toc437970006" w:history="1">
            <w:r w:rsidR="00A83F63" w:rsidRPr="00D2434F">
              <w:rPr>
                <w:rStyle w:val="Hyperlink"/>
                <w:noProof/>
              </w:rPr>
              <w:t>Copyright and digital technology</w:t>
            </w:r>
            <w:r w:rsidR="00A83F63">
              <w:rPr>
                <w:noProof/>
                <w:webHidden/>
              </w:rPr>
              <w:tab/>
            </w:r>
            <w:r w:rsidR="00A83F63">
              <w:rPr>
                <w:noProof/>
                <w:webHidden/>
              </w:rPr>
              <w:fldChar w:fldCharType="begin"/>
            </w:r>
            <w:r w:rsidR="00A83F63">
              <w:rPr>
                <w:noProof/>
                <w:webHidden/>
              </w:rPr>
              <w:instrText xml:space="preserve"> PAGEREF _Toc437970006 \h </w:instrText>
            </w:r>
            <w:r w:rsidR="00A83F63">
              <w:rPr>
                <w:noProof/>
                <w:webHidden/>
              </w:rPr>
            </w:r>
            <w:r w:rsidR="00A83F63">
              <w:rPr>
                <w:noProof/>
                <w:webHidden/>
              </w:rPr>
              <w:fldChar w:fldCharType="separate"/>
            </w:r>
            <w:r w:rsidR="00763507">
              <w:rPr>
                <w:noProof/>
                <w:webHidden/>
              </w:rPr>
              <w:t>8</w:t>
            </w:r>
            <w:r w:rsidR="00A83F63">
              <w:rPr>
                <w:noProof/>
                <w:webHidden/>
              </w:rPr>
              <w:fldChar w:fldCharType="end"/>
            </w:r>
          </w:hyperlink>
        </w:p>
        <w:p w14:paraId="51BB4B1E" w14:textId="77777777" w:rsidR="00A83F63" w:rsidRDefault="00BA6A81">
          <w:pPr>
            <w:pStyle w:val="TOC3"/>
            <w:tabs>
              <w:tab w:val="right" w:leader="dot" w:pos="9854"/>
            </w:tabs>
            <w:rPr>
              <w:rFonts w:eastAsiaTheme="minorEastAsia" w:cstheme="minorBidi"/>
              <w:noProof/>
              <w:sz w:val="22"/>
              <w:szCs w:val="22"/>
              <w:lang w:eastAsia="en-AU"/>
            </w:rPr>
          </w:pPr>
          <w:hyperlink w:anchor="_Toc437970007" w:history="1">
            <w:r w:rsidR="00A83F63" w:rsidRPr="00D2434F">
              <w:rPr>
                <w:rStyle w:val="Hyperlink"/>
                <w:noProof/>
              </w:rPr>
              <w:t>‘Fair use’ and copyright in Australia</w:t>
            </w:r>
            <w:r w:rsidR="00A83F63">
              <w:rPr>
                <w:noProof/>
                <w:webHidden/>
              </w:rPr>
              <w:tab/>
            </w:r>
            <w:r w:rsidR="00A83F63">
              <w:rPr>
                <w:noProof/>
                <w:webHidden/>
              </w:rPr>
              <w:fldChar w:fldCharType="begin"/>
            </w:r>
            <w:r w:rsidR="00A83F63">
              <w:rPr>
                <w:noProof/>
                <w:webHidden/>
              </w:rPr>
              <w:instrText xml:space="preserve"> PAGEREF _Toc437970007 \h </w:instrText>
            </w:r>
            <w:r w:rsidR="00A83F63">
              <w:rPr>
                <w:noProof/>
                <w:webHidden/>
              </w:rPr>
            </w:r>
            <w:r w:rsidR="00A83F63">
              <w:rPr>
                <w:noProof/>
                <w:webHidden/>
              </w:rPr>
              <w:fldChar w:fldCharType="separate"/>
            </w:r>
            <w:r w:rsidR="00763507">
              <w:rPr>
                <w:noProof/>
                <w:webHidden/>
              </w:rPr>
              <w:t>8</w:t>
            </w:r>
            <w:r w:rsidR="00A83F63">
              <w:rPr>
                <w:noProof/>
                <w:webHidden/>
              </w:rPr>
              <w:fldChar w:fldCharType="end"/>
            </w:r>
          </w:hyperlink>
        </w:p>
        <w:p w14:paraId="193DA321" w14:textId="77777777" w:rsidR="00A83F63" w:rsidRDefault="00BA6A81">
          <w:pPr>
            <w:pStyle w:val="TOC3"/>
            <w:tabs>
              <w:tab w:val="right" w:leader="dot" w:pos="9854"/>
            </w:tabs>
            <w:rPr>
              <w:rFonts w:eastAsiaTheme="minorEastAsia" w:cstheme="minorBidi"/>
              <w:noProof/>
              <w:sz w:val="22"/>
              <w:szCs w:val="22"/>
              <w:lang w:eastAsia="en-AU"/>
            </w:rPr>
          </w:pPr>
          <w:hyperlink w:anchor="_Toc437970008" w:history="1">
            <w:r w:rsidR="00A83F63" w:rsidRPr="00D2434F">
              <w:rPr>
                <w:rStyle w:val="Hyperlink"/>
                <w:noProof/>
              </w:rPr>
              <w:t>Design and copyright</w:t>
            </w:r>
            <w:r w:rsidR="00A83F63">
              <w:rPr>
                <w:noProof/>
                <w:webHidden/>
              </w:rPr>
              <w:tab/>
            </w:r>
            <w:r w:rsidR="00A83F63">
              <w:rPr>
                <w:noProof/>
                <w:webHidden/>
              </w:rPr>
              <w:fldChar w:fldCharType="begin"/>
            </w:r>
            <w:r w:rsidR="00A83F63">
              <w:rPr>
                <w:noProof/>
                <w:webHidden/>
              </w:rPr>
              <w:instrText xml:space="preserve"> PAGEREF _Toc437970008 \h </w:instrText>
            </w:r>
            <w:r w:rsidR="00A83F63">
              <w:rPr>
                <w:noProof/>
                <w:webHidden/>
              </w:rPr>
            </w:r>
            <w:r w:rsidR="00A83F63">
              <w:rPr>
                <w:noProof/>
                <w:webHidden/>
              </w:rPr>
              <w:fldChar w:fldCharType="separate"/>
            </w:r>
            <w:r w:rsidR="00763507">
              <w:rPr>
                <w:noProof/>
                <w:webHidden/>
              </w:rPr>
              <w:t>9</w:t>
            </w:r>
            <w:r w:rsidR="00A83F63">
              <w:rPr>
                <w:noProof/>
                <w:webHidden/>
              </w:rPr>
              <w:fldChar w:fldCharType="end"/>
            </w:r>
          </w:hyperlink>
        </w:p>
        <w:p w14:paraId="6CA7EBAC" w14:textId="77777777" w:rsidR="00A83F63" w:rsidRDefault="00BA6A81">
          <w:pPr>
            <w:pStyle w:val="TOC3"/>
            <w:tabs>
              <w:tab w:val="right" w:leader="dot" w:pos="9854"/>
            </w:tabs>
            <w:rPr>
              <w:rFonts w:eastAsiaTheme="minorEastAsia" w:cstheme="minorBidi"/>
              <w:noProof/>
              <w:sz w:val="22"/>
              <w:szCs w:val="22"/>
              <w:lang w:eastAsia="en-AU"/>
            </w:rPr>
          </w:pPr>
          <w:hyperlink w:anchor="_Toc437970009" w:history="1">
            <w:r w:rsidR="00A83F63" w:rsidRPr="00D2434F">
              <w:rPr>
                <w:rStyle w:val="Hyperlink"/>
                <w:noProof/>
              </w:rPr>
              <w:t>Importance of moral rights</w:t>
            </w:r>
            <w:r w:rsidR="00A83F63">
              <w:rPr>
                <w:noProof/>
                <w:webHidden/>
              </w:rPr>
              <w:tab/>
            </w:r>
            <w:r w:rsidR="00A83F63">
              <w:rPr>
                <w:noProof/>
                <w:webHidden/>
              </w:rPr>
              <w:fldChar w:fldCharType="begin"/>
            </w:r>
            <w:r w:rsidR="00A83F63">
              <w:rPr>
                <w:noProof/>
                <w:webHidden/>
              </w:rPr>
              <w:instrText xml:space="preserve"> PAGEREF _Toc437970009 \h </w:instrText>
            </w:r>
            <w:r w:rsidR="00A83F63">
              <w:rPr>
                <w:noProof/>
                <w:webHidden/>
              </w:rPr>
            </w:r>
            <w:r w:rsidR="00A83F63">
              <w:rPr>
                <w:noProof/>
                <w:webHidden/>
              </w:rPr>
              <w:fldChar w:fldCharType="separate"/>
            </w:r>
            <w:r w:rsidR="00763507">
              <w:rPr>
                <w:noProof/>
                <w:webHidden/>
              </w:rPr>
              <w:t>9</w:t>
            </w:r>
            <w:r w:rsidR="00A83F63">
              <w:rPr>
                <w:noProof/>
                <w:webHidden/>
              </w:rPr>
              <w:fldChar w:fldCharType="end"/>
            </w:r>
          </w:hyperlink>
        </w:p>
        <w:p w14:paraId="010918A7" w14:textId="77777777" w:rsidR="00A83F63" w:rsidRDefault="00BA6A81">
          <w:pPr>
            <w:pStyle w:val="TOC3"/>
            <w:tabs>
              <w:tab w:val="right" w:leader="dot" w:pos="9854"/>
            </w:tabs>
            <w:rPr>
              <w:rFonts w:eastAsiaTheme="minorEastAsia" w:cstheme="minorBidi"/>
              <w:noProof/>
              <w:sz w:val="22"/>
              <w:szCs w:val="22"/>
              <w:lang w:eastAsia="en-AU"/>
            </w:rPr>
          </w:pPr>
          <w:hyperlink w:anchor="_Toc437970010" w:history="1">
            <w:r w:rsidR="00A83F63" w:rsidRPr="00D2434F">
              <w:rPr>
                <w:rStyle w:val="Hyperlink"/>
                <w:noProof/>
              </w:rPr>
              <w:t>Indigenous artists</w:t>
            </w:r>
            <w:r w:rsidR="00A83F63">
              <w:rPr>
                <w:noProof/>
                <w:webHidden/>
              </w:rPr>
              <w:tab/>
            </w:r>
            <w:r w:rsidR="00A83F63">
              <w:rPr>
                <w:noProof/>
                <w:webHidden/>
              </w:rPr>
              <w:fldChar w:fldCharType="begin"/>
            </w:r>
            <w:r w:rsidR="00A83F63">
              <w:rPr>
                <w:noProof/>
                <w:webHidden/>
              </w:rPr>
              <w:instrText xml:space="preserve"> PAGEREF _Toc437970010 \h </w:instrText>
            </w:r>
            <w:r w:rsidR="00A83F63">
              <w:rPr>
                <w:noProof/>
                <w:webHidden/>
              </w:rPr>
            </w:r>
            <w:r w:rsidR="00A83F63">
              <w:rPr>
                <w:noProof/>
                <w:webHidden/>
              </w:rPr>
              <w:fldChar w:fldCharType="separate"/>
            </w:r>
            <w:r w:rsidR="00763507">
              <w:rPr>
                <w:noProof/>
                <w:webHidden/>
              </w:rPr>
              <w:t>11</w:t>
            </w:r>
            <w:r w:rsidR="00A83F63">
              <w:rPr>
                <w:noProof/>
                <w:webHidden/>
              </w:rPr>
              <w:fldChar w:fldCharType="end"/>
            </w:r>
          </w:hyperlink>
        </w:p>
        <w:p w14:paraId="55037930" w14:textId="77777777" w:rsidR="00A83F63" w:rsidRDefault="00BA6A81">
          <w:pPr>
            <w:pStyle w:val="TOC3"/>
            <w:tabs>
              <w:tab w:val="right" w:leader="dot" w:pos="9854"/>
            </w:tabs>
            <w:rPr>
              <w:rFonts w:eastAsiaTheme="minorEastAsia" w:cstheme="minorBidi"/>
              <w:noProof/>
              <w:sz w:val="22"/>
              <w:szCs w:val="22"/>
              <w:lang w:eastAsia="en-AU"/>
            </w:rPr>
          </w:pPr>
          <w:hyperlink w:anchor="_Toc437970011" w:history="1">
            <w:r w:rsidR="00A83F63" w:rsidRPr="00D2434F">
              <w:rPr>
                <w:rStyle w:val="Hyperlink"/>
                <w:noProof/>
              </w:rPr>
              <w:t>Parallel import restrictions</w:t>
            </w:r>
            <w:r w:rsidR="00A83F63">
              <w:rPr>
                <w:noProof/>
                <w:webHidden/>
              </w:rPr>
              <w:tab/>
            </w:r>
            <w:r w:rsidR="00A83F63">
              <w:rPr>
                <w:noProof/>
                <w:webHidden/>
              </w:rPr>
              <w:fldChar w:fldCharType="begin"/>
            </w:r>
            <w:r w:rsidR="00A83F63">
              <w:rPr>
                <w:noProof/>
                <w:webHidden/>
              </w:rPr>
              <w:instrText xml:space="preserve"> PAGEREF _Toc437970011 \h </w:instrText>
            </w:r>
            <w:r w:rsidR="00A83F63">
              <w:rPr>
                <w:noProof/>
                <w:webHidden/>
              </w:rPr>
            </w:r>
            <w:r w:rsidR="00A83F63">
              <w:rPr>
                <w:noProof/>
                <w:webHidden/>
              </w:rPr>
              <w:fldChar w:fldCharType="separate"/>
            </w:r>
            <w:r w:rsidR="00763507">
              <w:rPr>
                <w:noProof/>
                <w:webHidden/>
              </w:rPr>
              <w:t>12</w:t>
            </w:r>
            <w:r w:rsidR="00A83F63">
              <w:rPr>
                <w:noProof/>
                <w:webHidden/>
              </w:rPr>
              <w:fldChar w:fldCharType="end"/>
            </w:r>
          </w:hyperlink>
        </w:p>
        <w:p w14:paraId="54BD7F5C" w14:textId="77777777" w:rsidR="00991133" w:rsidRDefault="0077100F" w:rsidP="00991133">
          <w:pPr>
            <w:rPr>
              <w:b/>
              <w:noProof/>
            </w:rPr>
          </w:pPr>
          <w:r>
            <w:rPr>
              <w:b/>
              <w:bCs/>
              <w:noProof/>
            </w:rPr>
            <w:fldChar w:fldCharType="end"/>
          </w:r>
        </w:p>
      </w:sdtContent>
    </w:sdt>
    <w:p w14:paraId="5FE82A13" w14:textId="7A5A9E8C" w:rsidR="00991133" w:rsidRDefault="00991133" w:rsidP="00991133">
      <w:pPr>
        <w:rPr>
          <w:lang w:eastAsia="en-AU"/>
        </w:rPr>
      </w:pPr>
    </w:p>
    <w:p w14:paraId="018159DF" w14:textId="77777777" w:rsidR="00DE1EB0" w:rsidRPr="00991133" w:rsidRDefault="00DE1EB0" w:rsidP="00991133">
      <w:pPr>
        <w:rPr>
          <w:lang w:eastAsia="en-AU"/>
        </w:rPr>
        <w:sectPr w:rsidR="00DE1EB0" w:rsidRPr="00991133" w:rsidSect="00991133">
          <w:headerReference w:type="default" r:id="rId12"/>
          <w:footerReference w:type="default" r:id="rId13"/>
          <w:footerReference w:type="first" r:id="rId14"/>
          <w:pgSz w:w="11906" w:h="16838" w:code="9"/>
          <w:pgMar w:top="1021" w:right="1021" w:bottom="1021" w:left="1021" w:header="567" w:footer="567" w:gutter="0"/>
          <w:cols w:space="708"/>
          <w:titlePg/>
          <w:docGrid w:linePitch="360"/>
        </w:sectPr>
      </w:pPr>
    </w:p>
    <w:p w14:paraId="7004F9D5" w14:textId="77777777" w:rsidR="00E76C6B" w:rsidRPr="0051015D" w:rsidRDefault="00E76C6B" w:rsidP="00991133">
      <w:pPr>
        <w:pStyle w:val="Heading3"/>
      </w:pPr>
      <w:bookmarkStart w:id="3" w:name="_Toc437970001"/>
      <w:r w:rsidRPr="0051015D">
        <w:t>About the Australia Council for the Arts</w:t>
      </w:r>
      <w:bookmarkEnd w:id="2"/>
      <w:bookmarkEnd w:id="3"/>
    </w:p>
    <w:p w14:paraId="09F1495B" w14:textId="77777777" w:rsidR="00E76C6B" w:rsidRDefault="00E76C6B" w:rsidP="007B724C">
      <w:pPr>
        <w:pStyle w:val="BodyText"/>
      </w:pPr>
      <w:r w:rsidRPr="00E76C6B">
        <w:t xml:space="preserve">The </w:t>
      </w:r>
      <w:r>
        <w:t xml:space="preserve">Australia Council is the Australian Government’s arts funding and advisory body. The Council’s purpose is to champion and invest in Australian arts, by supporting excellence across all art forms and leveraging investment to support and build a vibrant arts </w:t>
      </w:r>
      <w:r w:rsidR="000C6616">
        <w:t>sector</w:t>
      </w:r>
      <w:r>
        <w:t xml:space="preserve">. The </w:t>
      </w:r>
      <w:r w:rsidR="00F13CA5">
        <w:t xml:space="preserve">Australia </w:t>
      </w:r>
      <w:r>
        <w:t xml:space="preserve">Council is a national </w:t>
      </w:r>
      <w:r w:rsidR="00F13CA5">
        <w:t xml:space="preserve">advocate for the arts and works to increase national and international </w:t>
      </w:r>
      <w:r w:rsidR="00802053">
        <w:t>access to</w:t>
      </w:r>
      <w:r w:rsidR="00F13CA5">
        <w:t xml:space="preserve"> Australian arts and culture.</w:t>
      </w:r>
    </w:p>
    <w:p w14:paraId="0897EDF8" w14:textId="77777777" w:rsidR="00E01619" w:rsidRDefault="004B7D29" w:rsidP="00E01619">
      <w:pPr>
        <w:pStyle w:val="BodyText"/>
      </w:pPr>
      <w:r>
        <w:t>The Australia Council was established as a Commonwealth statutory authority</w:t>
      </w:r>
      <w:r w:rsidR="00695EA4">
        <w:t xml:space="preserve"> in 1975, and its functions were updated under </w:t>
      </w:r>
      <w:r>
        <w:t xml:space="preserve">the </w:t>
      </w:r>
      <w:r w:rsidRPr="004B7D29">
        <w:rPr>
          <w:i/>
        </w:rPr>
        <w:t>Australia Council Act 2013</w:t>
      </w:r>
      <w:r w:rsidR="00695EA4">
        <w:t>.</w:t>
      </w:r>
      <w:r>
        <w:t xml:space="preserve"> </w:t>
      </w:r>
      <w:r w:rsidR="00695EA4">
        <w:t>The Council’s functions are</w:t>
      </w:r>
      <w:r w:rsidR="00003ACC">
        <w:t xml:space="preserve"> to</w:t>
      </w:r>
      <w:r w:rsidR="00695EA4">
        <w:t>:</w:t>
      </w:r>
    </w:p>
    <w:p w14:paraId="479108A1" w14:textId="77777777" w:rsidR="00E01619" w:rsidRDefault="00003ACC" w:rsidP="00863782">
      <w:pPr>
        <w:pStyle w:val="BodyText"/>
        <w:spacing w:before="0" w:after="0"/>
        <w:ind w:left="720"/>
      </w:pPr>
      <w:r>
        <w:t>(a)</w:t>
      </w:r>
      <w:r>
        <w:tab/>
      </w:r>
      <w:r w:rsidR="00E01619">
        <w:t>support Australian arts practice that is recognised for excellence;</w:t>
      </w:r>
    </w:p>
    <w:p w14:paraId="2204D18C" w14:textId="77777777" w:rsidR="00E01619" w:rsidRDefault="00003ACC" w:rsidP="00E470F9">
      <w:pPr>
        <w:pStyle w:val="BodyText"/>
        <w:spacing w:before="0" w:after="0"/>
        <w:ind w:left="1440" w:hanging="720"/>
      </w:pPr>
      <w:r>
        <w:t>(b)</w:t>
      </w:r>
      <w:r>
        <w:tab/>
      </w:r>
      <w:r w:rsidR="00E01619">
        <w:t>foster excellence in Australian arts practice by supporting a diverse range of activities;</w:t>
      </w:r>
    </w:p>
    <w:p w14:paraId="2DE79F28" w14:textId="77777777" w:rsidR="00E01619" w:rsidRDefault="00003ACC" w:rsidP="00863782">
      <w:pPr>
        <w:pStyle w:val="BodyText"/>
        <w:spacing w:before="0" w:after="0"/>
        <w:ind w:left="720"/>
      </w:pPr>
      <w:r>
        <w:t>(ba)</w:t>
      </w:r>
      <w:r>
        <w:tab/>
      </w:r>
      <w:r w:rsidR="00E01619">
        <w:t>support Aboriginal and Torres Strait Islander arts practice;</w:t>
      </w:r>
    </w:p>
    <w:p w14:paraId="29D19D52" w14:textId="77777777" w:rsidR="00E01619" w:rsidRDefault="00003ACC" w:rsidP="00863782">
      <w:pPr>
        <w:pStyle w:val="BodyText"/>
        <w:spacing w:before="0" w:after="0"/>
        <w:ind w:left="720"/>
      </w:pPr>
      <w:r>
        <w:t>(bb)</w:t>
      </w:r>
      <w:r>
        <w:tab/>
      </w:r>
      <w:r w:rsidR="00E01619">
        <w:t>support Australian arts practice that reflects the diversity of Australia;</w:t>
      </w:r>
    </w:p>
    <w:p w14:paraId="698D19D2" w14:textId="77777777" w:rsidR="00E01619" w:rsidRDefault="00003ACC" w:rsidP="00863782">
      <w:pPr>
        <w:pStyle w:val="BodyText"/>
        <w:spacing w:before="0" w:after="0"/>
        <w:ind w:left="720"/>
      </w:pPr>
      <w:r>
        <w:t>(bc)</w:t>
      </w:r>
      <w:r>
        <w:tab/>
      </w:r>
      <w:r w:rsidR="00E01619">
        <w:t>uphold and promote freedom of expression in the arts;</w:t>
      </w:r>
    </w:p>
    <w:p w14:paraId="65246E9E" w14:textId="77777777" w:rsidR="00E01619" w:rsidRDefault="00E01619" w:rsidP="00863782">
      <w:pPr>
        <w:pStyle w:val="BodyText"/>
        <w:spacing w:before="0" w:after="0"/>
        <w:ind w:left="720"/>
      </w:pPr>
      <w:r>
        <w:t>(b</w:t>
      </w:r>
      <w:r w:rsidR="00003ACC">
        <w:t>d)</w:t>
      </w:r>
      <w:r w:rsidR="00003ACC">
        <w:tab/>
      </w:r>
      <w:r>
        <w:t>promote community participation in the arts;</w:t>
      </w:r>
    </w:p>
    <w:p w14:paraId="41B4A1BA" w14:textId="77777777" w:rsidR="00E01619" w:rsidRDefault="00003ACC" w:rsidP="00E470F9">
      <w:pPr>
        <w:pStyle w:val="BodyText"/>
        <w:spacing w:before="0" w:after="0"/>
        <w:ind w:left="1440" w:hanging="720"/>
      </w:pPr>
      <w:r>
        <w:t>(c)</w:t>
      </w:r>
      <w:r>
        <w:tab/>
      </w:r>
      <w:r w:rsidR="00E01619">
        <w:t>recognise and reward significant contributions made by artists and other persons to the arts in Australia;</w:t>
      </w:r>
    </w:p>
    <w:p w14:paraId="49AD3FDA" w14:textId="77777777" w:rsidR="00E01619" w:rsidRDefault="00003ACC" w:rsidP="00863782">
      <w:pPr>
        <w:pStyle w:val="BodyText"/>
        <w:spacing w:before="0" w:after="0"/>
        <w:ind w:left="720"/>
      </w:pPr>
      <w:r>
        <w:t>(d)</w:t>
      </w:r>
      <w:r>
        <w:tab/>
      </w:r>
      <w:r w:rsidR="00E01619">
        <w:t>promote the appreciation, knowledge and understanding of the arts;</w:t>
      </w:r>
    </w:p>
    <w:p w14:paraId="16775B86" w14:textId="77777777" w:rsidR="00E01619" w:rsidRDefault="00E01619" w:rsidP="00863782">
      <w:pPr>
        <w:pStyle w:val="BodyText"/>
        <w:spacing w:before="0" w:after="0"/>
        <w:ind w:left="720"/>
      </w:pPr>
      <w:r>
        <w:t>(e)</w:t>
      </w:r>
      <w:r>
        <w:tab/>
        <w:t>support and promote the development of markets and audiences for the arts;</w:t>
      </w:r>
    </w:p>
    <w:p w14:paraId="7BFEE889" w14:textId="77777777" w:rsidR="00E01619" w:rsidRDefault="00003ACC" w:rsidP="00E470F9">
      <w:pPr>
        <w:pStyle w:val="BodyText"/>
        <w:spacing w:before="0" w:after="0"/>
        <w:ind w:left="1440" w:hanging="720"/>
      </w:pPr>
      <w:r>
        <w:t>(f)</w:t>
      </w:r>
      <w:r>
        <w:tab/>
      </w:r>
      <w:r w:rsidR="00E01619">
        <w:t>provide information and advice to the Commonwealth Government on matters connected with the arts or the performance of the Council’s functions;</w:t>
      </w:r>
    </w:p>
    <w:p w14:paraId="7D2BCD32" w14:textId="77777777" w:rsidR="00E01619" w:rsidRDefault="00003ACC" w:rsidP="00863782">
      <w:pPr>
        <w:pStyle w:val="BodyText"/>
        <w:spacing w:before="0" w:after="0"/>
        <w:ind w:left="720"/>
      </w:pPr>
      <w:r>
        <w:t>(g)</w:t>
      </w:r>
      <w:r>
        <w:tab/>
      </w:r>
      <w:r w:rsidR="00E01619">
        <w:t>conduct and commission research into, and publish information about, the arts;</w:t>
      </w:r>
    </w:p>
    <w:p w14:paraId="146BFA11" w14:textId="77777777" w:rsidR="00E01619" w:rsidRDefault="00003ACC" w:rsidP="00E470F9">
      <w:pPr>
        <w:pStyle w:val="BodyText"/>
        <w:spacing w:before="0" w:after="0"/>
        <w:ind w:left="1440" w:hanging="720"/>
      </w:pPr>
      <w:r>
        <w:t>(h)</w:t>
      </w:r>
      <w:r>
        <w:tab/>
      </w:r>
      <w:r w:rsidR="00E01619">
        <w:t>evaluate, and publish information about, the impact of the support the Council provides;</w:t>
      </w:r>
    </w:p>
    <w:p w14:paraId="0D651E3E" w14:textId="77777777" w:rsidR="00E01619" w:rsidRDefault="00003ACC" w:rsidP="00E470F9">
      <w:pPr>
        <w:pStyle w:val="BodyText"/>
        <w:spacing w:before="0" w:after="0"/>
        <w:ind w:left="1440" w:hanging="720"/>
      </w:pPr>
      <w:r>
        <w:t>(i)</w:t>
      </w:r>
      <w:r>
        <w:tab/>
      </w:r>
      <w:r w:rsidR="00E01619">
        <w:t xml:space="preserve">undertake any other </w:t>
      </w:r>
      <w:r w:rsidR="00FE00FE">
        <w:t>function conferred on it by the</w:t>
      </w:r>
      <w:r w:rsidR="00E01619">
        <w:t xml:space="preserve"> Act or any other law of the Commonwealth;</w:t>
      </w:r>
    </w:p>
    <w:p w14:paraId="7B45EF9C" w14:textId="77777777" w:rsidR="0091010D" w:rsidRDefault="00E01619" w:rsidP="00E470F9">
      <w:pPr>
        <w:pStyle w:val="BodyText"/>
        <w:spacing w:before="0" w:after="0"/>
        <w:ind w:left="1440" w:hanging="720"/>
      </w:pPr>
      <w:r>
        <w:t>(j)</w:t>
      </w:r>
      <w:r>
        <w:tab/>
        <w:t>do anything incidental or conducive to the performance of any of the above functions.</w:t>
      </w:r>
    </w:p>
    <w:p w14:paraId="450631A0" w14:textId="77777777" w:rsidR="0091010D" w:rsidRDefault="00050C88" w:rsidP="007B724C">
      <w:pPr>
        <w:pStyle w:val="BodyText"/>
      </w:pPr>
      <w:r>
        <w:t xml:space="preserve">The </w:t>
      </w:r>
      <w:r w:rsidR="00FE00FE">
        <w:t xml:space="preserve">Australia </w:t>
      </w:r>
      <w:r>
        <w:t xml:space="preserve">Council is a Corporate Commonwealth entity under the </w:t>
      </w:r>
      <w:r w:rsidRPr="00050C88">
        <w:rPr>
          <w:i/>
        </w:rPr>
        <w:t>Public Governance Performance and Accountability Act 2013</w:t>
      </w:r>
      <w:r w:rsidR="00DB4E7B">
        <w:t>.</w:t>
      </w:r>
    </w:p>
    <w:p w14:paraId="19AAAE01" w14:textId="5F99604D" w:rsidR="00DB4E7B" w:rsidRDefault="002041A6" w:rsidP="007B724C">
      <w:pPr>
        <w:pStyle w:val="BodyText"/>
      </w:pPr>
      <w:r>
        <w:t>The Australia Council’s Strategic Plan 2014-19</w:t>
      </w:r>
      <w:r w:rsidR="00D53B56">
        <w:t>,</w:t>
      </w:r>
      <w:r>
        <w:t xml:space="preserve"> </w:t>
      </w:r>
      <w:r>
        <w:rPr>
          <w:i/>
        </w:rPr>
        <w:t>A Culturally Ambitious Nation</w:t>
      </w:r>
      <w:r>
        <w:t xml:space="preserve">, guides the work of </w:t>
      </w:r>
      <w:r w:rsidR="009C2025">
        <w:t xml:space="preserve">the </w:t>
      </w:r>
      <w:r>
        <w:t>Council, including the four strategic goals:</w:t>
      </w:r>
    </w:p>
    <w:p w14:paraId="43E21EE6" w14:textId="77777777" w:rsidR="002041A6" w:rsidRDefault="002041A6" w:rsidP="00863782">
      <w:pPr>
        <w:pStyle w:val="BodyText"/>
        <w:numPr>
          <w:ilvl w:val="0"/>
          <w:numId w:val="22"/>
        </w:numPr>
        <w:spacing w:before="0" w:after="0"/>
        <w:ind w:left="714" w:hanging="357"/>
      </w:pPr>
      <w:r>
        <w:t xml:space="preserve">Australian </w:t>
      </w:r>
      <w:r w:rsidR="00863782">
        <w:t>arts are without borders</w:t>
      </w:r>
    </w:p>
    <w:p w14:paraId="54C842C8" w14:textId="77777777" w:rsidR="00863782" w:rsidRDefault="00863782" w:rsidP="00863782">
      <w:pPr>
        <w:pStyle w:val="BodyText"/>
        <w:numPr>
          <w:ilvl w:val="0"/>
          <w:numId w:val="22"/>
        </w:numPr>
        <w:spacing w:before="0" w:after="0"/>
        <w:ind w:left="714" w:hanging="357"/>
      </w:pPr>
      <w:r>
        <w:t>Australia is known for its great art and artists</w:t>
      </w:r>
    </w:p>
    <w:p w14:paraId="21B6DBB5" w14:textId="77777777" w:rsidR="00863782" w:rsidRDefault="00863782" w:rsidP="00863782">
      <w:pPr>
        <w:pStyle w:val="BodyText"/>
        <w:numPr>
          <w:ilvl w:val="0"/>
          <w:numId w:val="22"/>
        </w:numPr>
        <w:spacing w:before="0" w:after="0"/>
        <w:ind w:left="714" w:hanging="357"/>
      </w:pPr>
      <w:r>
        <w:t>The arts enrich daily life for all</w:t>
      </w:r>
    </w:p>
    <w:p w14:paraId="7F177B8D" w14:textId="77777777" w:rsidR="00863782" w:rsidRDefault="00863782" w:rsidP="00863782">
      <w:pPr>
        <w:pStyle w:val="BodyText"/>
        <w:numPr>
          <w:ilvl w:val="0"/>
          <w:numId w:val="22"/>
        </w:numPr>
        <w:spacing w:before="0" w:after="0"/>
        <w:ind w:left="714" w:hanging="357"/>
      </w:pPr>
      <w:r>
        <w:t>Australians cherish Aboriginal and Torres Strait Islander arts and cultures.</w:t>
      </w:r>
    </w:p>
    <w:p w14:paraId="42EBD765" w14:textId="77777777" w:rsidR="00012601" w:rsidRDefault="00012601" w:rsidP="00012601">
      <w:pPr>
        <w:pStyle w:val="BodyText"/>
        <w:spacing w:before="0" w:after="0"/>
      </w:pPr>
    </w:p>
    <w:p w14:paraId="6CB30B3D" w14:textId="77777777" w:rsidR="00012601" w:rsidRDefault="00012601" w:rsidP="00012601">
      <w:pPr>
        <w:pStyle w:val="BodyText"/>
        <w:spacing w:before="0" w:after="0"/>
      </w:pPr>
    </w:p>
    <w:p w14:paraId="2BC3234A" w14:textId="77777777" w:rsidR="00E43E89" w:rsidRPr="0083412D" w:rsidRDefault="00E43E89" w:rsidP="00991133">
      <w:pPr>
        <w:pStyle w:val="Heading3"/>
      </w:pPr>
      <w:bookmarkStart w:id="4" w:name="_Toc437348754"/>
      <w:bookmarkStart w:id="5" w:name="_Toc437970002"/>
      <w:r w:rsidRPr="0083412D">
        <w:t>Introduction</w:t>
      </w:r>
      <w:bookmarkEnd w:id="4"/>
      <w:bookmarkEnd w:id="5"/>
    </w:p>
    <w:p w14:paraId="5A35B685" w14:textId="77777777" w:rsidR="00F14B78" w:rsidRDefault="00F14B78" w:rsidP="00F14B78">
      <w:pPr>
        <w:pStyle w:val="BodyText"/>
      </w:pPr>
      <w:r w:rsidRPr="00AD2434">
        <w:t xml:space="preserve">The </w:t>
      </w:r>
      <w:r>
        <w:t xml:space="preserve">Australia </w:t>
      </w:r>
      <w:r w:rsidRPr="00AD2434">
        <w:t xml:space="preserve">Council </w:t>
      </w:r>
      <w:r>
        <w:t xml:space="preserve">supports Australia’s arts sector by investing in the work of Australian artists and arts organisations. It also helps build markets and audiences for Australian arts and culture nationally and internationally. </w:t>
      </w:r>
    </w:p>
    <w:p w14:paraId="59A7FBE2" w14:textId="77777777" w:rsidR="00F14B78" w:rsidRDefault="00F14B78" w:rsidP="00F14B78">
      <w:pPr>
        <w:pStyle w:val="BodyText"/>
      </w:pPr>
      <w:r>
        <w:t>The Australia Council undertakes significant research and publishes information to develop a greater understanding of arts and culture across Australia. This includes research about the incomes and careers of artists, Aboriginal and Torres Strait Islander arts and cultures, and the role of arts and culture in Australian life and the cultural economy.</w:t>
      </w:r>
    </w:p>
    <w:p w14:paraId="1C76F8B3" w14:textId="77777777" w:rsidR="00F14B78" w:rsidRDefault="00F14B78" w:rsidP="00F14B78">
      <w:pPr>
        <w:pStyle w:val="BodyText"/>
      </w:pPr>
      <w:r>
        <w:t>The Australia Council’s submission draws on this research to highlight some overarching principles that the Productivity Commission’s inquiry into intellectual property arrangements should consider in relation to the creation and production of artistic works and access to Australian arts and culture.</w:t>
      </w:r>
    </w:p>
    <w:p w14:paraId="7F851824" w14:textId="77777777" w:rsidR="00F5138E" w:rsidRDefault="00F5138E" w:rsidP="000C6616">
      <w:pPr>
        <w:pStyle w:val="BodyText"/>
      </w:pPr>
      <w:r>
        <w:t xml:space="preserve">We have focused on copyright, moral rights, and parallel imports as key areas relevant to the work of the Australia Council in supporting a </w:t>
      </w:r>
      <w:r w:rsidR="00C32DB7">
        <w:t xml:space="preserve">diverse and </w:t>
      </w:r>
      <w:r>
        <w:t xml:space="preserve">sustainable Australian arts sector. This includes considering the particular needs of Indigenous artists, custodians and communities </w:t>
      </w:r>
      <w:r w:rsidR="00B153A2">
        <w:t>with regard to copyright and moral rights.</w:t>
      </w:r>
    </w:p>
    <w:p w14:paraId="2FFC2167" w14:textId="77777777" w:rsidR="000E03D7" w:rsidRDefault="000E03D7" w:rsidP="000E03D7">
      <w:pPr>
        <w:pStyle w:val="BodyText"/>
      </w:pPr>
      <w:r>
        <w:t xml:space="preserve">The </w:t>
      </w:r>
      <w:r w:rsidR="00A300DE">
        <w:t xml:space="preserve">Australia </w:t>
      </w:r>
      <w:r>
        <w:t>Council</w:t>
      </w:r>
      <w:r w:rsidR="00524E75">
        <w:t xml:space="preserve"> has discussed copyright and moral</w:t>
      </w:r>
      <w:r>
        <w:t xml:space="preserve"> </w:t>
      </w:r>
      <w:r w:rsidR="00524E75">
        <w:t xml:space="preserve">rights previously in </w:t>
      </w:r>
      <w:r>
        <w:t xml:space="preserve">submissions to the </w:t>
      </w:r>
      <w:r w:rsidRPr="003E6C29">
        <w:t>Australian Law Reform Commission</w:t>
      </w:r>
      <w:r>
        <w:t xml:space="preserve"> (</w:t>
      </w:r>
      <w:r w:rsidRPr="00253803">
        <w:t>ALRC</w:t>
      </w:r>
      <w:r>
        <w:t>) Issues Paper and Discussion Paper on Copyright and the Digital Economy.</w:t>
      </w:r>
      <w:r w:rsidR="004D0AAB">
        <w:t xml:space="preserve"> </w:t>
      </w:r>
      <w:r w:rsidR="00591166">
        <w:t xml:space="preserve">This submission draws on some key points </w:t>
      </w:r>
      <w:r w:rsidR="003A5150">
        <w:t>from that work</w:t>
      </w:r>
      <w:r w:rsidR="00591166">
        <w:t xml:space="preserve">, and </w:t>
      </w:r>
      <w:r w:rsidR="001F6A87">
        <w:t>we refer the inquir</w:t>
      </w:r>
      <w:r w:rsidR="001C25E4">
        <w:t xml:space="preserve">y to the attached </w:t>
      </w:r>
      <w:r w:rsidR="00BB0A90">
        <w:t xml:space="preserve">Australia Council </w:t>
      </w:r>
      <w:r w:rsidR="00C76EBF">
        <w:t xml:space="preserve">submissions to the </w:t>
      </w:r>
      <w:r w:rsidR="001C25E4">
        <w:t xml:space="preserve">ALRC </w:t>
      </w:r>
      <w:r w:rsidR="00C76EBF">
        <w:t xml:space="preserve">review </w:t>
      </w:r>
      <w:r w:rsidR="006B3E84">
        <w:t>for further detail.</w:t>
      </w:r>
    </w:p>
    <w:p w14:paraId="769A3DDD" w14:textId="36C57A03" w:rsidR="000E03D7" w:rsidRDefault="009A506D" w:rsidP="000C6616">
      <w:pPr>
        <w:pStyle w:val="BodyText"/>
      </w:pPr>
      <w:r>
        <w:t>We note</w:t>
      </w:r>
      <w:r w:rsidR="000E03D7">
        <w:t xml:space="preserve"> that some of </w:t>
      </w:r>
      <w:r>
        <w:t>the Council’s key stakeholders</w:t>
      </w:r>
      <w:r w:rsidR="000E03D7">
        <w:t xml:space="preserve"> have provided comprehensive submissions to the </w:t>
      </w:r>
      <w:r w:rsidR="00800005">
        <w:t>inquiry</w:t>
      </w:r>
      <w:r w:rsidR="000E03D7">
        <w:t>, including the Australian Copyright Council</w:t>
      </w:r>
      <w:r w:rsidR="003774E2">
        <w:t xml:space="preserve"> and</w:t>
      </w:r>
      <w:r w:rsidR="000E03D7">
        <w:t xml:space="preserve"> </w:t>
      </w:r>
      <w:r w:rsidR="000E03D7" w:rsidRPr="002F6756">
        <w:t>Arts Law Centre of Australia</w:t>
      </w:r>
      <w:r w:rsidR="000E03D7">
        <w:t>.</w:t>
      </w:r>
    </w:p>
    <w:p w14:paraId="16443223" w14:textId="77777777" w:rsidR="00401E07" w:rsidRDefault="00401E07" w:rsidP="000C6616">
      <w:pPr>
        <w:pStyle w:val="BodyText"/>
      </w:pPr>
      <w:r>
        <w:t xml:space="preserve">The Australia Council looks forward to </w:t>
      </w:r>
      <w:r w:rsidR="00033246">
        <w:t xml:space="preserve">providing further information in response to </w:t>
      </w:r>
      <w:r>
        <w:t>the Productivity Commission’s draft report on intellectual property arrangements.</w:t>
      </w:r>
    </w:p>
    <w:p w14:paraId="51441D17" w14:textId="3BA2542B" w:rsidR="000E03D7" w:rsidRPr="00224668" w:rsidRDefault="00ED6D84" w:rsidP="00991133">
      <w:pPr>
        <w:pStyle w:val="Heading3"/>
      </w:pPr>
      <w:bookmarkStart w:id="6" w:name="_Toc437348755"/>
      <w:bookmarkStart w:id="7" w:name="_Toc437970003"/>
      <w:r>
        <w:t>Executive Summary</w:t>
      </w:r>
      <w:bookmarkEnd w:id="6"/>
      <w:bookmarkEnd w:id="7"/>
    </w:p>
    <w:p w14:paraId="48140517" w14:textId="7A6F9221" w:rsidR="00647DCC" w:rsidRDefault="00647DCC" w:rsidP="00F14B78">
      <w:pPr>
        <w:pStyle w:val="BodyText"/>
        <w:spacing w:before="0" w:after="0"/>
      </w:pPr>
      <w:r>
        <w:t>The following key points are discussed in</w:t>
      </w:r>
      <w:r w:rsidR="00D93831">
        <w:t xml:space="preserve"> the submission:</w:t>
      </w:r>
    </w:p>
    <w:p w14:paraId="3D1CD3EC" w14:textId="7D0FF11D" w:rsidR="000E03D7" w:rsidRDefault="00647DCC" w:rsidP="00F14B78">
      <w:pPr>
        <w:pStyle w:val="BodyText"/>
        <w:numPr>
          <w:ilvl w:val="0"/>
          <w:numId w:val="21"/>
        </w:numPr>
        <w:spacing w:before="120" w:after="120"/>
        <w:ind w:left="714" w:hanging="357"/>
      </w:pPr>
      <w:r>
        <w:t xml:space="preserve">It is important to </w:t>
      </w:r>
      <w:r w:rsidR="000E03D7">
        <w:t>maintain incentives for the creation of new work and ensu</w:t>
      </w:r>
      <w:r w:rsidR="00F141A8">
        <w:t>r</w:t>
      </w:r>
      <w:r>
        <w:t>e</w:t>
      </w:r>
      <w:r w:rsidR="000E03D7">
        <w:t xml:space="preserve"> appropriate remuneration for Australian artists to support a sustainable arts sector.</w:t>
      </w:r>
    </w:p>
    <w:p w14:paraId="15FAD30A" w14:textId="48B5384E" w:rsidR="00BE3406" w:rsidRDefault="00647DCC" w:rsidP="00F14B78">
      <w:pPr>
        <w:pStyle w:val="BodyText"/>
        <w:numPr>
          <w:ilvl w:val="0"/>
          <w:numId w:val="21"/>
        </w:numPr>
        <w:spacing w:before="120" w:after="120"/>
        <w:ind w:left="714" w:hanging="357"/>
      </w:pPr>
      <w:r>
        <w:t>Arts</w:t>
      </w:r>
      <w:r w:rsidR="000E03D7">
        <w:t xml:space="preserve"> and culture </w:t>
      </w:r>
      <w:r>
        <w:t xml:space="preserve">contribute </w:t>
      </w:r>
      <w:r w:rsidR="000E03D7">
        <w:t>to the Australian economy through the creation of work</w:t>
      </w:r>
      <w:r>
        <w:t xml:space="preserve">, </w:t>
      </w:r>
      <w:r w:rsidR="000E03D7">
        <w:t>employment of artists</w:t>
      </w:r>
      <w:r>
        <w:t xml:space="preserve"> and fostering innovation</w:t>
      </w:r>
      <w:r w:rsidR="000E03D7">
        <w:t>.</w:t>
      </w:r>
    </w:p>
    <w:p w14:paraId="527ED2FD" w14:textId="553D4E00" w:rsidR="000E03D7" w:rsidRDefault="000E03D7" w:rsidP="00F14B78">
      <w:pPr>
        <w:pStyle w:val="BodyText"/>
        <w:numPr>
          <w:ilvl w:val="0"/>
          <w:numId w:val="21"/>
        </w:numPr>
        <w:spacing w:before="120" w:after="120"/>
        <w:ind w:left="714" w:hanging="357"/>
      </w:pPr>
      <w:r>
        <w:t>Changes to intellectual property rights could lead to a decline in the creation of Australian work due to insufficient incentives and remuneration available for artists. This w</w:t>
      </w:r>
      <w:r w:rsidR="0047307A">
        <w:t>ould</w:t>
      </w:r>
      <w:r>
        <w:t xml:space="preserve"> reduce national and international audience access to Australian artistic works, including books, music, visual </w:t>
      </w:r>
      <w:r w:rsidR="00DA60A1">
        <w:t>and</w:t>
      </w:r>
      <w:r>
        <w:t xml:space="preserve"> performing artworks.</w:t>
      </w:r>
    </w:p>
    <w:p w14:paraId="2545F333" w14:textId="77777777" w:rsidR="00D93831" w:rsidRDefault="00D93831" w:rsidP="00F14B78">
      <w:pPr>
        <w:pStyle w:val="BodyText"/>
        <w:spacing w:before="120" w:after="120"/>
      </w:pPr>
    </w:p>
    <w:p w14:paraId="078FC512" w14:textId="77777777" w:rsidR="00D93831" w:rsidRDefault="00D93831" w:rsidP="00F14B78">
      <w:pPr>
        <w:pStyle w:val="BodyText"/>
        <w:spacing w:before="120" w:after="120"/>
      </w:pPr>
    </w:p>
    <w:p w14:paraId="66712221" w14:textId="77777777" w:rsidR="00777A70" w:rsidRPr="00777A70" w:rsidRDefault="00777A70" w:rsidP="00F14B78">
      <w:pPr>
        <w:pStyle w:val="BodyText"/>
        <w:numPr>
          <w:ilvl w:val="0"/>
          <w:numId w:val="21"/>
        </w:numPr>
        <w:spacing w:before="120" w:after="120"/>
        <w:rPr>
          <w:rFonts w:ascii="Arial" w:hAnsi="Arial" w:cs="Arial"/>
        </w:rPr>
      </w:pPr>
      <w:r>
        <w:rPr>
          <w:rFonts w:ascii="Arial" w:hAnsi="Arial" w:cs="Arial"/>
        </w:rPr>
        <w:t>Weakening protections for creators through changes to intellectual property arrangements would impact on the incomes and careers of artists, and could lead to the need for further government investment to ensure new Australian work continues to be created.</w:t>
      </w:r>
    </w:p>
    <w:p w14:paraId="1D372D3F" w14:textId="2BE62E0B" w:rsidR="00FB0FBD" w:rsidRDefault="00FB0FBD" w:rsidP="00F14B78">
      <w:pPr>
        <w:pStyle w:val="BodyText"/>
        <w:numPr>
          <w:ilvl w:val="0"/>
          <w:numId w:val="21"/>
        </w:numPr>
        <w:spacing w:before="120" w:after="120"/>
      </w:pPr>
      <w:r>
        <w:t xml:space="preserve">Moral rights should </w:t>
      </w:r>
      <w:r w:rsidR="001811DA">
        <w:t xml:space="preserve">be maintained </w:t>
      </w:r>
      <w:r>
        <w:t xml:space="preserve">and </w:t>
      </w:r>
      <w:r w:rsidRPr="00FB0FBD">
        <w:t>any copyright reform should consider the integrity of artists as paramount to a strong protective system of rights.</w:t>
      </w:r>
    </w:p>
    <w:p w14:paraId="7F75B780" w14:textId="07947F2E" w:rsidR="000E03D7" w:rsidRDefault="000E03D7" w:rsidP="00F14B78">
      <w:pPr>
        <w:pStyle w:val="BodyText"/>
        <w:numPr>
          <w:ilvl w:val="0"/>
          <w:numId w:val="21"/>
        </w:numPr>
        <w:spacing w:before="120" w:after="120"/>
        <w:ind w:left="714" w:hanging="357"/>
      </w:pPr>
      <w:r>
        <w:t>Indigenous artists have particular needs in relation to intellectual property rights,</w:t>
      </w:r>
      <w:r w:rsidR="00275A59">
        <w:t xml:space="preserve"> and indigenous cultural protocols are required</w:t>
      </w:r>
      <w:r>
        <w:t xml:space="preserve"> to ensure integrity and respect </w:t>
      </w:r>
      <w:r w:rsidR="0095200B">
        <w:t>of</w:t>
      </w:r>
      <w:r>
        <w:t xml:space="preserve"> Aboriginal and Torres S</w:t>
      </w:r>
      <w:r w:rsidR="008F0A1C">
        <w:t>trait Islander arts and c</w:t>
      </w:r>
      <w:r w:rsidR="00B21910">
        <w:t>ultures.</w:t>
      </w:r>
      <w:r w:rsidR="00BA39A3">
        <w:rPr>
          <w:rFonts w:ascii="Arial" w:hAnsi="Arial" w:cs="Arial"/>
        </w:rPr>
        <w:t xml:space="preserve"> </w:t>
      </w:r>
    </w:p>
    <w:p w14:paraId="558B1AB3" w14:textId="52DB7400" w:rsidR="0047307A" w:rsidRPr="00BA39A3" w:rsidRDefault="0047307A" w:rsidP="00290400">
      <w:pPr>
        <w:pStyle w:val="BodyText"/>
        <w:numPr>
          <w:ilvl w:val="0"/>
          <w:numId w:val="21"/>
        </w:numPr>
        <w:spacing w:before="120" w:after="120"/>
        <w:ind w:left="714" w:hanging="357"/>
        <w:rPr>
          <w:rFonts w:ascii="Arial" w:hAnsi="Arial" w:cs="Arial"/>
        </w:rPr>
      </w:pPr>
      <w:r w:rsidRPr="00BD3722">
        <w:rPr>
          <w:rFonts w:ascii="Arial" w:hAnsi="Arial" w:cs="Arial"/>
          <w:iCs/>
        </w:rPr>
        <w:t>Th</w:t>
      </w:r>
      <w:r w:rsidR="00BD3722">
        <w:rPr>
          <w:rFonts w:ascii="Arial" w:hAnsi="Arial" w:cs="Arial"/>
          <w:iCs/>
        </w:rPr>
        <w:t>e</w:t>
      </w:r>
      <w:r w:rsidRPr="00BD3722">
        <w:rPr>
          <w:rFonts w:ascii="Arial" w:hAnsi="Arial" w:cs="Arial"/>
          <w:iCs/>
        </w:rPr>
        <w:t xml:space="preserve"> establishment of a National Indigenous Cultural Authority </w:t>
      </w:r>
      <w:r w:rsidR="00BD3722">
        <w:rPr>
          <w:rFonts w:ascii="Arial" w:hAnsi="Arial" w:cs="Arial"/>
          <w:iCs/>
        </w:rPr>
        <w:t>would</w:t>
      </w:r>
      <w:r w:rsidRPr="00BD3722">
        <w:rPr>
          <w:rFonts w:ascii="Arial" w:hAnsi="Arial" w:cs="Arial"/>
          <w:iCs/>
        </w:rPr>
        <w:t xml:space="preserve"> enable Aboriginal and Torres Strait Islander peoples to oversee and protect their </w:t>
      </w:r>
      <w:r w:rsidR="00BD3722">
        <w:rPr>
          <w:rFonts w:ascii="Arial" w:hAnsi="Arial" w:cs="Arial"/>
          <w:iCs/>
        </w:rPr>
        <w:t xml:space="preserve">cultural and </w:t>
      </w:r>
      <w:r w:rsidRPr="00BD3722">
        <w:rPr>
          <w:rFonts w:ascii="Arial" w:hAnsi="Arial" w:cs="Arial"/>
          <w:iCs/>
        </w:rPr>
        <w:t>intellectual</w:t>
      </w:r>
      <w:r w:rsidR="00BD3722">
        <w:rPr>
          <w:rFonts w:ascii="Arial" w:hAnsi="Arial" w:cs="Arial"/>
          <w:iCs/>
        </w:rPr>
        <w:t xml:space="preserve"> </w:t>
      </w:r>
      <w:r w:rsidRPr="00BD3722">
        <w:rPr>
          <w:rFonts w:ascii="Arial" w:hAnsi="Arial" w:cs="Arial"/>
          <w:iCs/>
        </w:rPr>
        <w:t>property rights</w:t>
      </w:r>
      <w:r w:rsidR="0088622F" w:rsidRPr="00BA39A3">
        <w:rPr>
          <w:rFonts w:ascii="Arial" w:hAnsi="Arial" w:cs="Arial"/>
          <w:iCs/>
        </w:rPr>
        <w:t xml:space="preserve">. </w:t>
      </w:r>
      <w:r w:rsidR="00F47367" w:rsidRPr="00BA39A3">
        <w:rPr>
          <w:rFonts w:ascii="Arial" w:hAnsi="Arial" w:cs="Arial"/>
          <w:iCs/>
        </w:rPr>
        <w:t>Introduction of specific legislation to protect the intellectual property rights of Indigenous communities would also address gaps in the current framework.</w:t>
      </w:r>
    </w:p>
    <w:p w14:paraId="3F45C662" w14:textId="63599141" w:rsidR="000A7A06" w:rsidRPr="00224668" w:rsidRDefault="002634DA" w:rsidP="00F14B78">
      <w:pPr>
        <w:pStyle w:val="BodyText"/>
        <w:numPr>
          <w:ilvl w:val="0"/>
          <w:numId w:val="21"/>
        </w:numPr>
        <w:spacing w:before="120" w:after="120"/>
        <w:ind w:left="714" w:hanging="357"/>
        <w:sectPr w:rsidR="000A7A06" w:rsidRPr="00224668" w:rsidSect="00D473D5">
          <w:pgSz w:w="11906" w:h="16838" w:code="9"/>
          <w:pgMar w:top="1021" w:right="1021" w:bottom="1021" w:left="1021" w:header="567" w:footer="567" w:gutter="0"/>
          <w:cols w:space="708"/>
          <w:docGrid w:linePitch="360"/>
        </w:sectPr>
      </w:pPr>
      <w:r>
        <w:t xml:space="preserve">Changes to restrictions on parallel importation of books may lead to a decline in the creation of new Australian works, which would </w:t>
      </w:r>
      <w:r w:rsidR="00D27072">
        <w:t>reduce</w:t>
      </w:r>
      <w:r w:rsidR="00022730">
        <w:t xml:space="preserve"> reader</w:t>
      </w:r>
      <w:r w:rsidR="00D27072">
        <w:t xml:space="preserve"> access to a diverse range of </w:t>
      </w:r>
      <w:r w:rsidR="00B134A2">
        <w:t xml:space="preserve">Australian </w:t>
      </w:r>
      <w:r w:rsidR="00401E07">
        <w:t>books.</w:t>
      </w:r>
      <w:r w:rsidR="001B7D01">
        <w:t xml:space="preserve"> This could require additional government investment in Australian literature </w:t>
      </w:r>
      <w:r w:rsidR="00F33DD3">
        <w:t>to ensure sustainability of the</w:t>
      </w:r>
      <w:r w:rsidR="001B7D01">
        <w:t xml:space="preserve"> sector</w:t>
      </w:r>
      <w:r w:rsidR="00982943">
        <w:t>.</w:t>
      </w:r>
    </w:p>
    <w:p w14:paraId="72D869E0" w14:textId="77777777" w:rsidR="0061352D" w:rsidRPr="00D62E09" w:rsidRDefault="003F67BE" w:rsidP="00991133">
      <w:pPr>
        <w:pStyle w:val="Heading3"/>
      </w:pPr>
      <w:bookmarkStart w:id="8" w:name="_Toc437348756"/>
      <w:bookmarkStart w:id="9" w:name="_Toc437970004"/>
      <w:r w:rsidRPr="00D62E09">
        <w:t>Artist</w:t>
      </w:r>
      <w:r w:rsidR="00B307D3" w:rsidRPr="00D62E09">
        <w:t>s’</w:t>
      </w:r>
      <w:r w:rsidRPr="00D62E09">
        <w:t xml:space="preserve"> income, careers</w:t>
      </w:r>
      <w:r w:rsidR="0061352D" w:rsidRPr="00D62E09">
        <w:t xml:space="preserve"> and the</w:t>
      </w:r>
      <w:r w:rsidR="003D3D37">
        <w:t xml:space="preserve"> cultural</w:t>
      </w:r>
      <w:r w:rsidR="0061352D" w:rsidRPr="00D62E09">
        <w:t xml:space="preserve"> economy</w:t>
      </w:r>
      <w:bookmarkEnd w:id="8"/>
      <w:bookmarkEnd w:id="9"/>
    </w:p>
    <w:p w14:paraId="7362B321" w14:textId="77777777" w:rsidR="000C6616" w:rsidRDefault="000C6616" w:rsidP="000C6616">
      <w:pPr>
        <w:pStyle w:val="BodyText"/>
      </w:pPr>
      <w:r>
        <w:t xml:space="preserve">Incentives for the creation and production of artistic works and protection of creators’ rights are fundamental to maintaining a </w:t>
      </w:r>
      <w:r w:rsidR="008A6D3B">
        <w:t xml:space="preserve">diverse and </w:t>
      </w:r>
      <w:r>
        <w:t>sustainable Australian arts sector. Copyright ensures that artists can derive income from creating work, build their career and contribute to the economy.</w:t>
      </w:r>
    </w:p>
    <w:p w14:paraId="2C7EE377" w14:textId="77777777" w:rsidR="000C6616" w:rsidRDefault="000C6616" w:rsidP="007B724C">
      <w:pPr>
        <w:pStyle w:val="BodyText"/>
      </w:pPr>
      <w:r>
        <w:t xml:space="preserve">As noted in the Australia Council’s </w:t>
      </w:r>
      <w:r>
        <w:rPr>
          <w:i/>
        </w:rPr>
        <w:t>Arts Nation</w:t>
      </w:r>
      <w:r w:rsidRPr="00777A70">
        <w:rPr>
          <w:rStyle w:val="FootnoteReference"/>
        </w:rPr>
        <w:footnoteReference w:id="1"/>
      </w:r>
      <w:r>
        <w:rPr>
          <w:i/>
        </w:rPr>
        <w:t xml:space="preserve"> </w:t>
      </w:r>
      <w:r>
        <w:t>report, cultural activity makes up approximately 4 per cent of Australia’s GDP.</w:t>
      </w:r>
      <w:r>
        <w:rPr>
          <w:rStyle w:val="FootnoteReference"/>
        </w:rPr>
        <w:footnoteReference w:id="2"/>
      </w:r>
      <w:r>
        <w:t xml:space="preserve"> Australia’s copyright industries have arts and cultural </w:t>
      </w:r>
      <w:r w:rsidR="008A6D3B">
        <w:t>activity at their core, generating</w:t>
      </w:r>
      <w:r>
        <w:t xml:space="preserve"> over $</w:t>
      </w:r>
      <w:r w:rsidR="005B53E1">
        <w:t>111</w:t>
      </w:r>
      <w:r>
        <w:t xml:space="preserve"> billion in economic activity and employ</w:t>
      </w:r>
      <w:r w:rsidR="00942827">
        <w:t>ing</w:t>
      </w:r>
      <w:r>
        <w:t xml:space="preserve"> </w:t>
      </w:r>
      <w:r w:rsidR="005B53E1">
        <w:t>almost 9</w:t>
      </w:r>
      <w:r>
        <w:t xml:space="preserve"> per cent of the nation’s workforce.</w:t>
      </w:r>
      <w:r w:rsidRPr="00777A70">
        <w:rPr>
          <w:rStyle w:val="FootnoteReference"/>
        </w:rPr>
        <w:footnoteReference w:id="3"/>
      </w:r>
    </w:p>
    <w:p w14:paraId="1AE9040E" w14:textId="77777777" w:rsidR="00BE3406" w:rsidRDefault="009F1C26" w:rsidP="00EB4CA3">
      <w:pPr>
        <w:pStyle w:val="BodyText"/>
        <w:rPr>
          <w:rFonts w:ascii="Arial" w:hAnsi="Arial" w:cs="Arial"/>
        </w:rPr>
      </w:pPr>
      <w:r>
        <w:t xml:space="preserve">Copyright protection ensures that artists own, control and are appropriately remunerated for their work. </w:t>
      </w:r>
      <w:r w:rsidR="00E1663B">
        <w:rPr>
          <w:rFonts w:ascii="Arial" w:hAnsi="Arial" w:cs="Arial"/>
        </w:rPr>
        <w:t xml:space="preserve">Copyright plays a particularly important role for creators within certain art forms, </w:t>
      </w:r>
      <w:r w:rsidR="00EB4CA3">
        <w:rPr>
          <w:rFonts w:ascii="Arial" w:hAnsi="Arial" w:cs="Arial"/>
        </w:rPr>
        <w:t>such as</w:t>
      </w:r>
      <w:r w:rsidR="00E1663B">
        <w:rPr>
          <w:rFonts w:ascii="Arial" w:hAnsi="Arial" w:cs="Arial"/>
        </w:rPr>
        <w:t xml:space="preserve"> music and literature. For example, </w:t>
      </w:r>
      <w:r w:rsidR="00521BEF" w:rsidRPr="00521BEF">
        <w:rPr>
          <w:rFonts w:ascii="Arial" w:hAnsi="Arial" w:cs="Arial"/>
        </w:rPr>
        <w:t>income from copyright represent</w:t>
      </w:r>
      <w:r w:rsidR="00E1663B">
        <w:rPr>
          <w:rFonts w:ascii="Arial" w:hAnsi="Arial" w:cs="Arial"/>
        </w:rPr>
        <w:t>s approximately a fifth of the</w:t>
      </w:r>
      <w:r w:rsidR="00521BEF" w:rsidRPr="00521BEF">
        <w:rPr>
          <w:rFonts w:ascii="Arial" w:hAnsi="Arial" w:cs="Arial"/>
        </w:rPr>
        <w:t xml:space="preserve"> creative income</w:t>
      </w:r>
      <w:r w:rsidR="00EE1D0B">
        <w:rPr>
          <w:rFonts w:ascii="Arial" w:hAnsi="Arial" w:cs="Arial"/>
        </w:rPr>
        <w:t xml:space="preserve"> for</w:t>
      </w:r>
      <w:r w:rsidR="00E1663B">
        <w:rPr>
          <w:rFonts w:ascii="Arial" w:hAnsi="Arial" w:cs="Arial"/>
        </w:rPr>
        <w:t xml:space="preserve"> writers, who are some of the lowest paid artists in Australia</w:t>
      </w:r>
      <w:r w:rsidR="00521BEF" w:rsidRPr="00521BEF">
        <w:rPr>
          <w:rFonts w:ascii="Arial" w:hAnsi="Arial" w:cs="Arial"/>
        </w:rPr>
        <w:t>.</w:t>
      </w:r>
      <w:r w:rsidR="00521BEF" w:rsidRPr="00521BEF">
        <w:rPr>
          <w:rStyle w:val="FootnoteReference"/>
          <w:rFonts w:ascii="Arial" w:hAnsi="Arial" w:cs="Arial"/>
        </w:rPr>
        <w:footnoteReference w:id="4"/>
      </w:r>
    </w:p>
    <w:p w14:paraId="2E771814" w14:textId="77777777" w:rsidR="00F14B78" w:rsidRDefault="00F14B78" w:rsidP="00627F43">
      <w:pPr>
        <w:pStyle w:val="BodyText"/>
        <w:spacing w:before="0" w:after="240" w:line="240" w:lineRule="auto"/>
      </w:pPr>
      <w:r>
        <w:t>The table below illustrates the proportion of income that artists receive through copyright protections by art form, with composers and writers receiving the highest proportion of income from copyright protections.</w:t>
      </w:r>
    </w:p>
    <w:tbl>
      <w:tblPr>
        <w:tblW w:w="8350" w:type="dxa"/>
        <w:jc w:val="center"/>
        <w:tblLook w:val="04A0" w:firstRow="1" w:lastRow="0" w:firstColumn="1" w:lastColumn="0" w:noHBand="0" w:noVBand="1"/>
      </w:tblPr>
      <w:tblGrid>
        <w:gridCol w:w="2410"/>
        <w:gridCol w:w="697"/>
        <w:gridCol w:w="660"/>
        <w:gridCol w:w="667"/>
        <w:gridCol w:w="660"/>
        <w:gridCol w:w="736"/>
        <w:gridCol w:w="856"/>
        <w:gridCol w:w="937"/>
        <w:gridCol w:w="963"/>
        <w:gridCol w:w="660"/>
      </w:tblGrid>
      <w:tr w:rsidR="000F2EF6" w:rsidRPr="004B34F6" w14:paraId="7736493D" w14:textId="77777777" w:rsidTr="000F2EF6">
        <w:trPr>
          <w:trHeight w:val="288"/>
          <w:jc w:val="center"/>
        </w:trPr>
        <w:tc>
          <w:tcPr>
            <w:tcW w:w="8350" w:type="dxa"/>
            <w:gridSpan w:val="10"/>
            <w:tcBorders>
              <w:top w:val="nil"/>
              <w:left w:val="nil"/>
              <w:bottom w:val="single" w:sz="4" w:space="0" w:color="808080"/>
              <w:right w:val="nil"/>
            </w:tcBorders>
            <w:shd w:val="clear" w:color="auto" w:fill="auto"/>
            <w:noWrap/>
            <w:vAlign w:val="bottom"/>
            <w:hideMark/>
          </w:tcPr>
          <w:p w14:paraId="65012005" w14:textId="77777777" w:rsidR="000F2EF6" w:rsidRPr="004B34F6" w:rsidRDefault="000F2EF6" w:rsidP="00627F43">
            <w:pPr>
              <w:rPr>
                <w:rFonts w:ascii="Calibri" w:eastAsia="Times New Roman" w:hAnsi="Calibri" w:cs="Times New Roman"/>
                <w:b/>
                <w:bCs/>
                <w:color w:val="000000"/>
                <w:sz w:val="16"/>
                <w:szCs w:val="16"/>
                <w:lang w:eastAsia="en-AU"/>
              </w:rPr>
            </w:pPr>
            <w:r w:rsidRPr="004B34F6">
              <w:rPr>
                <w:rFonts w:ascii="Calibri" w:eastAsia="Times New Roman" w:hAnsi="Calibri" w:cs="Times New Roman"/>
                <w:b/>
                <w:bCs/>
                <w:color w:val="000000"/>
                <w:sz w:val="16"/>
                <w:szCs w:val="16"/>
                <w:lang w:eastAsia="en-AU"/>
              </w:rPr>
              <w:t>Appendix II Table 36: Sources of creative income (a) (percent)</w:t>
            </w:r>
          </w:p>
        </w:tc>
      </w:tr>
      <w:tr w:rsidR="000F2EF6" w:rsidRPr="00627F43" w14:paraId="37E8B160" w14:textId="77777777" w:rsidTr="000F2EF6">
        <w:trPr>
          <w:trHeight w:val="696"/>
          <w:jc w:val="center"/>
        </w:trPr>
        <w:tc>
          <w:tcPr>
            <w:tcW w:w="2410" w:type="dxa"/>
            <w:tcBorders>
              <w:top w:val="nil"/>
              <w:left w:val="nil"/>
              <w:bottom w:val="nil"/>
              <w:right w:val="nil"/>
            </w:tcBorders>
            <w:shd w:val="clear" w:color="auto" w:fill="auto"/>
            <w:noWrap/>
            <w:vAlign w:val="bottom"/>
            <w:hideMark/>
          </w:tcPr>
          <w:p w14:paraId="78A498CD" w14:textId="77777777" w:rsidR="000F2EF6" w:rsidRPr="00627F43" w:rsidRDefault="000F2EF6" w:rsidP="00627F43">
            <w:pPr>
              <w:rPr>
                <w:rFonts w:ascii="Calibri Light" w:eastAsia="Times New Roman" w:hAnsi="Calibri Light" w:cs="Times New Roman"/>
                <w:b/>
                <w:bCs/>
                <w:color w:val="000000"/>
                <w:sz w:val="16"/>
                <w:szCs w:val="16"/>
                <w:lang w:eastAsia="en-AU"/>
              </w:rPr>
            </w:pPr>
          </w:p>
        </w:tc>
        <w:tc>
          <w:tcPr>
            <w:tcW w:w="660" w:type="dxa"/>
            <w:tcBorders>
              <w:top w:val="nil"/>
              <w:left w:val="nil"/>
              <w:bottom w:val="nil"/>
              <w:right w:val="nil"/>
            </w:tcBorders>
            <w:shd w:val="clear" w:color="auto" w:fill="auto"/>
            <w:vAlign w:val="bottom"/>
            <w:hideMark/>
          </w:tcPr>
          <w:p w14:paraId="5D86E330"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Writers</w:t>
            </w:r>
          </w:p>
        </w:tc>
        <w:tc>
          <w:tcPr>
            <w:tcW w:w="660" w:type="dxa"/>
            <w:tcBorders>
              <w:top w:val="nil"/>
              <w:left w:val="nil"/>
              <w:bottom w:val="nil"/>
              <w:right w:val="nil"/>
            </w:tcBorders>
            <w:shd w:val="clear" w:color="auto" w:fill="auto"/>
            <w:vAlign w:val="bottom"/>
            <w:hideMark/>
          </w:tcPr>
          <w:p w14:paraId="1AC685E0"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Visual artists</w:t>
            </w:r>
          </w:p>
        </w:tc>
        <w:tc>
          <w:tcPr>
            <w:tcW w:w="660" w:type="dxa"/>
            <w:tcBorders>
              <w:top w:val="nil"/>
              <w:left w:val="nil"/>
              <w:bottom w:val="nil"/>
              <w:right w:val="nil"/>
            </w:tcBorders>
            <w:shd w:val="clear" w:color="auto" w:fill="auto"/>
            <w:vAlign w:val="bottom"/>
            <w:hideMark/>
          </w:tcPr>
          <w:p w14:paraId="4D0AA942"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Craft practi-tioners</w:t>
            </w:r>
          </w:p>
        </w:tc>
        <w:tc>
          <w:tcPr>
            <w:tcW w:w="660" w:type="dxa"/>
            <w:tcBorders>
              <w:top w:val="nil"/>
              <w:left w:val="nil"/>
              <w:bottom w:val="nil"/>
              <w:right w:val="nil"/>
            </w:tcBorders>
            <w:shd w:val="clear" w:color="auto" w:fill="auto"/>
            <w:vAlign w:val="bottom"/>
            <w:hideMark/>
          </w:tcPr>
          <w:p w14:paraId="2D0C1C60"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Actors</w:t>
            </w:r>
          </w:p>
        </w:tc>
        <w:tc>
          <w:tcPr>
            <w:tcW w:w="660" w:type="dxa"/>
            <w:tcBorders>
              <w:top w:val="nil"/>
              <w:left w:val="nil"/>
              <w:bottom w:val="nil"/>
              <w:right w:val="nil"/>
            </w:tcBorders>
            <w:shd w:val="clear" w:color="auto" w:fill="auto"/>
            <w:vAlign w:val="bottom"/>
            <w:hideMark/>
          </w:tcPr>
          <w:p w14:paraId="44A948B8"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Dancers</w:t>
            </w:r>
          </w:p>
        </w:tc>
        <w:tc>
          <w:tcPr>
            <w:tcW w:w="660" w:type="dxa"/>
            <w:tcBorders>
              <w:top w:val="nil"/>
              <w:left w:val="nil"/>
              <w:bottom w:val="nil"/>
              <w:right w:val="nil"/>
            </w:tcBorders>
            <w:shd w:val="clear" w:color="auto" w:fill="auto"/>
            <w:vAlign w:val="bottom"/>
            <w:hideMark/>
          </w:tcPr>
          <w:p w14:paraId="2D579D60"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Musicians</w:t>
            </w:r>
          </w:p>
        </w:tc>
        <w:tc>
          <w:tcPr>
            <w:tcW w:w="660" w:type="dxa"/>
            <w:tcBorders>
              <w:top w:val="nil"/>
              <w:left w:val="nil"/>
              <w:bottom w:val="nil"/>
              <w:right w:val="nil"/>
            </w:tcBorders>
            <w:shd w:val="clear" w:color="auto" w:fill="auto"/>
            <w:vAlign w:val="bottom"/>
            <w:hideMark/>
          </w:tcPr>
          <w:p w14:paraId="153D403F"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Composers</w:t>
            </w:r>
          </w:p>
        </w:tc>
        <w:tc>
          <w:tcPr>
            <w:tcW w:w="660" w:type="dxa"/>
            <w:tcBorders>
              <w:top w:val="nil"/>
              <w:left w:val="nil"/>
              <w:bottom w:val="nil"/>
              <w:right w:val="nil"/>
            </w:tcBorders>
            <w:shd w:val="clear" w:color="auto" w:fill="auto"/>
            <w:vAlign w:val="bottom"/>
            <w:hideMark/>
          </w:tcPr>
          <w:p w14:paraId="69D67897"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Community</w:t>
            </w:r>
            <w:r w:rsidRPr="00627F43">
              <w:rPr>
                <w:rFonts w:ascii="Calibri Light" w:eastAsia="Times New Roman" w:hAnsi="Calibri Light" w:cs="Times New Roman"/>
                <w:color w:val="000000"/>
                <w:sz w:val="16"/>
                <w:szCs w:val="16"/>
                <w:lang w:eastAsia="en-AU"/>
              </w:rPr>
              <w:br/>
              <w:t>cultural</w:t>
            </w:r>
            <w:r w:rsidRPr="00627F43">
              <w:rPr>
                <w:rFonts w:ascii="Calibri Light" w:eastAsia="Times New Roman" w:hAnsi="Calibri Light" w:cs="Times New Roman"/>
                <w:color w:val="000000"/>
                <w:sz w:val="16"/>
                <w:szCs w:val="16"/>
                <w:lang w:eastAsia="en-AU"/>
              </w:rPr>
              <w:br/>
              <w:t>develop-</w:t>
            </w:r>
            <w:r w:rsidRPr="00627F43">
              <w:rPr>
                <w:rFonts w:ascii="Calibri Light" w:eastAsia="Times New Roman" w:hAnsi="Calibri Light" w:cs="Times New Roman"/>
                <w:color w:val="000000"/>
                <w:sz w:val="16"/>
                <w:szCs w:val="16"/>
                <w:lang w:eastAsia="en-AU"/>
              </w:rPr>
              <w:br/>
              <w:t>workers</w:t>
            </w:r>
          </w:p>
        </w:tc>
        <w:tc>
          <w:tcPr>
            <w:tcW w:w="660" w:type="dxa"/>
            <w:tcBorders>
              <w:top w:val="nil"/>
              <w:left w:val="nil"/>
              <w:bottom w:val="nil"/>
              <w:right w:val="nil"/>
            </w:tcBorders>
            <w:shd w:val="clear" w:color="auto" w:fill="auto"/>
            <w:vAlign w:val="bottom"/>
            <w:hideMark/>
          </w:tcPr>
          <w:p w14:paraId="63DD328A"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All artists (b)</w:t>
            </w:r>
          </w:p>
        </w:tc>
      </w:tr>
      <w:tr w:rsidR="000F2EF6" w:rsidRPr="00627F43" w14:paraId="74C7B277" w14:textId="77777777" w:rsidTr="000F2EF6">
        <w:trPr>
          <w:trHeight w:val="288"/>
          <w:jc w:val="center"/>
        </w:trPr>
        <w:tc>
          <w:tcPr>
            <w:tcW w:w="2410" w:type="dxa"/>
            <w:tcBorders>
              <w:top w:val="nil"/>
              <w:left w:val="nil"/>
              <w:bottom w:val="single" w:sz="4" w:space="0" w:color="808080"/>
              <w:right w:val="nil"/>
            </w:tcBorders>
            <w:shd w:val="clear" w:color="auto" w:fill="auto"/>
            <w:noWrap/>
            <w:vAlign w:val="bottom"/>
            <w:hideMark/>
          </w:tcPr>
          <w:p w14:paraId="74E97029" w14:textId="77777777" w:rsidR="000F2EF6" w:rsidRPr="00627F43" w:rsidRDefault="000F2EF6" w:rsidP="00627F43">
            <w:pP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Salaries, wages, fees</w:t>
            </w:r>
          </w:p>
        </w:tc>
        <w:tc>
          <w:tcPr>
            <w:tcW w:w="660" w:type="dxa"/>
            <w:tcBorders>
              <w:top w:val="nil"/>
              <w:left w:val="nil"/>
              <w:bottom w:val="single" w:sz="4" w:space="0" w:color="808080"/>
              <w:right w:val="nil"/>
            </w:tcBorders>
            <w:shd w:val="clear" w:color="auto" w:fill="auto"/>
            <w:noWrap/>
            <w:vAlign w:val="bottom"/>
            <w:hideMark/>
          </w:tcPr>
          <w:p w14:paraId="3A80CF41"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34</w:t>
            </w:r>
          </w:p>
        </w:tc>
        <w:tc>
          <w:tcPr>
            <w:tcW w:w="660" w:type="dxa"/>
            <w:tcBorders>
              <w:top w:val="nil"/>
              <w:left w:val="nil"/>
              <w:bottom w:val="single" w:sz="4" w:space="0" w:color="808080"/>
              <w:right w:val="nil"/>
            </w:tcBorders>
            <w:shd w:val="clear" w:color="auto" w:fill="auto"/>
            <w:noWrap/>
            <w:vAlign w:val="bottom"/>
            <w:hideMark/>
          </w:tcPr>
          <w:p w14:paraId="7A9BBBEA"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23</w:t>
            </w:r>
          </w:p>
        </w:tc>
        <w:tc>
          <w:tcPr>
            <w:tcW w:w="660" w:type="dxa"/>
            <w:tcBorders>
              <w:top w:val="nil"/>
              <w:left w:val="nil"/>
              <w:bottom w:val="single" w:sz="4" w:space="0" w:color="808080"/>
              <w:right w:val="nil"/>
            </w:tcBorders>
            <w:shd w:val="clear" w:color="auto" w:fill="auto"/>
            <w:noWrap/>
            <w:vAlign w:val="bottom"/>
            <w:hideMark/>
          </w:tcPr>
          <w:p w14:paraId="4384EEE7"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22</w:t>
            </w:r>
          </w:p>
        </w:tc>
        <w:tc>
          <w:tcPr>
            <w:tcW w:w="660" w:type="dxa"/>
            <w:tcBorders>
              <w:top w:val="nil"/>
              <w:left w:val="nil"/>
              <w:bottom w:val="single" w:sz="4" w:space="0" w:color="808080"/>
              <w:right w:val="nil"/>
            </w:tcBorders>
            <w:shd w:val="clear" w:color="auto" w:fill="auto"/>
            <w:noWrap/>
            <w:vAlign w:val="bottom"/>
            <w:hideMark/>
          </w:tcPr>
          <w:p w14:paraId="5DCDE729"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94</w:t>
            </w:r>
          </w:p>
        </w:tc>
        <w:tc>
          <w:tcPr>
            <w:tcW w:w="660" w:type="dxa"/>
            <w:tcBorders>
              <w:top w:val="nil"/>
              <w:left w:val="nil"/>
              <w:bottom w:val="single" w:sz="4" w:space="0" w:color="808080"/>
              <w:right w:val="nil"/>
            </w:tcBorders>
            <w:shd w:val="clear" w:color="auto" w:fill="auto"/>
            <w:noWrap/>
            <w:vAlign w:val="bottom"/>
            <w:hideMark/>
          </w:tcPr>
          <w:p w14:paraId="3F2A0888"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84</w:t>
            </w:r>
          </w:p>
        </w:tc>
        <w:tc>
          <w:tcPr>
            <w:tcW w:w="660" w:type="dxa"/>
            <w:tcBorders>
              <w:top w:val="nil"/>
              <w:left w:val="nil"/>
              <w:bottom w:val="single" w:sz="4" w:space="0" w:color="808080"/>
              <w:right w:val="nil"/>
            </w:tcBorders>
            <w:shd w:val="clear" w:color="auto" w:fill="auto"/>
            <w:noWrap/>
            <w:vAlign w:val="bottom"/>
            <w:hideMark/>
          </w:tcPr>
          <w:p w14:paraId="4A960DD1"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94</w:t>
            </w:r>
          </w:p>
        </w:tc>
        <w:tc>
          <w:tcPr>
            <w:tcW w:w="660" w:type="dxa"/>
            <w:tcBorders>
              <w:top w:val="nil"/>
              <w:left w:val="nil"/>
              <w:bottom w:val="single" w:sz="4" w:space="0" w:color="808080"/>
              <w:right w:val="nil"/>
            </w:tcBorders>
            <w:shd w:val="clear" w:color="auto" w:fill="auto"/>
            <w:noWrap/>
            <w:vAlign w:val="bottom"/>
            <w:hideMark/>
          </w:tcPr>
          <w:p w14:paraId="799CDE8B"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59</w:t>
            </w:r>
          </w:p>
        </w:tc>
        <w:tc>
          <w:tcPr>
            <w:tcW w:w="660" w:type="dxa"/>
            <w:tcBorders>
              <w:top w:val="nil"/>
              <w:left w:val="nil"/>
              <w:bottom w:val="single" w:sz="4" w:space="0" w:color="808080"/>
              <w:right w:val="nil"/>
            </w:tcBorders>
            <w:shd w:val="clear" w:color="auto" w:fill="auto"/>
            <w:noWrap/>
            <w:vAlign w:val="bottom"/>
            <w:hideMark/>
          </w:tcPr>
          <w:p w14:paraId="12126F9D"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78</w:t>
            </w:r>
          </w:p>
        </w:tc>
        <w:tc>
          <w:tcPr>
            <w:tcW w:w="660" w:type="dxa"/>
            <w:tcBorders>
              <w:top w:val="nil"/>
              <w:left w:val="nil"/>
              <w:bottom w:val="single" w:sz="4" w:space="0" w:color="808080"/>
              <w:right w:val="nil"/>
            </w:tcBorders>
            <w:shd w:val="clear" w:color="auto" w:fill="auto"/>
            <w:noWrap/>
            <w:vAlign w:val="bottom"/>
            <w:hideMark/>
          </w:tcPr>
          <w:p w14:paraId="685089EA"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64</w:t>
            </w:r>
          </w:p>
        </w:tc>
      </w:tr>
      <w:tr w:rsidR="000F2EF6" w:rsidRPr="00627F43" w14:paraId="486F734B" w14:textId="77777777" w:rsidTr="000F2EF6">
        <w:trPr>
          <w:trHeight w:val="444"/>
          <w:jc w:val="center"/>
        </w:trPr>
        <w:tc>
          <w:tcPr>
            <w:tcW w:w="2410" w:type="dxa"/>
            <w:tcBorders>
              <w:top w:val="nil"/>
              <w:left w:val="nil"/>
              <w:bottom w:val="single" w:sz="4" w:space="0" w:color="808080"/>
              <w:right w:val="nil"/>
            </w:tcBorders>
            <w:shd w:val="clear" w:color="auto" w:fill="auto"/>
            <w:vAlign w:val="bottom"/>
            <w:hideMark/>
          </w:tcPr>
          <w:p w14:paraId="2C1684FB" w14:textId="77777777" w:rsidR="000F2EF6" w:rsidRPr="00627F43" w:rsidRDefault="000F2EF6" w:rsidP="00627F43">
            <w:pP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Gross sales of works of art (including commissions)</w:t>
            </w:r>
          </w:p>
        </w:tc>
        <w:tc>
          <w:tcPr>
            <w:tcW w:w="660" w:type="dxa"/>
            <w:tcBorders>
              <w:top w:val="nil"/>
              <w:left w:val="nil"/>
              <w:bottom w:val="single" w:sz="4" w:space="0" w:color="808080"/>
              <w:right w:val="nil"/>
            </w:tcBorders>
            <w:shd w:val="clear" w:color="auto" w:fill="auto"/>
            <w:noWrap/>
            <w:vAlign w:val="bottom"/>
            <w:hideMark/>
          </w:tcPr>
          <w:p w14:paraId="76F84D7F"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15</w:t>
            </w:r>
          </w:p>
        </w:tc>
        <w:tc>
          <w:tcPr>
            <w:tcW w:w="660" w:type="dxa"/>
            <w:tcBorders>
              <w:top w:val="nil"/>
              <w:left w:val="nil"/>
              <w:bottom w:val="single" w:sz="4" w:space="0" w:color="808080"/>
              <w:right w:val="nil"/>
            </w:tcBorders>
            <w:shd w:val="clear" w:color="auto" w:fill="auto"/>
            <w:noWrap/>
            <w:vAlign w:val="bottom"/>
            <w:hideMark/>
          </w:tcPr>
          <w:p w14:paraId="2EC209CF"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64</w:t>
            </w:r>
          </w:p>
        </w:tc>
        <w:tc>
          <w:tcPr>
            <w:tcW w:w="660" w:type="dxa"/>
            <w:tcBorders>
              <w:top w:val="nil"/>
              <w:left w:val="nil"/>
              <w:bottom w:val="single" w:sz="4" w:space="0" w:color="808080"/>
              <w:right w:val="nil"/>
            </w:tcBorders>
            <w:shd w:val="clear" w:color="auto" w:fill="auto"/>
            <w:noWrap/>
            <w:vAlign w:val="bottom"/>
            <w:hideMark/>
          </w:tcPr>
          <w:p w14:paraId="64FF09A9"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71</w:t>
            </w:r>
          </w:p>
        </w:tc>
        <w:tc>
          <w:tcPr>
            <w:tcW w:w="660" w:type="dxa"/>
            <w:tcBorders>
              <w:top w:val="nil"/>
              <w:left w:val="nil"/>
              <w:bottom w:val="single" w:sz="4" w:space="0" w:color="808080"/>
              <w:right w:val="nil"/>
            </w:tcBorders>
            <w:shd w:val="clear" w:color="auto" w:fill="auto"/>
            <w:noWrap/>
            <w:vAlign w:val="bottom"/>
            <w:hideMark/>
          </w:tcPr>
          <w:p w14:paraId="272292D4"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2</w:t>
            </w:r>
          </w:p>
        </w:tc>
        <w:tc>
          <w:tcPr>
            <w:tcW w:w="660" w:type="dxa"/>
            <w:tcBorders>
              <w:top w:val="nil"/>
              <w:left w:val="nil"/>
              <w:bottom w:val="single" w:sz="4" w:space="0" w:color="808080"/>
              <w:right w:val="nil"/>
            </w:tcBorders>
            <w:shd w:val="clear" w:color="auto" w:fill="auto"/>
            <w:noWrap/>
            <w:vAlign w:val="bottom"/>
            <w:hideMark/>
          </w:tcPr>
          <w:p w14:paraId="7467A136"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2</w:t>
            </w:r>
          </w:p>
        </w:tc>
        <w:tc>
          <w:tcPr>
            <w:tcW w:w="660" w:type="dxa"/>
            <w:tcBorders>
              <w:top w:val="nil"/>
              <w:left w:val="nil"/>
              <w:bottom w:val="single" w:sz="4" w:space="0" w:color="808080"/>
              <w:right w:val="nil"/>
            </w:tcBorders>
            <w:shd w:val="clear" w:color="auto" w:fill="auto"/>
            <w:noWrap/>
            <w:vAlign w:val="bottom"/>
            <w:hideMark/>
          </w:tcPr>
          <w:p w14:paraId="46A0786C"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3</w:t>
            </w:r>
          </w:p>
        </w:tc>
        <w:tc>
          <w:tcPr>
            <w:tcW w:w="660" w:type="dxa"/>
            <w:tcBorders>
              <w:top w:val="nil"/>
              <w:left w:val="nil"/>
              <w:bottom w:val="single" w:sz="4" w:space="0" w:color="808080"/>
              <w:right w:val="nil"/>
            </w:tcBorders>
            <w:shd w:val="clear" w:color="auto" w:fill="auto"/>
            <w:noWrap/>
            <w:vAlign w:val="bottom"/>
            <w:hideMark/>
          </w:tcPr>
          <w:p w14:paraId="15389EFA"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10</w:t>
            </w:r>
          </w:p>
        </w:tc>
        <w:tc>
          <w:tcPr>
            <w:tcW w:w="660" w:type="dxa"/>
            <w:tcBorders>
              <w:top w:val="nil"/>
              <w:left w:val="nil"/>
              <w:bottom w:val="single" w:sz="4" w:space="0" w:color="808080"/>
              <w:right w:val="nil"/>
            </w:tcBorders>
            <w:shd w:val="clear" w:color="auto" w:fill="auto"/>
            <w:noWrap/>
            <w:vAlign w:val="bottom"/>
            <w:hideMark/>
          </w:tcPr>
          <w:p w14:paraId="3837AB32"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9</w:t>
            </w:r>
          </w:p>
        </w:tc>
        <w:tc>
          <w:tcPr>
            <w:tcW w:w="660" w:type="dxa"/>
            <w:tcBorders>
              <w:top w:val="nil"/>
              <w:left w:val="nil"/>
              <w:bottom w:val="single" w:sz="4" w:space="0" w:color="808080"/>
              <w:right w:val="nil"/>
            </w:tcBorders>
            <w:shd w:val="clear" w:color="auto" w:fill="auto"/>
            <w:noWrap/>
            <w:vAlign w:val="bottom"/>
            <w:hideMark/>
          </w:tcPr>
          <w:p w14:paraId="4AAF76DA"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22</w:t>
            </w:r>
          </w:p>
        </w:tc>
      </w:tr>
      <w:tr w:rsidR="000F2EF6" w:rsidRPr="00627F43" w14:paraId="7C656AD4" w14:textId="77777777" w:rsidTr="000F2EF6">
        <w:trPr>
          <w:trHeight w:val="288"/>
          <w:jc w:val="center"/>
        </w:trPr>
        <w:tc>
          <w:tcPr>
            <w:tcW w:w="2410" w:type="dxa"/>
            <w:tcBorders>
              <w:top w:val="nil"/>
              <w:left w:val="nil"/>
              <w:bottom w:val="single" w:sz="4" w:space="0" w:color="808080"/>
              <w:right w:val="nil"/>
            </w:tcBorders>
            <w:shd w:val="clear" w:color="auto" w:fill="auto"/>
            <w:noWrap/>
            <w:vAlign w:val="bottom"/>
            <w:hideMark/>
          </w:tcPr>
          <w:p w14:paraId="76A6E5E0" w14:textId="77777777" w:rsidR="000F2EF6" w:rsidRPr="00627F43" w:rsidRDefault="000F2EF6" w:rsidP="00627F43">
            <w:pP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Royalties and advances</w:t>
            </w:r>
          </w:p>
        </w:tc>
        <w:tc>
          <w:tcPr>
            <w:tcW w:w="660" w:type="dxa"/>
            <w:tcBorders>
              <w:top w:val="nil"/>
              <w:left w:val="nil"/>
              <w:bottom w:val="single" w:sz="4" w:space="0" w:color="808080"/>
              <w:right w:val="nil"/>
            </w:tcBorders>
            <w:shd w:val="clear" w:color="auto" w:fill="auto"/>
            <w:noWrap/>
            <w:vAlign w:val="bottom"/>
            <w:hideMark/>
          </w:tcPr>
          <w:p w14:paraId="7BCDB636"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21</w:t>
            </w:r>
          </w:p>
        </w:tc>
        <w:tc>
          <w:tcPr>
            <w:tcW w:w="660" w:type="dxa"/>
            <w:tcBorders>
              <w:top w:val="nil"/>
              <w:left w:val="nil"/>
              <w:bottom w:val="single" w:sz="4" w:space="0" w:color="808080"/>
              <w:right w:val="nil"/>
            </w:tcBorders>
            <w:shd w:val="clear" w:color="auto" w:fill="auto"/>
            <w:noWrap/>
            <w:vAlign w:val="bottom"/>
            <w:hideMark/>
          </w:tcPr>
          <w:p w14:paraId="1DD42EEE"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2</w:t>
            </w:r>
          </w:p>
        </w:tc>
        <w:tc>
          <w:tcPr>
            <w:tcW w:w="660" w:type="dxa"/>
            <w:tcBorders>
              <w:top w:val="nil"/>
              <w:left w:val="nil"/>
              <w:bottom w:val="single" w:sz="4" w:space="0" w:color="808080"/>
              <w:right w:val="nil"/>
            </w:tcBorders>
            <w:shd w:val="clear" w:color="auto" w:fill="auto"/>
            <w:noWrap/>
            <w:vAlign w:val="bottom"/>
            <w:hideMark/>
          </w:tcPr>
          <w:p w14:paraId="701916EE"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0D91AAB1"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3</w:t>
            </w:r>
          </w:p>
        </w:tc>
        <w:tc>
          <w:tcPr>
            <w:tcW w:w="660" w:type="dxa"/>
            <w:tcBorders>
              <w:top w:val="nil"/>
              <w:left w:val="nil"/>
              <w:bottom w:val="single" w:sz="4" w:space="0" w:color="808080"/>
              <w:right w:val="nil"/>
            </w:tcBorders>
            <w:shd w:val="clear" w:color="auto" w:fill="auto"/>
            <w:noWrap/>
            <w:vAlign w:val="bottom"/>
            <w:hideMark/>
          </w:tcPr>
          <w:p w14:paraId="284DF017"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2</w:t>
            </w:r>
          </w:p>
        </w:tc>
        <w:tc>
          <w:tcPr>
            <w:tcW w:w="660" w:type="dxa"/>
            <w:tcBorders>
              <w:top w:val="nil"/>
              <w:left w:val="nil"/>
              <w:bottom w:val="single" w:sz="4" w:space="0" w:color="808080"/>
              <w:right w:val="nil"/>
            </w:tcBorders>
            <w:shd w:val="clear" w:color="auto" w:fill="auto"/>
            <w:noWrap/>
            <w:vAlign w:val="bottom"/>
            <w:hideMark/>
          </w:tcPr>
          <w:p w14:paraId="51006724"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1781A02E"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20</w:t>
            </w:r>
          </w:p>
        </w:tc>
        <w:tc>
          <w:tcPr>
            <w:tcW w:w="660" w:type="dxa"/>
            <w:tcBorders>
              <w:top w:val="nil"/>
              <w:left w:val="nil"/>
              <w:bottom w:val="single" w:sz="4" w:space="0" w:color="808080"/>
              <w:right w:val="nil"/>
            </w:tcBorders>
            <w:shd w:val="clear" w:color="auto" w:fill="auto"/>
            <w:noWrap/>
            <w:vAlign w:val="bottom"/>
            <w:hideMark/>
          </w:tcPr>
          <w:p w14:paraId="62EABEDA"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62A8AF99"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5</w:t>
            </w:r>
          </w:p>
        </w:tc>
      </w:tr>
      <w:tr w:rsidR="000F2EF6" w:rsidRPr="00627F43" w14:paraId="26AF45EB" w14:textId="77777777" w:rsidTr="000F2EF6">
        <w:trPr>
          <w:trHeight w:val="288"/>
          <w:jc w:val="center"/>
        </w:trPr>
        <w:tc>
          <w:tcPr>
            <w:tcW w:w="2410" w:type="dxa"/>
            <w:tcBorders>
              <w:top w:val="nil"/>
              <w:left w:val="nil"/>
              <w:bottom w:val="single" w:sz="4" w:space="0" w:color="808080"/>
              <w:right w:val="nil"/>
            </w:tcBorders>
            <w:shd w:val="clear" w:color="auto" w:fill="auto"/>
            <w:noWrap/>
            <w:vAlign w:val="bottom"/>
            <w:hideMark/>
          </w:tcPr>
          <w:p w14:paraId="59C03695" w14:textId="77777777" w:rsidR="000F2EF6" w:rsidRPr="00627F43" w:rsidRDefault="000F2EF6" w:rsidP="00627F43">
            <w:pP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Other copyright earnings</w:t>
            </w:r>
          </w:p>
        </w:tc>
        <w:tc>
          <w:tcPr>
            <w:tcW w:w="660" w:type="dxa"/>
            <w:tcBorders>
              <w:top w:val="nil"/>
              <w:left w:val="nil"/>
              <w:bottom w:val="single" w:sz="4" w:space="0" w:color="808080"/>
              <w:right w:val="nil"/>
            </w:tcBorders>
            <w:shd w:val="clear" w:color="auto" w:fill="auto"/>
            <w:noWrap/>
            <w:vAlign w:val="bottom"/>
            <w:hideMark/>
          </w:tcPr>
          <w:p w14:paraId="3DFADDCD"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w:t>
            </w:r>
          </w:p>
        </w:tc>
        <w:tc>
          <w:tcPr>
            <w:tcW w:w="660" w:type="dxa"/>
            <w:tcBorders>
              <w:top w:val="nil"/>
              <w:left w:val="nil"/>
              <w:bottom w:val="single" w:sz="4" w:space="0" w:color="808080"/>
              <w:right w:val="nil"/>
            </w:tcBorders>
            <w:shd w:val="clear" w:color="auto" w:fill="auto"/>
            <w:noWrap/>
            <w:vAlign w:val="bottom"/>
            <w:hideMark/>
          </w:tcPr>
          <w:p w14:paraId="5C1BDBFC"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33D33C92"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49C787B4"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06ADD5FE"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55F71D55"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042D183B"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51073473"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1C73EF47"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r>
      <w:tr w:rsidR="000F2EF6" w:rsidRPr="00627F43" w14:paraId="4B71B6EA" w14:textId="77777777" w:rsidTr="000F2EF6">
        <w:trPr>
          <w:trHeight w:val="288"/>
          <w:jc w:val="center"/>
        </w:trPr>
        <w:tc>
          <w:tcPr>
            <w:tcW w:w="2410" w:type="dxa"/>
            <w:tcBorders>
              <w:top w:val="nil"/>
              <w:left w:val="nil"/>
              <w:bottom w:val="single" w:sz="4" w:space="0" w:color="808080"/>
              <w:right w:val="nil"/>
            </w:tcBorders>
            <w:shd w:val="clear" w:color="auto" w:fill="auto"/>
            <w:noWrap/>
            <w:vAlign w:val="bottom"/>
            <w:hideMark/>
          </w:tcPr>
          <w:p w14:paraId="2D1A1B05" w14:textId="77777777" w:rsidR="000F2EF6" w:rsidRPr="00627F43" w:rsidRDefault="000F2EF6" w:rsidP="00627F43">
            <w:pP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Grants, prizes, fellowships</w:t>
            </w:r>
          </w:p>
        </w:tc>
        <w:tc>
          <w:tcPr>
            <w:tcW w:w="660" w:type="dxa"/>
            <w:tcBorders>
              <w:top w:val="nil"/>
              <w:left w:val="nil"/>
              <w:bottom w:val="single" w:sz="4" w:space="0" w:color="808080"/>
              <w:right w:val="nil"/>
            </w:tcBorders>
            <w:shd w:val="clear" w:color="auto" w:fill="auto"/>
            <w:noWrap/>
            <w:vAlign w:val="bottom"/>
            <w:hideMark/>
          </w:tcPr>
          <w:p w14:paraId="5D8B4FB4"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11</w:t>
            </w:r>
          </w:p>
        </w:tc>
        <w:tc>
          <w:tcPr>
            <w:tcW w:w="660" w:type="dxa"/>
            <w:tcBorders>
              <w:top w:val="nil"/>
              <w:left w:val="nil"/>
              <w:bottom w:val="single" w:sz="4" w:space="0" w:color="808080"/>
              <w:right w:val="nil"/>
            </w:tcBorders>
            <w:shd w:val="clear" w:color="auto" w:fill="auto"/>
            <w:noWrap/>
            <w:vAlign w:val="bottom"/>
            <w:hideMark/>
          </w:tcPr>
          <w:p w14:paraId="447D91C5"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10</w:t>
            </w:r>
          </w:p>
        </w:tc>
        <w:tc>
          <w:tcPr>
            <w:tcW w:w="660" w:type="dxa"/>
            <w:tcBorders>
              <w:top w:val="nil"/>
              <w:left w:val="nil"/>
              <w:bottom w:val="single" w:sz="4" w:space="0" w:color="808080"/>
              <w:right w:val="nil"/>
            </w:tcBorders>
            <w:shd w:val="clear" w:color="auto" w:fill="auto"/>
            <w:noWrap/>
            <w:vAlign w:val="bottom"/>
            <w:hideMark/>
          </w:tcPr>
          <w:p w14:paraId="204E0331"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4</w:t>
            </w:r>
          </w:p>
        </w:tc>
        <w:tc>
          <w:tcPr>
            <w:tcW w:w="660" w:type="dxa"/>
            <w:tcBorders>
              <w:top w:val="nil"/>
              <w:left w:val="nil"/>
              <w:bottom w:val="single" w:sz="4" w:space="0" w:color="808080"/>
              <w:right w:val="nil"/>
            </w:tcBorders>
            <w:shd w:val="clear" w:color="auto" w:fill="auto"/>
            <w:noWrap/>
            <w:vAlign w:val="bottom"/>
            <w:hideMark/>
          </w:tcPr>
          <w:p w14:paraId="6BDD335C"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w:t>
            </w:r>
          </w:p>
        </w:tc>
        <w:tc>
          <w:tcPr>
            <w:tcW w:w="660" w:type="dxa"/>
            <w:tcBorders>
              <w:top w:val="nil"/>
              <w:left w:val="nil"/>
              <w:bottom w:val="single" w:sz="4" w:space="0" w:color="808080"/>
              <w:right w:val="nil"/>
            </w:tcBorders>
            <w:shd w:val="clear" w:color="auto" w:fill="auto"/>
            <w:noWrap/>
            <w:vAlign w:val="bottom"/>
            <w:hideMark/>
          </w:tcPr>
          <w:p w14:paraId="200831FB"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12</w:t>
            </w:r>
          </w:p>
        </w:tc>
        <w:tc>
          <w:tcPr>
            <w:tcW w:w="660" w:type="dxa"/>
            <w:tcBorders>
              <w:top w:val="nil"/>
              <w:left w:val="nil"/>
              <w:bottom w:val="single" w:sz="4" w:space="0" w:color="808080"/>
              <w:right w:val="nil"/>
            </w:tcBorders>
            <w:shd w:val="clear" w:color="auto" w:fill="auto"/>
            <w:noWrap/>
            <w:vAlign w:val="bottom"/>
            <w:hideMark/>
          </w:tcPr>
          <w:p w14:paraId="757230D7"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w:t>
            </w:r>
          </w:p>
        </w:tc>
        <w:tc>
          <w:tcPr>
            <w:tcW w:w="660" w:type="dxa"/>
            <w:tcBorders>
              <w:top w:val="nil"/>
              <w:left w:val="nil"/>
              <w:bottom w:val="single" w:sz="4" w:space="0" w:color="808080"/>
              <w:right w:val="nil"/>
            </w:tcBorders>
            <w:shd w:val="clear" w:color="auto" w:fill="auto"/>
            <w:noWrap/>
            <w:vAlign w:val="bottom"/>
            <w:hideMark/>
          </w:tcPr>
          <w:p w14:paraId="38C88CF6"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10</w:t>
            </w:r>
          </w:p>
        </w:tc>
        <w:tc>
          <w:tcPr>
            <w:tcW w:w="660" w:type="dxa"/>
            <w:tcBorders>
              <w:top w:val="nil"/>
              <w:left w:val="nil"/>
              <w:bottom w:val="single" w:sz="4" w:space="0" w:color="808080"/>
              <w:right w:val="nil"/>
            </w:tcBorders>
            <w:shd w:val="clear" w:color="auto" w:fill="auto"/>
            <w:noWrap/>
            <w:vAlign w:val="bottom"/>
            <w:hideMark/>
          </w:tcPr>
          <w:p w14:paraId="00D47FBB"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13</w:t>
            </w:r>
          </w:p>
        </w:tc>
        <w:tc>
          <w:tcPr>
            <w:tcW w:w="660" w:type="dxa"/>
            <w:tcBorders>
              <w:top w:val="nil"/>
              <w:left w:val="nil"/>
              <w:bottom w:val="single" w:sz="4" w:space="0" w:color="808080"/>
              <w:right w:val="nil"/>
            </w:tcBorders>
            <w:shd w:val="clear" w:color="auto" w:fill="auto"/>
            <w:noWrap/>
            <w:vAlign w:val="bottom"/>
            <w:hideMark/>
          </w:tcPr>
          <w:p w14:paraId="7334CB8C"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6</w:t>
            </w:r>
          </w:p>
        </w:tc>
      </w:tr>
      <w:tr w:rsidR="000F2EF6" w:rsidRPr="00627F43" w14:paraId="6C88AE62" w14:textId="77777777" w:rsidTr="000F2EF6">
        <w:trPr>
          <w:trHeight w:val="288"/>
          <w:jc w:val="center"/>
        </w:trPr>
        <w:tc>
          <w:tcPr>
            <w:tcW w:w="2410" w:type="dxa"/>
            <w:tcBorders>
              <w:top w:val="nil"/>
              <w:left w:val="nil"/>
              <w:bottom w:val="single" w:sz="4" w:space="0" w:color="808080"/>
              <w:right w:val="nil"/>
            </w:tcBorders>
            <w:shd w:val="clear" w:color="auto" w:fill="auto"/>
            <w:noWrap/>
            <w:vAlign w:val="bottom"/>
            <w:hideMark/>
          </w:tcPr>
          <w:p w14:paraId="64831A87" w14:textId="7D645EE5" w:rsidR="000F2EF6" w:rsidRPr="00627F43" w:rsidRDefault="000F2EF6" w:rsidP="00627F43">
            <w:pP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Public Lending Right</w:t>
            </w:r>
          </w:p>
        </w:tc>
        <w:tc>
          <w:tcPr>
            <w:tcW w:w="660" w:type="dxa"/>
            <w:tcBorders>
              <w:top w:val="nil"/>
              <w:left w:val="nil"/>
              <w:bottom w:val="single" w:sz="4" w:space="0" w:color="808080"/>
              <w:right w:val="nil"/>
            </w:tcBorders>
            <w:shd w:val="clear" w:color="auto" w:fill="auto"/>
            <w:noWrap/>
            <w:vAlign w:val="bottom"/>
            <w:hideMark/>
          </w:tcPr>
          <w:p w14:paraId="149D9FFC"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8</w:t>
            </w:r>
          </w:p>
        </w:tc>
        <w:tc>
          <w:tcPr>
            <w:tcW w:w="660" w:type="dxa"/>
            <w:tcBorders>
              <w:top w:val="nil"/>
              <w:left w:val="nil"/>
              <w:bottom w:val="single" w:sz="4" w:space="0" w:color="808080"/>
              <w:right w:val="nil"/>
            </w:tcBorders>
            <w:shd w:val="clear" w:color="auto" w:fill="auto"/>
            <w:noWrap/>
            <w:vAlign w:val="bottom"/>
            <w:hideMark/>
          </w:tcPr>
          <w:p w14:paraId="7E0F5272"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2CDADFB1"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63C461F0"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7FEE2FD1"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6FAD59E3"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685E4822"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04022522"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61574897"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w:t>
            </w:r>
          </w:p>
        </w:tc>
      </w:tr>
      <w:tr w:rsidR="000F2EF6" w:rsidRPr="00627F43" w14:paraId="5A8E7341" w14:textId="77777777" w:rsidTr="000F2EF6">
        <w:trPr>
          <w:trHeight w:val="288"/>
          <w:jc w:val="center"/>
        </w:trPr>
        <w:tc>
          <w:tcPr>
            <w:tcW w:w="2410" w:type="dxa"/>
            <w:tcBorders>
              <w:top w:val="nil"/>
              <w:left w:val="nil"/>
              <w:bottom w:val="single" w:sz="4" w:space="0" w:color="808080"/>
              <w:right w:val="nil"/>
            </w:tcBorders>
            <w:shd w:val="clear" w:color="auto" w:fill="auto"/>
            <w:noWrap/>
            <w:vAlign w:val="bottom"/>
            <w:hideMark/>
          </w:tcPr>
          <w:p w14:paraId="5296C429" w14:textId="77777777" w:rsidR="000F2EF6" w:rsidRPr="00627F43" w:rsidRDefault="000F2EF6" w:rsidP="00627F43">
            <w:pP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Education Lending Right</w:t>
            </w:r>
          </w:p>
        </w:tc>
        <w:tc>
          <w:tcPr>
            <w:tcW w:w="660" w:type="dxa"/>
            <w:tcBorders>
              <w:top w:val="nil"/>
              <w:left w:val="nil"/>
              <w:bottom w:val="single" w:sz="4" w:space="0" w:color="808080"/>
              <w:right w:val="nil"/>
            </w:tcBorders>
            <w:shd w:val="clear" w:color="auto" w:fill="auto"/>
            <w:noWrap/>
            <w:vAlign w:val="bottom"/>
            <w:hideMark/>
          </w:tcPr>
          <w:p w14:paraId="7CF03BB9"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8</w:t>
            </w:r>
          </w:p>
        </w:tc>
        <w:tc>
          <w:tcPr>
            <w:tcW w:w="660" w:type="dxa"/>
            <w:tcBorders>
              <w:top w:val="nil"/>
              <w:left w:val="nil"/>
              <w:bottom w:val="single" w:sz="4" w:space="0" w:color="808080"/>
              <w:right w:val="nil"/>
            </w:tcBorders>
            <w:shd w:val="clear" w:color="auto" w:fill="auto"/>
            <w:noWrap/>
            <w:vAlign w:val="bottom"/>
            <w:hideMark/>
          </w:tcPr>
          <w:p w14:paraId="27301874"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7B26D182"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1B407159"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12492665"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1B52B9F9"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4FB551A9"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7A0A8FD1"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023C3373"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w:t>
            </w:r>
          </w:p>
        </w:tc>
      </w:tr>
      <w:tr w:rsidR="000F2EF6" w:rsidRPr="00627F43" w14:paraId="5E9E2F01" w14:textId="77777777" w:rsidTr="000F2EF6">
        <w:trPr>
          <w:trHeight w:val="288"/>
          <w:jc w:val="center"/>
        </w:trPr>
        <w:tc>
          <w:tcPr>
            <w:tcW w:w="2410" w:type="dxa"/>
            <w:tcBorders>
              <w:top w:val="nil"/>
              <w:left w:val="nil"/>
              <w:bottom w:val="single" w:sz="4" w:space="0" w:color="808080"/>
              <w:right w:val="nil"/>
            </w:tcBorders>
            <w:shd w:val="clear" w:color="auto" w:fill="auto"/>
            <w:noWrap/>
            <w:vAlign w:val="bottom"/>
            <w:hideMark/>
          </w:tcPr>
          <w:p w14:paraId="25E87276" w14:textId="77777777" w:rsidR="000F2EF6" w:rsidRPr="00627F43" w:rsidRDefault="000F2EF6" w:rsidP="00627F43">
            <w:pP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Other</w:t>
            </w:r>
          </w:p>
        </w:tc>
        <w:tc>
          <w:tcPr>
            <w:tcW w:w="660" w:type="dxa"/>
            <w:tcBorders>
              <w:top w:val="nil"/>
              <w:left w:val="nil"/>
              <w:bottom w:val="single" w:sz="4" w:space="0" w:color="808080"/>
              <w:right w:val="nil"/>
            </w:tcBorders>
            <w:shd w:val="clear" w:color="auto" w:fill="auto"/>
            <w:noWrap/>
            <w:vAlign w:val="bottom"/>
            <w:hideMark/>
          </w:tcPr>
          <w:p w14:paraId="617BEE49"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2</w:t>
            </w:r>
          </w:p>
        </w:tc>
        <w:tc>
          <w:tcPr>
            <w:tcW w:w="660" w:type="dxa"/>
            <w:tcBorders>
              <w:top w:val="nil"/>
              <w:left w:val="nil"/>
              <w:bottom w:val="single" w:sz="4" w:space="0" w:color="808080"/>
              <w:right w:val="nil"/>
            </w:tcBorders>
            <w:shd w:val="clear" w:color="auto" w:fill="auto"/>
            <w:noWrap/>
            <w:vAlign w:val="bottom"/>
            <w:hideMark/>
          </w:tcPr>
          <w:p w14:paraId="6A71430E"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16265671"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2</w:t>
            </w:r>
          </w:p>
        </w:tc>
        <w:tc>
          <w:tcPr>
            <w:tcW w:w="660" w:type="dxa"/>
            <w:tcBorders>
              <w:top w:val="nil"/>
              <w:left w:val="nil"/>
              <w:bottom w:val="single" w:sz="4" w:space="0" w:color="808080"/>
              <w:right w:val="nil"/>
            </w:tcBorders>
            <w:shd w:val="clear" w:color="auto" w:fill="auto"/>
            <w:noWrap/>
            <w:vAlign w:val="bottom"/>
            <w:hideMark/>
          </w:tcPr>
          <w:p w14:paraId="57CEE52C"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373AA4B3"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5FCD2717"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5C6182CF"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23E416CB"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w:t>
            </w:r>
          </w:p>
        </w:tc>
        <w:tc>
          <w:tcPr>
            <w:tcW w:w="660" w:type="dxa"/>
            <w:tcBorders>
              <w:top w:val="nil"/>
              <w:left w:val="nil"/>
              <w:bottom w:val="single" w:sz="4" w:space="0" w:color="808080"/>
              <w:right w:val="nil"/>
            </w:tcBorders>
            <w:shd w:val="clear" w:color="auto" w:fill="auto"/>
            <w:noWrap/>
            <w:vAlign w:val="bottom"/>
            <w:hideMark/>
          </w:tcPr>
          <w:p w14:paraId="004B2A30"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w:t>
            </w:r>
          </w:p>
        </w:tc>
      </w:tr>
      <w:tr w:rsidR="000F2EF6" w:rsidRPr="00627F43" w14:paraId="16112FEF" w14:textId="77777777" w:rsidTr="000F2EF6">
        <w:trPr>
          <w:trHeight w:val="288"/>
          <w:jc w:val="center"/>
        </w:trPr>
        <w:tc>
          <w:tcPr>
            <w:tcW w:w="2410" w:type="dxa"/>
            <w:tcBorders>
              <w:top w:val="nil"/>
              <w:left w:val="nil"/>
              <w:bottom w:val="single" w:sz="4" w:space="0" w:color="808080"/>
              <w:right w:val="nil"/>
            </w:tcBorders>
            <w:shd w:val="clear" w:color="auto" w:fill="auto"/>
            <w:noWrap/>
            <w:vAlign w:val="bottom"/>
            <w:hideMark/>
          </w:tcPr>
          <w:p w14:paraId="757E22B6" w14:textId="77777777" w:rsidR="000F2EF6" w:rsidRPr="00627F43" w:rsidRDefault="000F2EF6" w:rsidP="00627F43">
            <w:pP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0306972F"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2EE28B51"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44076078"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6A0CB55B"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04965521"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164C8A23"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115C2E92"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18733FF4"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18692DDD"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r>
      <w:tr w:rsidR="000F2EF6" w:rsidRPr="00627F43" w14:paraId="6606242A" w14:textId="77777777" w:rsidTr="000F2EF6">
        <w:trPr>
          <w:trHeight w:val="288"/>
          <w:jc w:val="center"/>
        </w:trPr>
        <w:tc>
          <w:tcPr>
            <w:tcW w:w="2410" w:type="dxa"/>
            <w:tcBorders>
              <w:top w:val="nil"/>
              <w:left w:val="nil"/>
              <w:bottom w:val="single" w:sz="4" w:space="0" w:color="808080"/>
              <w:right w:val="nil"/>
            </w:tcBorders>
            <w:shd w:val="clear" w:color="auto" w:fill="auto"/>
            <w:noWrap/>
            <w:vAlign w:val="bottom"/>
            <w:hideMark/>
          </w:tcPr>
          <w:p w14:paraId="2C68A397" w14:textId="77777777" w:rsidR="000F2EF6" w:rsidRPr="00627F43" w:rsidRDefault="000F2EF6" w:rsidP="00627F43">
            <w:pP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Total</w:t>
            </w:r>
          </w:p>
        </w:tc>
        <w:tc>
          <w:tcPr>
            <w:tcW w:w="660" w:type="dxa"/>
            <w:tcBorders>
              <w:top w:val="nil"/>
              <w:left w:val="nil"/>
              <w:bottom w:val="single" w:sz="4" w:space="0" w:color="808080"/>
              <w:right w:val="nil"/>
            </w:tcBorders>
            <w:shd w:val="clear" w:color="auto" w:fill="auto"/>
            <w:noWrap/>
            <w:vAlign w:val="bottom"/>
            <w:hideMark/>
          </w:tcPr>
          <w:p w14:paraId="4558A16F"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100</w:t>
            </w:r>
          </w:p>
        </w:tc>
        <w:tc>
          <w:tcPr>
            <w:tcW w:w="660" w:type="dxa"/>
            <w:tcBorders>
              <w:top w:val="nil"/>
              <w:left w:val="nil"/>
              <w:bottom w:val="single" w:sz="4" w:space="0" w:color="808080"/>
              <w:right w:val="nil"/>
            </w:tcBorders>
            <w:shd w:val="clear" w:color="auto" w:fill="auto"/>
            <w:noWrap/>
            <w:vAlign w:val="bottom"/>
            <w:hideMark/>
          </w:tcPr>
          <w:p w14:paraId="74360766"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100</w:t>
            </w:r>
          </w:p>
        </w:tc>
        <w:tc>
          <w:tcPr>
            <w:tcW w:w="660" w:type="dxa"/>
            <w:tcBorders>
              <w:top w:val="nil"/>
              <w:left w:val="nil"/>
              <w:bottom w:val="single" w:sz="4" w:space="0" w:color="808080"/>
              <w:right w:val="nil"/>
            </w:tcBorders>
            <w:shd w:val="clear" w:color="auto" w:fill="auto"/>
            <w:noWrap/>
            <w:vAlign w:val="bottom"/>
            <w:hideMark/>
          </w:tcPr>
          <w:p w14:paraId="57C6B95B"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100</w:t>
            </w:r>
          </w:p>
        </w:tc>
        <w:tc>
          <w:tcPr>
            <w:tcW w:w="660" w:type="dxa"/>
            <w:tcBorders>
              <w:top w:val="nil"/>
              <w:left w:val="nil"/>
              <w:bottom w:val="single" w:sz="4" w:space="0" w:color="808080"/>
              <w:right w:val="nil"/>
            </w:tcBorders>
            <w:shd w:val="clear" w:color="auto" w:fill="auto"/>
            <w:noWrap/>
            <w:vAlign w:val="bottom"/>
            <w:hideMark/>
          </w:tcPr>
          <w:p w14:paraId="7DC1C813"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100</w:t>
            </w:r>
          </w:p>
        </w:tc>
        <w:tc>
          <w:tcPr>
            <w:tcW w:w="660" w:type="dxa"/>
            <w:tcBorders>
              <w:top w:val="nil"/>
              <w:left w:val="nil"/>
              <w:bottom w:val="single" w:sz="4" w:space="0" w:color="808080"/>
              <w:right w:val="nil"/>
            </w:tcBorders>
            <w:shd w:val="clear" w:color="auto" w:fill="auto"/>
            <w:noWrap/>
            <w:vAlign w:val="bottom"/>
            <w:hideMark/>
          </w:tcPr>
          <w:p w14:paraId="0E256FF3"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100</w:t>
            </w:r>
          </w:p>
        </w:tc>
        <w:tc>
          <w:tcPr>
            <w:tcW w:w="660" w:type="dxa"/>
            <w:tcBorders>
              <w:top w:val="nil"/>
              <w:left w:val="nil"/>
              <w:bottom w:val="single" w:sz="4" w:space="0" w:color="808080"/>
              <w:right w:val="nil"/>
            </w:tcBorders>
            <w:shd w:val="clear" w:color="auto" w:fill="auto"/>
            <w:noWrap/>
            <w:vAlign w:val="bottom"/>
            <w:hideMark/>
          </w:tcPr>
          <w:p w14:paraId="4D44783F"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100</w:t>
            </w:r>
          </w:p>
        </w:tc>
        <w:tc>
          <w:tcPr>
            <w:tcW w:w="660" w:type="dxa"/>
            <w:tcBorders>
              <w:top w:val="nil"/>
              <w:left w:val="nil"/>
              <w:bottom w:val="single" w:sz="4" w:space="0" w:color="808080"/>
              <w:right w:val="nil"/>
            </w:tcBorders>
            <w:shd w:val="clear" w:color="auto" w:fill="auto"/>
            <w:noWrap/>
            <w:vAlign w:val="bottom"/>
            <w:hideMark/>
          </w:tcPr>
          <w:p w14:paraId="56C5E0DA"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100</w:t>
            </w:r>
          </w:p>
        </w:tc>
        <w:tc>
          <w:tcPr>
            <w:tcW w:w="660" w:type="dxa"/>
            <w:tcBorders>
              <w:top w:val="nil"/>
              <w:left w:val="nil"/>
              <w:bottom w:val="single" w:sz="4" w:space="0" w:color="808080"/>
              <w:right w:val="nil"/>
            </w:tcBorders>
            <w:shd w:val="clear" w:color="auto" w:fill="auto"/>
            <w:noWrap/>
            <w:vAlign w:val="bottom"/>
            <w:hideMark/>
          </w:tcPr>
          <w:p w14:paraId="004FEE7B"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100</w:t>
            </w:r>
          </w:p>
        </w:tc>
        <w:tc>
          <w:tcPr>
            <w:tcW w:w="660" w:type="dxa"/>
            <w:tcBorders>
              <w:top w:val="nil"/>
              <w:left w:val="nil"/>
              <w:bottom w:val="single" w:sz="4" w:space="0" w:color="808080"/>
              <w:right w:val="nil"/>
            </w:tcBorders>
            <w:shd w:val="clear" w:color="auto" w:fill="auto"/>
            <w:noWrap/>
            <w:vAlign w:val="bottom"/>
            <w:hideMark/>
          </w:tcPr>
          <w:p w14:paraId="157C8BA6"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100</w:t>
            </w:r>
          </w:p>
        </w:tc>
      </w:tr>
      <w:tr w:rsidR="000F2EF6" w:rsidRPr="00627F43" w14:paraId="4168D91E" w14:textId="77777777" w:rsidTr="000F2EF6">
        <w:trPr>
          <w:trHeight w:val="288"/>
          <w:jc w:val="center"/>
        </w:trPr>
        <w:tc>
          <w:tcPr>
            <w:tcW w:w="2410" w:type="dxa"/>
            <w:tcBorders>
              <w:top w:val="nil"/>
              <w:left w:val="nil"/>
              <w:bottom w:val="single" w:sz="4" w:space="0" w:color="808080"/>
              <w:right w:val="nil"/>
            </w:tcBorders>
            <w:shd w:val="clear" w:color="auto" w:fill="auto"/>
            <w:noWrap/>
            <w:vAlign w:val="bottom"/>
            <w:hideMark/>
          </w:tcPr>
          <w:p w14:paraId="14A644B2" w14:textId="77777777" w:rsidR="000F2EF6" w:rsidRPr="00627F43" w:rsidRDefault="000F2EF6" w:rsidP="00627F43">
            <w:pP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49A619C2"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0437110E"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4F95F6F0"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472F3F83"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7AA454C3"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0D54A452"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03308B6D"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78617976"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c>
          <w:tcPr>
            <w:tcW w:w="660" w:type="dxa"/>
            <w:tcBorders>
              <w:top w:val="nil"/>
              <w:left w:val="nil"/>
              <w:bottom w:val="single" w:sz="4" w:space="0" w:color="808080"/>
              <w:right w:val="nil"/>
            </w:tcBorders>
            <w:shd w:val="clear" w:color="auto" w:fill="auto"/>
            <w:noWrap/>
            <w:vAlign w:val="bottom"/>
            <w:hideMark/>
          </w:tcPr>
          <w:p w14:paraId="4E7D8BCB"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w:t>
            </w:r>
          </w:p>
        </w:tc>
      </w:tr>
      <w:tr w:rsidR="000F2EF6" w:rsidRPr="00627F43" w14:paraId="1FBB6DC3" w14:textId="77777777" w:rsidTr="000F2EF6">
        <w:trPr>
          <w:trHeight w:val="288"/>
          <w:jc w:val="center"/>
        </w:trPr>
        <w:tc>
          <w:tcPr>
            <w:tcW w:w="2410" w:type="dxa"/>
            <w:tcBorders>
              <w:top w:val="nil"/>
              <w:left w:val="nil"/>
              <w:bottom w:val="single" w:sz="4" w:space="0" w:color="808080"/>
              <w:right w:val="nil"/>
            </w:tcBorders>
            <w:shd w:val="clear" w:color="auto" w:fill="auto"/>
            <w:noWrap/>
            <w:vAlign w:val="bottom"/>
            <w:hideMark/>
          </w:tcPr>
          <w:p w14:paraId="6E5E1CBA" w14:textId="77777777" w:rsidR="000F2EF6" w:rsidRPr="00627F43" w:rsidRDefault="000F2EF6" w:rsidP="00627F43">
            <w:pP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N</w:t>
            </w:r>
          </w:p>
        </w:tc>
        <w:tc>
          <w:tcPr>
            <w:tcW w:w="660" w:type="dxa"/>
            <w:tcBorders>
              <w:top w:val="nil"/>
              <w:left w:val="nil"/>
              <w:bottom w:val="single" w:sz="4" w:space="0" w:color="808080"/>
              <w:right w:val="nil"/>
            </w:tcBorders>
            <w:shd w:val="clear" w:color="auto" w:fill="auto"/>
            <w:noWrap/>
            <w:vAlign w:val="bottom"/>
            <w:hideMark/>
          </w:tcPr>
          <w:p w14:paraId="2B80FAB1"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105</w:t>
            </w:r>
          </w:p>
        </w:tc>
        <w:tc>
          <w:tcPr>
            <w:tcW w:w="660" w:type="dxa"/>
            <w:tcBorders>
              <w:top w:val="nil"/>
              <w:left w:val="nil"/>
              <w:bottom w:val="single" w:sz="4" w:space="0" w:color="808080"/>
              <w:right w:val="nil"/>
            </w:tcBorders>
            <w:shd w:val="clear" w:color="auto" w:fill="auto"/>
            <w:noWrap/>
            <w:vAlign w:val="bottom"/>
            <w:hideMark/>
          </w:tcPr>
          <w:p w14:paraId="0E1E1A2B"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143</w:t>
            </w:r>
          </w:p>
        </w:tc>
        <w:tc>
          <w:tcPr>
            <w:tcW w:w="660" w:type="dxa"/>
            <w:tcBorders>
              <w:top w:val="nil"/>
              <w:left w:val="nil"/>
              <w:bottom w:val="single" w:sz="4" w:space="0" w:color="808080"/>
              <w:right w:val="nil"/>
            </w:tcBorders>
            <w:shd w:val="clear" w:color="auto" w:fill="auto"/>
            <w:noWrap/>
            <w:vAlign w:val="bottom"/>
            <w:hideMark/>
          </w:tcPr>
          <w:p w14:paraId="33DE8A23"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62</w:t>
            </w:r>
          </w:p>
        </w:tc>
        <w:tc>
          <w:tcPr>
            <w:tcW w:w="660" w:type="dxa"/>
            <w:tcBorders>
              <w:top w:val="nil"/>
              <w:left w:val="nil"/>
              <w:bottom w:val="single" w:sz="4" w:space="0" w:color="808080"/>
              <w:right w:val="nil"/>
            </w:tcBorders>
            <w:shd w:val="clear" w:color="auto" w:fill="auto"/>
            <w:noWrap/>
            <w:vAlign w:val="bottom"/>
            <w:hideMark/>
          </w:tcPr>
          <w:p w14:paraId="7B662220"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145</w:t>
            </w:r>
          </w:p>
        </w:tc>
        <w:tc>
          <w:tcPr>
            <w:tcW w:w="660" w:type="dxa"/>
            <w:tcBorders>
              <w:top w:val="nil"/>
              <w:left w:val="nil"/>
              <w:bottom w:val="single" w:sz="4" w:space="0" w:color="808080"/>
              <w:right w:val="nil"/>
            </w:tcBorders>
            <w:shd w:val="clear" w:color="auto" w:fill="auto"/>
            <w:noWrap/>
            <w:vAlign w:val="bottom"/>
            <w:hideMark/>
          </w:tcPr>
          <w:p w14:paraId="1838156C"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64</w:t>
            </w:r>
          </w:p>
        </w:tc>
        <w:tc>
          <w:tcPr>
            <w:tcW w:w="660" w:type="dxa"/>
            <w:tcBorders>
              <w:top w:val="nil"/>
              <w:left w:val="nil"/>
              <w:bottom w:val="single" w:sz="4" w:space="0" w:color="808080"/>
              <w:right w:val="nil"/>
            </w:tcBorders>
            <w:shd w:val="clear" w:color="auto" w:fill="auto"/>
            <w:noWrap/>
            <w:vAlign w:val="bottom"/>
            <w:hideMark/>
          </w:tcPr>
          <w:p w14:paraId="3A9A8403"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131</w:t>
            </w:r>
          </w:p>
        </w:tc>
        <w:tc>
          <w:tcPr>
            <w:tcW w:w="660" w:type="dxa"/>
            <w:tcBorders>
              <w:top w:val="nil"/>
              <w:left w:val="nil"/>
              <w:bottom w:val="single" w:sz="4" w:space="0" w:color="808080"/>
              <w:right w:val="nil"/>
            </w:tcBorders>
            <w:shd w:val="clear" w:color="auto" w:fill="auto"/>
            <w:noWrap/>
            <w:vAlign w:val="bottom"/>
            <w:hideMark/>
          </w:tcPr>
          <w:p w14:paraId="54C72E45"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70</w:t>
            </w:r>
          </w:p>
        </w:tc>
        <w:tc>
          <w:tcPr>
            <w:tcW w:w="660" w:type="dxa"/>
            <w:tcBorders>
              <w:top w:val="nil"/>
              <w:left w:val="nil"/>
              <w:bottom w:val="single" w:sz="4" w:space="0" w:color="808080"/>
              <w:right w:val="nil"/>
            </w:tcBorders>
            <w:shd w:val="clear" w:color="auto" w:fill="auto"/>
            <w:noWrap/>
            <w:vAlign w:val="bottom"/>
            <w:hideMark/>
          </w:tcPr>
          <w:p w14:paraId="7846FC55"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24</w:t>
            </w:r>
          </w:p>
        </w:tc>
        <w:tc>
          <w:tcPr>
            <w:tcW w:w="660" w:type="dxa"/>
            <w:tcBorders>
              <w:top w:val="nil"/>
              <w:left w:val="nil"/>
              <w:bottom w:val="single" w:sz="4" w:space="0" w:color="808080"/>
              <w:right w:val="nil"/>
            </w:tcBorders>
            <w:shd w:val="clear" w:color="auto" w:fill="auto"/>
            <w:noWrap/>
            <w:vAlign w:val="bottom"/>
            <w:hideMark/>
          </w:tcPr>
          <w:p w14:paraId="564B3EF7" w14:textId="77777777" w:rsidR="000F2EF6" w:rsidRPr="00627F43" w:rsidRDefault="000F2EF6" w:rsidP="00627F43">
            <w:pPr>
              <w:jc w:val="cente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750</w:t>
            </w:r>
          </w:p>
        </w:tc>
      </w:tr>
      <w:tr w:rsidR="000F2EF6" w:rsidRPr="00627F43" w14:paraId="59FE1B71" w14:textId="77777777" w:rsidTr="000F2EF6">
        <w:trPr>
          <w:trHeight w:val="288"/>
          <w:jc w:val="center"/>
        </w:trPr>
        <w:tc>
          <w:tcPr>
            <w:tcW w:w="5050" w:type="dxa"/>
            <w:gridSpan w:val="5"/>
            <w:tcBorders>
              <w:top w:val="nil"/>
              <w:left w:val="nil"/>
              <w:bottom w:val="nil"/>
              <w:right w:val="nil"/>
            </w:tcBorders>
            <w:shd w:val="clear" w:color="auto" w:fill="auto"/>
            <w:noWrap/>
            <w:vAlign w:val="bottom"/>
            <w:hideMark/>
          </w:tcPr>
          <w:p w14:paraId="746E981F" w14:textId="77777777" w:rsidR="000F2EF6" w:rsidRPr="00627F43" w:rsidRDefault="000F2EF6" w:rsidP="00627F43">
            <w:pP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(a) percentages are of artists who had some creative income in the financial year 07/08.</w:t>
            </w:r>
          </w:p>
        </w:tc>
        <w:tc>
          <w:tcPr>
            <w:tcW w:w="660" w:type="dxa"/>
            <w:tcBorders>
              <w:top w:val="nil"/>
              <w:left w:val="nil"/>
              <w:bottom w:val="nil"/>
              <w:right w:val="nil"/>
            </w:tcBorders>
            <w:shd w:val="clear" w:color="auto" w:fill="auto"/>
            <w:noWrap/>
            <w:vAlign w:val="bottom"/>
            <w:hideMark/>
          </w:tcPr>
          <w:p w14:paraId="51CEC5A3" w14:textId="77777777" w:rsidR="000F2EF6" w:rsidRPr="00627F43" w:rsidRDefault="000F2EF6" w:rsidP="00627F43">
            <w:pPr>
              <w:rPr>
                <w:rFonts w:ascii="Calibri Light" w:eastAsia="Times New Roman" w:hAnsi="Calibri Light" w:cs="Times New Roman"/>
                <w:color w:val="000000"/>
                <w:sz w:val="16"/>
                <w:szCs w:val="16"/>
                <w:lang w:eastAsia="en-AU"/>
              </w:rPr>
            </w:pPr>
          </w:p>
        </w:tc>
        <w:tc>
          <w:tcPr>
            <w:tcW w:w="660" w:type="dxa"/>
            <w:tcBorders>
              <w:top w:val="nil"/>
              <w:left w:val="nil"/>
              <w:bottom w:val="nil"/>
              <w:right w:val="nil"/>
            </w:tcBorders>
            <w:shd w:val="clear" w:color="auto" w:fill="auto"/>
            <w:noWrap/>
            <w:vAlign w:val="bottom"/>
            <w:hideMark/>
          </w:tcPr>
          <w:p w14:paraId="0480D91B" w14:textId="77777777" w:rsidR="000F2EF6" w:rsidRPr="00627F43" w:rsidRDefault="000F2EF6" w:rsidP="00627F43">
            <w:pPr>
              <w:rPr>
                <w:rFonts w:ascii="Calibri Light" w:eastAsia="Times New Roman" w:hAnsi="Calibri Light" w:cs="Times New Roman"/>
                <w:sz w:val="16"/>
                <w:szCs w:val="16"/>
                <w:lang w:eastAsia="en-AU"/>
              </w:rPr>
            </w:pPr>
          </w:p>
        </w:tc>
        <w:tc>
          <w:tcPr>
            <w:tcW w:w="660" w:type="dxa"/>
            <w:tcBorders>
              <w:top w:val="nil"/>
              <w:left w:val="nil"/>
              <w:bottom w:val="nil"/>
              <w:right w:val="nil"/>
            </w:tcBorders>
            <w:shd w:val="clear" w:color="auto" w:fill="auto"/>
            <w:noWrap/>
            <w:vAlign w:val="bottom"/>
            <w:hideMark/>
          </w:tcPr>
          <w:p w14:paraId="5E15A0F2" w14:textId="77777777" w:rsidR="000F2EF6" w:rsidRPr="00627F43" w:rsidRDefault="000F2EF6" w:rsidP="00627F43">
            <w:pPr>
              <w:rPr>
                <w:rFonts w:ascii="Calibri Light" w:eastAsia="Times New Roman" w:hAnsi="Calibri Light" w:cs="Times New Roman"/>
                <w:sz w:val="16"/>
                <w:szCs w:val="16"/>
                <w:lang w:eastAsia="en-AU"/>
              </w:rPr>
            </w:pPr>
          </w:p>
        </w:tc>
        <w:tc>
          <w:tcPr>
            <w:tcW w:w="660" w:type="dxa"/>
            <w:tcBorders>
              <w:top w:val="nil"/>
              <w:left w:val="nil"/>
              <w:bottom w:val="nil"/>
              <w:right w:val="nil"/>
            </w:tcBorders>
            <w:shd w:val="clear" w:color="auto" w:fill="auto"/>
            <w:noWrap/>
            <w:vAlign w:val="bottom"/>
            <w:hideMark/>
          </w:tcPr>
          <w:p w14:paraId="7ECC5055" w14:textId="77777777" w:rsidR="000F2EF6" w:rsidRPr="00627F43" w:rsidRDefault="000F2EF6" w:rsidP="00627F43">
            <w:pPr>
              <w:rPr>
                <w:rFonts w:ascii="Calibri Light" w:eastAsia="Times New Roman" w:hAnsi="Calibri Light" w:cs="Times New Roman"/>
                <w:sz w:val="16"/>
                <w:szCs w:val="16"/>
                <w:lang w:eastAsia="en-AU"/>
              </w:rPr>
            </w:pPr>
          </w:p>
        </w:tc>
        <w:tc>
          <w:tcPr>
            <w:tcW w:w="660" w:type="dxa"/>
            <w:tcBorders>
              <w:top w:val="nil"/>
              <w:left w:val="nil"/>
              <w:bottom w:val="nil"/>
              <w:right w:val="nil"/>
            </w:tcBorders>
            <w:shd w:val="clear" w:color="auto" w:fill="auto"/>
            <w:noWrap/>
            <w:vAlign w:val="bottom"/>
            <w:hideMark/>
          </w:tcPr>
          <w:p w14:paraId="7F32C6B5" w14:textId="77777777" w:rsidR="000F2EF6" w:rsidRPr="00627F43" w:rsidRDefault="000F2EF6" w:rsidP="00627F43">
            <w:pPr>
              <w:rPr>
                <w:rFonts w:ascii="Calibri Light" w:eastAsia="Times New Roman" w:hAnsi="Calibri Light" w:cs="Times New Roman"/>
                <w:sz w:val="16"/>
                <w:szCs w:val="16"/>
                <w:lang w:eastAsia="en-AU"/>
              </w:rPr>
            </w:pPr>
          </w:p>
        </w:tc>
      </w:tr>
      <w:tr w:rsidR="000F2EF6" w:rsidRPr="00627F43" w14:paraId="1BB043D2" w14:textId="77777777" w:rsidTr="000F2EF6">
        <w:trPr>
          <w:trHeight w:val="288"/>
          <w:jc w:val="center"/>
        </w:trPr>
        <w:tc>
          <w:tcPr>
            <w:tcW w:w="5050" w:type="dxa"/>
            <w:gridSpan w:val="5"/>
            <w:tcBorders>
              <w:top w:val="nil"/>
              <w:left w:val="nil"/>
              <w:bottom w:val="nil"/>
              <w:right w:val="nil"/>
            </w:tcBorders>
            <w:shd w:val="clear" w:color="auto" w:fill="auto"/>
            <w:noWrap/>
            <w:vAlign w:val="bottom"/>
            <w:hideMark/>
          </w:tcPr>
          <w:p w14:paraId="046FAA7A" w14:textId="77777777" w:rsidR="000F2EF6" w:rsidRPr="00627F43" w:rsidRDefault="000F2EF6" w:rsidP="00627F43">
            <w:pP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(b) numbers for all artists are weighted to represent Australia's artist population.</w:t>
            </w:r>
          </w:p>
        </w:tc>
        <w:tc>
          <w:tcPr>
            <w:tcW w:w="660" w:type="dxa"/>
            <w:tcBorders>
              <w:top w:val="nil"/>
              <w:left w:val="nil"/>
              <w:bottom w:val="nil"/>
              <w:right w:val="nil"/>
            </w:tcBorders>
            <w:shd w:val="clear" w:color="auto" w:fill="auto"/>
            <w:noWrap/>
            <w:vAlign w:val="bottom"/>
            <w:hideMark/>
          </w:tcPr>
          <w:p w14:paraId="4AEBB76D" w14:textId="77777777" w:rsidR="000F2EF6" w:rsidRPr="00627F43" w:rsidRDefault="000F2EF6" w:rsidP="00627F43">
            <w:pPr>
              <w:rPr>
                <w:rFonts w:ascii="Calibri Light" w:eastAsia="Times New Roman" w:hAnsi="Calibri Light" w:cs="Times New Roman"/>
                <w:color w:val="000000"/>
                <w:sz w:val="16"/>
                <w:szCs w:val="16"/>
                <w:lang w:eastAsia="en-AU"/>
              </w:rPr>
            </w:pPr>
          </w:p>
        </w:tc>
        <w:tc>
          <w:tcPr>
            <w:tcW w:w="660" w:type="dxa"/>
            <w:tcBorders>
              <w:top w:val="nil"/>
              <w:left w:val="nil"/>
              <w:bottom w:val="nil"/>
              <w:right w:val="nil"/>
            </w:tcBorders>
            <w:shd w:val="clear" w:color="auto" w:fill="auto"/>
            <w:noWrap/>
            <w:vAlign w:val="bottom"/>
            <w:hideMark/>
          </w:tcPr>
          <w:p w14:paraId="4FE8B7C6" w14:textId="77777777" w:rsidR="000F2EF6" w:rsidRPr="00627F43" w:rsidRDefault="000F2EF6" w:rsidP="00627F43">
            <w:pPr>
              <w:rPr>
                <w:rFonts w:ascii="Calibri Light" w:eastAsia="Times New Roman" w:hAnsi="Calibri Light" w:cs="Times New Roman"/>
                <w:sz w:val="16"/>
                <w:szCs w:val="16"/>
                <w:lang w:eastAsia="en-AU"/>
              </w:rPr>
            </w:pPr>
          </w:p>
        </w:tc>
        <w:tc>
          <w:tcPr>
            <w:tcW w:w="660" w:type="dxa"/>
            <w:tcBorders>
              <w:top w:val="nil"/>
              <w:left w:val="nil"/>
              <w:bottom w:val="nil"/>
              <w:right w:val="nil"/>
            </w:tcBorders>
            <w:shd w:val="clear" w:color="auto" w:fill="auto"/>
            <w:noWrap/>
            <w:vAlign w:val="bottom"/>
            <w:hideMark/>
          </w:tcPr>
          <w:p w14:paraId="2DDF0557" w14:textId="77777777" w:rsidR="000F2EF6" w:rsidRPr="00627F43" w:rsidRDefault="000F2EF6" w:rsidP="00627F43">
            <w:pPr>
              <w:rPr>
                <w:rFonts w:ascii="Calibri Light" w:eastAsia="Times New Roman" w:hAnsi="Calibri Light" w:cs="Times New Roman"/>
                <w:sz w:val="16"/>
                <w:szCs w:val="16"/>
                <w:lang w:eastAsia="en-AU"/>
              </w:rPr>
            </w:pPr>
          </w:p>
        </w:tc>
        <w:tc>
          <w:tcPr>
            <w:tcW w:w="660" w:type="dxa"/>
            <w:tcBorders>
              <w:top w:val="nil"/>
              <w:left w:val="nil"/>
              <w:bottom w:val="nil"/>
              <w:right w:val="nil"/>
            </w:tcBorders>
            <w:shd w:val="clear" w:color="auto" w:fill="auto"/>
            <w:noWrap/>
            <w:vAlign w:val="bottom"/>
            <w:hideMark/>
          </w:tcPr>
          <w:p w14:paraId="5FDCAF59" w14:textId="77777777" w:rsidR="000F2EF6" w:rsidRPr="00627F43" w:rsidRDefault="000F2EF6" w:rsidP="00627F43">
            <w:pPr>
              <w:rPr>
                <w:rFonts w:ascii="Calibri Light" w:eastAsia="Times New Roman" w:hAnsi="Calibri Light" w:cs="Times New Roman"/>
                <w:sz w:val="16"/>
                <w:szCs w:val="16"/>
                <w:lang w:eastAsia="en-AU"/>
              </w:rPr>
            </w:pPr>
          </w:p>
        </w:tc>
        <w:tc>
          <w:tcPr>
            <w:tcW w:w="660" w:type="dxa"/>
            <w:tcBorders>
              <w:top w:val="nil"/>
              <w:left w:val="nil"/>
              <w:bottom w:val="nil"/>
              <w:right w:val="nil"/>
            </w:tcBorders>
            <w:shd w:val="clear" w:color="auto" w:fill="auto"/>
            <w:noWrap/>
            <w:vAlign w:val="bottom"/>
            <w:hideMark/>
          </w:tcPr>
          <w:p w14:paraId="303FD3E2" w14:textId="77777777" w:rsidR="000F2EF6" w:rsidRPr="00627F43" w:rsidRDefault="000F2EF6" w:rsidP="00627F43">
            <w:pPr>
              <w:rPr>
                <w:rFonts w:ascii="Calibri Light" w:eastAsia="Times New Roman" w:hAnsi="Calibri Light" w:cs="Times New Roman"/>
                <w:sz w:val="16"/>
                <w:szCs w:val="16"/>
                <w:lang w:eastAsia="en-AU"/>
              </w:rPr>
            </w:pPr>
          </w:p>
        </w:tc>
      </w:tr>
      <w:tr w:rsidR="000F2EF6" w:rsidRPr="00627F43" w14:paraId="28E7AFDE" w14:textId="77777777" w:rsidTr="000F2EF6">
        <w:trPr>
          <w:trHeight w:val="288"/>
          <w:jc w:val="center"/>
        </w:trPr>
        <w:tc>
          <w:tcPr>
            <w:tcW w:w="3730" w:type="dxa"/>
            <w:gridSpan w:val="3"/>
            <w:tcBorders>
              <w:top w:val="nil"/>
              <w:left w:val="nil"/>
              <w:bottom w:val="nil"/>
              <w:right w:val="nil"/>
            </w:tcBorders>
            <w:shd w:val="clear" w:color="auto" w:fill="auto"/>
            <w:noWrap/>
            <w:vAlign w:val="bottom"/>
            <w:hideMark/>
          </w:tcPr>
          <w:p w14:paraId="5426840A" w14:textId="77777777" w:rsidR="000F2EF6" w:rsidRPr="00627F43" w:rsidRDefault="000F2EF6" w:rsidP="00627F43">
            <w:pPr>
              <w:rPr>
                <w:rFonts w:ascii="Calibri Light" w:eastAsia="Times New Roman" w:hAnsi="Calibri Light" w:cs="Times New Roman"/>
                <w:color w:val="000000"/>
                <w:sz w:val="16"/>
                <w:szCs w:val="16"/>
                <w:lang w:eastAsia="en-AU"/>
              </w:rPr>
            </w:pPr>
            <w:r w:rsidRPr="00627F43">
              <w:rPr>
                <w:rFonts w:ascii="Calibri Light" w:eastAsia="Times New Roman" w:hAnsi="Calibri Light" w:cs="Times New Roman"/>
                <w:color w:val="000000"/>
                <w:sz w:val="16"/>
                <w:szCs w:val="16"/>
                <w:lang w:eastAsia="en-AU"/>
              </w:rPr>
              <w:t>- indicates nil response in this sample   *indicates less than 1%</w:t>
            </w:r>
          </w:p>
        </w:tc>
        <w:tc>
          <w:tcPr>
            <w:tcW w:w="660" w:type="dxa"/>
            <w:tcBorders>
              <w:top w:val="nil"/>
              <w:left w:val="nil"/>
              <w:bottom w:val="nil"/>
              <w:right w:val="nil"/>
            </w:tcBorders>
            <w:shd w:val="clear" w:color="auto" w:fill="auto"/>
            <w:noWrap/>
            <w:vAlign w:val="bottom"/>
            <w:hideMark/>
          </w:tcPr>
          <w:p w14:paraId="64A448AD" w14:textId="77777777" w:rsidR="000F2EF6" w:rsidRPr="00627F43" w:rsidRDefault="000F2EF6" w:rsidP="00627F43">
            <w:pPr>
              <w:rPr>
                <w:rFonts w:ascii="Calibri Light" w:eastAsia="Times New Roman" w:hAnsi="Calibri Light" w:cs="Times New Roman"/>
                <w:color w:val="000000"/>
                <w:sz w:val="16"/>
                <w:szCs w:val="16"/>
                <w:lang w:eastAsia="en-AU"/>
              </w:rPr>
            </w:pPr>
          </w:p>
        </w:tc>
        <w:tc>
          <w:tcPr>
            <w:tcW w:w="660" w:type="dxa"/>
            <w:tcBorders>
              <w:top w:val="nil"/>
              <w:left w:val="nil"/>
              <w:bottom w:val="nil"/>
              <w:right w:val="nil"/>
            </w:tcBorders>
            <w:shd w:val="clear" w:color="auto" w:fill="auto"/>
            <w:noWrap/>
            <w:vAlign w:val="bottom"/>
            <w:hideMark/>
          </w:tcPr>
          <w:p w14:paraId="0D84F4E9" w14:textId="77777777" w:rsidR="000F2EF6" w:rsidRPr="00627F43" w:rsidRDefault="000F2EF6" w:rsidP="00627F43">
            <w:pPr>
              <w:rPr>
                <w:rFonts w:ascii="Calibri Light" w:eastAsia="Times New Roman" w:hAnsi="Calibri Light" w:cs="Times New Roman"/>
                <w:sz w:val="16"/>
                <w:szCs w:val="16"/>
                <w:lang w:eastAsia="en-AU"/>
              </w:rPr>
            </w:pPr>
          </w:p>
        </w:tc>
        <w:tc>
          <w:tcPr>
            <w:tcW w:w="660" w:type="dxa"/>
            <w:tcBorders>
              <w:top w:val="nil"/>
              <w:left w:val="nil"/>
              <w:bottom w:val="nil"/>
              <w:right w:val="nil"/>
            </w:tcBorders>
            <w:shd w:val="clear" w:color="auto" w:fill="auto"/>
            <w:noWrap/>
            <w:vAlign w:val="bottom"/>
            <w:hideMark/>
          </w:tcPr>
          <w:p w14:paraId="40B43CE0" w14:textId="77777777" w:rsidR="000F2EF6" w:rsidRPr="00627F43" w:rsidRDefault="000F2EF6" w:rsidP="00627F43">
            <w:pPr>
              <w:rPr>
                <w:rFonts w:ascii="Calibri Light" w:eastAsia="Times New Roman" w:hAnsi="Calibri Light" w:cs="Times New Roman"/>
                <w:sz w:val="16"/>
                <w:szCs w:val="16"/>
                <w:lang w:eastAsia="en-AU"/>
              </w:rPr>
            </w:pPr>
          </w:p>
        </w:tc>
        <w:tc>
          <w:tcPr>
            <w:tcW w:w="660" w:type="dxa"/>
            <w:tcBorders>
              <w:top w:val="nil"/>
              <w:left w:val="nil"/>
              <w:bottom w:val="nil"/>
              <w:right w:val="nil"/>
            </w:tcBorders>
            <w:shd w:val="clear" w:color="auto" w:fill="auto"/>
            <w:noWrap/>
            <w:vAlign w:val="bottom"/>
            <w:hideMark/>
          </w:tcPr>
          <w:p w14:paraId="5D9039FC" w14:textId="77777777" w:rsidR="000F2EF6" w:rsidRPr="00627F43" w:rsidRDefault="000F2EF6" w:rsidP="00627F43">
            <w:pPr>
              <w:rPr>
                <w:rFonts w:ascii="Calibri Light" w:eastAsia="Times New Roman" w:hAnsi="Calibri Light" w:cs="Times New Roman"/>
                <w:sz w:val="16"/>
                <w:szCs w:val="16"/>
                <w:lang w:eastAsia="en-AU"/>
              </w:rPr>
            </w:pPr>
          </w:p>
        </w:tc>
        <w:tc>
          <w:tcPr>
            <w:tcW w:w="660" w:type="dxa"/>
            <w:tcBorders>
              <w:top w:val="nil"/>
              <w:left w:val="nil"/>
              <w:bottom w:val="nil"/>
              <w:right w:val="nil"/>
            </w:tcBorders>
            <w:shd w:val="clear" w:color="auto" w:fill="auto"/>
            <w:noWrap/>
            <w:vAlign w:val="bottom"/>
            <w:hideMark/>
          </w:tcPr>
          <w:p w14:paraId="010D65DF" w14:textId="77777777" w:rsidR="000F2EF6" w:rsidRPr="00627F43" w:rsidRDefault="000F2EF6" w:rsidP="00627F43">
            <w:pPr>
              <w:rPr>
                <w:rFonts w:ascii="Calibri Light" w:eastAsia="Times New Roman" w:hAnsi="Calibri Light" w:cs="Times New Roman"/>
                <w:sz w:val="16"/>
                <w:szCs w:val="16"/>
                <w:lang w:eastAsia="en-AU"/>
              </w:rPr>
            </w:pPr>
          </w:p>
        </w:tc>
        <w:tc>
          <w:tcPr>
            <w:tcW w:w="660" w:type="dxa"/>
            <w:tcBorders>
              <w:top w:val="nil"/>
              <w:left w:val="nil"/>
              <w:bottom w:val="nil"/>
              <w:right w:val="nil"/>
            </w:tcBorders>
            <w:shd w:val="clear" w:color="auto" w:fill="auto"/>
            <w:noWrap/>
            <w:vAlign w:val="bottom"/>
            <w:hideMark/>
          </w:tcPr>
          <w:p w14:paraId="7A09D002" w14:textId="77777777" w:rsidR="000F2EF6" w:rsidRPr="00627F43" w:rsidRDefault="000F2EF6" w:rsidP="00627F43">
            <w:pPr>
              <w:rPr>
                <w:rFonts w:ascii="Calibri Light" w:eastAsia="Times New Roman" w:hAnsi="Calibri Light" w:cs="Times New Roman"/>
                <w:sz w:val="16"/>
                <w:szCs w:val="16"/>
                <w:lang w:eastAsia="en-AU"/>
              </w:rPr>
            </w:pPr>
          </w:p>
        </w:tc>
        <w:tc>
          <w:tcPr>
            <w:tcW w:w="660" w:type="dxa"/>
            <w:tcBorders>
              <w:top w:val="nil"/>
              <w:left w:val="nil"/>
              <w:bottom w:val="nil"/>
              <w:right w:val="nil"/>
            </w:tcBorders>
            <w:shd w:val="clear" w:color="auto" w:fill="auto"/>
            <w:noWrap/>
            <w:vAlign w:val="bottom"/>
            <w:hideMark/>
          </w:tcPr>
          <w:p w14:paraId="657DDF2D" w14:textId="77777777" w:rsidR="000F2EF6" w:rsidRPr="00627F43" w:rsidRDefault="000F2EF6" w:rsidP="00627F43">
            <w:pPr>
              <w:rPr>
                <w:rFonts w:ascii="Calibri Light" w:eastAsia="Times New Roman" w:hAnsi="Calibri Light" w:cs="Times New Roman"/>
                <w:sz w:val="16"/>
                <w:szCs w:val="16"/>
                <w:lang w:eastAsia="en-AU"/>
              </w:rPr>
            </w:pPr>
          </w:p>
        </w:tc>
      </w:tr>
    </w:tbl>
    <w:p w14:paraId="6FF894F3" w14:textId="75D3AD8D" w:rsidR="00F14B78" w:rsidRPr="00F14B78" w:rsidRDefault="00F14B78" w:rsidP="00627F43">
      <w:pPr>
        <w:pStyle w:val="BodyText"/>
        <w:spacing w:before="0" w:after="0" w:line="240" w:lineRule="auto"/>
        <w:jc w:val="center"/>
        <w:rPr>
          <w:i/>
          <w:sz w:val="20"/>
          <w:szCs w:val="20"/>
        </w:rPr>
      </w:pPr>
      <w:r w:rsidRPr="00BF575F">
        <w:rPr>
          <w:b/>
          <w:i/>
          <w:sz w:val="20"/>
          <w:szCs w:val="20"/>
        </w:rPr>
        <w:t xml:space="preserve">Figure 1: </w:t>
      </w:r>
      <w:r w:rsidRPr="003E394E">
        <w:rPr>
          <w:sz w:val="20"/>
          <w:szCs w:val="20"/>
        </w:rPr>
        <w:t>Throsby D and Zednik A</w:t>
      </w:r>
      <w:r>
        <w:rPr>
          <w:sz w:val="20"/>
          <w:szCs w:val="20"/>
        </w:rPr>
        <w:t>,</w:t>
      </w:r>
      <w:r w:rsidRPr="003E394E">
        <w:rPr>
          <w:sz w:val="20"/>
          <w:szCs w:val="20"/>
        </w:rPr>
        <w:t xml:space="preserve"> 2010</w:t>
      </w:r>
      <w:r w:rsidRPr="00BF575F">
        <w:rPr>
          <w:i/>
          <w:sz w:val="20"/>
          <w:szCs w:val="20"/>
        </w:rPr>
        <w:t xml:space="preserve">, Do You Really Expect to Get Paid? </w:t>
      </w:r>
      <w:r w:rsidR="00A02ABC">
        <w:rPr>
          <w:i/>
          <w:sz w:val="20"/>
          <w:szCs w:val="20"/>
        </w:rPr>
        <w:br/>
      </w:r>
      <w:r w:rsidRPr="00BF575F">
        <w:rPr>
          <w:i/>
          <w:sz w:val="20"/>
          <w:szCs w:val="20"/>
        </w:rPr>
        <w:t>An Economic Study of Professional Artists in Australia</w:t>
      </w:r>
      <w:r>
        <w:rPr>
          <w:i/>
          <w:sz w:val="20"/>
          <w:szCs w:val="20"/>
        </w:rPr>
        <w:t>.</w:t>
      </w:r>
    </w:p>
    <w:p w14:paraId="784D4CEC" w14:textId="7AA3E2CA" w:rsidR="001461E4" w:rsidRDefault="001461E4" w:rsidP="001461E4">
      <w:pPr>
        <w:pStyle w:val="BodyText"/>
      </w:pPr>
      <w:r>
        <w:t>In 2009 it was estimated there were approximately 44,000 professional practicing artists in Australia, and this number has remained relatively stable.</w:t>
      </w:r>
      <w:r>
        <w:rPr>
          <w:rStyle w:val="FootnoteReference"/>
        </w:rPr>
        <w:footnoteReference w:id="5"/>
      </w:r>
      <w:r>
        <w:t xml:space="preserve"> The median income from their creative practice varies between $7,000 and $22,500 per annum depending on the amount of time they can dedicate to their practice.</w:t>
      </w:r>
      <w:r>
        <w:rPr>
          <w:rStyle w:val="FootnoteReference"/>
        </w:rPr>
        <w:footnoteReference w:id="6"/>
      </w:r>
      <w:r>
        <w:t xml:space="preserve"> This level of income is markedly lower than other industries, and yet artists make an important contribution to the creative industries and economy more broadly</w:t>
      </w:r>
      <w:r w:rsidR="004721B5">
        <w:t>.</w:t>
      </w:r>
      <w:r w:rsidR="009C33F5">
        <w:t xml:space="preserve"> </w:t>
      </w:r>
      <w:r w:rsidR="001E7816">
        <w:t>For example, a</w:t>
      </w:r>
      <w:r w:rsidR="004721B5">
        <w:t xml:space="preserve">rtists </w:t>
      </w:r>
      <w:r w:rsidR="003562D0">
        <w:t>f</w:t>
      </w:r>
      <w:r w:rsidR="004721B5">
        <w:t>oster</w:t>
      </w:r>
      <w:r w:rsidR="003562D0">
        <w:t xml:space="preserve"> innovation through the</w:t>
      </w:r>
      <w:r w:rsidR="006F18D3">
        <w:t xml:space="preserve"> </w:t>
      </w:r>
      <w:r>
        <w:t>creation of new content</w:t>
      </w:r>
      <w:r w:rsidR="004721B5">
        <w:t xml:space="preserve"> and development of creative practice</w:t>
      </w:r>
      <w:r w:rsidR="009D7B5C">
        <w:t>s</w:t>
      </w:r>
      <w:r>
        <w:t>.</w:t>
      </w:r>
    </w:p>
    <w:p w14:paraId="7A512E08" w14:textId="4BC7237A" w:rsidR="00C43092" w:rsidRDefault="00396FA6" w:rsidP="00D44760">
      <w:pPr>
        <w:pStyle w:val="BodyText"/>
      </w:pPr>
      <w:r>
        <w:t>While i</w:t>
      </w:r>
      <w:r w:rsidR="006068B9">
        <w:t>ncome is not the</w:t>
      </w:r>
      <w:r>
        <w:t xml:space="preserve"> only motivation for artists to create new work, having access to income through copyright plays</w:t>
      </w:r>
      <w:r w:rsidR="006D605E">
        <w:t xml:space="preserve"> an important role in ensuring </w:t>
      </w:r>
      <w:r>
        <w:t xml:space="preserve">artists can </w:t>
      </w:r>
      <w:r w:rsidR="006636E3">
        <w:t>build a sustainable career.</w:t>
      </w:r>
      <w:r w:rsidR="00FE4245">
        <w:t xml:space="preserve"> </w:t>
      </w:r>
      <w:r w:rsidR="00462DF1">
        <w:t xml:space="preserve">Our nation has a moral commitment to artists owning and being able to exploit their intellectual property. </w:t>
      </w:r>
      <w:r w:rsidR="005351BA">
        <w:t>Mo</w:t>
      </w:r>
      <w:r w:rsidR="00462DF1">
        <w:t>ral rights are also important in ensuring the</w:t>
      </w:r>
      <w:r w:rsidR="005351BA">
        <w:t xml:space="preserve"> integrity of artists’ </w:t>
      </w:r>
      <w:r w:rsidR="00FC5522">
        <w:t>work,</w:t>
      </w:r>
      <w:r w:rsidR="005351BA">
        <w:t xml:space="preserve"> </w:t>
      </w:r>
      <w:r w:rsidR="000516B2">
        <w:t>and this</w:t>
      </w:r>
      <w:r w:rsidR="005351BA">
        <w:t xml:space="preserve"> is</w:t>
      </w:r>
      <w:r w:rsidR="00CE39B6">
        <w:t xml:space="preserve"> discuss</w:t>
      </w:r>
      <w:r w:rsidR="005351BA">
        <w:t>ed in more detail</w:t>
      </w:r>
      <w:r w:rsidR="00CE39B6">
        <w:t xml:space="preserve"> below.</w:t>
      </w:r>
    </w:p>
    <w:p w14:paraId="70860B91" w14:textId="0724E526" w:rsidR="001A028C" w:rsidRDefault="00F55BFC" w:rsidP="00D44760">
      <w:pPr>
        <w:pStyle w:val="BodyText"/>
      </w:pPr>
      <w:r>
        <w:t xml:space="preserve">The work of artists also has wider benefits in building a creative and innovative Australia. </w:t>
      </w:r>
      <w:r w:rsidR="0027260C">
        <w:t>The Australia Council’s research has found that 9 out of 10 Australians agree that the arts enrich daily life and make their lives more meaningful</w:t>
      </w:r>
      <w:r w:rsidR="00CE39B6">
        <w:t xml:space="preserve"> to both creators and consumers</w:t>
      </w:r>
      <w:r w:rsidR="0027260C">
        <w:t>;</w:t>
      </w:r>
      <w:r w:rsidR="0027260C">
        <w:rPr>
          <w:rStyle w:val="FootnoteReference"/>
        </w:rPr>
        <w:footnoteReference w:id="7"/>
      </w:r>
      <w:r w:rsidR="0027260C">
        <w:t xml:space="preserve"> and that more international tourists engage with the arts in Australia than visit casinos or wineries, or attend organised sport.</w:t>
      </w:r>
      <w:r w:rsidR="0027260C">
        <w:rPr>
          <w:rStyle w:val="FootnoteReference"/>
        </w:rPr>
        <w:footnoteReference w:id="8"/>
      </w:r>
      <w:r w:rsidR="00FE4245">
        <w:t xml:space="preserve"> This in turn supports </w:t>
      </w:r>
      <w:r w:rsidR="00CE39B6">
        <w:t>a vibrant cultural economy</w:t>
      </w:r>
      <w:r w:rsidR="00042648">
        <w:t xml:space="preserve"> and </w:t>
      </w:r>
      <w:r w:rsidR="00FD74C3">
        <w:t xml:space="preserve">a more creative </w:t>
      </w:r>
      <w:r w:rsidR="00042648">
        <w:t>society</w:t>
      </w:r>
      <w:r w:rsidR="00DE0708">
        <w:t>, which t</w:t>
      </w:r>
      <w:r w:rsidR="002F3ED6">
        <w:t xml:space="preserve">he Australia Council is committed to </w:t>
      </w:r>
      <w:r w:rsidR="00DE0708">
        <w:t>supporting</w:t>
      </w:r>
      <w:r w:rsidR="002F3ED6">
        <w:t xml:space="preserve"> under its Strategic Plan 2014-19, </w:t>
      </w:r>
      <w:r w:rsidR="002F3ED6" w:rsidRPr="00F14B78">
        <w:rPr>
          <w:i/>
        </w:rPr>
        <w:t>A Culturally Ambitious Nation</w:t>
      </w:r>
      <w:r w:rsidR="002F3ED6">
        <w:t>.</w:t>
      </w:r>
    </w:p>
    <w:p w14:paraId="10B3A071" w14:textId="77777777" w:rsidR="00F27524" w:rsidRPr="00C50037" w:rsidRDefault="00F27524" w:rsidP="00991133">
      <w:pPr>
        <w:pStyle w:val="Heading3"/>
      </w:pPr>
      <w:bookmarkStart w:id="10" w:name="_Toc437348757"/>
      <w:bookmarkStart w:id="11" w:name="_Toc437970005"/>
      <w:r>
        <w:t xml:space="preserve">Effectiveness of the copyright </w:t>
      </w:r>
      <w:r w:rsidR="00E471F0">
        <w:t xml:space="preserve">law </w:t>
      </w:r>
      <w:r>
        <w:t>framework</w:t>
      </w:r>
      <w:bookmarkEnd w:id="10"/>
      <w:bookmarkEnd w:id="11"/>
    </w:p>
    <w:p w14:paraId="561EBBC8" w14:textId="77777777" w:rsidR="00F27524" w:rsidRDefault="00F27524" w:rsidP="00F27524">
      <w:pPr>
        <w:pStyle w:val="BodyText"/>
        <w:rPr>
          <w:rFonts w:ascii="Arial" w:hAnsi="Arial" w:cs="Arial"/>
        </w:rPr>
      </w:pPr>
      <w:r w:rsidRPr="00F27524">
        <w:rPr>
          <w:rFonts w:ascii="Arial" w:hAnsi="Arial" w:cs="Arial"/>
        </w:rPr>
        <w:t xml:space="preserve">Encouraging the creativity of artists and other rights holders should be a key consideration </w:t>
      </w:r>
      <w:r w:rsidR="003948DE">
        <w:rPr>
          <w:rFonts w:ascii="Arial" w:hAnsi="Arial" w:cs="Arial"/>
        </w:rPr>
        <w:t>in any copyright law framework.</w:t>
      </w:r>
    </w:p>
    <w:p w14:paraId="7416D25A" w14:textId="77777777" w:rsidR="00F27524" w:rsidRDefault="00F27524" w:rsidP="00F27524">
      <w:pPr>
        <w:pStyle w:val="BodyText"/>
        <w:rPr>
          <w:rFonts w:ascii="Arial" w:hAnsi="Arial" w:cs="Arial"/>
        </w:rPr>
      </w:pPr>
      <w:r>
        <w:rPr>
          <w:rFonts w:ascii="Arial" w:hAnsi="Arial" w:cs="Arial"/>
        </w:rPr>
        <w:t xml:space="preserve">The Australia Council recognises there is a need to balance the intellectual property rights of artists with access to creative works for audiences and artists seeking to re-use and </w:t>
      </w:r>
      <w:r>
        <w:rPr>
          <w:rFonts w:ascii="Arial" w:hAnsi="Arial" w:cs="Arial"/>
        </w:rPr>
        <w:br/>
        <w:t>re-purpose work to explore emergi</w:t>
      </w:r>
      <w:r w:rsidR="00750DCD">
        <w:rPr>
          <w:rFonts w:ascii="Arial" w:hAnsi="Arial" w:cs="Arial"/>
        </w:rPr>
        <w:t>ng and experimental arts practic</w:t>
      </w:r>
      <w:r>
        <w:rPr>
          <w:rFonts w:ascii="Arial" w:hAnsi="Arial" w:cs="Arial"/>
        </w:rPr>
        <w:t>e.</w:t>
      </w:r>
    </w:p>
    <w:p w14:paraId="4D88DBA4" w14:textId="77777777" w:rsidR="00D03CFA" w:rsidRDefault="00F27524" w:rsidP="00D44760">
      <w:pPr>
        <w:pStyle w:val="BodyText"/>
        <w:rPr>
          <w:rFonts w:ascii="Arial" w:hAnsi="Arial" w:cs="Arial"/>
        </w:rPr>
      </w:pPr>
      <w:r>
        <w:rPr>
          <w:rFonts w:ascii="Arial" w:hAnsi="Arial" w:cs="Arial"/>
        </w:rPr>
        <w:t xml:space="preserve">Current intellectual property arrangements </w:t>
      </w:r>
      <w:r w:rsidR="00C43092">
        <w:rPr>
          <w:rFonts w:ascii="Arial" w:hAnsi="Arial" w:cs="Arial"/>
        </w:rPr>
        <w:t>provide remuneration</w:t>
      </w:r>
      <w:r>
        <w:rPr>
          <w:rFonts w:ascii="Arial" w:hAnsi="Arial" w:cs="Arial"/>
        </w:rPr>
        <w:t xml:space="preserve"> and uphold the rights of artists, </w:t>
      </w:r>
      <w:r w:rsidR="00A21132">
        <w:rPr>
          <w:rFonts w:ascii="Arial" w:hAnsi="Arial" w:cs="Arial"/>
        </w:rPr>
        <w:t>leading to</w:t>
      </w:r>
      <w:r>
        <w:rPr>
          <w:rFonts w:ascii="Arial" w:hAnsi="Arial" w:cs="Arial"/>
        </w:rPr>
        <w:t xml:space="preserve"> a diverse range of Australian creative work </w:t>
      </w:r>
      <w:r w:rsidR="00CA15CC">
        <w:rPr>
          <w:rFonts w:ascii="Arial" w:hAnsi="Arial" w:cs="Arial"/>
        </w:rPr>
        <w:t xml:space="preserve">being </w:t>
      </w:r>
      <w:r>
        <w:rPr>
          <w:rFonts w:ascii="Arial" w:hAnsi="Arial" w:cs="Arial"/>
        </w:rPr>
        <w:t>available for audiences to enjoy nationally and internationally. Emerging and experimental artists continue to innovate and create new work through the existing framework.</w:t>
      </w:r>
    </w:p>
    <w:p w14:paraId="7842FF84" w14:textId="77777777" w:rsidR="00DF2368" w:rsidRDefault="00DF2368" w:rsidP="00DF2368">
      <w:pPr>
        <w:pStyle w:val="BodyText"/>
      </w:pPr>
      <w:r>
        <w:t xml:space="preserve">The </w:t>
      </w:r>
      <w:r>
        <w:rPr>
          <w:i/>
        </w:rPr>
        <w:t>Copyright Act</w:t>
      </w:r>
      <w:r>
        <w:t xml:space="preserve"> </w:t>
      </w:r>
      <w:r w:rsidRPr="00F123DD">
        <w:rPr>
          <w:i/>
        </w:rPr>
        <w:t>1968</w:t>
      </w:r>
      <w:r>
        <w:t xml:space="preserve"> (</w:t>
      </w:r>
      <w:r w:rsidRPr="00C26BE1">
        <w:t>Copyright Act</w:t>
      </w:r>
      <w:r>
        <w:t>) is primarily designed to protect the economic rights of creators, through the original expression of creativity rather than an idea.</w:t>
      </w:r>
      <w:r>
        <w:rPr>
          <w:rStyle w:val="FootnoteReference"/>
        </w:rPr>
        <w:footnoteReference w:id="9"/>
      </w:r>
    </w:p>
    <w:p w14:paraId="3EE5282C" w14:textId="4A3F83DF" w:rsidR="00DF2368" w:rsidRPr="00F14B78" w:rsidRDefault="00DF2368" w:rsidP="00D44760">
      <w:pPr>
        <w:pStyle w:val="BodyText"/>
      </w:pPr>
      <w:r>
        <w:t>The current framework operates effectively as artists can derive income to continue creating new work and contribute to a stronger cultural economy.</w:t>
      </w:r>
    </w:p>
    <w:p w14:paraId="68841337" w14:textId="2CC438ED" w:rsidR="00D03CFA" w:rsidRDefault="00D03CFA" w:rsidP="00D44760">
      <w:pPr>
        <w:pStyle w:val="BodyText"/>
        <w:rPr>
          <w:rFonts w:ascii="Arial" w:hAnsi="Arial" w:cs="Arial"/>
        </w:rPr>
      </w:pPr>
      <w:r>
        <w:rPr>
          <w:rFonts w:ascii="Arial" w:hAnsi="Arial" w:cs="Arial"/>
        </w:rPr>
        <w:t>Any changes to creators’</w:t>
      </w:r>
      <w:r w:rsidRPr="00D03CFA">
        <w:rPr>
          <w:rFonts w:ascii="Arial" w:hAnsi="Arial" w:cs="Arial"/>
        </w:rPr>
        <w:t xml:space="preserve"> intellectual property rights could lead to a decline in the creation of Australian work due to insufficient incentives and remuneration available for artists. </w:t>
      </w:r>
      <w:r w:rsidR="001A4379">
        <w:rPr>
          <w:rFonts w:ascii="Arial" w:hAnsi="Arial" w:cs="Arial"/>
        </w:rPr>
        <w:br/>
      </w:r>
      <w:r w:rsidRPr="00D03CFA">
        <w:rPr>
          <w:rFonts w:ascii="Arial" w:hAnsi="Arial" w:cs="Arial"/>
        </w:rPr>
        <w:t>This would reduce national and international audience access to Australian artistic works, includin</w:t>
      </w:r>
      <w:r w:rsidR="00CB6306">
        <w:rPr>
          <w:rFonts w:ascii="Arial" w:hAnsi="Arial" w:cs="Arial"/>
        </w:rPr>
        <w:t>g books, music, visual and</w:t>
      </w:r>
      <w:r w:rsidR="000809BB">
        <w:rPr>
          <w:rFonts w:ascii="Arial" w:hAnsi="Arial" w:cs="Arial"/>
        </w:rPr>
        <w:t xml:space="preserve"> performing art</w:t>
      </w:r>
      <w:r w:rsidRPr="00D03CFA">
        <w:rPr>
          <w:rFonts w:ascii="Arial" w:hAnsi="Arial" w:cs="Arial"/>
        </w:rPr>
        <w:t>works.</w:t>
      </w:r>
    </w:p>
    <w:p w14:paraId="2A2F262B" w14:textId="77777777" w:rsidR="00001DA2" w:rsidRDefault="000C2785" w:rsidP="00F14B78">
      <w:pPr>
        <w:pStyle w:val="BodyText"/>
      </w:pPr>
      <w:r>
        <w:t>Weakening protections for creators through changes to intellectual property arrangements would impact on the incomes and careers of artists, and could lead to the need for further government investment to ensure new Australian work continues to be created.</w:t>
      </w:r>
      <w:bookmarkStart w:id="12" w:name="_Toc437348758"/>
    </w:p>
    <w:p w14:paraId="545AE557" w14:textId="6DD80BA2" w:rsidR="00F00123" w:rsidRPr="00F00123" w:rsidRDefault="00F00123" w:rsidP="00991133">
      <w:pPr>
        <w:pStyle w:val="Heading3"/>
      </w:pPr>
      <w:bookmarkStart w:id="13" w:name="_Toc437970006"/>
      <w:r w:rsidRPr="00F00123">
        <w:t>Copyright and digital technology</w:t>
      </w:r>
      <w:bookmarkEnd w:id="12"/>
      <w:bookmarkEnd w:id="13"/>
    </w:p>
    <w:p w14:paraId="3E1D0F33" w14:textId="76344818" w:rsidR="00012AC4" w:rsidRDefault="00012AC4" w:rsidP="00D44760">
      <w:pPr>
        <w:pStyle w:val="BodyText"/>
      </w:pPr>
      <w:r>
        <w:t xml:space="preserve">The Australia Council refers the </w:t>
      </w:r>
      <w:r w:rsidR="00B9349C">
        <w:t xml:space="preserve">Productivity Commission </w:t>
      </w:r>
      <w:r>
        <w:t xml:space="preserve">to </w:t>
      </w:r>
      <w:r w:rsidR="005E0132">
        <w:t xml:space="preserve">its </w:t>
      </w:r>
      <w:r>
        <w:t xml:space="preserve">submissions made to the </w:t>
      </w:r>
      <w:r w:rsidRPr="00C26BE1">
        <w:t>ALRC</w:t>
      </w:r>
      <w:r>
        <w:t xml:space="preserve"> </w:t>
      </w:r>
      <w:r w:rsidR="008D2009">
        <w:t>review on</w:t>
      </w:r>
      <w:r>
        <w:t xml:space="preserve"> Copyright and the Digital Economy.</w:t>
      </w:r>
    </w:p>
    <w:p w14:paraId="57832D9B" w14:textId="2F8CDDBF" w:rsidR="00B23B1C" w:rsidRDefault="0038560B" w:rsidP="00D44760">
      <w:pPr>
        <w:pStyle w:val="BodyText"/>
      </w:pPr>
      <w:r>
        <w:t>Technology develops and affects the creation of new artistic works across various art forms; from literature and music through to visual and</w:t>
      </w:r>
      <w:r w:rsidR="007C44BD">
        <w:t xml:space="preserve"> performing arts.</w:t>
      </w:r>
    </w:p>
    <w:p w14:paraId="25425ABC" w14:textId="54E8A850" w:rsidR="004724CE" w:rsidRDefault="005D2DBC" w:rsidP="001E6CCE">
      <w:pPr>
        <w:pStyle w:val="BodyText"/>
      </w:pPr>
      <w:r>
        <w:t xml:space="preserve">Artists have embraced the possibilities </w:t>
      </w:r>
      <w:r w:rsidR="0057778B">
        <w:t xml:space="preserve">of </w:t>
      </w:r>
      <w:r>
        <w:t xml:space="preserve">new digital tools and platforms for both the creation of work and engagement with audiences in </w:t>
      </w:r>
      <w:r w:rsidR="001A2099">
        <w:t xml:space="preserve">direct and </w:t>
      </w:r>
      <w:r>
        <w:t>immediate ways.</w:t>
      </w:r>
    </w:p>
    <w:p w14:paraId="2F1B10D4" w14:textId="55069789" w:rsidR="00B23B1C" w:rsidRDefault="007C44BD" w:rsidP="001E6CCE">
      <w:pPr>
        <w:pStyle w:val="BodyText"/>
      </w:pPr>
      <w:r>
        <w:t>However, w</w:t>
      </w:r>
      <w:r w:rsidR="00DD7EDD">
        <w:t>hile artists can benefit from using digital technology in their work</w:t>
      </w:r>
      <w:r w:rsidR="002506DD">
        <w:t xml:space="preserve">, </w:t>
      </w:r>
      <w:r w:rsidR="00DD7EDD">
        <w:t xml:space="preserve">it is important to note that </w:t>
      </w:r>
      <w:r w:rsidR="002506DD">
        <w:t>t</w:t>
      </w:r>
      <w:r w:rsidR="001E6CCE">
        <w:t>he digital era has</w:t>
      </w:r>
      <w:r w:rsidR="002506DD">
        <w:t xml:space="preserve"> also</w:t>
      </w:r>
      <w:r w:rsidR="001E6CCE">
        <w:t xml:space="preserve"> </w:t>
      </w:r>
      <w:r w:rsidR="0027260C">
        <w:t xml:space="preserve">changed and </w:t>
      </w:r>
      <w:r w:rsidR="001E6CCE">
        <w:t xml:space="preserve">threatened income streams </w:t>
      </w:r>
      <w:r w:rsidR="0027260C">
        <w:t xml:space="preserve">for </w:t>
      </w:r>
      <w:r w:rsidR="001E6CCE">
        <w:t>art</w:t>
      </w:r>
      <w:r w:rsidR="00764B96">
        <w:t>ists</w:t>
      </w:r>
      <w:r w:rsidR="00DD7EDD">
        <w:t>.</w:t>
      </w:r>
      <w:r w:rsidR="00B23B1C">
        <w:t xml:space="preserve"> </w:t>
      </w:r>
      <w:r w:rsidR="00DD7EDD">
        <w:t>This is</w:t>
      </w:r>
      <w:r w:rsidR="00764B96">
        <w:t xml:space="preserve"> particularly </w:t>
      </w:r>
      <w:r w:rsidR="00DD7EDD">
        <w:t xml:space="preserve">the case for </w:t>
      </w:r>
      <w:r w:rsidR="00764B96">
        <w:t xml:space="preserve">artists who create work that is easily shared </w:t>
      </w:r>
      <w:r w:rsidR="001E6CCE">
        <w:t>illegal</w:t>
      </w:r>
      <w:r w:rsidR="00764B96">
        <w:t>ly through</w:t>
      </w:r>
      <w:r w:rsidR="001E6CCE">
        <w:t xml:space="preserve"> means such as streaming or downloading.</w:t>
      </w:r>
    </w:p>
    <w:p w14:paraId="3D71ED74" w14:textId="54B5F2A2" w:rsidR="004724CE" w:rsidRDefault="0027260C" w:rsidP="001E6CCE">
      <w:pPr>
        <w:pStyle w:val="BodyText"/>
        <w:rPr>
          <w:rFonts w:cstheme="minorHAnsi"/>
        </w:rPr>
      </w:pPr>
      <w:r w:rsidRPr="00055B5B">
        <w:rPr>
          <w:rFonts w:cstheme="minorHAnsi"/>
        </w:rPr>
        <w:t>2014 saw a</w:t>
      </w:r>
      <w:r w:rsidRPr="00326C05">
        <w:rPr>
          <w:rFonts w:cstheme="minorHAnsi"/>
          <w:color w:val="000000"/>
        </w:rPr>
        <w:t xml:space="preserve"> global milestone of parity achieved between digital and physical music revenues, and </w:t>
      </w:r>
      <w:r>
        <w:rPr>
          <w:rFonts w:cstheme="minorHAnsi"/>
          <w:color w:val="000000"/>
        </w:rPr>
        <w:t>digital sales through streaming services are</w:t>
      </w:r>
      <w:r w:rsidRPr="00326C05">
        <w:rPr>
          <w:rFonts w:cstheme="minorHAnsi"/>
          <w:color w:val="000000"/>
        </w:rPr>
        <w:t xml:space="preserve"> growing in Australia.</w:t>
      </w:r>
      <w:r>
        <w:rPr>
          <w:rStyle w:val="FootnoteReference"/>
          <w:rFonts w:cstheme="minorHAnsi"/>
          <w:color w:val="000000"/>
        </w:rPr>
        <w:footnoteReference w:id="10"/>
      </w:r>
      <w:r w:rsidRPr="00326C05">
        <w:rPr>
          <w:rFonts w:cstheme="minorHAnsi"/>
          <w:color w:val="000000"/>
        </w:rPr>
        <w:t xml:space="preserve"> However </w:t>
      </w:r>
      <w:r w:rsidRPr="00326C05">
        <w:rPr>
          <w:rFonts w:cstheme="minorHAnsi"/>
        </w:rPr>
        <w:t>a recent international study found that</w:t>
      </w:r>
      <w:r w:rsidR="00B82659">
        <w:rPr>
          <w:rFonts w:cstheme="minorHAnsi"/>
        </w:rPr>
        <w:t xml:space="preserve"> even</w:t>
      </w:r>
      <w:r w:rsidRPr="00326C05">
        <w:rPr>
          <w:rFonts w:cstheme="minorHAnsi"/>
        </w:rPr>
        <w:t xml:space="preserve"> </w:t>
      </w:r>
      <w:r w:rsidR="00B82659">
        <w:rPr>
          <w:rFonts w:cstheme="minorHAnsi"/>
        </w:rPr>
        <w:t xml:space="preserve">authorised </w:t>
      </w:r>
      <w:r w:rsidRPr="00326C05">
        <w:rPr>
          <w:rFonts w:cstheme="minorHAnsi"/>
        </w:rPr>
        <w:t>st</w:t>
      </w:r>
      <w:r w:rsidR="00DD7EDD">
        <w:rPr>
          <w:rFonts w:cstheme="minorHAnsi"/>
        </w:rPr>
        <w:t>r</w:t>
      </w:r>
      <w:r w:rsidRPr="00326C05">
        <w:rPr>
          <w:rFonts w:cstheme="minorHAnsi"/>
        </w:rPr>
        <w:t>eaming services are built on an exploitative value chain that undervalues music, with only 6% of revenues shared among songwriters and music publishers on average.</w:t>
      </w:r>
      <w:r w:rsidRPr="00326C05">
        <w:rPr>
          <w:rStyle w:val="FootnoteReference"/>
          <w:rFonts w:cstheme="minorHAnsi"/>
        </w:rPr>
        <w:footnoteReference w:id="11"/>
      </w:r>
    </w:p>
    <w:p w14:paraId="55C15BC7" w14:textId="451B2CE2" w:rsidR="00800C5F" w:rsidRDefault="00800C5F" w:rsidP="00B74A25">
      <w:pPr>
        <w:pStyle w:val="BodyText"/>
      </w:pPr>
      <w:r>
        <w:t>While the current framework is operating effectively by providing a means for artists to receive income from their work, the efficiency of the copyright framework is impacted by the practical realities of copyright enforcement and digital technologies.</w:t>
      </w:r>
      <w:r w:rsidRPr="00890A38">
        <w:t xml:space="preserve"> </w:t>
      </w:r>
      <w:r>
        <w:t xml:space="preserve">Copyright law should be responsive to the ability of artists to both protect work and share it with broader audiences. It is the Australia Council’s view that, notwithstanding efficiencies that could be improved in response to </w:t>
      </w:r>
      <w:r w:rsidR="00B74A25">
        <w:t>the use of digital technology and</w:t>
      </w:r>
      <w:r>
        <w:t xml:space="preserve"> the arts, the current copyright system strikes a sufficient balance between enabling artists to create and consumers to access creative work,</w:t>
      </w:r>
      <w:r w:rsidR="00B74A25">
        <w:t xml:space="preserve"> and this should be maintained.</w:t>
      </w:r>
    </w:p>
    <w:p w14:paraId="78F04F56" w14:textId="2DEA6F4F" w:rsidR="007C44BD" w:rsidRDefault="007C44BD" w:rsidP="00991133">
      <w:pPr>
        <w:pStyle w:val="Heading3"/>
      </w:pPr>
      <w:bookmarkStart w:id="14" w:name="_Toc437970007"/>
      <w:r>
        <w:t>‘Fair use’ and copyright in Australia</w:t>
      </w:r>
      <w:bookmarkEnd w:id="14"/>
    </w:p>
    <w:p w14:paraId="14568A2D" w14:textId="046E9DF0" w:rsidR="00D53B56" w:rsidRPr="00F14B78" w:rsidRDefault="00D53B56" w:rsidP="005C2556">
      <w:pPr>
        <w:spacing w:before="170" w:after="170" w:line="264" w:lineRule="auto"/>
        <w:rPr>
          <w:sz w:val="22"/>
        </w:rPr>
      </w:pPr>
      <w:r w:rsidRPr="00F14B78">
        <w:t xml:space="preserve">The Australia Council does not support the expansion of fair dealing categories or the introduction of a United States style </w:t>
      </w:r>
      <w:r w:rsidR="00A9308C">
        <w:t>‘</w:t>
      </w:r>
      <w:r w:rsidRPr="00F14B78">
        <w:t>fair use</w:t>
      </w:r>
      <w:r w:rsidR="00A9308C">
        <w:t>’</w:t>
      </w:r>
      <w:r w:rsidRPr="00F14B78">
        <w:t xml:space="preserve"> regime. The </w:t>
      </w:r>
      <w:r w:rsidR="00A37BF5">
        <w:t>‘</w:t>
      </w:r>
      <w:r w:rsidRPr="00F14B78">
        <w:t>fair use</w:t>
      </w:r>
      <w:r w:rsidR="00A37BF5">
        <w:t>’</w:t>
      </w:r>
      <w:r w:rsidRPr="00F14B78">
        <w:t xml:space="preserve"> regime has been shown to negatively impact artists and arts organisations through unnecessary or inaccessible litigation</w:t>
      </w:r>
      <w:r>
        <w:t>.</w:t>
      </w:r>
      <w:r>
        <w:rPr>
          <w:rStyle w:val="FootnoteReference"/>
        </w:rPr>
        <w:footnoteReference w:id="12"/>
      </w:r>
      <w:r>
        <w:t xml:space="preserve"> </w:t>
      </w:r>
      <w:r w:rsidR="00D46D12">
        <w:br/>
      </w:r>
      <w:r w:rsidRPr="00F14B78">
        <w:t>The current narrow fair dealing categories in the Australian copyright system discourage unlimited use of artists’ work, and are sufficiently fair to both artists and consumers or other creators.</w:t>
      </w:r>
    </w:p>
    <w:p w14:paraId="552C838B" w14:textId="773533C8" w:rsidR="00647DCC" w:rsidRDefault="00647DCC" w:rsidP="005C2556">
      <w:pPr>
        <w:pStyle w:val="BodyText"/>
      </w:pPr>
      <w:r>
        <w:t>A</w:t>
      </w:r>
      <w:r w:rsidR="005F6C47">
        <w:t>s noted in Council’s submission in response to the ALRC Discussion Paper on Copyright and the Digital Economy, there are</w:t>
      </w:r>
      <w:r>
        <w:t xml:space="preserve"> concern</w:t>
      </w:r>
      <w:r w:rsidR="005F6C47">
        <w:t xml:space="preserve">s that introduction of </w:t>
      </w:r>
      <w:r>
        <w:t xml:space="preserve">a ‘fair use’ model </w:t>
      </w:r>
      <w:r w:rsidR="005F6C47">
        <w:t xml:space="preserve">in Australia would create uncertainty </w:t>
      </w:r>
      <w:r>
        <w:t xml:space="preserve">for artists and copyright </w:t>
      </w:r>
      <w:r w:rsidR="005F6C47">
        <w:t>users</w:t>
      </w:r>
      <w:r>
        <w:t xml:space="preserve">. Extensive litigation would be required to clarify the new parameters of copyright under the common law. </w:t>
      </w:r>
      <w:r w:rsidR="00A37BF5">
        <w:t xml:space="preserve">The onus would be </w:t>
      </w:r>
      <w:r>
        <w:t>on artists to protect their copyright</w:t>
      </w:r>
      <w:r w:rsidR="00A37BF5">
        <w:t>,</w:t>
      </w:r>
      <w:r>
        <w:t xml:space="preserve"> and </w:t>
      </w:r>
      <w:r w:rsidR="00A37BF5">
        <w:t>given the limited resources available for</w:t>
      </w:r>
      <w:r>
        <w:t xml:space="preserve"> them to pursue litigation, it is the Australia Council’s view that this would leave the artistic community at a disadvantage. </w:t>
      </w:r>
      <w:r w:rsidR="00DE0B14">
        <w:t>As outlined above,</w:t>
      </w:r>
      <w:r w:rsidR="005F6C47">
        <w:t xml:space="preserve"> </w:t>
      </w:r>
      <w:r w:rsidR="005F6C47" w:rsidRPr="005F6C47">
        <w:t xml:space="preserve">median income </w:t>
      </w:r>
      <w:r w:rsidR="005F6C47">
        <w:t>from artists’</w:t>
      </w:r>
      <w:r w:rsidR="005F6C47" w:rsidRPr="005F6C47">
        <w:t xml:space="preserve"> creative practice varies between $7,000 and $22,500 per annum</w:t>
      </w:r>
      <w:r w:rsidR="005F6C47">
        <w:t>.</w:t>
      </w:r>
      <w:r w:rsidR="005F6C47">
        <w:rPr>
          <w:rStyle w:val="FootnoteReference"/>
        </w:rPr>
        <w:footnoteReference w:id="13"/>
      </w:r>
    </w:p>
    <w:p w14:paraId="2A0D607B" w14:textId="632A06CB" w:rsidR="00647DCC" w:rsidRDefault="00DE0B14" w:rsidP="005C2556">
      <w:pPr>
        <w:pStyle w:val="BodyText"/>
      </w:pPr>
      <w:r>
        <w:t>If a ‘fair use’ model were introduced, there would be a need for</w:t>
      </w:r>
      <w:r w:rsidR="00647DCC">
        <w:t xml:space="preserve"> increased</w:t>
      </w:r>
      <w:r>
        <w:t xml:space="preserve"> operational funding for </w:t>
      </w:r>
      <w:r w:rsidR="00647DCC">
        <w:t xml:space="preserve">organisations </w:t>
      </w:r>
      <w:r>
        <w:t>such as</w:t>
      </w:r>
      <w:r w:rsidR="00647DCC">
        <w:t xml:space="preserve"> the Arts Law Centre of Australia and th</w:t>
      </w:r>
      <w:r>
        <w:t>e Australian Copyright Council, which the Australia Council currently provides with operational program funding. These organisations assist artists in protecting their intellectual property rights</w:t>
      </w:r>
      <w:r w:rsidR="00647DCC">
        <w:t xml:space="preserve">. </w:t>
      </w:r>
      <w:r w:rsidR="00ED187A">
        <w:t>A</w:t>
      </w:r>
      <w:r w:rsidR="00647DCC">
        <w:t xml:space="preserve"> </w:t>
      </w:r>
      <w:r w:rsidR="00ED187A">
        <w:t>‘</w:t>
      </w:r>
      <w:r w:rsidR="00647DCC">
        <w:t>fair use</w:t>
      </w:r>
      <w:r w:rsidR="00ED187A">
        <w:t>’</w:t>
      </w:r>
      <w:r w:rsidR="00647DCC">
        <w:t xml:space="preserve"> model could, in effect, require additional public resourcing for the arts, to support individual creators to clarify and protect their copyright.</w:t>
      </w:r>
    </w:p>
    <w:p w14:paraId="3317B8FC" w14:textId="77777777" w:rsidR="00A21376" w:rsidRDefault="00A21376" w:rsidP="00991133">
      <w:pPr>
        <w:pStyle w:val="Heading3"/>
      </w:pPr>
      <w:bookmarkStart w:id="15" w:name="_Toc437970008"/>
      <w:r>
        <w:t>Design and copyright</w:t>
      </w:r>
      <w:bookmarkEnd w:id="15"/>
    </w:p>
    <w:p w14:paraId="30206CC5" w14:textId="6CA3E8DC" w:rsidR="00A21376" w:rsidRDefault="00A21376" w:rsidP="00A21376">
      <w:pPr>
        <w:pStyle w:val="BodyText"/>
      </w:pPr>
      <w:r>
        <w:t xml:space="preserve">Visual artists, designers and other artists who require protection for their designs may find the current overlapping system uncertain. The Australia Council notes the recent review into </w:t>
      </w:r>
      <w:r w:rsidR="007E030B">
        <w:t xml:space="preserve">the efficacy of protections under </w:t>
      </w:r>
      <w:r>
        <w:t xml:space="preserve">the </w:t>
      </w:r>
      <w:r>
        <w:rPr>
          <w:i/>
        </w:rPr>
        <w:t xml:space="preserve">Design Act </w:t>
      </w:r>
      <w:r w:rsidRPr="00D037C1">
        <w:rPr>
          <w:i/>
        </w:rPr>
        <w:t>2003</w:t>
      </w:r>
      <w:r>
        <w:t xml:space="preserve"> </w:t>
      </w:r>
      <w:r w:rsidR="007E030B">
        <w:t xml:space="preserve">and other mechanisms </w:t>
      </w:r>
      <w:r>
        <w:t xml:space="preserve">by the </w:t>
      </w:r>
      <w:r w:rsidRPr="0004445F">
        <w:t>Advisory Council on Intellectual Property’s (ACIP) Review of the Designs System</w:t>
      </w:r>
      <w:r>
        <w:t>, which released its final report this year.</w:t>
      </w:r>
    </w:p>
    <w:p w14:paraId="66F99782" w14:textId="77777777" w:rsidR="00A21376" w:rsidRDefault="00A21376" w:rsidP="00D44760">
      <w:pPr>
        <w:pStyle w:val="BodyText"/>
      </w:pPr>
      <w:r>
        <w:t>The Australia Council generally supports increased protection for designers which ensures certainty, and also which provides for the ability of artists to mass produce designs. This is in line with our view that artists should have the opportunity to generate income from their artistic work as outlined above.</w:t>
      </w:r>
    </w:p>
    <w:p w14:paraId="10363D2E" w14:textId="77777777" w:rsidR="00006D44" w:rsidRPr="00103BFE" w:rsidRDefault="00103BFE" w:rsidP="00991133">
      <w:pPr>
        <w:pStyle w:val="Heading3"/>
      </w:pPr>
      <w:bookmarkStart w:id="16" w:name="_Toc437348759"/>
      <w:bookmarkStart w:id="17" w:name="_Toc437970009"/>
      <w:r w:rsidRPr="00103BFE">
        <w:t>Importance of</w:t>
      </w:r>
      <w:r w:rsidR="00006D44" w:rsidRPr="00103BFE">
        <w:t xml:space="preserve"> </w:t>
      </w:r>
      <w:r w:rsidRPr="00103BFE">
        <w:t>moral rights</w:t>
      </w:r>
      <w:bookmarkEnd w:id="16"/>
      <w:bookmarkEnd w:id="17"/>
    </w:p>
    <w:p w14:paraId="25AE3A17" w14:textId="0E2CC5FE" w:rsidR="000107A7" w:rsidRDefault="002D484D" w:rsidP="00875B89">
      <w:pPr>
        <w:pStyle w:val="BodyText"/>
      </w:pPr>
      <w:r>
        <w:t xml:space="preserve">The Australia Council </w:t>
      </w:r>
      <w:r w:rsidR="00103BFE">
        <w:t>believes</w:t>
      </w:r>
      <w:r w:rsidR="00F43EDE">
        <w:t xml:space="preserve"> recognition of the integrity of artists and artists’ work is essential </w:t>
      </w:r>
      <w:r w:rsidR="004F38E1">
        <w:t xml:space="preserve">to any robust copyright system. </w:t>
      </w:r>
      <w:r w:rsidR="002363AE">
        <w:t>Moral rights</w:t>
      </w:r>
      <w:r w:rsidR="00FC5522">
        <w:t xml:space="preserve"> </w:t>
      </w:r>
      <w:r w:rsidR="00FC5522" w:rsidRPr="00FC5522">
        <w:t>are integral to protecting and ensuring the reputations of artists and their works</w:t>
      </w:r>
      <w:r w:rsidR="00FC5522">
        <w:t xml:space="preserve">, and </w:t>
      </w:r>
      <w:r w:rsidR="002363AE">
        <w:t>provide economic benefit</w:t>
      </w:r>
      <w:r w:rsidR="00DF245B">
        <w:t>s</w:t>
      </w:r>
      <w:r w:rsidR="002363AE">
        <w:t xml:space="preserve"> to artists.</w:t>
      </w:r>
      <w:r w:rsidR="00F76B10">
        <w:t xml:space="preserve"> Such protection</w:t>
      </w:r>
      <w:r w:rsidR="000107A7">
        <w:t xml:space="preserve"> encourage</w:t>
      </w:r>
      <w:r w:rsidR="00F76B10">
        <w:t>s</w:t>
      </w:r>
      <w:r w:rsidR="000107A7">
        <w:t xml:space="preserve"> additional creative works, increasing access for audiences and benefiting society and the economy through a greater range of creative works available.</w:t>
      </w:r>
    </w:p>
    <w:p w14:paraId="7D312E29" w14:textId="76F16C1A" w:rsidR="00D46D12" w:rsidRDefault="00B77C63" w:rsidP="00875B89">
      <w:pPr>
        <w:pStyle w:val="BodyText"/>
        <w:rPr>
          <w:rFonts w:ascii="Arial" w:hAnsi="Arial" w:cs="Arial"/>
          <w:bCs/>
        </w:rPr>
      </w:pPr>
      <w:r>
        <w:t>I</w:t>
      </w:r>
      <w:r w:rsidR="00067DEA">
        <w:t>ntroduction of</w:t>
      </w:r>
      <w:r>
        <w:t xml:space="preserve"> moral rights into the copyright framework has had a positive impact. The</w:t>
      </w:r>
      <w:r w:rsidR="0025514D">
        <w:t xml:space="preserve">re was a </w:t>
      </w:r>
      <w:r w:rsidR="004F38E1">
        <w:t xml:space="preserve">substantial reduction in the incidences of moral rights infringement experienced by artists </w:t>
      </w:r>
      <w:r w:rsidR="007D5D41">
        <w:t>after moral rights were incorporated into</w:t>
      </w:r>
      <w:r w:rsidR="004F38E1">
        <w:t xml:space="preserve"> </w:t>
      </w:r>
      <w:r w:rsidR="007D5D41">
        <w:t>the</w:t>
      </w:r>
      <w:r w:rsidR="004F38E1">
        <w:t xml:space="preserve"> </w:t>
      </w:r>
      <w:r w:rsidR="004F38E1" w:rsidRPr="0092179A">
        <w:rPr>
          <w:rFonts w:ascii="Arial" w:hAnsi="Arial" w:cs="Arial"/>
          <w:bCs/>
          <w:i/>
        </w:rPr>
        <w:t xml:space="preserve">Copyright Act </w:t>
      </w:r>
      <w:r w:rsidR="004F38E1" w:rsidRPr="0092179A">
        <w:rPr>
          <w:rFonts w:ascii="Arial" w:hAnsi="Arial" w:cs="Arial"/>
          <w:bCs/>
        </w:rPr>
        <w:t xml:space="preserve">in 2000 </w:t>
      </w:r>
      <w:r w:rsidR="00631F72">
        <w:t>in line with the</w:t>
      </w:r>
      <w:r w:rsidR="004F38E1">
        <w:t xml:space="preserve"> </w:t>
      </w:r>
      <w:r w:rsidR="004F38E1">
        <w:rPr>
          <w:i/>
        </w:rPr>
        <w:t>Berne Convention</w:t>
      </w:r>
      <w:r w:rsidR="005C2556">
        <w:rPr>
          <w:rFonts w:ascii="Arial" w:hAnsi="Arial" w:cs="Arial"/>
          <w:bCs/>
        </w:rPr>
        <w:t>.</w:t>
      </w:r>
    </w:p>
    <w:p w14:paraId="27F7476B" w14:textId="62C4C5BE" w:rsidR="004F38E1" w:rsidRDefault="004E623C" w:rsidP="00875B89">
      <w:pPr>
        <w:pStyle w:val="BodyText"/>
      </w:pPr>
      <w:r>
        <w:rPr>
          <w:rFonts w:ascii="Arial" w:hAnsi="Arial" w:cs="Arial"/>
          <w:bCs/>
        </w:rPr>
        <w:t xml:space="preserve">When the </w:t>
      </w:r>
      <w:r w:rsidR="004F38E1" w:rsidRPr="0092179A">
        <w:rPr>
          <w:rFonts w:ascii="Arial" w:hAnsi="Arial" w:cs="Arial"/>
        </w:rPr>
        <w:t xml:space="preserve">legislation was amended in 2000, 55% of artists reported </w:t>
      </w:r>
      <w:r w:rsidR="00847045">
        <w:rPr>
          <w:rFonts w:ascii="Arial" w:hAnsi="Arial" w:cs="Arial"/>
        </w:rPr>
        <w:t xml:space="preserve">that they were </w:t>
      </w:r>
      <w:r w:rsidR="004F38E1" w:rsidRPr="0092179A">
        <w:rPr>
          <w:rFonts w:ascii="Arial" w:hAnsi="Arial" w:cs="Arial"/>
        </w:rPr>
        <w:t>not always acknowledged as the creators of their work</w:t>
      </w:r>
      <w:r w:rsidR="00A9308C">
        <w:rPr>
          <w:rFonts w:ascii="Arial" w:hAnsi="Arial" w:cs="Arial"/>
        </w:rPr>
        <w:t>.</w:t>
      </w:r>
      <w:r w:rsidR="004F38E1" w:rsidRPr="0092179A">
        <w:rPr>
          <w:rStyle w:val="FootnoteReference"/>
          <w:rFonts w:ascii="Arial" w:hAnsi="Arial" w:cs="Arial"/>
        </w:rPr>
        <w:footnoteReference w:id="14"/>
      </w:r>
      <w:r w:rsidR="004F38E1" w:rsidRPr="0092179A">
        <w:rPr>
          <w:rFonts w:ascii="Arial" w:hAnsi="Arial" w:cs="Arial"/>
        </w:rPr>
        <w:t xml:space="preserve"> </w:t>
      </w:r>
      <w:r w:rsidR="00847045">
        <w:rPr>
          <w:rFonts w:ascii="Arial" w:hAnsi="Arial" w:cs="Arial"/>
        </w:rPr>
        <w:t>Nearly a decade later</w:t>
      </w:r>
      <w:r w:rsidR="004F38E1" w:rsidRPr="0092179A">
        <w:rPr>
          <w:rFonts w:ascii="Arial" w:hAnsi="Arial" w:cs="Arial"/>
        </w:rPr>
        <w:t xml:space="preserve"> only 9% of artists reported this.</w:t>
      </w:r>
      <w:r w:rsidR="004F38E1" w:rsidRPr="0092179A">
        <w:rPr>
          <w:rStyle w:val="FootnoteReference"/>
          <w:rFonts w:ascii="Arial" w:hAnsi="Arial" w:cs="Arial"/>
        </w:rPr>
        <w:footnoteReference w:id="15"/>
      </w:r>
    </w:p>
    <w:p w14:paraId="63D68C3A" w14:textId="215ADD7B" w:rsidR="007D2317" w:rsidRDefault="002F05B4" w:rsidP="00875B89">
      <w:pPr>
        <w:pStyle w:val="BodyText"/>
      </w:pPr>
      <w:r>
        <w:t xml:space="preserve">The </w:t>
      </w:r>
      <w:r>
        <w:rPr>
          <w:i/>
        </w:rPr>
        <w:t>Berne Convention</w:t>
      </w:r>
      <w:r>
        <w:t xml:space="preserve"> introduced international obligations to protect moral rights, however</w:t>
      </w:r>
      <w:r w:rsidRPr="002F05B4">
        <w:t xml:space="preserve"> </w:t>
      </w:r>
      <w:r>
        <w:t xml:space="preserve">they have only been introduced in Australian copyright law </w:t>
      </w:r>
      <w:r w:rsidR="00B647AC">
        <w:t>relatively recently</w:t>
      </w:r>
      <w:r>
        <w:t xml:space="preserve">. As the evidence base for the efficacy of moral rights continues to grow, </w:t>
      </w:r>
      <w:r w:rsidR="00067DEA">
        <w:t>moral rights</w:t>
      </w:r>
      <w:r w:rsidR="0035541E">
        <w:t xml:space="preserve"> must be maintained</w:t>
      </w:r>
      <w:r>
        <w:t>.</w:t>
      </w:r>
    </w:p>
    <w:p w14:paraId="547B9D26" w14:textId="3AC83A8A" w:rsidR="004E46D9" w:rsidRDefault="007D2317" w:rsidP="00875B89">
      <w:pPr>
        <w:pStyle w:val="BodyText"/>
      </w:pPr>
      <w:r>
        <w:t>S</w:t>
      </w:r>
      <w:r w:rsidR="00067DEA">
        <w:t>ome</w:t>
      </w:r>
      <w:r w:rsidR="00391DF3">
        <w:t xml:space="preserve"> moral rights cases </w:t>
      </w:r>
      <w:r>
        <w:t xml:space="preserve">have been </w:t>
      </w:r>
      <w:r w:rsidR="00391DF3">
        <w:t xml:space="preserve">brought under the </w:t>
      </w:r>
      <w:r w:rsidR="00391DF3">
        <w:rPr>
          <w:i/>
        </w:rPr>
        <w:t>Copyright Act</w:t>
      </w:r>
      <w:r w:rsidR="00067DEA">
        <w:rPr>
          <w:i/>
        </w:rPr>
        <w:t xml:space="preserve"> </w:t>
      </w:r>
      <w:r w:rsidR="00067DEA">
        <w:t>since 2000,</w:t>
      </w:r>
      <w:r w:rsidR="00391DF3">
        <w:rPr>
          <w:rStyle w:val="FootnoteReference"/>
        </w:rPr>
        <w:footnoteReference w:id="16"/>
      </w:r>
      <w:r w:rsidR="00067DEA">
        <w:t xml:space="preserve"> and applicants in these cases were successful in claiming loss of income, reputational impact and damages on the basis of infringement of moral rights.</w:t>
      </w:r>
      <w:r w:rsidR="00391DF3">
        <w:t xml:space="preserve"> It would </w:t>
      </w:r>
      <w:r w:rsidR="00067DEA">
        <w:t xml:space="preserve">therefore </w:t>
      </w:r>
      <w:r w:rsidR="00391DF3">
        <w:t xml:space="preserve">be pre-emptive to conclude that moral rights are </w:t>
      </w:r>
      <w:r w:rsidR="00067DEA">
        <w:t>not important</w:t>
      </w:r>
      <w:r w:rsidR="00391DF3">
        <w:t xml:space="preserve"> or have no positive economic impact </w:t>
      </w:r>
      <w:r w:rsidR="00067DEA">
        <w:t xml:space="preserve">for artists. </w:t>
      </w:r>
      <w:r w:rsidR="00391DF3">
        <w:t xml:space="preserve">The Australia Council supports the development of a strong evidence base when considering </w:t>
      </w:r>
      <w:r w:rsidR="00067DEA">
        <w:t xml:space="preserve">any changes to </w:t>
      </w:r>
      <w:r w:rsidR="00391DF3">
        <w:t>the copyright framework in Australia.</w:t>
      </w:r>
    </w:p>
    <w:p w14:paraId="2BB282F9" w14:textId="5F74F2BC" w:rsidR="009211E5" w:rsidRDefault="00CE5B9F" w:rsidP="00875B89">
      <w:pPr>
        <w:pStyle w:val="BodyText"/>
      </w:pPr>
      <w:r>
        <w:t>M</w:t>
      </w:r>
      <w:r w:rsidR="009211E5">
        <w:t xml:space="preserve">oral rights </w:t>
      </w:r>
      <w:r>
        <w:t>are important from an economic perspective in that they enhance confidence and encourage</w:t>
      </w:r>
      <w:r w:rsidR="009211E5">
        <w:t xml:space="preserve"> creation of new works. For example, if artists are able to claim moral rights in relation to false attribution, this enables an artist to recoup lost</w:t>
      </w:r>
      <w:r w:rsidR="00CA482A">
        <w:t xml:space="preserve"> profit or reputational damage. The artist can then maintain their creative practice and </w:t>
      </w:r>
      <w:r w:rsidR="009211E5">
        <w:t>continue contributing to the economy.</w:t>
      </w:r>
      <w:r w:rsidR="00C65DB0">
        <w:t xml:space="preserve"> </w:t>
      </w:r>
      <w:r w:rsidR="009211E5">
        <w:t>Moral rights also have an impact by increasing the ability of artists to advocate or bargain in negotiations for use of their works.</w:t>
      </w:r>
      <w:r w:rsidR="009211E5">
        <w:rPr>
          <w:rStyle w:val="FootnoteReference"/>
        </w:rPr>
        <w:footnoteReference w:id="17"/>
      </w:r>
    </w:p>
    <w:p w14:paraId="702FE4EF" w14:textId="77777777" w:rsidR="000E1197" w:rsidRDefault="000E1197" w:rsidP="00875B89">
      <w:pPr>
        <w:pStyle w:val="BodyText"/>
      </w:pPr>
      <w:r>
        <w:t xml:space="preserve">The Australia Council does not believe there is </w:t>
      </w:r>
      <w:r w:rsidR="00C66787">
        <w:t xml:space="preserve">double-handling or duplicate protections by copyright law and other areas, such as misleading and deceptive conduct </w:t>
      </w:r>
      <w:r w:rsidR="00C16598">
        <w:t xml:space="preserve">in the </w:t>
      </w:r>
      <w:r w:rsidR="00C16598">
        <w:rPr>
          <w:i/>
        </w:rPr>
        <w:t>Competition and Consumer Act</w:t>
      </w:r>
      <w:r w:rsidR="00C16598" w:rsidRPr="000E1197">
        <w:rPr>
          <w:i/>
        </w:rPr>
        <w:t xml:space="preserve"> 2010</w:t>
      </w:r>
      <w:r>
        <w:t xml:space="preserve">. </w:t>
      </w:r>
      <w:r w:rsidR="002772EF">
        <w:t xml:space="preserve">This is because the latter does not </w:t>
      </w:r>
      <w:r w:rsidR="00EF5674">
        <w:t>provide sufficient protection for</w:t>
      </w:r>
      <w:r w:rsidR="002772EF">
        <w:t xml:space="preserve"> artists</w:t>
      </w:r>
      <w:r w:rsidR="00391DF3">
        <w:t xml:space="preserve"> who may not be engaged in trade or commerce</w:t>
      </w:r>
      <w:r w:rsidR="002772EF">
        <w:t>.</w:t>
      </w:r>
    </w:p>
    <w:p w14:paraId="45176DD0" w14:textId="447D1C88" w:rsidR="00B21C1C" w:rsidRDefault="007166AA" w:rsidP="00875B89">
      <w:pPr>
        <w:pStyle w:val="BodyText"/>
      </w:pPr>
      <w:r>
        <w:t>P</w:t>
      </w:r>
      <w:r w:rsidR="004E1CD5">
        <w:t>rohibitions on mis</w:t>
      </w:r>
      <w:r w:rsidR="00C87F73">
        <w:t>leading and deceptive conduct are</w:t>
      </w:r>
      <w:r w:rsidR="004E1CD5">
        <w:t xml:space="preserve"> usually the subject of costly </w:t>
      </w:r>
      <w:r w:rsidR="00B21C1C">
        <w:t>litigation</w:t>
      </w:r>
      <w:r w:rsidR="00A10F93">
        <w:t xml:space="preserve">. As </w:t>
      </w:r>
      <w:r w:rsidR="00A9308C">
        <w:t xml:space="preserve">noted </w:t>
      </w:r>
      <w:r>
        <w:t>above</w:t>
      </w:r>
      <w:r w:rsidR="004E1CD5">
        <w:t xml:space="preserve">, artists and arts organisations often </w:t>
      </w:r>
      <w:r w:rsidR="00A10F93">
        <w:t xml:space="preserve">do not have the </w:t>
      </w:r>
      <w:r w:rsidR="004E1CD5">
        <w:t>financial means to undertake substantive and e</w:t>
      </w:r>
      <w:r w:rsidR="00A10F93">
        <w:t xml:space="preserve">xpensive litigation to enforce </w:t>
      </w:r>
      <w:r w:rsidR="004E1CD5">
        <w:t>misleading and deceptive c</w:t>
      </w:r>
      <w:r w:rsidR="00A10F93">
        <w:t>onduct prohibitions.</w:t>
      </w:r>
    </w:p>
    <w:p w14:paraId="5DF846A5" w14:textId="0F4FDA3D" w:rsidR="002D484D" w:rsidRDefault="00DA3865" w:rsidP="00875B89">
      <w:pPr>
        <w:pStyle w:val="BodyText"/>
      </w:pPr>
      <w:r>
        <w:t>Misleading and deceptive conduct tends to be considered in commercial or trade arrangements, and does not take into account the</w:t>
      </w:r>
      <w:r w:rsidR="00CC06BA">
        <w:t xml:space="preserve"> way the</w:t>
      </w:r>
      <w:r>
        <w:t xml:space="preserve"> </w:t>
      </w:r>
      <w:r w:rsidR="00172862">
        <w:t xml:space="preserve">arts sector </w:t>
      </w:r>
      <w:r w:rsidR="00CC06BA">
        <w:t>operates and creates work. The arts sector often undertakes its activities</w:t>
      </w:r>
      <w:r w:rsidR="00D923D6">
        <w:t xml:space="preserve"> and presents artistic works</w:t>
      </w:r>
      <w:r w:rsidR="00CC06BA">
        <w:t xml:space="preserve"> </w:t>
      </w:r>
      <w:r w:rsidR="00D923D6">
        <w:t xml:space="preserve">less </w:t>
      </w:r>
      <w:r w:rsidR="00CC06BA">
        <w:t>formal</w:t>
      </w:r>
      <w:r w:rsidR="00C172AA">
        <w:t>ly</w:t>
      </w:r>
      <w:r w:rsidR="00CC06BA">
        <w:t xml:space="preserve">, for example, </w:t>
      </w:r>
      <w:r w:rsidR="000116E0">
        <w:t>through</w:t>
      </w:r>
      <w:r w:rsidR="00CC06BA">
        <w:t xml:space="preserve"> </w:t>
      </w:r>
      <w:r w:rsidR="00E01879">
        <w:t xml:space="preserve">impromptu performances or spontaneous artistic acts </w:t>
      </w:r>
      <w:r w:rsidR="00CC06BA">
        <w:t xml:space="preserve">that </w:t>
      </w:r>
      <w:r w:rsidR="006A7E9F">
        <w:t>contribute to public life and</w:t>
      </w:r>
      <w:r w:rsidR="00E01879">
        <w:t xml:space="preserve"> enjoyment </w:t>
      </w:r>
      <w:r w:rsidR="006A7E9F">
        <w:t>of the arts</w:t>
      </w:r>
      <w:r w:rsidR="00CC06BA">
        <w:t>.</w:t>
      </w:r>
      <w:r w:rsidR="007166AA">
        <w:t xml:space="preserve"> Misleading and deceptive conduct provisions also do not apply to all art forms.</w:t>
      </w:r>
    </w:p>
    <w:p w14:paraId="7D3FCBC0" w14:textId="77777777" w:rsidR="00462D66" w:rsidRDefault="00462D66" w:rsidP="00875B89">
      <w:pPr>
        <w:pStyle w:val="BodyText"/>
      </w:pPr>
      <w:r>
        <w:t>Ultimately m</w:t>
      </w:r>
      <w:r w:rsidRPr="00462D66">
        <w:t xml:space="preserve">oral rights should </w:t>
      </w:r>
      <w:r>
        <w:t>be maintained</w:t>
      </w:r>
      <w:r w:rsidRPr="00462D66">
        <w:t xml:space="preserve"> and any copyright reform should consider the integrity of artists as paramount to a strong protective system of rights.</w:t>
      </w:r>
    </w:p>
    <w:p w14:paraId="71AB9172" w14:textId="77777777" w:rsidR="00411E57" w:rsidRPr="00E43678" w:rsidRDefault="00411E57" w:rsidP="00991133">
      <w:pPr>
        <w:pStyle w:val="Heading3"/>
      </w:pPr>
      <w:bookmarkStart w:id="18" w:name="_Toc437348762"/>
      <w:bookmarkStart w:id="19" w:name="_Toc437970010"/>
      <w:r>
        <w:t>Indigenous artists</w:t>
      </w:r>
      <w:bookmarkEnd w:id="18"/>
      <w:bookmarkEnd w:id="19"/>
    </w:p>
    <w:p w14:paraId="766CFF02" w14:textId="23235D78" w:rsidR="001A563A" w:rsidRDefault="006431E7" w:rsidP="009D7124">
      <w:pPr>
        <w:spacing w:before="170" w:after="170" w:line="264" w:lineRule="auto"/>
        <w:rPr>
          <w:rFonts w:ascii="Arial" w:hAnsi="Arial" w:cs="Arial"/>
          <w:szCs w:val="24"/>
        </w:rPr>
      </w:pPr>
      <w:r w:rsidRPr="006431E7">
        <w:rPr>
          <w:rFonts w:ascii="Arial" w:hAnsi="Arial" w:cs="Arial"/>
          <w:szCs w:val="24"/>
        </w:rPr>
        <w:t xml:space="preserve">Indigenous artists </w:t>
      </w:r>
      <w:r w:rsidR="00166AB0">
        <w:rPr>
          <w:rFonts w:ascii="Arial" w:hAnsi="Arial" w:cs="Arial"/>
          <w:szCs w:val="24"/>
        </w:rPr>
        <w:t xml:space="preserve">and their communities </w:t>
      </w:r>
      <w:r w:rsidRPr="006431E7">
        <w:rPr>
          <w:rFonts w:ascii="Arial" w:hAnsi="Arial" w:cs="Arial"/>
          <w:szCs w:val="24"/>
        </w:rPr>
        <w:t xml:space="preserve">have particular needs in relation to intellectual property rights, and </w:t>
      </w:r>
      <w:r w:rsidR="00DB7B68">
        <w:rPr>
          <w:rFonts w:ascii="Arial" w:hAnsi="Arial" w:cs="Arial"/>
          <w:szCs w:val="24"/>
        </w:rPr>
        <w:t>I</w:t>
      </w:r>
      <w:r w:rsidRPr="006431E7">
        <w:rPr>
          <w:rFonts w:ascii="Arial" w:hAnsi="Arial" w:cs="Arial"/>
          <w:szCs w:val="24"/>
        </w:rPr>
        <w:t>ndigenous cultural protocols are required to ensure integrity and respect of Aboriginal and Torres Strait Islander arts and cultures.</w:t>
      </w:r>
      <w:r>
        <w:rPr>
          <w:rFonts w:ascii="Arial" w:hAnsi="Arial" w:cs="Arial"/>
          <w:szCs w:val="24"/>
        </w:rPr>
        <w:t xml:space="preserve"> </w:t>
      </w:r>
      <w:r w:rsidR="009076A0">
        <w:rPr>
          <w:rFonts w:ascii="Arial" w:hAnsi="Arial" w:cs="Arial"/>
          <w:szCs w:val="24"/>
        </w:rPr>
        <w:t xml:space="preserve">Moral rights and </w:t>
      </w:r>
      <w:r w:rsidR="005C359C">
        <w:rPr>
          <w:rFonts w:ascii="Arial" w:hAnsi="Arial" w:cs="Arial"/>
          <w:szCs w:val="24"/>
        </w:rPr>
        <w:t>the provision of</w:t>
      </w:r>
      <w:r w:rsidR="00866F24">
        <w:rPr>
          <w:rFonts w:ascii="Arial" w:hAnsi="Arial" w:cs="Arial"/>
          <w:szCs w:val="24"/>
        </w:rPr>
        <w:t xml:space="preserve"> </w:t>
      </w:r>
      <w:r w:rsidR="00480337" w:rsidRPr="00827789">
        <w:rPr>
          <w:rFonts w:ascii="Arial" w:hAnsi="Arial" w:cs="Arial"/>
          <w:szCs w:val="24"/>
        </w:rPr>
        <w:t xml:space="preserve">economic incentives for the creation of work </w:t>
      </w:r>
      <w:r w:rsidR="009076A0">
        <w:rPr>
          <w:rFonts w:ascii="Arial" w:hAnsi="Arial" w:cs="Arial"/>
          <w:szCs w:val="24"/>
        </w:rPr>
        <w:t xml:space="preserve">are particularly important in </w:t>
      </w:r>
      <w:r w:rsidR="00A93ACA">
        <w:rPr>
          <w:rFonts w:ascii="Arial" w:hAnsi="Arial" w:cs="Arial"/>
          <w:szCs w:val="24"/>
        </w:rPr>
        <w:t>protecting the intellectual property of</w:t>
      </w:r>
      <w:r w:rsidR="009076A0">
        <w:rPr>
          <w:rFonts w:ascii="Arial" w:hAnsi="Arial" w:cs="Arial"/>
          <w:szCs w:val="24"/>
        </w:rPr>
        <w:t xml:space="preserve"> </w:t>
      </w:r>
      <w:r w:rsidR="00480337" w:rsidRPr="00827789">
        <w:rPr>
          <w:rFonts w:ascii="Arial" w:hAnsi="Arial" w:cs="Arial"/>
          <w:szCs w:val="24"/>
        </w:rPr>
        <w:t>Indigenous artists, custodians and communities.</w:t>
      </w:r>
      <w:r w:rsidR="00477BBA">
        <w:rPr>
          <w:rFonts w:ascii="Arial" w:hAnsi="Arial" w:cs="Arial"/>
          <w:szCs w:val="24"/>
        </w:rPr>
        <w:t xml:space="preserve"> This section looks at </w:t>
      </w:r>
      <w:r w:rsidR="005C1DC2">
        <w:rPr>
          <w:rFonts w:ascii="Arial" w:hAnsi="Arial" w:cs="Arial"/>
          <w:szCs w:val="24"/>
        </w:rPr>
        <w:t>how these rights and incentives can be upheld and delivered,</w:t>
      </w:r>
      <w:r w:rsidR="00370397">
        <w:rPr>
          <w:rFonts w:ascii="Arial" w:hAnsi="Arial" w:cs="Arial"/>
          <w:szCs w:val="24"/>
        </w:rPr>
        <w:t xml:space="preserve"> </w:t>
      </w:r>
      <w:r w:rsidR="005C1DC2">
        <w:rPr>
          <w:rFonts w:ascii="Arial" w:hAnsi="Arial" w:cs="Arial"/>
          <w:szCs w:val="24"/>
        </w:rPr>
        <w:t xml:space="preserve">consistent with the UN Declaration on the Rights of Indigenous Peoples. </w:t>
      </w:r>
      <w:r w:rsidR="00477BBA">
        <w:rPr>
          <w:rFonts w:ascii="Arial" w:hAnsi="Arial" w:cs="Arial"/>
          <w:szCs w:val="24"/>
        </w:rPr>
        <w:t>This includes considering</w:t>
      </w:r>
      <w:r w:rsidR="002924E2">
        <w:rPr>
          <w:rFonts w:ascii="Arial" w:hAnsi="Arial" w:cs="Arial"/>
          <w:szCs w:val="24"/>
        </w:rPr>
        <w:t xml:space="preserve"> </w:t>
      </w:r>
      <w:r w:rsidR="00577576">
        <w:rPr>
          <w:rFonts w:ascii="Arial" w:hAnsi="Arial" w:cs="Arial"/>
          <w:szCs w:val="24"/>
        </w:rPr>
        <w:t xml:space="preserve">establishment of a </w:t>
      </w:r>
      <w:r w:rsidR="00577576" w:rsidRPr="00577576">
        <w:rPr>
          <w:rFonts w:ascii="Arial" w:hAnsi="Arial" w:cs="Arial"/>
          <w:szCs w:val="24"/>
        </w:rPr>
        <w:t>National Indigenous Cultural Authority</w:t>
      </w:r>
      <w:r w:rsidR="00577576">
        <w:rPr>
          <w:rFonts w:ascii="Arial" w:hAnsi="Arial" w:cs="Arial"/>
          <w:szCs w:val="24"/>
        </w:rPr>
        <w:t xml:space="preserve"> and introduction of </w:t>
      </w:r>
      <w:r w:rsidR="00577576" w:rsidRPr="00577576">
        <w:rPr>
          <w:rFonts w:ascii="Arial" w:hAnsi="Arial" w:cs="Arial"/>
          <w:szCs w:val="24"/>
        </w:rPr>
        <w:t>specific legislation</w:t>
      </w:r>
      <w:r w:rsidR="00E77E9D">
        <w:rPr>
          <w:rFonts w:ascii="Arial" w:hAnsi="Arial" w:cs="Arial"/>
          <w:szCs w:val="24"/>
        </w:rPr>
        <w:t xml:space="preserve"> to protect Indigenous Cultural and Intellectual Property (ICIP)</w:t>
      </w:r>
      <w:r w:rsidR="00577576">
        <w:rPr>
          <w:rFonts w:ascii="Arial" w:hAnsi="Arial" w:cs="Arial"/>
          <w:szCs w:val="24"/>
        </w:rPr>
        <w:t>.</w:t>
      </w:r>
    </w:p>
    <w:p w14:paraId="04BB5B88" w14:textId="1EC5772C" w:rsidR="0048535D" w:rsidRDefault="001A563A" w:rsidP="009D7124">
      <w:pPr>
        <w:spacing w:before="170" w:after="170" w:line="264" w:lineRule="auto"/>
        <w:rPr>
          <w:rFonts w:ascii="Arial" w:hAnsi="Arial" w:cs="Arial"/>
          <w:szCs w:val="24"/>
        </w:rPr>
      </w:pPr>
      <w:r>
        <w:rPr>
          <w:rFonts w:ascii="Arial" w:hAnsi="Arial" w:cs="Arial"/>
          <w:szCs w:val="24"/>
        </w:rPr>
        <w:t xml:space="preserve">The Australia Council </w:t>
      </w:r>
      <w:r w:rsidR="006A3885">
        <w:rPr>
          <w:rFonts w:ascii="Arial" w:hAnsi="Arial" w:cs="Arial"/>
          <w:szCs w:val="24"/>
        </w:rPr>
        <w:t xml:space="preserve">has </w:t>
      </w:r>
      <w:r w:rsidR="002F440A" w:rsidRPr="002F440A">
        <w:rPr>
          <w:rFonts w:ascii="Arial" w:hAnsi="Arial" w:cs="Arial"/>
          <w:szCs w:val="24"/>
        </w:rPr>
        <w:t>published free protocol guides for working with Indigenous Australian artists, including for Indigenous Australian music, writing, visual arts, media and performing arts. The protocols</w:t>
      </w:r>
      <w:r w:rsidR="002D6B8F">
        <w:rPr>
          <w:rFonts w:ascii="Arial" w:hAnsi="Arial" w:cs="Arial"/>
          <w:szCs w:val="24"/>
        </w:rPr>
        <w:t xml:space="preserve"> are a leading model for promoting</w:t>
      </w:r>
      <w:r w:rsidR="005C1DC2">
        <w:rPr>
          <w:rFonts w:ascii="Arial" w:hAnsi="Arial" w:cs="Arial"/>
          <w:szCs w:val="24"/>
        </w:rPr>
        <w:t xml:space="preserve"> </w:t>
      </w:r>
      <w:r w:rsidR="002D6B8F">
        <w:rPr>
          <w:rFonts w:ascii="Arial" w:hAnsi="Arial" w:cs="Arial"/>
          <w:szCs w:val="24"/>
        </w:rPr>
        <w:t>I</w:t>
      </w:r>
      <w:r w:rsidR="00477BBA">
        <w:rPr>
          <w:rFonts w:ascii="Arial" w:hAnsi="Arial" w:cs="Arial"/>
          <w:szCs w:val="24"/>
        </w:rPr>
        <w:t>CIP</w:t>
      </w:r>
      <w:r w:rsidR="00966AAD">
        <w:rPr>
          <w:rFonts w:ascii="Arial" w:hAnsi="Arial" w:cs="Arial"/>
          <w:szCs w:val="24"/>
        </w:rPr>
        <w:t xml:space="preserve"> by</w:t>
      </w:r>
      <w:r w:rsidR="00EC16F4">
        <w:rPr>
          <w:rFonts w:ascii="Arial" w:hAnsi="Arial" w:cs="Arial"/>
          <w:szCs w:val="24"/>
        </w:rPr>
        <w:t xml:space="preserve"> outlining</w:t>
      </w:r>
      <w:r w:rsidR="002F440A" w:rsidRPr="002F440A">
        <w:rPr>
          <w:rFonts w:ascii="Arial" w:hAnsi="Arial" w:cs="Arial"/>
          <w:szCs w:val="24"/>
        </w:rPr>
        <w:t xml:space="preserve"> appropriate ways of using Indigenous cultural material and </w:t>
      </w:r>
      <w:r w:rsidR="00E53585">
        <w:rPr>
          <w:rFonts w:ascii="Arial" w:hAnsi="Arial" w:cs="Arial"/>
          <w:szCs w:val="24"/>
        </w:rPr>
        <w:t>engaging</w:t>
      </w:r>
      <w:r w:rsidR="002F440A" w:rsidRPr="002F440A">
        <w:rPr>
          <w:rFonts w:ascii="Arial" w:hAnsi="Arial" w:cs="Arial"/>
          <w:szCs w:val="24"/>
        </w:rPr>
        <w:t xml:space="preserve"> with Indigenous artists and communities.</w:t>
      </w:r>
      <w:r w:rsidR="002F440A">
        <w:rPr>
          <w:rStyle w:val="FootnoteReference"/>
          <w:rFonts w:ascii="Arial" w:hAnsi="Arial" w:cs="Arial"/>
          <w:szCs w:val="24"/>
        </w:rPr>
        <w:footnoteReference w:id="18"/>
      </w:r>
    </w:p>
    <w:p w14:paraId="22B32502" w14:textId="1D1FDE13" w:rsidR="00480337" w:rsidRPr="00827789" w:rsidRDefault="00480337" w:rsidP="009D7124">
      <w:pPr>
        <w:spacing w:before="170" w:after="170" w:line="264" w:lineRule="auto"/>
        <w:rPr>
          <w:rFonts w:ascii="Arial" w:hAnsi="Arial" w:cs="Arial"/>
          <w:szCs w:val="24"/>
        </w:rPr>
      </w:pPr>
      <w:r w:rsidRPr="00827789">
        <w:rPr>
          <w:rFonts w:ascii="Arial" w:hAnsi="Arial" w:cs="Arial"/>
          <w:szCs w:val="24"/>
        </w:rPr>
        <w:t>The Australia Council refers to a report</w:t>
      </w:r>
      <w:r w:rsidR="00F04242">
        <w:rPr>
          <w:rFonts w:ascii="Arial" w:hAnsi="Arial" w:cs="Arial"/>
          <w:szCs w:val="24"/>
        </w:rPr>
        <w:t xml:space="preserve"> </w:t>
      </w:r>
      <w:r w:rsidR="005F5910">
        <w:rPr>
          <w:rFonts w:ascii="Arial" w:hAnsi="Arial" w:cs="Arial"/>
          <w:szCs w:val="24"/>
        </w:rPr>
        <w:t xml:space="preserve">it commissioned in 2006 </w:t>
      </w:r>
      <w:r w:rsidR="00F04242">
        <w:rPr>
          <w:rFonts w:ascii="Arial" w:hAnsi="Arial" w:cs="Arial"/>
          <w:szCs w:val="24"/>
        </w:rPr>
        <w:t>by</w:t>
      </w:r>
      <w:r w:rsidR="00FD0EE3">
        <w:rPr>
          <w:rFonts w:ascii="Arial" w:hAnsi="Arial" w:cs="Arial"/>
          <w:szCs w:val="24"/>
        </w:rPr>
        <w:t xml:space="preserve"> Terri Janke and </w:t>
      </w:r>
      <w:r w:rsidR="00FD0EE3" w:rsidRPr="00FD0EE3">
        <w:rPr>
          <w:rFonts w:ascii="Arial" w:hAnsi="Arial" w:cs="Arial"/>
          <w:szCs w:val="24"/>
        </w:rPr>
        <w:t xml:space="preserve">Robynne </w:t>
      </w:r>
      <w:r w:rsidR="00FD0EE3">
        <w:rPr>
          <w:rFonts w:ascii="Arial" w:hAnsi="Arial" w:cs="Arial"/>
          <w:szCs w:val="24"/>
        </w:rPr>
        <w:t>Quiggin</w:t>
      </w:r>
      <w:r w:rsidR="005F5910">
        <w:rPr>
          <w:rFonts w:ascii="Arial" w:hAnsi="Arial" w:cs="Arial"/>
          <w:szCs w:val="24"/>
        </w:rPr>
        <w:t>,</w:t>
      </w:r>
      <w:r w:rsidRPr="00827789">
        <w:rPr>
          <w:rFonts w:ascii="Arial" w:hAnsi="Arial" w:cs="Arial"/>
          <w:szCs w:val="24"/>
        </w:rPr>
        <w:t xml:space="preserve"> </w:t>
      </w:r>
      <w:r w:rsidRPr="00827789">
        <w:rPr>
          <w:rFonts w:ascii="Arial" w:hAnsi="Arial" w:cs="Arial"/>
          <w:i/>
          <w:szCs w:val="24"/>
        </w:rPr>
        <w:t>Indigenous cultural and intellectual property: the main issues for the Indigenous arts industry</w:t>
      </w:r>
      <w:r w:rsidR="00A47A88">
        <w:rPr>
          <w:rFonts w:ascii="Arial" w:hAnsi="Arial" w:cs="Arial"/>
          <w:i/>
          <w:szCs w:val="24"/>
        </w:rPr>
        <w:t xml:space="preserve"> in 2006</w:t>
      </w:r>
      <w:r w:rsidRPr="00827789">
        <w:rPr>
          <w:rFonts w:ascii="Arial" w:hAnsi="Arial" w:cs="Arial"/>
          <w:szCs w:val="24"/>
        </w:rPr>
        <w:t>:</w:t>
      </w:r>
    </w:p>
    <w:p w14:paraId="4D9F84D5" w14:textId="0EBC6E84" w:rsidR="00480337" w:rsidRPr="00827789" w:rsidRDefault="00480337" w:rsidP="009D7124">
      <w:pPr>
        <w:spacing w:before="170" w:after="170" w:line="264" w:lineRule="auto"/>
        <w:ind w:left="567" w:right="567"/>
        <w:rPr>
          <w:rFonts w:ascii="Arial" w:hAnsi="Arial" w:cs="Arial"/>
          <w:szCs w:val="24"/>
        </w:rPr>
      </w:pPr>
      <w:r w:rsidRPr="00827789">
        <w:rPr>
          <w:rFonts w:ascii="Arial" w:hAnsi="Arial" w:cs="Arial"/>
          <w:szCs w:val="24"/>
        </w:rPr>
        <w:t>One foundational principle underlies development of Indigenous culture and arts. That is, the need for Indigenous peoples to control their intellectual and cultural property and to manage it in appropriate ways. In order to positively contribute to the integrity of Indigenous cultural life, arts infrastructure must support Indigenous control of ICIP management. An essential part of this support is acknowledgement of local community authority, communal rights over cultural heritage material, and engagement of Indigenous people through consultation and prior informed consent mechanisms. This must be balanced with acknowledgement of the authority of individual artists and encouragement of creativity and innovation.</w:t>
      </w:r>
      <w:r w:rsidR="005F5910" w:rsidRPr="00827789">
        <w:rPr>
          <w:rStyle w:val="FootnoteReference"/>
          <w:rFonts w:ascii="Arial" w:hAnsi="Arial" w:cs="Arial"/>
          <w:szCs w:val="24"/>
        </w:rPr>
        <w:footnoteReference w:id="19"/>
      </w:r>
    </w:p>
    <w:p w14:paraId="4B3FDA80" w14:textId="5B8C2DB7" w:rsidR="00166AB0" w:rsidRDefault="00166AB0" w:rsidP="009D7124">
      <w:pPr>
        <w:pStyle w:val="BodyText"/>
        <w:rPr>
          <w:rFonts w:ascii="Arial" w:hAnsi="Arial" w:cs="Arial"/>
        </w:rPr>
      </w:pPr>
      <w:r w:rsidRPr="00166AB0">
        <w:rPr>
          <w:rFonts w:ascii="Arial" w:hAnsi="Arial" w:cs="Arial"/>
        </w:rPr>
        <w:t>Whilst copyright laws provide rights to individual Indigenous artists, the communal rights of Indigenous clans and groups to their ICIP need</w:t>
      </w:r>
      <w:r w:rsidR="000A1EEB">
        <w:rPr>
          <w:rFonts w:ascii="Arial" w:hAnsi="Arial" w:cs="Arial"/>
        </w:rPr>
        <w:t>s</w:t>
      </w:r>
      <w:r w:rsidR="0071411B">
        <w:rPr>
          <w:rFonts w:ascii="Arial" w:hAnsi="Arial" w:cs="Arial"/>
        </w:rPr>
        <w:t xml:space="preserve"> </w:t>
      </w:r>
      <w:r w:rsidR="00BD5063">
        <w:rPr>
          <w:rFonts w:ascii="Arial" w:hAnsi="Arial" w:cs="Arial"/>
        </w:rPr>
        <w:t>furthe</w:t>
      </w:r>
      <w:r w:rsidR="0071411B">
        <w:rPr>
          <w:rFonts w:ascii="Arial" w:hAnsi="Arial" w:cs="Arial"/>
        </w:rPr>
        <w:t>r</w:t>
      </w:r>
      <w:r w:rsidR="000A1EEB">
        <w:rPr>
          <w:rFonts w:ascii="Arial" w:hAnsi="Arial" w:cs="Arial"/>
        </w:rPr>
        <w:t xml:space="preserve"> consideration</w:t>
      </w:r>
      <w:r>
        <w:rPr>
          <w:rFonts w:ascii="Arial" w:hAnsi="Arial" w:cs="Arial"/>
        </w:rPr>
        <w:t>.</w:t>
      </w:r>
      <w:r>
        <w:rPr>
          <w:rStyle w:val="FootnoteReference"/>
          <w:rFonts w:ascii="Arial" w:hAnsi="Arial" w:cs="Arial"/>
        </w:rPr>
        <w:footnoteReference w:id="20"/>
      </w:r>
      <w:r w:rsidR="00081BB2">
        <w:rPr>
          <w:rFonts w:ascii="Arial" w:hAnsi="Arial" w:cs="Arial"/>
        </w:rPr>
        <w:t xml:space="preserve"> These issues have been explored by </w:t>
      </w:r>
      <w:r w:rsidRPr="00290400">
        <w:rPr>
          <w:rFonts w:ascii="Arial" w:hAnsi="Arial" w:cs="Arial"/>
          <w:i/>
        </w:rPr>
        <w:t>Milpurrurru v Indofurn</w:t>
      </w:r>
      <w:r w:rsidRPr="00166AB0">
        <w:rPr>
          <w:rFonts w:ascii="Arial" w:hAnsi="Arial" w:cs="Arial"/>
        </w:rPr>
        <w:t xml:space="preserve"> and </w:t>
      </w:r>
      <w:r w:rsidRPr="00290400">
        <w:rPr>
          <w:rFonts w:ascii="Arial" w:hAnsi="Arial" w:cs="Arial"/>
          <w:i/>
        </w:rPr>
        <w:t>Bulun Bulun v R &amp; T Textiles</w:t>
      </w:r>
      <w:r w:rsidRPr="00166AB0">
        <w:rPr>
          <w:rFonts w:ascii="Arial" w:hAnsi="Arial" w:cs="Arial"/>
        </w:rPr>
        <w:t>. Indigenous artists have obl</w:t>
      </w:r>
      <w:r w:rsidR="002D6B8F">
        <w:rPr>
          <w:rFonts w:ascii="Arial" w:hAnsi="Arial" w:cs="Arial"/>
        </w:rPr>
        <w:t>igations to their communities</w:t>
      </w:r>
      <w:r w:rsidRPr="00166AB0">
        <w:rPr>
          <w:rFonts w:ascii="Arial" w:hAnsi="Arial" w:cs="Arial"/>
        </w:rPr>
        <w:t xml:space="preserve"> through the customary law to deal with ICIP, however this obligation is not sufficiently recognised through the broader intellectual property framework.</w:t>
      </w:r>
    </w:p>
    <w:p w14:paraId="18799DC4" w14:textId="77777777" w:rsidR="00196C86" w:rsidRDefault="00196C86" w:rsidP="009D7124">
      <w:pPr>
        <w:pStyle w:val="BodyText"/>
        <w:rPr>
          <w:rFonts w:ascii="Arial" w:hAnsi="Arial" w:cs="Arial"/>
        </w:rPr>
      </w:pPr>
    </w:p>
    <w:p w14:paraId="0BE9EB84" w14:textId="1ECEBFCF" w:rsidR="00601FB3" w:rsidRPr="00601FB3" w:rsidRDefault="00601FB3" w:rsidP="009D7124">
      <w:pPr>
        <w:pStyle w:val="BodyText"/>
        <w:rPr>
          <w:rFonts w:ascii="Arial" w:hAnsi="Arial" w:cs="Arial"/>
        </w:rPr>
      </w:pPr>
      <w:r w:rsidRPr="00601FB3">
        <w:rPr>
          <w:rFonts w:ascii="Arial" w:hAnsi="Arial" w:cs="Arial"/>
        </w:rPr>
        <w:t xml:space="preserve">Terri Janke’s 2009 work, </w:t>
      </w:r>
      <w:r w:rsidR="00081BB2" w:rsidRPr="00BA39A3">
        <w:rPr>
          <w:rFonts w:ascii="Arial" w:hAnsi="Arial" w:cs="Arial"/>
          <w:i/>
        </w:rPr>
        <w:t>Beyond Guarding Ground: A V</w:t>
      </w:r>
      <w:r w:rsidRPr="00290400">
        <w:rPr>
          <w:rFonts w:ascii="Arial" w:hAnsi="Arial" w:cs="Arial"/>
          <w:i/>
        </w:rPr>
        <w:t>ision for a National Indigenous Cultural Authority</w:t>
      </w:r>
      <w:r w:rsidRPr="00601FB3">
        <w:rPr>
          <w:rFonts w:ascii="Arial" w:hAnsi="Arial" w:cs="Arial"/>
        </w:rPr>
        <w:t>, discusses how Australia’s intellectual property arrangements do not effectively protect Indigenous cultural and intellectual property rights. Currently there is no legal right for Indigenous communities to control, maintain and protect their traditional cultural expression</w:t>
      </w:r>
      <w:r w:rsidR="002E550A">
        <w:rPr>
          <w:rFonts w:ascii="Arial" w:hAnsi="Arial" w:cs="Arial"/>
        </w:rPr>
        <w:t>, which is</w:t>
      </w:r>
      <w:r w:rsidRPr="00601FB3">
        <w:rPr>
          <w:rFonts w:ascii="Arial" w:hAnsi="Arial" w:cs="Arial"/>
        </w:rPr>
        <w:t xml:space="preserve"> primarily communal. This includes songs, stories, dances and cultural knowledge, which is passed down through the generations, but may fall outside the current intellectual property framework </w:t>
      </w:r>
      <w:r w:rsidR="003424E3">
        <w:rPr>
          <w:rFonts w:ascii="Arial" w:hAnsi="Arial" w:cs="Arial"/>
        </w:rPr>
        <w:t>as</w:t>
      </w:r>
      <w:r w:rsidRPr="00601FB3">
        <w:rPr>
          <w:rFonts w:ascii="Arial" w:hAnsi="Arial" w:cs="Arial"/>
        </w:rPr>
        <w:t xml:space="preserve"> it is not in material form, and may be consider</w:t>
      </w:r>
      <w:r w:rsidR="003424E3">
        <w:rPr>
          <w:rFonts w:ascii="Arial" w:hAnsi="Arial" w:cs="Arial"/>
        </w:rPr>
        <w:t>ed to be in the public domain.</w:t>
      </w:r>
      <w:r w:rsidR="003424E3">
        <w:rPr>
          <w:rStyle w:val="FootnoteReference"/>
          <w:rFonts w:ascii="Arial" w:hAnsi="Arial" w:cs="Arial"/>
        </w:rPr>
        <w:footnoteReference w:id="21"/>
      </w:r>
    </w:p>
    <w:p w14:paraId="5B8EB0CD" w14:textId="75A8E1B3" w:rsidR="00601FB3" w:rsidRDefault="00601FB3" w:rsidP="009D7124">
      <w:pPr>
        <w:pStyle w:val="BodyText"/>
        <w:rPr>
          <w:rFonts w:ascii="Arial" w:hAnsi="Arial" w:cs="Arial"/>
        </w:rPr>
      </w:pPr>
      <w:r w:rsidRPr="00601FB3">
        <w:rPr>
          <w:rFonts w:ascii="Arial" w:hAnsi="Arial" w:cs="Arial"/>
        </w:rPr>
        <w:t xml:space="preserve">Indigenous </w:t>
      </w:r>
      <w:r w:rsidR="00A36527">
        <w:rPr>
          <w:rFonts w:ascii="Arial" w:hAnsi="Arial" w:cs="Arial"/>
        </w:rPr>
        <w:t>artists and communities</w:t>
      </w:r>
      <w:r w:rsidRPr="00601FB3">
        <w:rPr>
          <w:rFonts w:ascii="Arial" w:hAnsi="Arial" w:cs="Arial"/>
        </w:rPr>
        <w:t xml:space="preserve"> </w:t>
      </w:r>
      <w:r w:rsidR="00D902A2">
        <w:rPr>
          <w:rFonts w:ascii="Arial" w:hAnsi="Arial" w:cs="Arial"/>
        </w:rPr>
        <w:t>n</w:t>
      </w:r>
      <w:r w:rsidR="003E12D6">
        <w:rPr>
          <w:rFonts w:ascii="Arial" w:hAnsi="Arial" w:cs="Arial"/>
        </w:rPr>
        <w:t>eed</w:t>
      </w:r>
      <w:r w:rsidR="00911E6C">
        <w:rPr>
          <w:rFonts w:ascii="Arial" w:hAnsi="Arial" w:cs="Arial"/>
        </w:rPr>
        <w:t xml:space="preserve"> </w:t>
      </w:r>
      <w:r w:rsidR="00D902A2">
        <w:rPr>
          <w:rFonts w:ascii="Arial" w:hAnsi="Arial" w:cs="Arial"/>
        </w:rPr>
        <w:t>their</w:t>
      </w:r>
      <w:r w:rsidR="007B41DA">
        <w:rPr>
          <w:rFonts w:ascii="Arial" w:hAnsi="Arial" w:cs="Arial"/>
        </w:rPr>
        <w:t xml:space="preserve"> </w:t>
      </w:r>
      <w:r w:rsidR="006E603A">
        <w:rPr>
          <w:rFonts w:ascii="Arial" w:hAnsi="Arial" w:cs="Arial"/>
        </w:rPr>
        <w:t>cultural and intellectual</w:t>
      </w:r>
      <w:r w:rsidR="00A36527">
        <w:rPr>
          <w:rFonts w:ascii="Arial" w:hAnsi="Arial" w:cs="Arial"/>
        </w:rPr>
        <w:t xml:space="preserve"> </w:t>
      </w:r>
      <w:r w:rsidR="006E603A">
        <w:rPr>
          <w:rFonts w:ascii="Arial" w:hAnsi="Arial" w:cs="Arial"/>
        </w:rPr>
        <w:t xml:space="preserve">property </w:t>
      </w:r>
      <w:r w:rsidR="00A36527">
        <w:rPr>
          <w:rFonts w:ascii="Arial" w:hAnsi="Arial" w:cs="Arial"/>
        </w:rPr>
        <w:t>rights</w:t>
      </w:r>
      <w:r w:rsidR="007B41DA">
        <w:rPr>
          <w:rFonts w:ascii="Arial" w:hAnsi="Arial" w:cs="Arial"/>
        </w:rPr>
        <w:t xml:space="preserve"> </w:t>
      </w:r>
      <w:r w:rsidR="00D902A2">
        <w:rPr>
          <w:rFonts w:ascii="Arial" w:hAnsi="Arial" w:cs="Arial"/>
        </w:rPr>
        <w:t xml:space="preserve">to be </w:t>
      </w:r>
      <w:r w:rsidR="003E12D6">
        <w:rPr>
          <w:rFonts w:ascii="Arial" w:hAnsi="Arial" w:cs="Arial"/>
        </w:rPr>
        <w:t>upheld</w:t>
      </w:r>
      <w:r w:rsidR="007B41DA">
        <w:rPr>
          <w:rFonts w:ascii="Arial" w:hAnsi="Arial" w:cs="Arial"/>
        </w:rPr>
        <w:t xml:space="preserve"> so they can</w:t>
      </w:r>
      <w:r w:rsidR="00A36527">
        <w:rPr>
          <w:rFonts w:ascii="Arial" w:hAnsi="Arial" w:cs="Arial"/>
        </w:rPr>
        <w:t xml:space="preserve"> </w:t>
      </w:r>
      <w:r w:rsidRPr="00601FB3">
        <w:rPr>
          <w:rFonts w:ascii="Arial" w:hAnsi="Arial" w:cs="Arial"/>
        </w:rPr>
        <w:t>continue</w:t>
      </w:r>
      <w:r w:rsidR="00650FAC">
        <w:rPr>
          <w:rFonts w:ascii="Arial" w:hAnsi="Arial" w:cs="Arial"/>
        </w:rPr>
        <w:t xml:space="preserve"> and maintain the integrity of</w:t>
      </w:r>
      <w:r w:rsidRPr="00601FB3">
        <w:rPr>
          <w:rFonts w:ascii="Arial" w:hAnsi="Arial" w:cs="Arial"/>
        </w:rPr>
        <w:t xml:space="preserve"> their culture and protect it from misappropriation. A system for collective cultural consent and co</w:t>
      </w:r>
      <w:r w:rsidR="003424E3">
        <w:rPr>
          <w:rFonts w:ascii="Arial" w:hAnsi="Arial" w:cs="Arial"/>
        </w:rPr>
        <w:t xml:space="preserve">nsultation could </w:t>
      </w:r>
      <w:r w:rsidR="008151B2">
        <w:rPr>
          <w:rFonts w:ascii="Arial" w:hAnsi="Arial" w:cs="Arial"/>
        </w:rPr>
        <w:t>address</w:t>
      </w:r>
      <w:r w:rsidR="003424E3">
        <w:rPr>
          <w:rFonts w:ascii="Arial" w:hAnsi="Arial" w:cs="Arial"/>
        </w:rPr>
        <w:t xml:space="preserve"> this. </w:t>
      </w:r>
      <w:r w:rsidR="00CA2098">
        <w:rPr>
          <w:rFonts w:ascii="Arial" w:hAnsi="Arial" w:cs="Arial"/>
        </w:rPr>
        <w:t>T</w:t>
      </w:r>
      <w:r w:rsidR="00E94599">
        <w:rPr>
          <w:rFonts w:ascii="Arial" w:hAnsi="Arial" w:cs="Arial"/>
        </w:rPr>
        <w:t>he</w:t>
      </w:r>
      <w:r w:rsidRPr="00601FB3">
        <w:rPr>
          <w:rFonts w:ascii="Arial" w:hAnsi="Arial" w:cs="Arial"/>
        </w:rPr>
        <w:t xml:space="preserve"> establishment of a National I</w:t>
      </w:r>
      <w:r w:rsidR="00E94599">
        <w:rPr>
          <w:rFonts w:ascii="Arial" w:hAnsi="Arial" w:cs="Arial"/>
        </w:rPr>
        <w:t xml:space="preserve">ndigenous Cultural Authority would </w:t>
      </w:r>
      <w:r w:rsidRPr="00601FB3">
        <w:rPr>
          <w:rFonts w:ascii="Arial" w:hAnsi="Arial" w:cs="Arial"/>
        </w:rPr>
        <w:t xml:space="preserve">enable Aboriginal and Torres Strait Islander peoples to oversee and protect their </w:t>
      </w:r>
      <w:r w:rsidR="002E550A">
        <w:rPr>
          <w:rFonts w:ascii="Arial" w:hAnsi="Arial" w:cs="Arial"/>
        </w:rPr>
        <w:t>ICIP</w:t>
      </w:r>
      <w:r>
        <w:rPr>
          <w:rFonts w:ascii="Arial" w:hAnsi="Arial" w:cs="Arial"/>
        </w:rPr>
        <w:t xml:space="preserve"> rights.</w:t>
      </w:r>
      <w:r>
        <w:rPr>
          <w:rStyle w:val="FootnoteReference"/>
          <w:rFonts w:ascii="Arial" w:hAnsi="Arial" w:cs="Arial"/>
        </w:rPr>
        <w:footnoteReference w:id="22"/>
      </w:r>
      <w:r w:rsidR="007077C2">
        <w:rPr>
          <w:rFonts w:ascii="Arial" w:hAnsi="Arial" w:cs="Arial"/>
        </w:rPr>
        <w:t xml:space="preserve"> This could also enable</w:t>
      </w:r>
      <w:r w:rsidRPr="00601FB3">
        <w:rPr>
          <w:rFonts w:ascii="Arial" w:hAnsi="Arial" w:cs="Arial"/>
        </w:rPr>
        <w:t xml:space="preserve"> Indigenous people to negotiate agreed terms</w:t>
      </w:r>
      <w:r w:rsidR="00D902A2">
        <w:rPr>
          <w:rFonts w:ascii="Arial" w:hAnsi="Arial" w:cs="Arial"/>
        </w:rPr>
        <w:t>,</w:t>
      </w:r>
      <w:r w:rsidRPr="00601FB3">
        <w:rPr>
          <w:rFonts w:ascii="Arial" w:hAnsi="Arial" w:cs="Arial"/>
        </w:rPr>
        <w:t xml:space="preserve"> including sharing of benefits. With recognition of ICIP rights, there would be incentive for Indigenous people to collaborate and share their traditional cultural expression</w:t>
      </w:r>
      <w:r w:rsidR="00200E70">
        <w:rPr>
          <w:rFonts w:ascii="Arial" w:hAnsi="Arial" w:cs="Arial"/>
        </w:rPr>
        <w:t>, contributing to a culturally strong and</w:t>
      </w:r>
      <w:r w:rsidRPr="00601FB3">
        <w:rPr>
          <w:rFonts w:ascii="Arial" w:hAnsi="Arial" w:cs="Arial"/>
        </w:rPr>
        <w:t xml:space="preserve"> innovative Australia.</w:t>
      </w:r>
    </w:p>
    <w:p w14:paraId="7D60D585" w14:textId="6F48F803" w:rsidR="00040D9C" w:rsidRDefault="000B7018" w:rsidP="009D7124">
      <w:pPr>
        <w:pStyle w:val="BodyText"/>
        <w:rPr>
          <w:rFonts w:ascii="Arial" w:hAnsi="Arial" w:cs="Arial"/>
        </w:rPr>
      </w:pPr>
      <w:r>
        <w:rPr>
          <w:rFonts w:ascii="Arial" w:hAnsi="Arial" w:cs="Arial"/>
        </w:rPr>
        <w:t xml:space="preserve">Introduction of specific legislation to protect the </w:t>
      </w:r>
      <w:r w:rsidR="005967FB">
        <w:rPr>
          <w:rFonts w:ascii="Arial" w:hAnsi="Arial" w:cs="Arial"/>
        </w:rPr>
        <w:t xml:space="preserve">cultural and </w:t>
      </w:r>
      <w:r>
        <w:rPr>
          <w:rFonts w:ascii="Arial" w:hAnsi="Arial" w:cs="Arial"/>
        </w:rPr>
        <w:t xml:space="preserve">intellectual property rights of Indigenous communities would address gaps in the current framework. </w:t>
      </w:r>
      <w:r w:rsidR="00040D9C">
        <w:rPr>
          <w:rFonts w:ascii="Arial" w:hAnsi="Arial" w:cs="Arial"/>
        </w:rPr>
        <w:t xml:space="preserve">Janke and Dawson outline the form that such legislation could take in </w:t>
      </w:r>
      <w:r w:rsidR="00040D9C" w:rsidRPr="00F6231C">
        <w:rPr>
          <w:rFonts w:ascii="Arial" w:hAnsi="Arial" w:cs="Arial"/>
          <w:i/>
        </w:rPr>
        <w:t>New tracks: Indigenous knowledge and cultural expression and the Australian intellectual property system</w:t>
      </w:r>
      <w:r w:rsidR="00040D9C">
        <w:rPr>
          <w:rFonts w:ascii="Arial" w:hAnsi="Arial" w:cs="Arial"/>
        </w:rPr>
        <w:t>, which was developed in response to consultation undertaken by IP Australia in 2012</w:t>
      </w:r>
      <w:r w:rsidR="00040D9C" w:rsidRPr="00523468">
        <w:rPr>
          <w:rFonts w:ascii="Arial" w:hAnsi="Arial" w:cs="Arial"/>
        </w:rPr>
        <w:t>.</w:t>
      </w:r>
      <w:r w:rsidR="00040D9C">
        <w:rPr>
          <w:rStyle w:val="FootnoteReference"/>
          <w:rFonts w:ascii="Arial" w:hAnsi="Arial" w:cs="Arial"/>
        </w:rPr>
        <w:footnoteReference w:id="23"/>
      </w:r>
    </w:p>
    <w:p w14:paraId="467AA94A" w14:textId="0CA62652" w:rsidR="002B123F" w:rsidRDefault="00EA05FC" w:rsidP="009D7124">
      <w:pPr>
        <w:pStyle w:val="BodyText"/>
        <w:rPr>
          <w:rFonts w:ascii="Arial" w:hAnsi="Arial" w:cs="Arial"/>
        </w:rPr>
      </w:pPr>
      <w:r>
        <w:rPr>
          <w:rFonts w:ascii="Arial" w:hAnsi="Arial" w:cs="Arial"/>
        </w:rPr>
        <w:t>The introduction of s</w:t>
      </w:r>
      <w:r w:rsidR="00040D9C">
        <w:rPr>
          <w:rFonts w:ascii="Arial" w:hAnsi="Arial" w:cs="Arial"/>
        </w:rPr>
        <w:t>pecific</w:t>
      </w:r>
      <w:r>
        <w:rPr>
          <w:rFonts w:ascii="Arial" w:hAnsi="Arial" w:cs="Arial"/>
        </w:rPr>
        <w:t xml:space="preserve"> legislation </w:t>
      </w:r>
      <w:r w:rsidR="000B7018">
        <w:rPr>
          <w:rFonts w:ascii="Arial" w:hAnsi="Arial" w:cs="Arial"/>
        </w:rPr>
        <w:t xml:space="preserve">to protect the intellectual property rights of Indigenous communities </w:t>
      </w:r>
      <w:r>
        <w:rPr>
          <w:rFonts w:ascii="Arial" w:hAnsi="Arial" w:cs="Arial"/>
        </w:rPr>
        <w:t xml:space="preserve">would be </w:t>
      </w:r>
      <w:r w:rsidR="00AF0DE8">
        <w:rPr>
          <w:rFonts w:ascii="Arial" w:hAnsi="Arial" w:cs="Arial"/>
        </w:rPr>
        <w:t xml:space="preserve">in line with </w:t>
      </w:r>
      <w:r w:rsidR="00957369">
        <w:rPr>
          <w:rFonts w:ascii="Arial" w:hAnsi="Arial" w:cs="Arial"/>
        </w:rPr>
        <w:t>the</w:t>
      </w:r>
      <w:r w:rsidR="00AF0DE8">
        <w:rPr>
          <w:rFonts w:ascii="Arial" w:hAnsi="Arial" w:cs="Arial"/>
        </w:rPr>
        <w:t xml:space="preserve"> UN Declaration on the Rights of Indigenous Peoples, which</w:t>
      </w:r>
      <w:r w:rsidR="005922A2">
        <w:rPr>
          <w:rFonts w:ascii="Arial" w:hAnsi="Arial" w:cs="Arial"/>
        </w:rPr>
        <w:t xml:space="preserve"> Australia announced support for in 2009.</w:t>
      </w:r>
      <w:r w:rsidR="00AF0DE8">
        <w:rPr>
          <w:rFonts w:ascii="Arial" w:hAnsi="Arial" w:cs="Arial"/>
        </w:rPr>
        <w:t xml:space="preserve"> </w:t>
      </w:r>
      <w:r w:rsidR="005922A2">
        <w:rPr>
          <w:rFonts w:ascii="Arial" w:hAnsi="Arial" w:cs="Arial"/>
        </w:rPr>
        <w:t xml:space="preserve">Article 31 of the Declaration </w:t>
      </w:r>
      <w:r w:rsidR="00957369">
        <w:rPr>
          <w:rFonts w:ascii="Arial" w:hAnsi="Arial" w:cs="Arial"/>
        </w:rPr>
        <w:t xml:space="preserve">states that Indigenous peoples </w:t>
      </w:r>
      <w:r w:rsidR="00FA0233">
        <w:rPr>
          <w:rFonts w:ascii="Arial" w:hAnsi="Arial" w:cs="Arial"/>
        </w:rPr>
        <w:t>“</w:t>
      </w:r>
      <w:r w:rsidR="00957369" w:rsidRPr="00957369">
        <w:rPr>
          <w:rFonts w:ascii="Arial" w:hAnsi="Arial" w:cs="Arial"/>
        </w:rPr>
        <w:t>have the right to maintain, control, protect and develop their intellectual property over such cultural heritage, traditional knowledge, and traditional cultural expressions.</w:t>
      </w:r>
      <w:r w:rsidR="00FA0233">
        <w:rPr>
          <w:rFonts w:ascii="Arial" w:hAnsi="Arial" w:cs="Arial"/>
        </w:rPr>
        <w:t>”</w:t>
      </w:r>
      <w:r w:rsidR="00477BBA">
        <w:rPr>
          <w:rFonts w:ascii="Arial" w:hAnsi="Arial" w:cs="Arial"/>
        </w:rPr>
        <w:t xml:space="preserve"> This is also in line with Article 32 of the Declaration: “</w:t>
      </w:r>
      <w:r w:rsidR="00477BBA" w:rsidRPr="007077C2">
        <w:rPr>
          <w:rFonts w:ascii="Arial" w:hAnsi="Arial" w:cs="Arial"/>
        </w:rPr>
        <w:t>States shall consult and cooperate in good faith with the indigenous peoples concerned through their own representative institutions in order to obtain their free and informed consent prior to the approval of any project affecting their lands or territories and other resources</w:t>
      </w:r>
      <w:r w:rsidR="00477BBA">
        <w:rPr>
          <w:rFonts w:ascii="Arial" w:hAnsi="Arial" w:cs="Arial"/>
        </w:rPr>
        <w:t>.”</w:t>
      </w:r>
      <w:r w:rsidR="00FA0233">
        <w:rPr>
          <w:rStyle w:val="FootnoteReference"/>
          <w:rFonts w:ascii="Arial" w:hAnsi="Arial" w:cs="Arial"/>
        </w:rPr>
        <w:footnoteReference w:id="24"/>
      </w:r>
      <w:r w:rsidR="002F4EB4">
        <w:rPr>
          <w:rFonts w:ascii="Arial" w:hAnsi="Arial" w:cs="Arial"/>
        </w:rPr>
        <w:t xml:space="preserve"> The term resources encompasses Indigenous arts and culture.</w:t>
      </w:r>
    </w:p>
    <w:p w14:paraId="5D4CCF71" w14:textId="02834F48" w:rsidR="00C32D28" w:rsidRDefault="004D6CF0" w:rsidP="009D7124">
      <w:pPr>
        <w:pStyle w:val="BodyText"/>
        <w:rPr>
          <w:rFonts w:ascii="Arial" w:hAnsi="Arial" w:cs="Arial"/>
        </w:rPr>
      </w:pPr>
      <w:r>
        <w:rPr>
          <w:rFonts w:ascii="Arial" w:hAnsi="Arial" w:cs="Arial"/>
        </w:rPr>
        <w:t>The</w:t>
      </w:r>
      <w:r w:rsidR="00591021">
        <w:rPr>
          <w:rFonts w:ascii="Arial" w:hAnsi="Arial" w:cs="Arial"/>
        </w:rPr>
        <w:t xml:space="preserve"> inquiry may wish to consider the work of the</w:t>
      </w:r>
      <w:r w:rsidR="00C32D28" w:rsidRPr="00C32D28">
        <w:rPr>
          <w:rFonts w:ascii="Arial" w:hAnsi="Arial" w:cs="Arial"/>
        </w:rPr>
        <w:t xml:space="preserve"> World Intellectual Property Organisation’s Intergovernmental Committee on Intellectual Property and Genetic Resources, Traditional Knowledge and Folklore in developing a</w:t>
      </w:r>
      <w:r>
        <w:rPr>
          <w:rFonts w:ascii="Arial" w:hAnsi="Arial" w:cs="Arial"/>
        </w:rPr>
        <w:t>n</w:t>
      </w:r>
      <w:r w:rsidR="007D01E5">
        <w:rPr>
          <w:rFonts w:ascii="Arial" w:hAnsi="Arial" w:cs="Arial"/>
        </w:rPr>
        <w:t xml:space="preserve"> intellectual</w:t>
      </w:r>
      <w:r w:rsidR="00C32D28" w:rsidRPr="00C32D28">
        <w:rPr>
          <w:rFonts w:ascii="Arial" w:hAnsi="Arial" w:cs="Arial"/>
        </w:rPr>
        <w:t xml:space="preserve"> </w:t>
      </w:r>
      <w:r w:rsidR="007D01E5">
        <w:rPr>
          <w:rFonts w:ascii="Arial" w:hAnsi="Arial" w:cs="Arial"/>
        </w:rPr>
        <w:t xml:space="preserve">property </w:t>
      </w:r>
      <w:r w:rsidR="00F17776">
        <w:rPr>
          <w:rFonts w:ascii="Arial" w:hAnsi="Arial" w:cs="Arial"/>
        </w:rPr>
        <w:t>rights-</w:t>
      </w:r>
      <w:r w:rsidR="00C32D28" w:rsidRPr="00C32D28">
        <w:rPr>
          <w:rFonts w:ascii="Arial" w:hAnsi="Arial" w:cs="Arial"/>
        </w:rPr>
        <w:t>based approach for the protection of Indigenous cultural material.</w:t>
      </w:r>
    </w:p>
    <w:p w14:paraId="329F53E5" w14:textId="77777777" w:rsidR="00DC00FD" w:rsidRPr="00E43678" w:rsidRDefault="001A67A6" w:rsidP="00991133">
      <w:pPr>
        <w:pStyle w:val="Heading3"/>
      </w:pPr>
      <w:bookmarkStart w:id="20" w:name="_Toc437348763"/>
      <w:bookmarkStart w:id="21" w:name="_Toc437970011"/>
      <w:r>
        <w:t xml:space="preserve">Parallel import </w:t>
      </w:r>
      <w:r w:rsidRPr="009F7A76">
        <w:t>restrictions</w:t>
      </w:r>
      <w:bookmarkEnd w:id="20"/>
      <w:bookmarkEnd w:id="21"/>
    </w:p>
    <w:p w14:paraId="25624811" w14:textId="77777777" w:rsidR="00827789" w:rsidRDefault="001A67A6" w:rsidP="00DC00FD">
      <w:pPr>
        <w:pStyle w:val="BodyText"/>
      </w:pPr>
      <w:r>
        <w:t>The Australia Council notes that the inquiry’s terms of reference includes consideration of the Harper Competition Policy Review recommendations relating to parallel import restrictions</w:t>
      </w:r>
      <w:r w:rsidR="00827789">
        <w:t>.</w:t>
      </w:r>
    </w:p>
    <w:p w14:paraId="46737FC7" w14:textId="77777777" w:rsidR="001A4F79" w:rsidRPr="001A4F79" w:rsidRDefault="001A4F79" w:rsidP="00DC00FD">
      <w:pPr>
        <w:pStyle w:val="BodyText"/>
        <w:rPr>
          <w:rFonts w:ascii="Arial" w:hAnsi="Arial" w:cs="Arial"/>
        </w:rPr>
      </w:pPr>
      <w:r>
        <w:rPr>
          <w:rFonts w:ascii="Arial" w:hAnsi="Arial" w:cs="Arial"/>
        </w:rPr>
        <w:t>As noted above, w</w:t>
      </w:r>
      <w:r w:rsidRPr="00521BEF">
        <w:rPr>
          <w:rFonts w:ascii="Arial" w:hAnsi="Arial" w:cs="Arial"/>
        </w:rPr>
        <w:t>riters are among the lowest paid artists and income from copyright represents approximately a fifth of their creative income.</w:t>
      </w:r>
      <w:r w:rsidRPr="00521BEF">
        <w:rPr>
          <w:rStyle w:val="FootnoteReference"/>
          <w:rFonts w:ascii="Arial" w:hAnsi="Arial" w:cs="Arial"/>
        </w:rPr>
        <w:footnoteReference w:id="25"/>
      </w:r>
    </w:p>
    <w:p w14:paraId="57F9D9B2" w14:textId="57F29C36" w:rsidR="00F51A4F" w:rsidRDefault="006D7B45">
      <w:pPr>
        <w:pStyle w:val="BodyText"/>
      </w:pPr>
      <w:r w:rsidRPr="006D7B45">
        <w:t>Changes to restrictions on parallel importation of books may lead to a decline in the creation of new Australian works</w:t>
      </w:r>
      <w:r w:rsidR="00F25F65">
        <w:t xml:space="preserve"> and impact the sustainability of the Australian literature sector.</w:t>
      </w:r>
      <w:r w:rsidR="007B29FA">
        <w:t xml:space="preserve"> </w:t>
      </w:r>
      <w:r w:rsidR="00F25F65">
        <w:t>This</w:t>
      </w:r>
      <w:r w:rsidRPr="006D7B45">
        <w:t xml:space="preserve"> would </w:t>
      </w:r>
      <w:r w:rsidR="002C281C">
        <w:t>reduce access to a</w:t>
      </w:r>
      <w:r w:rsidRPr="006D7B45">
        <w:t xml:space="preserve"> diverse range of Australian books</w:t>
      </w:r>
      <w:r w:rsidR="005D21A9">
        <w:t xml:space="preserve"> and</w:t>
      </w:r>
      <w:r w:rsidR="002C281C">
        <w:t xml:space="preserve"> limit options for readers through lower cost</w:t>
      </w:r>
      <w:r w:rsidR="005D21A9">
        <w:t xml:space="preserve"> imported</w:t>
      </w:r>
      <w:r w:rsidR="002C281C">
        <w:t xml:space="preserve"> books dominating the market</w:t>
      </w:r>
      <w:r w:rsidR="00141EEE">
        <w:t>.</w:t>
      </w:r>
      <w:r w:rsidR="007B29FA" w:rsidRPr="007B29FA">
        <w:t xml:space="preserve"> </w:t>
      </w:r>
      <w:r w:rsidR="008325CF">
        <w:t xml:space="preserve">Such a shift would </w:t>
      </w:r>
      <w:r w:rsidR="007B29FA">
        <w:t>affect the whole supply chain</w:t>
      </w:r>
      <w:r w:rsidR="008325CF">
        <w:t>,</w:t>
      </w:r>
      <w:r w:rsidR="007B29FA">
        <w:t xml:space="preserve"> from publishers and</w:t>
      </w:r>
      <w:r w:rsidR="008D7768">
        <w:t xml:space="preserve"> booksellers through to writers.</w:t>
      </w:r>
      <w:r w:rsidR="007B29FA">
        <w:t xml:space="preserve"> </w:t>
      </w:r>
      <w:r w:rsidR="008D7768">
        <w:t xml:space="preserve">This would </w:t>
      </w:r>
      <w:r w:rsidR="008325CF">
        <w:t>weaken</w:t>
      </w:r>
      <w:r w:rsidR="007B29FA">
        <w:t xml:space="preserve"> literary culture in Australia</w:t>
      </w:r>
      <w:r w:rsidR="00B352AF">
        <w:t xml:space="preserve">, including </w:t>
      </w:r>
      <w:r w:rsidR="00AD1D4E">
        <w:t>the</w:t>
      </w:r>
      <w:r w:rsidR="007B29FA">
        <w:t xml:space="preserve"> ability of readers to access the work of Australian writers.</w:t>
      </w:r>
    </w:p>
    <w:p w14:paraId="27216ACA" w14:textId="3215C76A" w:rsidR="00BD0E21" w:rsidRDefault="00CD3D19">
      <w:pPr>
        <w:pStyle w:val="BodyText"/>
      </w:pPr>
      <w:r>
        <w:t xml:space="preserve">As a result, </w:t>
      </w:r>
      <w:r w:rsidR="00202DF0">
        <w:t xml:space="preserve">additional government investment </w:t>
      </w:r>
      <w:r>
        <w:t>may be required</w:t>
      </w:r>
      <w:r w:rsidR="00202DF0">
        <w:t xml:space="preserve"> to ensur</w:t>
      </w:r>
      <w:r w:rsidR="00BA7F59">
        <w:t>e Australian writers continue creating</w:t>
      </w:r>
      <w:r w:rsidR="00202DF0">
        <w:t xml:space="preserve"> new works</w:t>
      </w:r>
      <w:r w:rsidR="00D837F1">
        <w:t xml:space="preserve"> and to ensure sustainability of the Australian literature sector.</w:t>
      </w:r>
    </w:p>
    <w:p w14:paraId="5ACC2919" w14:textId="2BA0D2E4" w:rsidR="00004373" w:rsidRPr="00F51A4F" w:rsidRDefault="00004373">
      <w:pPr>
        <w:pStyle w:val="BodyText"/>
      </w:pPr>
      <w:r>
        <w:t>Fo</w:t>
      </w:r>
      <w:r w:rsidR="00470DC4">
        <w:t xml:space="preserve">r example, </w:t>
      </w:r>
      <w:r w:rsidRPr="00004373">
        <w:t xml:space="preserve">the </w:t>
      </w:r>
      <w:r w:rsidRPr="001A3674">
        <w:rPr>
          <w:i/>
        </w:rPr>
        <w:t>Copyright Amendment Bill (No. 2) 1997</w:t>
      </w:r>
      <w:r>
        <w:t xml:space="preserve"> </w:t>
      </w:r>
      <w:r w:rsidR="00AB30EA">
        <w:t xml:space="preserve">removed parallel import restrictions </w:t>
      </w:r>
      <w:r w:rsidR="00470DC4">
        <w:t>for music. In order to address the impact this would have on the music industry, t</w:t>
      </w:r>
      <w:r w:rsidR="00AB30EA">
        <w:t xml:space="preserve">he </w:t>
      </w:r>
      <w:r w:rsidR="00470DC4">
        <w:t>government</w:t>
      </w:r>
      <w:r w:rsidR="00AB30EA">
        <w:t xml:space="preserve"> introduced a </w:t>
      </w:r>
      <w:r w:rsidRPr="00004373">
        <w:t>$10 million music industry package</w:t>
      </w:r>
      <w:r w:rsidR="00AB30EA">
        <w:t xml:space="preserve"> to support distribution and access to Australian music</w:t>
      </w:r>
      <w:r w:rsidRPr="00004373">
        <w:t>.</w:t>
      </w:r>
    </w:p>
    <w:sectPr w:rsidR="00004373" w:rsidRPr="00F51A4F" w:rsidSect="00D473D5">
      <w:headerReference w:type="default" r:id="rId15"/>
      <w:footerReference w:type="default" r:id="rId16"/>
      <w:footerReference w:type="first" r:id="rId17"/>
      <w:pgSz w:w="11906" w:h="16838" w:code="9"/>
      <w:pgMar w:top="1021" w:right="1021" w:bottom="1021"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2FF23" w14:textId="77777777" w:rsidR="00E72DE1" w:rsidRDefault="00E72DE1" w:rsidP="00185154">
      <w:r>
        <w:separator/>
      </w:r>
    </w:p>
    <w:p w14:paraId="0732D6FB" w14:textId="77777777" w:rsidR="00E72DE1" w:rsidRDefault="00E72DE1"/>
  </w:endnote>
  <w:endnote w:type="continuationSeparator" w:id="0">
    <w:p w14:paraId="4EC1E938" w14:textId="77777777" w:rsidR="00E72DE1" w:rsidRDefault="00E72DE1" w:rsidP="00185154">
      <w:r>
        <w:continuationSeparator/>
      </w:r>
    </w:p>
    <w:p w14:paraId="001CE97B" w14:textId="77777777" w:rsidR="00E72DE1" w:rsidRDefault="00E72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icrosoft JhengHei">
    <w:altName w:val="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944186"/>
      <w:docPartObj>
        <w:docPartGallery w:val="Page Numbers (Bottom of Page)"/>
        <w:docPartUnique/>
      </w:docPartObj>
    </w:sdtPr>
    <w:sdtEndPr>
      <w:rPr>
        <w:noProof/>
      </w:rPr>
    </w:sdtEndPr>
    <w:sdtContent>
      <w:p w14:paraId="76341C21" w14:textId="444C4472" w:rsidR="00991133" w:rsidRDefault="00991133" w:rsidP="00991133">
        <w:pPr>
          <w:pStyle w:val="Footer"/>
          <w:jc w:val="right"/>
        </w:pPr>
        <w:r>
          <w:fldChar w:fldCharType="begin"/>
        </w:r>
        <w:r>
          <w:instrText xml:space="preserve"> PAGE   \* MERGEFORMAT </w:instrText>
        </w:r>
        <w:r>
          <w:fldChar w:fldCharType="separate"/>
        </w:r>
        <w:r w:rsidR="00BA6A81">
          <w:rPr>
            <w:noProof/>
          </w:rPr>
          <w:t>5</w:t>
        </w:r>
        <w:r>
          <w:rPr>
            <w:noProof/>
          </w:rPr>
          <w:fldChar w:fldCharType="end"/>
        </w:r>
      </w:p>
    </w:sdtContent>
  </w:sdt>
  <w:p w14:paraId="05544CF8" w14:textId="38504C97" w:rsidR="00E72DE1" w:rsidRDefault="00E72DE1" w:rsidP="003A08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F176" w14:textId="77777777" w:rsidR="00E72DE1" w:rsidRDefault="00E72DE1" w:rsidP="00A640FF">
    <w:pPr>
      <w:pStyle w:val="Footer"/>
    </w:pPr>
    <w:r>
      <w:tab/>
    </w:r>
    <w:r>
      <w:fldChar w:fldCharType="begin"/>
    </w:r>
    <w:r>
      <w:instrText xml:space="preserve"> PAGE  \* Arabic  \* MERGEFORMAT </w:instrText>
    </w:r>
    <w:r>
      <w:fldChar w:fldCharType="separate"/>
    </w:r>
    <w:r w:rsidR="00BA6A81">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736592"/>
      <w:docPartObj>
        <w:docPartGallery w:val="Page Numbers (Bottom of Page)"/>
        <w:docPartUnique/>
      </w:docPartObj>
    </w:sdtPr>
    <w:sdtEndPr>
      <w:rPr>
        <w:noProof/>
      </w:rPr>
    </w:sdtEndPr>
    <w:sdtContent>
      <w:p w14:paraId="3C47ADDC" w14:textId="19285446" w:rsidR="00991133" w:rsidRDefault="00991133" w:rsidP="00991133">
        <w:pPr>
          <w:pStyle w:val="Footer"/>
          <w:jc w:val="right"/>
        </w:pPr>
        <w:r>
          <w:fldChar w:fldCharType="begin"/>
        </w:r>
        <w:r>
          <w:instrText xml:space="preserve"> PAGE   \* MERGEFORMAT </w:instrText>
        </w:r>
        <w:r>
          <w:fldChar w:fldCharType="separate"/>
        </w:r>
        <w:r w:rsidR="00BA6A81">
          <w:rPr>
            <w:noProof/>
          </w:rPr>
          <w:t>13</w:t>
        </w:r>
        <w:r>
          <w:rPr>
            <w:noProof/>
          </w:rPr>
          <w:fldChar w:fldCharType="end"/>
        </w:r>
      </w:p>
    </w:sdtContent>
  </w:sdt>
  <w:p w14:paraId="1F923948" w14:textId="48C15787" w:rsidR="00E72DE1" w:rsidRDefault="00E72DE1" w:rsidP="003A08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F9365" w14:textId="77777777" w:rsidR="00E72DE1" w:rsidRDefault="00E72DE1"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BE75B" w14:textId="77777777" w:rsidR="00E72DE1" w:rsidRDefault="00E72DE1" w:rsidP="00185154">
      <w:r>
        <w:separator/>
      </w:r>
    </w:p>
    <w:p w14:paraId="14E74A4E" w14:textId="77777777" w:rsidR="00E72DE1" w:rsidRDefault="00E72DE1"/>
  </w:footnote>
  <w:footnote w:type="continuationSeparator" w:id="0">
    <w:p w14:paraId="732EA2A6" w14:textId="77777777" w:rsidR="00E72DE1" w:rsidRDefault="00E72DE1" w:rsidP="00185154">
      <w:r>
        <w:continuationSeparator/>
      </w:r>
    </w:p>
    <w:p w14:paraId="5F22AB4C" w14:textId="77777777" w:rsidR="00E72DE1" w:rsidRDefault="00E72DE1"/>
  </w:footnote>
  <w:footnote w:id="1">
    <w:p w14:paraId="7F4716A5" w14:textId="77777777" w:rsidR="00E72DE1" w:rsidRDefault="00E72DE1" w:rsidP="000C6616">
      <w:pPr>
        <w:pStyle w:val="FootnoteText"/>
      </w:pPr>
      <w:r>
        <w:rPr>
          <w:rStyle w:val="FootnoteReference"/>
        </w:rPr>
        <w:footnoteRef/>
      </w:r>
      <w:r>
        <w:t xml:space="preserve"> The </w:t>
      </w:r>
      <w:r w:rsidRPr="00EA0B41">
        <w:rPr>
          <w:i/>
        </w:rPr>
        <w:t>Arts Nation</w:t>
      </w:r>
      <w:r>
        <w:t xml:space="preserve"> report aims to build</w:t>
      </w:r>
      <w:r w:rsidRPr="00725563">
        <w:t xml:space="preserve"> understandin</w:t>
      </w:r>
      <w:r>
        <w:t xml:space="preserve">g of Australian arts through a </w:t>
      </w:r>
      <w:r w:rsidRPr="00725563">
        <w:t>set of national indicators</w:t>
      </w:r>
      <w:r>
        <w:t>.</w:t>
      </w:r>
    </w:p>
  </w:footnote>
  <w:footnote w:id="2">
    <w:p w14:paraId="653CBCA3" w14:textId="77777777" w:rsidR="00E72DE1" w:rsidRDefault="00E72DE1" w:rsidP="000C6616">
      <w:pPr>
        <w:pStyle w:val="FootnoteText"/>
      </w:pPr>
      <w:r>
        <w:rPr>
          <w:rStyle w:val="FootnoteReference"/>
        </w:rPr>
        <w:footnoteRef/>
      </w:r>
      <w:r>
        <w:t xml:space="preserve"> ABS 2014, Australian National Accounts: Cultural and Creative Activity Satellite Accounts, Experimental, 2008-09 (cat. No. 5271.0).</w:t>
      </w:r>
    </w:p>
  </w:footnote>
  <w:footnote w:id="3">
    <w:p w14:paraId="661DAD6D" w14:textId="22B2110D" w:rsidR="00E72DE1" w:rsidRDefault="00E72DE1" w:rsidP="000C6616">
      <w:pPr>
        <w:pStyle w:val="FootnoteText"/>
      </w:pPr>
      <w:r>
        <w:rPr>
          <w:rStyle w:val="FootnoteReference"/>
        </w:rPr>
        <w:footnoteRef/>
      </w:r>
      <w:r>
        <w:t xml:space="preserve"> PWC (2015), </w:t>
      </w:r>
      <w:r w:rsidRPr="00FF0326">
        <w:rPr>
          <w:i/>
        </w:rPr>
        <w:t>The Economic Contribution of Australia’s Copyright Industries, 2002-2014</w:t>
      </w:r>
      <w:r>
        <w:t>, prepared for the Australian Copyright Council, 3.</w:t>
      </w:r>
    </w:p>
  </w:footnote>
  <w:footnote w:id="4">
    <w:p w14:paraId="1B93243D" w14:textId="0207BEF1" w:rsidR="00E72DE1" w:rsidRPr="00E816ED" w:rsidRDefault="00E72DE1" w:rsidP="00521BEF">
      <w:pPr>
        <w:pStyle w:val="FootnoteText"/>
        <w:rPr>
          <w:rFonts w:ascii="Arial" w:hAnsi="Arial" w:cs="Arial"/>
        </w:rPr>
      </w:pPr>
      <w:r w:rsidRPr="00E816ED">
        <w:rPr>
          <w:rStyle w:val="FootnoteReference"/>
          <w:rFonts w:ascii="Arial" w:hAnsi="Arial" w:cs="Arial"/>
        </w:rPr>
        <w:footnoteRef/>
      </w:r>
      <w:r w:rsidRPr="00E816ED">
        <w:rPr>
          <w:rFonts w:ascii="Arial" w:hAnsi="Arial" w:cs="Arial"/>
        </w:rPr>
        <w:t xml:space="preserve"> </w:t>
      </w:r>
      <w:r w:rsidRPr="0057101F">
        <w:rPr>
          <w:rFonts w:ascii="Arial" w:hAnsi="Arial" w:cs="Arial"/>
        </w:rPr>
        <w:t>Throsby</w:t>
      </w:r>
      <w:r>
        <w:rPr>
          <w:rFonts w:ascii="Arial" w:hAnsi="Arial" w:cs="Arial"/>
        </w:rPr>
        <w:t xml:space="preserve"> D</w:t>
      </w:r>
      <w:r w:rsidRPr="0057101F">
        <w:rPr>
          <w:rFonts w:ascii="Arial" w:hAnsi="Arial" w:cs="Arial"/>
        </w:rPr>
        <w:t xml:space="preserve"> and Zednik</w:t>
      </w:r>
      <w:r>
        <w:rPr>
          <w:rFonts w:ascii="Arial" w:hAnsi="Arial" w:cs="Arial"/>
        </w:rPr>
        <w:t xml:space="preserve"> A (2010)</w:t>
      </w:r>
      <w:r w:rsidRPr="0057101F">
        <w:rPr>
          <w:rFonts w:ascii="Arial" w:hAnsi="Arial" w:cs="Arial"/>
        </w:rPr>
        <w:t xml:space="preserve">, </w:t>
      </w:r>
      <w:r w:rsidRPr="0057101F">
        <w:rPr>
          <w:rFonts w:ascii="Arial" w:hAnsi="Arial" w:cs="Arial"/>
          <w:i/>
        </w:rPr>
        <w:t>Do you really expect to get paid? – An economic study of professional artists in Australia</w:t>
      </w:r>
      <w:r w:rsidRPr="0057101F">
        <w:rPr>
          <w:rFonts w:ascii="Arial" w:hAnsi="Arial" w:cs="Arial"/>
        </w:rPr>
        <w:t>.</w:t>
      </w:r>
    </w:p>
  </w:footnote>
  <w:footnote w:id="5">
    <w:p w14:paraId="76E1F260" w14:textId="4B4F830C" w:rsidR="00E72DE1" w:rsidRDefault="00E72DE1" w:rsidP="001461E4">
      <w:pPr>
        <w:pStyle w:val="FootnoteText"/>
      </w:pPr>
      <w:r>
        <w:rPr>
          <w:rStyle w:val="FootnoteReference"/>
        </w:rPr>
        <w:footnoteRef/>
      </w:r>
      <w:r>
        <w:t xml:space="preserve"> </w:t>
      </w:r>
      <w:r w:rsidRPr="00E117B9">
        <w:t>Australia Council</w:t>
      </w:r>
      <w:r>
        <w:t xml:space="preserve"> (2015)</w:t>
      </w:r>
      <w:r w:rsidRPr="00E117B9">
        <w:t>,</w:t>
      </w:r>
      <w:r>
        <w:rPr>
          <w:i/>
        </w:rPr>
        <w:t xml:space="preserve"> </w:t>
      </w:r>
      <w:r w:rsidRPr="00E117B9">
        <w:rPr>
          <w:i/>
        </w:rPr>
        <w:t>Arts Nation</w:t>
      </w:r>
      <w:r>
        <w:rPr>
          <w:i/>
        </w:rPr>
        <w:t>: An Overview of Australian Arts,</w:t>
      </w:r>
      <w:r>
        <w:t xml:space="preserve"> 17.</w:t>
      </w:r>
    </w:p>
  </w:footnote>
  <w:footnote w:id="6">
    <w:p w14:paraId="551C523F" w14:textId="77777777" w:rsidR="00E72DE1" w:rsidRDefault="00E72DE1" w:rsidP="001461E4">
      <w:pPr>
        <w:pStyle w:val="FootnoteText"/>
      </w:pPr>
      <w:r>
        <w:rPr>
          <w:rStyle w:val="FootnoteReference"/>
        </w:rPr>
        <w:footnoteRef/>
      </w:r>
      <w:r>
        <w:t xml:space="preserve"> </w:t>
      </w:r>
      <w:r w:rsidRPr="00E117B9">
        <w:t>Australia Council,</w:t>
      </w:r>
      <w:r>
        <w:rPr>
          <w:i/>
        </w:rPr>
        <w:t xml:space="preserve"> </w:t>
      </w:r>
      <w:r w:rsidRPr="00E117B9">
        <w:rPr>
          <w:i/>
        </w:rPr>
        <w:t>Arts Nation</w:t>
      </w:r>
      <w:r>
        <w:t>, 17.</w:t>
      </w:r>
    </w:p>
  </w:footnote>
  <w:footnote w:id="7">
    <w:p w14:paraId="2CDB6009" w14:textId="77777777" w:rsidR="00E72DE1" w:rsidRDefault="00E72DE1" w:rsidP="0027260C">
      <w:pPr>
        <w:pStyle w:val="FootnoteText"/>
      </w:pPr>
      <w:r>
        <w:rPr>
          <w:rStyle w:val="FootnoteReference"/>
        </w:rPr>
        <w:footnoteRef/>
      </w:r>
      <w:r>
        <w:t xml:space="preserve"> </w:t>
      </w:r>
      <w:r w:rsidRPr="00E117B9">
        <w:t>Australia Council,</w:t>
      </w:r>
      <w:r>
        <w:rPr>
          <w:i/>
        </w:rPr>
        <w:t xml:space="preserve"> </w:t>
      </w:r>
      <w:r w:rsidRPr="00E117B9">
        <w:rPr>
          <w:i/>
        </w:rPr>
        <w:t>Arts Nation</w:t>
      </w:r>
      <w:r>
        <w:t xml:space="preserve">, 10. </w:t>
      </w:r>
    </w:p>
  </w:footnote>
  <w:footnote w:id="8">
    <w:p w14:paraId="76FFFAFB" w14:textId="77777777" w:rsidR="00E72DE1" w:rsidRDefault="00E72DE1" w:rsidP="0027260C">
      <w:pPr>
        <w:pStyle w:val="FootnoteText"/>
      </w:pPr>
      <w:r>
        <w:rPr>
          <w:rStyle w:val="FootnoteReference"/>
        </w:rPr>
        <w:footnoteRef/>
      </w:r>
      <w:r>
        <w:t xml:space="preserve"> </w:t>
      </w:r>
      <w:r w:rsidRPr="00E117B9">
        <w:t>Australia Council,</w:t>
      </w:r>
      <w:r>
        <w:rPr>
          <w:i/>
        </w:rPr>
        <w:t xml:space="preserve"> </w:t>
      </w:r>
      <w:r w:rsidRPr="00E117B9">
        <w:rPr>
          <w:i/>
        </w:rPr>
        <w:t>Arts Nation</w:t>
      </w:r>
      <w:r>
        <w:t>, 25.</w:t>
      </w:r>
    </w:p>
  </w:footnote>
  <w:footnote w:id="9">
    <w:p w14:paraId="752FEA61" w14:textId="77777777" w:rsidR="00E72DE1" w:rsidRPr="009E5F4F" w:rsidRDefault="00E72DE1" w:rsidP="00DF2368">
      <w:pPr>
        <w:pStyle w:val="FootnoteText"/>
      </w:pPr>
      <w:r>
        <w:rPr>
          <w:rStyle w:val="FootnoteReference"/>
        </w:rPr>
        <w:footnoteRef/>
      </w:r>
      <w:r>
        <w:t xml:space="preserve"> Stewart A, Griffith P, Bannister J, Liberman A, </w:t>
      </w:r>
      <w:r>
        <w:rPr>
          <w:i/>
        </w:rPr>
        <w:t xml:space="preserve">Intellectual Property in Australia </w:t>
      </w:r>
      <w:r>
        <w:t>(5</w:t>
      </w:r>
      <w:r w:rsidRPr="009E5F4F">
        <w:rPr>
          <w:vertAlign w:val="superscript"/>
        </w:rPr>
        <w:t>th</w:t>
      </w:r>
      <w:r>
        <w:t xml:space="preserve"> ed), 131.</w:t>
      </w:r>
    </w:p>
  </w:footnote>
  <w:footnote w:id="10">
    <w:p w14:paraId="1EE3CDCC" w14:textId="32747E4E" w:rsidR="00E72DE1" w:rsidRDefault="00E72DE1" w:rsidP="0027260C">
      <w:pPr>
        <w:pStyle w:val="FootnoteText"/>
      </w:pPr>
      <w:r>
        <w:rPr>
          <w:rStyle w:val="FootnoteReference"/>
        </w:rPr>
        <w:footnoteRef/>
      </w:r>
      <w:r>
        <w:t xml:space="preserve"> IFPI (2015), </w:t>
      </w:r>
      <w:r w:rsidRPr="00326C05">
        <w:rPr>
          <w:i/>
        </w:rPr>
        <w:t>Recording Industry in Numbers: The Recorded Music Market in 2014</w:t>
      </w:r>
      <w:r>
        <w:t>, 5, 100.</w:t>
      </w:r>
    </w:p>
  </w:footnote>
  <w:footnote w:id="11">
    <w:p w14:paraId="245AC807" w14:textId="04F2C0CA" w:rsidR="00E72DE1" w:rsidRDefault="00E72DE1" w:rsidP="0027260C">
      <w:pPr>
        <w:pStyle w:val="FootnoteText"/>
      </w:pPr>
      <w:r>
        <w:rPr>
          <w:rStyle w:val="FootnoteReference"/>
        </w:rPr>
        <w:footnoteRef/>
      </w:r>
      <w:r>
        <w:t xml:space="preserve"> Lalonde P (2014), </w:t>
      </w:r>
      <w:r w:rsidRPr="00F802BA">
        <w:rPr>
          <w:i/>
        </w:rPr>
        <w:t>Study Concerning Fair Compensation for Music Creators in the Digital Age</w:t>
      </w:r>
      <w:r>
        <w:t>, International Council for Creators of Music, 2.</w:t>
      </w:r>
    </w:p>
  </w:footnote>
  <w:footnote w:id="12">
    <w:p w14:paraId="6F0B32F3" w14:textId="238BA64D" w:rsidR="00E72DE1" w:rsidRDefault="00E72DE1">
      <w:pPr>
        <w:pStyle w:val="FootnoteText"/>
      </w:pPr>
      <w:r>
        <w:rPr>
          <w:rStyle w:val="FootnoteReference"/>
        </w:rPr>
        <w:footnoteRef/>
      </w:r>
      <w:r>
        <w:t xml:space="preserve"> </w:t>
      </w:r>
      <w:r w:rsidRPr="00D53B56">
        <w:t>Sheffler S</w:t>
      </w:r>
      <w:r>
        <w:t xml:space="preserve"> (2011), </w:t>
      </w:r>
      <w:r w:rsidRPr="00F14B78">
        <w:rPr>
          <w:i/>
        </w:rPr>
        <w:t>Museums and Web 2.0: Mission-Driven Approaches, Legal Challenges and New Opportunities</w:t>
      </w:r>
      <w:r>
        <w:t xml:space="preserve">, </w:t>
      </w:r>
      <w:r w:rsidRPr="00D53B56">
        <w:t>BCommsLawB16, 14</w:t>
      </w:r>
      <w:r>
        <w:t>.</w:t>
      </w:r>
    </w:p>
  </w:footnote>
  <w:footnote w:id="13">
    <w:p w14:paraId="0355D6C4" w14:textId="77777777" w:rsidR="00E72DE1" w:rsidRDefault="00E72DE1" w:rsidP="005F6C47">
      <w:pPr>
        <w:pStyle w:val="FootnoteText"/>
      </w:pPr>
      <w:r>
        <w:rPr>
          <w:rStyle w:val="FootnoteReference"/>
        </w:rPr>
        <w:footnoteRef/>
      </w:r>
      <w:r>
        <w:t xml:space="preserve"> </w:t>
      </w:r>
      <w:r w:rsidRPr="00E117B9">
        <w:t>Australia Council,</w:t>
      </w:r>
      <w:r>
        <w:rPr>
          <w:i/>
        </w:rPr>
        <w:t xml:space="preserve"> </w:t>
      </w:r>
      <w:r w:rsidRPr="00E117B9">
        <w:rPr>
          <w:i/>
        </w:rPr>
        <w:t>Arts Nation</w:t>
      </w:r>
      <w:r>
        <w:t>, 17.</w:t>
      </w:r>
    </w:p>
  </w:footnote>
  <w:footnote w:id="14">
    <w:p w14:paraId="49B881DE" w14:textId="1D404426" w:rsidR="00E72DE1" w:rsidRPr="00E816ED" w:rsidRDefault="00E72DE1" w:rsidP="004F38E1">
      <w:pPr>
        <w:pStyle w:val="FootnoteText"/>
        <w:rPr>
          <w:rFonts w:ascii="Arial" w:hAnsi="Arial" w:cs="Arial"/>
        </w:rPr>
      </w:pPr>
      <w:r w:rsidRPr="00E816ED">
        <w:rPr>
          <w:rStyle w:val="FootnoteReference"/>
          <w:rFonts w:ascii="Arial" w:hAnsi="Arial" w:cs="Arial"/>
        </w:rPr>
        <w:footnoteRef/>
      </w:r>
      <w:r w:rsidRPr="00E816ED">
        <w:rPr>
          <w:rFonts w:ascii="Arial" w:hAnsi="Arial" w:cs="Arial"/>
        </w:rPr>
        <w:t xml:space="preserve"> </w:t>
      </w:r>
      <w:r w:rsidRPr="0057101F">
        <w:rPr>
          <w:rFonts w:ascii="Arial" w:hAnsi="Arial" w:cs="Arial"/>
        </w:rPr>
        <w:t>Throsby</w:t>
      </w:r>
      <w:r>
        <w:rPr>
          <w:rFonts w:ascii="Arial" w:hAnsi="Arial" w:cs="Arial"/>
        </w:rPr>
        <w:t xml:space="preserve"> D and </w:t>
      </w:r>
      <w:r w:rsidRPr="0057101F">
        <w:rPr>
          <w:rFonts w:ascii="Arial" w:hAnsi="Arial" w:cs="Arial"/>
        </w:rPr>
        <w:t>Hollister</w:t>
      </w:r>
      <w:r>
        <w:rPr>
          <w:rFonts w:ascii="Arial" w:hAnsi="Arial" w:cs="Arial"/>
        </w:rPr>
        <w:t xml:space="preserve"> V (2003)</w:t>
      </w:r>
      <w:r w:rsidRPr="0057101F">
        <w:rPr>
          <w:rFonts w:ascii="Arial" w:hAnsi="Arial" w:cs="Arial"/>
        </w:rPr>
        <w:t xml:space="preserve">, </w:t>
      </w:r>
      <w:r w:rsidRPr="0057101F">
        <w:rPr>
          <w:rFonts w:ascii="Arial" w:hAnsi="Arial" w:cs="Arial"/>
          <w:i/>
        </w:rPr>
        <w:t>Don’t give up your day job – An economic study of professional artists in Australia</w:t>
      </w:r>
      <w:r>
        <w:rPr>
          <w:rFonts w:ascii="Arial" w:hAnsi="Arial" w:cs="Arial"/>
        </w:rPr>
        <w:t>.</w:t>
      </w:r>
    </w:p>
  </w:footnote>
  <w:footnote w:id="15">
    <w:p w14:paraId="465B0CDF" w14:textId="77777777" w:rsidR="00E72DE1" w:rsidRPr="00E816ED" w:rsidRDefault="00E72DE1" w:rsidP="004F38E1">
      <w:pPr>
        <w:pStyle w:val="FootnoteText"/>
        <w:rPr>
          <w:rFonts w:ascii="Arial" w:hAnsi="Arial" w:cs="Arial"/>
        </w:rPr>
      </w:pPr>
      <w:r w:rsidRPr="00E816ED">
        <w:rPr>
          <w:rStyle w:val="FootnoteReference"/>
          <w:rFonts w:ascii="Arial" w:hAnsi="Arial" w:cs="Arial"/>
        </w:rPr>
        <w:footnoteRef/>
      </w:r>
      <w:r w:rsidRPr="00E816ED">
        <w:rPr>
          <w:rFonts w:ascii="Arial" w:hAnsi="Arial" w:cs="Arial"/>
        </w:rPr>
        <w:t xml:space="preserve"> </w:t>
      </w:r>
      <w:r>
        <w:t>Throsby and Zednik</w:t>
      </w:r>
      <w:r>
        <w:rPr>
          <w:i/>
        </w:rPr>
        <w:t xml:space="preserve">, </w:t>
      </w:r>
      <w:r w:rsidRPr="00BF575F">
        <w:rPr>
          <w:i/>
        </w:rPr>
        <w:t>Do You Really Expect to Get Paid?</w:t>
      </w:r>
    </w:p>
  </w:footnote>
  <w:footnote w:id="16">
    <w:p w14:paraId="420241A7" w14:textId="034CC323" w:rsidR="00E72DE1" w:rsidRDefault="00E72DE1" w:rsidP="00391DF3">
      <w:pPr>
        <w:pStyle w:val="FootnoteText"/>
      </w:pPr>
      <w:r>
        <w:rPr>
          <w:rStyle w:val="FootnoteReference"/>
        </w:rPr>
        <w:footnoteRef/>
      </w:r>
      <w:r>
        <w:t xml:space="preserve"> </w:t>
      </w:r>
      <w:r w:rsidRPr="00E834C6">
        <w:rPr>
          <w:i/>
        </w:rPr>
        <w:t>Meskenas v ACP Publishing Pty Ltd</w:t>
      </w:r>
      <w:r w:rsidRPr="00E834C6">
        <w:t xml:space="preserve"> </w:t>
      </w:r>
      <w:r>
        <w:t>(</w:t>
      </w:r>
      <w:r w:rsidRPr="00E834C6">
        <w:t>2006</w:t>
      </w:r>
      <w:r>
        <w:t>),</w:t>
      </w:r>
      <w:r w:rsidRPr="00E834C6">
        <w:t xml:space="preserve"> FMCA 1136</w:t>
      </w:r>
      <w:r>
        <w:t xml:space="preserve">; </w:t>
      </w:r>
      <w:r w:rsidRPr="00E834C6">
        <w:rPr>
          <w:i/>
        </w:rPr>
        <w:t>Perez &amp; Ors v Fernandez</w:t>
      </w:r>
      <w:r>
        <w:t xml:space="preserve"> [2012] FMCA 2.</w:t>
      </w:r>
    </w:p>
  </w:footnote>
  <w:footnote w:id="17">
    <w:p w14:paraId="451FD2E4" w14:textId="77777777" w:rsidR="00E72DE1" w:rsidRDefault="00E72DE1" w:rsidP="009211E5">
      <w:pPr>
        <w:pStyle w:val="FootnoteText"/>
      </w:pPr>
      <w:r>
        <w:rPr>
          <w:rStyle w:val="FootnoteReference"/>
        </w:rPr>
        <w:footnoteRef/>
      </w:r>
      <w:r>
        <w:t xml:space="preserve"> Stewart, Griffith, Bannister</w:t>
      </w:r>
      <w:r w:rsidRPr="00E117B9">
        <w:t>, Liberman</w:t>
      </w:r>
      <w:r>
        <w:t>,</w:t>
      </w:r>
      <w:r w:rsidRPr="00E117B9">
        <w:t xml:space="preserve"> </w:t>
      </w:r>
      <w:r w:rsidRPr="00E117B9">
        <w:rPr>
          <w:i/>
        </w:rPr>
        <w:t>Intellectual Property in Australia</w:t>
      </w:r>
      <w:r>
        <w:t>, 273.</w:t>
      </w:r>
    </w:p>
  </w:footnote>
  <w:footnote w:id="18">
    <w:p w14:paraId="299159B0" w14:textId="275BA41C" w:rsidR="00E72DE1" w:rsidRDefault="00E72DE1">
      <w:pPr>
        <w:pStyle w:val="FootnoteText"/>
      </w:pPr>
      <w:r>
        <w:rPr>
          <w:rStyle w:val="FootnoteReference"/>
        </w:rPr>
        <w:footnoteRef/>
      </w:r>
      <w:r>
        <w:t xml:space="preserve"> </w:t>
      </w:r>
      <w:r w:rsidRPr="002F440A">
        <w:rPr>
          <w:rFonts w:ascii="Arial" w:hAnsi="Arial" w:cs="Arial"/>
          <w:szCs w:val="24"/>
        </w:rPr>
        <w:t xml:space="preserve">The Australia Council’s protocol guides for working with Indigenous </w:t>
      </w:r>
      <w:r>
        <w:rPr>
          <w:rFonts w:ascii="Arial" w:hAnsi="Arial" w:cs="Arial"/>
          <w:szCs w:val="24"/>
        </w:rPr>
        <w:t xml:space="preserve">Australian </w:t>
      </w:r>
      <w:r w:rsidRPr="002F440A">
        <w:rPr>
          <w:rFonts w:ascii="Arial" w:hAnsi="Arial" w:cs="Arial"/>
          <w:szCs w:val="24"/>
        </w:rPr>
        <w:t>artists are available at the following link:</w:t>
      </w:r>
      <w:r w:rsidRPr="00BA39A3">
        <w:rPr>
          <w:rFonts w:ascii="Arial" w:hAnsi="Arial" w:cs="Arial"/>
        </w:rPr>
        <w:t xml:space="preserve"> </w:t>
      </w:r>
      <w:hyperlink r:id="rId1" w:history="1">
        <w:r w:rsidRPr="00290400">
          <w:rPr>
            <w:rStyle w:val="Hyperlink"/>
            <w:rFonts w:ascii="Arial" w:hAnsi="Arial" w:cs="Arial"/>
          </w:rPr>
          <w:t>http://www.australiacouncil.gov.au/about/protocols-for-working-with-indigenous-artists/</w:t>
        </w:r>
      </w:hyperlink>
    </w:p>
  </w:footnote>
  <w:footnote w:id="19">
    <w:p w14:paraId="13AE185C" w14:textId="3E6E277E" w:rsidR="00E72DE1" w:rsidRPr="00412424" w:rsidRDefault="00E72DE1" w:rsidP="005F5910">
      <w:pPr>
        <w:pStyle w:val="NormalWeb"/>
        <w:shd w:val="clear" w:color="auto" w:fill="FFFFFF"/>
        <w:rPr>
          <w:rFonts w:ascii="Calibri" w:hAnsi="Calibri"/>
          <w:color w:val="000000"/>
        </w:rPr>
      </w:pPr>
      <w:r w:rsidRPr="00E816ED">
        <w:rPr>
          <w:rStyle w:val="FootnoteReference"/>
          <w:rFonts w:ascii="Arial" w:hAnsi="Arial" w:cs="Arial"/>
        </w:rPr>
        <w:footnoteRef/>
      </w:r>
      <w:r w:rsidRPr="00E816ED">
        <w:rPr>
          <w:rFonts w:ascii="Arial" w:hAnsi="Arial" w:cs="Arial"/>
        </w:rPr>
        <w:t xml:space="preserve"> </w:t>
      </w:r>
      <w:r w:rsidRPr="00412424">
        <w:rPr>
          <w:rFonts w:ascii="Arial" w:hAnsi="Arial" w:cs="Arial"/>
          <w:sz w:val="20"/>
          <w:szCs w:val="20"/>
        </w:rPr>
        <w:t xml:space="preserve">Janke T and Quiggin R </w:t>
      </w:r>
      <w:r>
        <w:rPr>
          <w:rFonts w:ascii="Arial" w:hAnsi="Arial" w:cs="Arial"/>
          <w:sz w:val="20"/>
          <w:szCs w:val="20"/>
        </w:rPr>
        <w:t>(</w:t>
      </w:r>
      <w:r w:rsidRPr="00412424">
        <w:rPr>
          <w:rFonts w:ascii="Arial" w:hAnsi="Arial" w:cs="Arial"/>
          <w:sz w:val="20"/>
          <w:szCs w:val="20"/>
        </w:rPr>
        <w:t>2006</w:t>
      </w:r>
      <w:r>
        <w:rPr>
          <w:rFonts w:ascii="Arial" w:hAnsi="Arial" w:cs="Arial"/>
          <w:sz w:val="20"/>
          <w:szCs w:val="20"/>
        </w:rPr>
        <w:t>)</w:t>
      </w:r>
      <w:r w:rsidRPr="00412424">
        <w:rPr>
          <w:rFonts w:ascii="Arial" w:hAnsi="Arial" w:cs="Arial"/>
          <w:sz w:val="20"/>
          <w:szCs w:val="20"/>
        </w:rPr>
        <w:t xml:space="preserve">, </w:t>
      </w:r>
      <w:r w:rsidRPr="00412424">
        <w:rPr>
          <w:rFonts w:ascii="Arial" w:hAnsi="Arial" w:cs="Arial"/>
          <w:i/>
          <w:sz w:val="20"/>
          <w:szCs w:val="20"/>
        </w:rPr>
        <w:t>Indigenous cultural and intellectual property: the main issues for the Indigenous arts industry</w:t>
      </w:r>
      <w:r>
        <w:rPr>
          <w:rFonts w:ascii="Arial" w:hAnsi="Arial" w:cs="Arial"/>
          <w:i/>
          <w:sz w:val="20"/>
          <w:szCs w:val="20"/>
        </w:rPr>
        <w:t xml:space="preserve"> in 2006</w:t>
      </w:r>
      <w:r w:rsidRPr="00412424">
        <w:rPr>
          <w:rFonts w:ascii="Arial" w:hAnsi="Arial" w:cs="Arial"/>
          <w:sz w:val="20"/>
          <w:szCs w:val="20"/>
        </w:rPr>
        <w:t xml:space="preserve">, </w:t>
      </w:r>
      <w:r>
        <w:rPr>
          <w:rFonts w:ascii="Arial" w:hAnsi="Arial" w:cs="Arial"/>
          <w:sz w:val="20"/>
          <w:szCs w:val="20"/>
        </w:rPr>
        <w:t xml:space="preserve">9. </w:t>
      </w:r>
      <w:r w:rsidRPr="00412424">
        <w:rPr>
          <w:rFonts w:ascii="Arial" w:hAnsi="Arial" w:cs="Arial"/>
          <w:sz w:val="20"/>
          <w:szCs w:val="20"/>
        </w:rPr>
        <w:t xml:space="preserve">Available: </w:t>
      </w:r>
      <w:hyperlink r:id="rId2" w:history="1">
        <w:r w:rsidRPr="00412424">
          <w:rPr>
            <w:rStyle w:val="Hyperlink"/>
            <w:rFonts w:cstheme="minorHAnsi"/>
            <w:szCs w:val="20"/>
          </w:rPr>
          <w:t>http://www.australiacouncil.gov.au/workspace/uploads/files/indigenous-cultural-and-intellectual-property.pdf</w:t>
        </w:r>
      </w:hyperlink>
      <w:r w:rsidRPr="00412424">
        <w:rPr>
          <w:rFonts w:asciiTheme="minorHAnsi" w:hAnsiTheme="minorHAnsi" w:cstheme="minorHAnsi"/>
          <w:color w:val="000000"/>
          <w:sz w:val="20"/>
          <w:szCs w:val="20"/>
        </w:rPr>
        <w:t>​</w:t>
      </w:r>
    </w:p>
  </w:footnote>
  <w:footnote w:id="20">
    <w:p w14:paraId="36B89C2D" w14:textId="401FB00F" w:rsidR="00E72DE1" w:rsidRDefault="00E72DE1">
      <w:pPr>
        <w:pStyle w:val="FootnoteText"/>
      </w:pPr>
      <w:r>
        <w:rPr>
          <w:rStyle w:val="FootnoteReference"/>
        </w:rPr>
        <w:footnoteRef/>
      </w:r>
      <w:r>
        <w:t xml:space="preserve"> </w:t>
      </w:r>
      <w:r w:rsidRPr="00166AB0">
        <w:t>Janke</w:t>
      </w:r>
      <w:r>
        <w:t xml:space="preserve"> T</w:t>
      </w:r>
      <w:r w:rsidRPr="00166AB0">
        <w:t xml:space="preserve"> and Dawson</w:t>
      </w:r>
      <w:r>
        <w:t xml:space="preserve"> P</w:t>
      </w:r>
      <w:r w:rsidRPr="00166AB0">
        <w:t xml:space="preserve"> (2012), </w:t>
      </w:r>
      <w:r w:rsidRPr="00290400">
        <w:rPr>
          <w:i/>
        </w:rPr>
        <w:t>New tracks: Indigenous knowledge and cultural expression and the Australian intellectual property system</w:t>
      </w:r>
      <w:r>
        <w:t>.</w:t>
      </w:r>
    </w:p>
  </w:footnote>
  <w:footnote w:id="21">
    <w:p w14:paraId="3154F178" w14:textId="77864505" w:rsidR="00E72DE1" w:rsidRDefault="00E72DE1">
      <w:pPr>
        <w:pStyle w:val="FootnoteText"/>
      </w:pPr>
      <w:r>
        <w:rPr>
          <w:rStyle w:val="FootnoteReference"/>
        </w:rPr>
        <w:footnoteRef/>
      </w:r>
      <w:r>
        <w:t xml:space="preserve"> Janke, T</w:t>
      </w:r>
      <w:r w:rsidRPr="00601FB3">
        <w:t xml:space="preserve"> </w:t>
      </w:r>
      <w:r>
        <w:t>(</w:t>
      </w:r>
      <w:r w:rsidRPr="00601FB3">
        <w:t>2009</w:t>
      </w:r>
      <w:r>
        <w:t>)</w:t>
      </w:r>
      <w:r w:rsidRPr="00601FB3">
        <w:t xml:space="preserve">, </w:t>
      </w:r>
      <w:r w:rsidRPr="00766D81">
        <w:rPr>
          <w:i/>
        </w:rPr>
        <w:t>Beyond Guarding Ground: A Vision for a National Indigenous Cultural Authority</w:t>
      </w:r>
      <w:r w:rsidRPr="00601FB3">
        <w:t>.</w:t>
      </w:r>
    </w:p>
  </w:footnote>
  <w:footnote w:id="22">
    <w:p w14:paraId="1C8046C4" w14:textId="397081FC" w:rsidR="00E72DE1" w:rsidRDefault="00E72DE1">
      <w:pPr>
        <w:pStyle w:val="FootnoteText"/>
      </w:pPr>
      <w:r>
        <w:rPr>
          <w:rStyle w:val="FootnoteReference"/>
        </w:rPr>
        <w:footnoteRef/>
      </w:r>
      <w:r>
        <w:t xml:space="preserve"> Janke</w:t>
      </w:r>
      <w:r w:rsidRPr="00601FB3">
        <w:t xml:space="preserve">, </w:t>
      </w:r>
      <w:r w:rsidRPr="00BA39A3">
        <w:rPr>
          <w:i/>
        </w:rPr>
        <w:t>Beyond Guarding Ground: A V</w:t>
      </w:r>
      <w:r w:rsidRPr="00290400">
        <w:rPr>
          <w:i/>
        </w:rPr>
        <w:t>ision for a National Indigenous Cultural Authority</w:t>
      </w:r>
      <w:r w:rsidRPr="00601FB3">
        <w:t>.</w:t>
      </w:r>
    </w:p>
  </w:footnote>
  <w:footnote w:id="23">
    <w:p w14:paraId="1A65F757" w14:textId="474A36C9" w:rsidR="00E72DE1" w:rsidRPr="00F6231C" w:rsidRDefault="00E72DE1" w:rsidP="00040D9C">
      <w:pPr>
        <w:pStyle w:val="FootnoteText"/>
      </w:pPr>
      <w:r>
        <w:rPr>
          <w:rStyle w:val="FootnoteReference"/>
        </w:rPr>
        <w:footnoteRef/>
      </w:r>
      <w:r>
        <w:t xml:space="preserve"> Janke and Dawson, </w:t>
      </w:r>
      <w:r>
        <w:rPr>
          <w:i/>
        </w:rPr>
        <w:t>New tracks: Indigenous knowledge and cultural expression and the Australian intellectual property system</w:t>
      </w:r>
      <w:r>
        <w:t xml:space="preserve">, </w:t>
      </w:r>
      <w:r w:rsidRPr="00F6231C">
        <w:t>25</w:t>
      </w:r>
      <w:r>
        <w:rPr>
          <w:i/>
        </w:rPr>
        <w:t>.</w:t>
      </w:r>
    </w:p>
  </w:footnote>
  <w:footnote w:id="24">
    <w:p w14:paraId="54CE7E60" w14:textId="75E6A26B" w:rsidR="00E72DE1" w:rsidRDefault="00E72DE1">
      <w:pPr>
        <w:pStyle w:val="FootnoteText"/>
      </w:pPr>
      <w:r>
        <w:rPr>
          <w:rStyle w:val="FootnoteReference"/>
        </w:rPr>
        <w:footnoteRef/>
      </w:r>
      <w:r>
        <w:t xml:space="preserve"> United Nations (2007), </w:t>
      </w:r>
      <w:r w:rsidRPr="00BE02A9">
        <w:rPr>
          <w:i/>
        </w:rPr>
        <w:t>UN Declaration on the Rights of Indigenous Peoples</w:t>
      </w:r>
      <w:r>
        <w:t>.</w:t>
      </w:r>
    </w:p>
  </w:footnote>
  <w:footnote w:id="25">
    <w:p w14:paraId="10D30471" w14:textId="77777777" w:rsidR="00E72DE1" w:rsidRPr="00E816ED" w:rsidRDefault="00E72DE1" w:rsidP="001A4F79">
      <w:pPr>
        <w:pStyle w:val="FootnoteText"/>
        <w:rPr>
          <w:rFonts w:ascii="Arial" w:hAnsi="Arial" w:cs="Arial"/>
        </w:rPr>
      </w:pPr>
      <w:r w:rsidRPr="00E816ED">
        <w:rPr>
          <w:rStyle w:val="FootnoteReference"/>
          <w:rFonts w:ascii="Arial" w:hAnsi="Arial" w:cs="Arial"/>
        </w:rPr>
        <w:footnoteRef/>
      </w:r>
      <w:r w:rsidRPr="00E816ED">
        <w:rPr>
          <w:rFonts w:ascii="Arial" w:hAnsi="Arial" w:cs="Arial"/>
        </w:rPr>
        <w:t xml:space="preserve"> </w:t>
      </w:r>
      <w:r w:rsidRPr="0057101F">
        <w:rPr>
          <w:rFonts w:ascii="Arial" w:hAnsi="Arial" w:cs="Arial"/>
        </w:rPr>
        <w:t xml:space="preserve">Throsby and Zednik, </w:t>
      </w:r>
      <w:r w:rsidRPr="0057101F">
        <w:rPr>
          <w:rFonts w:ascii="Arial" w:hAnsi="Arial" w:cs="Arial"/>
          <w:i/>
        </w:rPr>
        <w:t>Do</w:t>
      </w:r>
      <w:r>
        <w:rPr>
          <w:rFonts w:ascii="Arial" w:hAnsi="Arial" w:cs="Arial"/>
          <w:i/>
        </w:rPr>
        <w:t xml:space="preserve"> you really expect to get paid?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6948E" w14:textId="1DE8BDBF" w:rsidR="00E72DE1" w:rsidRDefault="00E72DE1">
    <w:pPr>
      <w:pStyle w:val="Header"/>
    </w:pPr>
    <w:r>
      <w:rPr>
        <w:noProof/>
        <w:lang w:eastAsia="zh-TW" w:bidi="hi-IN"/>
      </w:rPr>
      <w:drawing>
        <wp:inline distT="0" distB="0" distL="0" distR="0" wp14:anchorId="4FCE6109" wp14:editId="481E2539">
          <wp:extent cx="1798617" cy="390525"/>
          <wp:effectExtent l="0" t="0" r="0" b="0"/>
          <wp:docPr id="4" name="Picture 4" descr="Australi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traliacouncil.gov.au/workspace/uploads/images/aca_logo_horizontal_small_rgb-543223f8c880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752" cy="3962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1BE4F" w14:textId="69B9884A" w:rsidR="00E72DE1" w:rsidRDefault="00E72DE1">
    <w:pPr>
      <w:pStyle w:val="Header"/>
    </w:pPr>
    <w:r>
      <w:rPr>
        <w:noProof/>
        <w:lang w:eastAsia="zh-TW" w:bidi="hi-IN"/>
      </w:rPr>
      <w:drawing>
        <wp:inline distT="0" distB="0" distL="0" distR="0" wp14:anchorId="072DB167" wp14:editId="7FECFF7F">
          <wp:extent cx="1798617" cy="390525"/>
          <wp:effectExtent l="0" t="0" r="0" b="0"/>
          <wp:docPr id="2" name="Picture 2" descr="Australi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traliacouncil.gov.au/workspace/uploads/images/aca_logo_horizontal_small_rgb-543223f8c880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752" cy="396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7284AE9"/>
    <w:multiLevelType w:val="multilevel"/>
    <w:tmpl w:val="E35CFF70"/>
    <w:styleLink w:val="ListAlpha"/>
    <w:lvl w:ilvl="0">
      <w:start w:val="1"/>
      <w:numFmt w:val="lowerLetter"/>
      <w:pStyle w:val="ListAlpha0"/>
      <w:lvlText w:val="%1."/>
      <w:lvlJc w:val="left"/>
      <w:pPr>
        <w:tabs>
          <w:tab w:val="num" w:pos="284"/>
        </w:tabs>
        <w:ind w:left="567" w:hanging="567"/>
      </w:pPr>
      <w:rPr>
        <w:rFonts w:asciiTheme="minorHAnsi" w:hAnsiTheme="minorHAnsi" w:hint="default"/>
        <w:color w:val="auto"/>
        <w:sz w:val="24"/>
      </w:rPr>
    </w:lvl>
    <w:lvl w:ilvl="1">
      <w:start w:val="1"/>
      <w:numFmt w:val="lowerRoman"/>
      <w:pStyle w:val="ListAlpha2"/>
      <w:lvlText w:val="%2."/>
      <w:lvlJc w:val="left"/>
      <w:pPr>
        <w:tabs>
          <w:tab w:val="num" w:pos="851"/>
        </w:tabs>
        <w:ind w:left="1134" w:hanging="567"/>
      </w:pPr>
      <w:rPr>
        <w:rFonts w:asciiTheme="minorHAnsi" w:hAnsiTheme="minorHAnsi" w:hint="default"/>
        <w:color w:val="auto"/>
        <w:sz w:val="24"/>
      </w:rPr>
    </w:lvl>
    <w:lvl w:ilvl="2">
      <w:start w:val="1"/>
      <w:numFmt w:val="decimal"/>
      <w:pStyle w:val="ListAlpha3"/>
      <w:lvlText w:val="%3."/>
      <w:lvlJc w:val="left"/>
      <w:pPr>
        <w:tabs>
          <w:tab w:val="num" w:pos="1418"/>
        </w:tabs>
        <w:ind w:left="1701" w:hanging="567"/>
      </w:pPr>
      <w:rPr>
        <w:rFonts w:asciiTheme="minorHAnsi" w:hAnsiTheme="minorHAnsi" w:hint="default"/>
        <w:color w:val="auto"/>
        <w:sz w:val="24"/>
      </w:rPr>
    </w:lvl>
    <w:lvl w:ilvl="3">
      <w:start w:val="1"/>
      <w:numFmt w:val="upperLetter"/>
      <w:pStyle w:val="ListAlpha4"/>
      <w:lvlText w:val="%4."/>
      <w:lvlJc w:val="left"/>
      <w:pPr>
        <w:tabs>
          <w:tab w:val="num" w:pos="1985"/>
        </w:tabs>
        <w:ind w:left="2268" w:hanging="567"/>
      </w:pPr>
      <w:rPr>
        <w:rFonts w:asciiTheme="minorHAnsi" w:hAnsiTheme="minorHAnsi" w:hint="default"/>
        <w:color w:val="auto"/>
        <w:sz w:val="24"/>
      </w:rPr>
    </w:lvl>
    <w:lvl w:ilvl="4">
      <w:start w:val="1"/>
      <w:numFmt w:val="upperRoman"/>
      <w:pStyle w:val="ListAlpha5"/>
      <w:lvlText w:val="%5."/>
      <w:lvlJc w:val="left"/>
      <w:pPr>
        <w:tabs>
          <w:tab w:val="num" w:pos="2552"/>
        </w:tabs>
        <w:ind w:left="2835" w:hanging="567"/>
      </w:pPr>
      <w:rPr>
        <w:rFonts w:asciiTheme="minorHAnsi" w:hAnsiTheme="minorHAnsi" w:hint="default"/>
        <w:color w:val="auto"/>
        <w:sz w:val="24"/>
      </w:rPr>
    </w:lvl>
    <w:lvl w:ilvl="5">
      <w:start w:val="1"/>
      <w:numFmt w:val="decimal"/>
      <w:pStyle w:val="ListAlpha6"/>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08D33534"/>
    <w:multiLevelType w:val="multilevel"/>
    <w:tmpl w:val="9D625AA6"/>
    <w:numStyleLink w:val="ListNumberedHeadings"/>
  </w:abstractNum>
  <w:abstractNum w:abstractNumId="3"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1E2E139A"/>
    <w:multiLevelType w:val="hybridMultilevel"/>
    <w:tmpl w:val="9790D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364391"/>
    <w:multiLevelType w:val="multilevel"/>
    <w:tmpl w:val="E35CFF70"/>
    <w:numStyleLink w:val="ListAlpha"/>
  </w:abstractNum>
  <w:abstractNum w:abstractNumId="6" w15:restartNumberingAfterBreak="0">
    <w:nsid w:val="24741D40"/>
    <w:multiLevelType w:val="multilevel"/>
    <w:tmpl w:val="DB70D304"/>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4"/>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4"/>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4"/>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4"/>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7" w15:restartNumberingAfterBreak="0">
    <w:nsid w:val="285B5392"/>
    <w:multiLevelType w:val="multilevel"/>
    <w:tmpl w:val="BDFC207A"/>
    <w:numStyleLink w:val="ListTableNumber"/>
  </w:abstractNum>
  <w:abstractNum w:abstractNumId="8" w15:restartNumberingAfterBreak="0">
    <w:nsid w:val="31D32CA8"/>
    <w:multiLevelType w:val="hybridMultilevel"/>
    <w:tmpl w:val="CE6A5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Arial" w:hAnsi="Arial" w:hint="default"/>
        <w:b w:val="0"/>
        <w:i w:val="0"/>
        <w:color w:val="auto"/>
        <w:sz w:val="24"/>
        <w:szCs w:val="20"/>
      </w:rPr>
    </w:lvl>
    <w:lvl w:ilvl="1">
      <w:start w:val="1"/>
      <w:numFmt w:val="bullet"/>
      <w:pStyle w:val="ListBullet2"/>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pStyle w:val="ListBullet3"/>
      <w:lvlText w:val="–"/>
      <w:lvlJc w:val="left"/>
      <w:pPr>
        <w:tabs>
          <w:tab w:val="num" w:pos="851"/>
        </w:tabs>
        <w:ind w:left="851" w:hanging="284"/>
      </w:pPr>
      <w:rPr>
        <w:rFonts w:ascii="Arial" w:hAnsi="Arial" w:hint="default"/>
        <w:color w:val="auto"/>
        <w:sz w:val="24"/>
      </w:rPr>
    </w:lvl>
    <w:lvl w:ilvl="3">
      <w:start w:val="1"/>
      <w:numFmt w:val="bullet"/>
      <w:pStyle w:val="ListBullet4"/>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pStyle w:val="ListBullet5"/>
      <w:lvlText w:val="–"/>
      <w:lvlJc w:val="left"/>
      <w:pPr>
        <w:tabs>
          <w:tab w:val="num" w:pos="1418"/>
        </w:tabs>
        <w:ind w:left="1418" w:hanging="284"/>
      </w:pPr>
      <w:rPr>
        <w:rFonts w:ascii="Arial" w:hAnsi="Arial" w:hint="default"/>
        <w:color w:val="auto"/>
        <w:sz w:val="24"/>
      </w:rPr>
    </w:lvl>
    <w:lvl w:ilvl="5">
      <w:start w:val="1"/>
      <w:numFmt w:val="bullet"/>
      <w:pStyle w:val="ListBullet6"/>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0" w15:restartNumberingAfterBreak="0">
    <w:nsid w:val="356222E9"/>
    <w:multiLevelType w:val="multilevel"/>
    <w:tmpl w:val="DB70D304"/>
    <w:numStyleLink w:val="ListNumber"/>
  </w:abstractNum>
  <w:abstractNum w:abstractNumId="11" w15:restartNumberingAfterBreak="0">
    <w:nsid w:val="40071FAE"/>
    <w:multiLevelType w:val="multilevel"/>
    <w:tmpl w:val="9D625AA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E6172F"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pStyle w:val="AltHeading3"/>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425A4984"/>
    <w:multiLevelType w:val="multilevel"/>
    <w:tmpl w:val="7228EA06"/>
    <w:numStyleLink w:val="ListBullet"/>
  </w:abstractNum>
  <w:abstractNum w:abstractNumId="13" w15:restartNumberingAfterBreak="0">
    <w:nsid w:val="522F1D80"/>
    <w:multiLevelType w:val="multilevel"/>
    <w:tmpl w:val="BDFC207A"/>
    <w:numStyleLink w:val="ListTableNumber"/>
  </w:abstractNum>
  <w:abstractNum w:abstractNumId="14" w15:restartNumberingAfterBreak="0">
    <w:nsid w:val="56107BD1"/>
    <w:multiLevelType w:val="multilevel"/>
    <w:tmpl w:val="E35CFF70"/>
    <w:numStyleLink w:val="ListAlpha"/>
  </w:abstractNum>
  <w:abstractNum w:abstractNumId="15" w15:restartNumberingAfterBreak="0">
    <w:nsid w:val="614019F0"/>
    <w:multiLevelType w:val="multilevel"/>
    <w:tmpl w:val="7228EA06"/>
    <w:numStyleLink w:val="ListBullet"/>
  </w:abstractNum>
  <w:abstractNum w:abstractNumId="16"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7139706E"/>
    <w:multiLevelType w:val="multilevel"/>
    <w:tmpl w:val="11C64328"/>
    <w:numStyleLink w:val="ListParagraph"/>
  </w:abstractNum>
  <w:abstractNum w:abstractNumId="18" w15:restartNumberingAfterBreak="0">
    <w:nsid w:val="79E341B3"/>
    <w:multiLevelType w:val="multilevel"/>
    <w:tmpl w:val="624681D2"/>
    <w:numStyleLink w:val="ListTableBullet"/>
  </w:abstractNum>
  <w:abstractNum w:abstractNumId="19" w15:restartNumberingAfterBreak="0">
    <w:nsid w:val="7D9B6564"/>
    <w:multiLevelType w:val="multilevel"/>
    <w:tmpl w:val="9D625AA6"/>
    <w:numStyleLink w:val="ListNumberedHeadings"/>
  </w:abstractNum>
  <w:abstractNum w:abstractNumId="20"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1" w15:restartNumberingAfterBreak="0">
    <w:nsid w:val="7F9E37EE"/>
    <w:multiLevelType w:val="multilevel"/>
    <w:tmpl w:val="DB70D304"/>
    <w:numStyleLink w:val="ListNumber"/>
  </w:abstractNum>
  <w:num w:numId="1">
    <w:abstractNumId w:val="1"/>
  </w:num>
  <w:num w:numId="2">
    <w:abstractNumId w:val="20"/>
  </w:num>
  <w:num w:numId="3">
    <w:abstractNumId w:val="9"/>
  </w:num>
  <w:num w:numId="4">
    <w:abstractNumId w:val="6"/>
  </w:num>
  <w:num w:numId="5">
    <w:abstractNumId w:val="11"/>
  </w:num>
  <w:num w:numId="6">
    <w:abstractNumId w:val="0"/>
  </w:num>
  <w:num w:numId="7">
    <w:abstractNumId w:val="3"/>
  </w:num>
  <w:num w:numId="8">
    <w:abstractNumId w:val="16"/>
  </w:num>
  <w:num w:numId="9">
    <w:abstractNumId w:val="5"/>
  </w:num>
  <w:num w:numId="10">
    <w:abstractNumId w:val="21"/>
  </w:num>
  <w:num w:numId="11">
    <w:abstractNumId w:val="17"/>
  </w:num>
  <w:num w:numId="12">
    <w:abstractNumId w:val="19"/>
  </w:num>
  <w:num w:numId="13">
    <w:abstractNumId w:val="7"/>
  </w:num>
  <w:num w:numId="14">
    <w:abstractNumId w:val="18"/>
  </w:num>
  <w:num w:numId="15">
    <w:abstractNumId w:val="12"/>
  </w:num>
  <w:num w:numId="16">
    <w:abstractNumId w:val="15"/>
  </w:num>
  <w:num w:numId="17">
    <w:abstractNumId w:val="2"/>
  </w:num>
  <w:num w:numId="18">
    <w:abstractNumId w:val="10"/>
  </w:num>
  <w:num w:numId="19">
    <w:abstractNumId w:val="14"/>
  </w:num>
  <w:num w:numId="20">
    <w:abstractNumId w:val="13"/>
  </w:num>
  <w:num w:numId="21">
    <w:abstractNumId w:val="4"/>
  </w:num>
  <w:num w:numId="2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6B"/>
    <w:rsid w:val="00001DA2"/>
    <w:rsid w:val="00003ACC"/>
    <w:rsid w:val="00004373"/>
    <w:rsid w:val="00004AE2"/>
    <w:rsid w:val="00006100"/>
    <w:rsid w:val="00006D44"/>
    <w:rsid w:val="000107A7"/>
    <w:rsid w:val="000116E0"/>
    <w:rsid w:val="00012356"/>
    <w:rsid w:val="00012601"/>
    <w:rsid w:val="00012AC4"/>
    <w:rsid w:val="0002014E"/>
    <w:rsid w:val="00022730"/>
    <w:rsid w:val="000241EB"/>
    <w:rsid w:val="00032EB4"/>
    <w:rsid w:val="00033246"/>
    <w:rsid w:val="00035C44"/>
    <w:rsid w:val="000372CC"/>
    <w:rsid w:val="0003731A"/>
    <w:rsid w:val="00040D9C"/>
    <w:rsid w:val="00042648"/>
    <w:rsid w:val="000429AC"/>
    <w:rsid w:val="0004445F"/>
    <w:rsid w:val="00045243"/>
    <w:rsid w:val="00050C88"/>
    <w:rsid w:val="000516B2"/>
    <w:rsid w:val="00053C1B"/>
    <w:rsid w:val="000545B5"/>
    <w:rsid w:val="00054850"/>
    <w:rsid w:val="00055A98"/>
    <w:rsid w:val="00067DEA"/>
    <w:rsid w:val="00071C7D"/>
    <w:rsid w:val="000767C7"/>
    <w:rsid w:val="00076F97"/>
    <w:rsid w:val="000809BB"/>
    <w:rsid w:val="00081BB2"/>
    <w:rsid w:val="00083D4A"/>
    <w:rsid w:val="000855A8"/>
    <w:rsid w:val="000870BB"/>
    <w:rsid w:val="00087D93"/>
    <w:rsid w:val="0009724C"/>
    <w:rsid w:val="000A1EEB"/>
    <w:rsid w:val="000A451D"/>
    <w:rsid w:val="000A5EBD"/>
    <w:rsid w:val="000A79BF"/>
    <w:rsid w:val="000A7A06"/>
    <w:rsid w:val="000B3EBE"/>
    <w:rsid w:val="000B508E"/>
    <w:rsid w:val="000B7018"/>
    <w:rsid w:val="000C0C22"/>
    <w:rsid w:val="000C0C26"/>
    <w:rsid w:val="000C1AEE"/>
    <w:rsid w:val="000C1D1E"/>
    <w:rsid w:val="000C2785"/>
    <w:rsid w:val="000C3C91"/>
    <w:rsid w:val="000C4628"/>
    <w:rsid w:val="000C6616"/>
    <w:rsid w:val="000D4EC6"/>
    <w:rsid w:val="000D6BDC"/>
    <w:rsid w:val="000E03D7"/>
    <w:rsid w:val="000E1197"/>
    <w:rsid w:val="000E41A1"/>
    <w:rsid w:val="000E4704"/>
    <w:rsid w:val="000F10DC"/>
    <w:rsid w:val="000F1DA1"/>
    <w:rsid w:val="000F2B0E"/>
    <w:rsid w:val="000F2EF6"/>
    <w:rsid w:val="000F435D"/>
    <w:rsid w:val="000F4A35"/>
    <w:rsid w:val="000F52BA"/>
    <w:rsid w:val="00103108"/>
    <w:rsid w:val="00103A5E"/>
    <w:rsid w:val="00103BFE"/>
    <w:rsid w:val="001063C6"/>
    <w:rsid w:val="001103BA"/>
    <w:rsid w:val="00112547"/>
    <w:rsid w:val="00116C67"/>
    <w:rsid w:val="00120038"/>
    <w:rsid w:val="001213EC"/>
    <w:rsid w:val="001223A4"/>
    <w:rsid w:val="00123214"/>
    <w:rsid w:val="00123F1D"/>
    <w:rsid w:val="00127C85"/>
    <w:rsid w:val="00130FDD"/>
    <w:rsid w:val="0013218E"/>
    <w:rsid w:val="00136AFF"/>
    <w:rsid w:val="00136CEA"/>
    <w:rsid w:val="00141534"/>
    <w:rsid w:val="00141EEE"/>
    <w:rsid w:val="0014207B"/>
    <w:rsid w:val="00143F7C"/>
    <w:rsid w:val="00145CCD"/>
    <w:rsid w:val="001461E4"/>
    <w:rsid w:val="001505D8"/>
    <w:rsid w:val="00150DE2"/>
    <w:rsid w:val="00154790"/>
    <w:rsid w:val="0015513F"/>
    <w:rsid w:val="00156423"/>
    <w:rsid w:val="00156AC9"/>
    <w:rsid w:val="001600E5"/>
    <w:rsid w:val="001633B6"/>
    <w:rsid w:val="00166AB0"/>
    <w:rsid w:val="00172862"/>
    <w:rsid w:val="00177E4E"/>
    <w:rsid w:val="00177F70"/>
    <w:rsid w:val="001804CA"/>
    <w:rsid w:val="001811DA"/>
    <w:rsid w:val="001829A7"/>
    <w:rsid w:val="00185154"/>
    <w:rsid w:val="0018558C"/>
    <w:rsid w:val="001871C5"/>
    <w:rsid w:val="0019114D"/>
    <w:rsid w:val="00191A43"/>
    <w:rsid w:val="00194F92"/>
    <w:rsid w:val="00196C86"/>
    <w:rsid w:val="001A028C"/>
    <w:rsid w:val="001A1A5E"/>
    <w:rsid w:val="001A2099"/>
    <w:rsid w:val="001A3674"/>
    <w:rsid w:val="001A3DBD"/>
    <w:rsid w:val="001A4174"/>
    <w:rsid w:val="001A4379"/>
    <w:rsid w:val="001A4F79"/>
    <w:rsid w:val="001A563A"/>
    <w:rsid w:val="001A655D"/>
    <w:rsid w:val="001A67A6"/>
    <w:rsid w:val="001B0458"/>
    <w:rsid w:val="001B5C20"/>
    <w:rsid w:val="001B5FAB"/>
    <w:rsid w:val="001B7D01"/>
    <w:rsid w:val="001C25E4"/>
    <w:rsid w:val="001C28C2"/>
    <w:rsid w:val="001D3073"/>
    <w:rsid w:val="001D4FA4"/>
    <w:rsid w:val="001D754B"/>
    <w:rsid w:val="001E4090"/>
    <w:rsid w:val="001E40BC"/>
    <w:rsid w:val="001E48E1"/>
    <w:rsid w:val="001E6CCE"/>
    <w:rsid w:val="001E7816"/>
    <w:rsid w:val="001F16CA"/>
    <w:rsid w:val="001F3402"/>
    <w:rsid w:val="001F47C3"/>
    <w:rsid w:val="001F6A87"/>
    <w:rsid w:val="001F7070"/>
    <w:rsid w:val="001F7B61"/>
    <w:rsid w:val="001F7F76"/>
    <w:rsid w:val="00200239"/>
    <w:rsid w:val="00200E70"/>
    <w:rsid w:val="00201CE8"/>
    <w:rsid w:val="00202DF0"/>
    <w:rsid w:val="002041A6"/>
    <w:rsid w:val="0020779C"/>
    <w:rsid w:val="002078C1"/>
    <w:rsid w:val="00207B88"/>
    <w:rsid w:val="002106C4"/>
    <w:rsid w:val="00210DEF"/>
    <w:rsid w:val="00211A97"/>
    <w:rsid w:val="002212F2"/>
    <w:rsid w:val="00222215"/>
    <w:rsid w:val="0022268C"/>
    <w:rsid w:val="00224668"/>
    <w:rsid w:val="00225037"/>
    <w:rsid w:val="0022541A"/>
    <w:rsid w:val="00230513"/>
    <w:rsid w:val="002363AE"/>
    <w:rsid w:val="0023688F"/>
    <w:rsid w:val="00241357"/>
    <w:rsid w:val="00241A2D"/>
    <w:rsid w:val="00243D9C"/>
    <w:rsid w:val="00245209"/>
    <w:rsid w:val="0024592A"/>
    <w:rsid w:val="002506D4"/>
    <w:rsid w:val="002506DD"/>
    <w:rsid w:val="00250BCB"/>
    <w:rsid w:val="0025119D"/>
    <w:rsid w:val="00252201"/>
    <w:rsid w:val="002527B9"/>
    <w:rsid w:val="00252EFD"/>
    <w:rsid w:val="00253803"/>
    <w:rsid w:val="00254DD8"/>
    <w:rsid w:val="0025514D"/>
    <w:rsid w:val="00255600"/>
    <w:rsid w:val="002634DA"/>
    <w:rsid w:val="00265FE0"/>
    <w:rsid w:val="002701AB"/>
    <w:rsid w:val="0027260C"/>
    <w:rsid w:val="002755EE"/>
    <w:rsid w:val="00275A59"/>
    <w:rsid w:val="002772EF"/>
    <w:rsid w:val="00290400"/>
    <w:rsid w:val="00291349"/>
    <w:rsid w:val="002924E2"/>
    <w:rsid w:val="00292778"/>
    <w:rsid w:val="00293369"/>
    <w:rsid w:val="00293925"/>
    <w:rsid w:val="00297B5E"/>
    <w:rsid w:val="002A15D5"/>
    <w:rsid w:val="002A2A5E"/>
    <w:rsid w:val="002A2C44"/>
    <w:rsid w:val="002A2D54"/>
    <w:rsid w:val="002A4ECC"/>
    <w:rsid w:val="002A67ED"/>
    <w:rsid w:val="002B123F"/>
    <w:rsid w:val="002B4003"/>
    <w:rsid w:val="002B422C"/>
    <w:rsid w:val="002B6D2D"/>
    <w:rsid w:val="002B73DD"/>
    <w:rsid w:val="002C281C"/>
    <w:rsid w:val="002C2FBA"/>
    <w:rsid w:val="002C5B1C"/>
    <w:rsid w:val="002D4254"/>
    <w:rsid w:val="002D484D"/>
    <w:rsid w:val="002D4E6E"/>
    <w:rsid w:val="002D61F0"/>
    <w:rsid w:val="002D6B8F"/>
    <w:rsid w:val="002E1640"/>
    <w:rsid w:val="002E550A"/>
    <w:rsid w:val="002E6CC4"/>
    <w:rsid w:val="002F05B4"/>
    <w:rsid w:val="002F27F3"/>
    <w:rsid w:val="002F3ED6"/>
    <w:rsid w:val="002F440A"/>
    <w:rsid w:val="002F4EB4"/>
    <w:rsid w:val="002F6756"/>
    <w:rsid w:val="002F683D"/>
    <w:rsid w:val="002F7583"/>
    <w:rsid w:val="00301893"/>
    <w:rsid w:val="0030387B"/>
    <w:rsid w:val="003069DD"/>
    <w:rsid w:val="0030717A"/>
    <w:rsid w:val="00311636"/>
    <w:rsid w:val="00311C3B"/>
    <w:rsid w:val="00311D3B"/>
    <w:rsid w:val="003124EA"/>
    <w:rsid w:val="00312F8C"/>
    <w:rsid w:val="00316CF8"/>
    <w:rsid w:val="00316D62"/>
    <w:rsid w:val="00316FC0"/>
    <w:rsid w:val="00317D76"/>
    <w:rsid w:val="00322D4E"/>
    <w:rsid w:val="00324475"/>
    <w:rsid w:val="00327ED0"/>
    <w:rsid w:val="00332B35"/>
    <w:rsid w:val="003336CB"/>
    <w:rsid w:val="00334DDC"/>
    <w:rsid w:val="00335B23"/>
    <w:rsid w:val="00337B7F"/>
    <w:rsid w:val="00341152"/>
    <w:rsid w:val="003411DD"/>
    <w:rsid w:val="00341EF4"/>
    <w:rsid w:val="003424E3"/>
    <w:rsid w:val="00342808"/>
    <w:rsid w:val="00351BFB"/>
    <w:rsid w:val="00353216"/>
    <w:rsid w:val="0035541E"/>
    <w:rsid w:val="003562D0"/>
    <w:rsid w:val="003610F5"/>
    <w:rsid w:val="00370397"/>
    <w:rsid w:val="00370667"/>
    <w:rsid w:val="0037398C"/>
    <w:rsid w:val="0037618F"/>
    <w:rsid w:val="003774E2"/>
    <w:rsid w:val="00380B1D"/>
    <w:rsid w:val="003853C1"/>
    <w:rsid w:val="0038560B"/>
    <w:rsid w:val="00390AB5"/>
    <w:rsid w:val="00391DF3"/>
    <w:rsid w:val="003925EE"/>
    <w:rsid w:val="003937DC"/>
    <w:rsid w:val="003948DE"/>
    <w:rsid w:val="00396F2D"/>
    <w:rsid w:val="00396F55"/>
    <w:rsid w:val="00396FA6"/>
    <w:rsid w:val="003A04C1"/>
    <w:rsid w:val="003A08A5"/>
    <w:rsid w:val="003A1878"/>
    <w:rsid w:val="003A1EAF"/>
    <w:rsid w:val="003A5150"/>
    <w:rsid w:val="003B0945"/>
    <w:rsid w:val="003B097F"/>
    <w:rsid w:val="003B4DCF"/>
    <w:rsid w:val="003C2DE6"/>
    <w:rsid w:val="003C2E50"/>
    <w:rsid w:val="003C3C59"/>
    <w:rsid w:val="003C6070"/>
    <w:rsid w:val="003D1C68"/>
    <w:rsid w:val="003D3B71"/>
    <w:rsid w:val="003D3D37"/>
    <w:rsid w:val="003D5423"/>
    <w:rsid w:val="003D56AF"/>
    <w:rsid w:val="003D7EA8"/>
    <w:rsid w:val="003E12D6"/>
    <w:rsid w:val="003E1D1E"/>
    <w:rsid w:val="003E1EF3"/>
    <w:rsid w:val="003E394E"/>
    <w:rsid w:val="003E5319"/>
    <w:rsid w:val="003E6C29"/>
    <w:rsid w:val="003F3214"/>
    <w:rsid w:val="003F3FFA"/>
    <w:rsid w:val="003F67BE"/>
    <w:rsid w:val="00401E07"/>
    <w:rsid w:val="00404615"/>
    <w:rsid w:val="00407776"/>
    <w:rsid w:val="00411882"/>
    <w:rsid w:val="00411E57"/>
    <w:rsid w:val="00412424"/>
    <w:rsid w:val="00412F81"/>
    <w:rsid w:val="00417F32"/>
    <w:rsid w:val="00422D53"/>
    <w:rsid w:val="00427353"/>
    <w:rsid w:val="0043446A"/>
    <w:rsid w:val="00434DAC"/>
    <w:rsid w:val="0043564D"/>
    <w:rsid w:val="00436251"/>
    <w:rsid w:val="0043628A"/>
    <w:rsid w:val="004406F6"/>
    <w:rsid w:val="004407B7"/>
    <w:rsid w:val="00444AE6"/>
    <w:rsid w:val="004478FD"/>
    <w:rsid w:val="004519BE"/>
    <w:rsid w:val="00452484"/>
    <w:rsid w:val="00456C51"/>
    <w:rsid w:val="004577E9"/>
    <w:rsid w:val="00462D66"/>
    <w:rsid w:val="00462DF1"/>
    <w:rsid w:val="004700B3"/>
    <w:rsid w:val="00470DC4"/>
    <w:rsid w:val="00471CA0"/>
    <w:rsid w:val="004721B5"/>
    <w:rsid w:val="004724CE"/>
    <w:rsid w:val="0047307A"/>
    <w:rsid w:val="00477BBA"/>
    <w:rsid w:val="00480337"/>
    <w:rsid w:val="004803A1"/>
    <w:rsid w:val="0048101B"/>
    <w:rsid w:val="0048535D"/>
    <w:rsid w:val="00486F3B"/>
    <w:rsid w:val="00491C59"/>
    <w:rsid w:val="004962F4"/>
    <w:rsid w:val="004A1153"/>
    <w:rsid w:val="004A2229"/>
    <w:rsid w:val="004A26B4"/>
    <w:rsid w:val="004A44AC"/>
    <w:rsid w:val="004B177D"/>
    <w:rsid w:val="004B31EC"/>
    <w:rsid w:val="004B3A0B"/>
    <w:rsid w:val="004B7BC8"/>
    <w:rsid w:val="004B7D29"/>
    <w:rsid w:val="004B7DAE"/>
    <w:rsid w:val="004C05E8"/>
    <w:rsid w:val="004C0B24"/>
    <w:rsid w:val="004C5B3D"/>
    <w:rsid w:val="004D0536"/>
    <w:rsid w:val="004D0AAB"/>
    <w:rsid w:val="004D154D"/>
    <w:rsid w:val="004D2212"/>
    <w:rsid w:val="004D2A7F"/>
    <w:rsid w:val="004D6CF0"/>
    <w:rsid w:val="004E0A9D"/>
    <w:rsid w:val="004E1CD5"/>
    <w:rsid w:val="004E272C"/>
    <w:rsid w:val="004E29DE"/>
    <w:rsid w:val="004E3678"/>
    <w:rsid w:val="004E46D9"/>
    <w:rsid w:val="004E623C"/>
    <w:rsid w:val="004E70EE"/>
    <w:rsid w:val="004E7864"/>
    <w:rsid w:val="004E79A4"/>
    <w:rsid w:val="004E7C53"/>
    <w:rsid w:val="004F2A3C"/>
    <w:rsid w:val="004F38E1"/>
    <w:rsid w:val="004F3D6F"/>
    <w:rsid w:val="004F61E2"/>
    <w:rsid w:val="004F72AE"/>
    <w:rsid w:val="00502DC7"/>
    <w:rsid w:val="00503C1F"/>
    <w:rsid w:val="005065E2"/>
    <w:rsid w:val="0050661D"/>
    <w:rsid w:val="00506BC5"/>
    <w:rsid w:val="00506FCE"/>
    <w:rsid w:val="0051015D"/>
    <w:rsid w:val="0051056D"/>
    <w:rsid w:val="00514454"/>
    <w:rsid w:val="00515008"/>
    <w:rsid w:val="005151F3"/>
    <w:rsid w:val="00516156"/>
    <w:rsid w:val="0052031D"/>
    <w:rsid w:val="00521BEF"/>
    <w:rsid w:val="00523468"/>
    <w:rsid w:val="00523DCD"/>
    <w:rsid w:val="00524E75"/>
    <w:rsid w:val="00530B5B"/>
    <w:rsid w:val="005331C9"/>
    <w:rsid w:val="005351BA"/>
    <w:rsid w:val="00540E4A"/>
    <w:rsid w:val="00543F99"/>
    <w:rsid w:val="00550542"/>
    <w:rsid w:val="0055219D"/>
    <w:rsid w:val="005530B8"/>
    <w:rsid w:val="0055353F"/>
    <w:rsid w:val="00560A01"/>
    <w:rsid w:val="00561D4B"/>
    <w:rsid w:val="00563DC4"/>
    <w:rsid w:val="0056633F"/>
    <w:rsid w:val="00566414"/>
    <w:rsid w:val="00566A5E"/>
    <w:rsid w:val="00570DDC"/>
    <w:rsid w:val="005713E5"/>
    <w:rsid w:val="0057469C"/>
    <w:rsid w:val="00577576"/>
    <w:rsid w:val="0057778B"/>
    <w:rsid w:val="005801B6"/>
    <w:rsid w:val="005827B5"/>
    <w:rsid w:val="00583CD4"/>
    <w:rsid w:val="00591021"/>
    <w:rsid w:val="00591166"/>
    <w:rsid w:val="00591E33"/>
    <w:rsid w:val="005922A2"/>
    <w:rsid w:val="00593E8E"/>
    <w:rsid w:val="005967FB"/>
    <w:rsid w:val="005A27CA"/>
    <w:rsid w:val="005A435A"/>
    <w:rsid w:val="005B0C40"/>
    <w:rsid w:val="005B4974"/>
    <w:rsid w:val="005B4B08"/>
    <w:rsid w:val="005B53E1"/>
    <w:rsid w:val="005B6B23"/>
    <w:rsid w:val="005C1DC2"/>
    <w:rsid w:val="005C2556"/>
    <w:rsid w:val="005C359C"/>
    <w:rsid w:val="005C5F07"/>
    <w:rsid w:val="005C6E5A"/>
    <w:rsid w:val="005C6F8B"/>
    <w:rsid w:val="005C7668"/>
    <w:rsid w:val="005D1676"/>
    <w:rsid w:val="005D21A9"/>
    <w:rsid w:val="005D2DBC"/>
    <w:rsid w:val="005D620B"/>
    <w:rsid w:val="005E0132"/>
    <w:rsid w:val="005E259B"/>
    <w:rsid w:val="005F3744"/>
    <w:rsid w:val="005F57CD"/>
    <w:rsid w:val="005F5910"/>
    <w:rsid w:val="005F619C"/>
    <w:rsid w:val="005F64BF"/>
    <w:rsid w:val="005F6C47"/>
    <w:rsid w:val="005F7EFE"/>
    <w:rsid w:val="00601FB3"/>
    <w:rsid w:val="00602408"/>
    <w:rsid w:val="006025ED"/>
    <w:rsid w:val="00604F9C"/>
    <w:rsid w:val="0060514A"/>
    <w:rsid w:val="006068B9"/>
    <w:rsid w:val="0061089F"/>
    <w:rsid w:val="006111CE"/>
    <w:rsid w:val="0061352D"/>
    <w:rsid w:val="00617519"/>
    <w:rsid w:val="00620BDD"/>
    <w:rsid w:val="006227FE"/>
    <w:rsid w:val="00625B51"/>
    <w:rsid w:val="00627F43"/>
    <w:rsid w:val="006301E4"/>
    <w:rsid w:val="00630BD2"/>
    <w:rsid w:val="00631F72"/>
    <w:rsid w:val="00632815"/>
    <w:rsid w:val="00633235"/>
    <w:rsid w:val="0063426F"/>
    <w:rsid w:val="00637252"/>
    <w:rsid w:val="006373D8"/>
    <w:rsid w:val="006431E7"/>
    <w:rsid w:val="0064529C"/>
    <w:rsid w:val="0064544B"/>
    <w:rsid w:val="00646342"/>
    <w:rsid w:val="00646EE7"/>
    <w:rsid w:val="0064768F"/>
    <w:rsid w:val="00647780"/>
    <w:rsid w:val="00647DCC"/>
    <w:rsid w:val="00650FAC"/>
    <w:rsid w:val="00652656"/>
    <w:rsid w:val="0065325A"/>
    <w:rsid w:val="006552C0"/>
    <w:rsid w:val="00656ABA"/>
    <w:rsid w:val="00660B32"/>
    <w:rsid w:val="006636E3"/>
    <w:rsid w:val="0066469C"/>
    <w:rsid w:val="00666B92"/>
    <w:rsid w:val="00674316"/>
    <w:rsid w:val="0067453B"/>
    <w:rsid w:val="0068444B"/>
    <w:rsid w:val="0069471D"/>
    <w:rsid w:val="00695EA4"/>
    <w:rsid w:val="006A0CE5"/>
    <w:rsid w:val="006A1801"/>
    <w:rsid w:val="006A1E15"/>
    <w:rsid w:val="006A2448"/>
    <w:rsid w:val="006A3885"/>
    <w:rsid w:val="006A6121"/>
    <w:rsid w:val="006A7E9F"/>
    <w:rsid w:val="006B0532"/>
    <w:rsid w:val="006B3DDE"/>
    <w:rsid w:val="006B3E84"/>
    <w:rsid w:val="006B79F5"/>
    <w:rsid w:val="006C2E3A"/>
    <w:rsid w:val="006D22C5"/>
    <w:rsid w:val="006D556C"/>
    <w:rsid w:val="006D605E"/>
    <w:rsid w:val="006D7B2A"/>
    <w:rsid w:val="006D7B45"/>
    <w:rsid w:val="006E3DA1"/>
    <w:rsid w:val="006E569A"/>
    <w:rsid w:val="006E5999"/>
    <w:rsid w:val="006E603A"/>
    <w:rsid w:val="006F18D3"/>
    <w:rsid w:val="00700697"/>
    <w:rsid w:val="00701A8B"/>
    <w:rsid w:val="00705DD2"/>
    <w:rsid w:val="007061E1"/>
    <w:rsid w:val="007077C2"/>
    <w:rsid w:val="00711FBD"/>
    <w:rsid w:val="0071411B"/>
    <w:rsid w:val="007166AA"/>
    <w:rsid w:val="00717839"/>
    <w:rsid w:val="0072366B"/>
    <w:rsid w:val="00725563"/>
    <w:rsid w:val="00733E11"/>
    <w:rsid w:val="007372C5"/>
    <w:rsid w:val="00741731"/>
    <w:rsid w:val="00741C90"/>
    <w:rsid w:val="00743353"/>
    <w:rsid w:val="00743A4A"/>
    <w:rsid w:val="00750DCD"/>
    <w:rsid w:val="007514B8"/>
    <w:rsid w:val="007539CB"/>
    <w:rsid w:val="00754E86"/>
    <w:rsid w:val="00756DC4"/>
    <w:rsid w:val="00761050"/>
    <w:rsid w:val="00763507"/>
    <w:rsid w:val="00764827"/>
    <w:rsid w:val="00764B96"/>
    <w:rsid w:val="00770BF1"/>
    <w:rsid w:val="0077100F"/>
    <w:rsid w:val="007718D0"/>
    <w:rsid w:val="00771D4E"/>
    <w:rsid w:val="00773F9C"/>
    <w:rsid w:val="00774E81"/>
    <w:rsid w:val="00776C5E"/>
    <w:rsid w:val="00777A70"/>
    <w:rsid w:val="00777FA6"/>
    <w:rsid w:val="0078023D"/>
    <w:rsid w:val="007808D8"/>
    <w:rsid w:val="00780987"/>
    <w:rsid w:val="00783DF1"/>
    <w:rsid w:val="00786E81"/>
    <w:rsid w:val="00797432"/>
    <w:rsid w:val="007A5346"/>
    <w:rsid w:val="007B29FA"/>
    <w:rsid w:val="007B41DA"/>
    <w:rsid w:val="007B49B8"/>
    <w:rsid w:val="007B724C"/>
    <w:rsid w:val="007C09BB"/>
    <w:rsid w:val="007C2D1F"/>
    <w:rsid w:val="007C3C7C"/>
    <w:rsid w:val="007C44BD"/>
    <w:rsid w:val="007C47DF"/>
    <w:rsid w:val="007C50CC"/>
    <w:rsid w:val="007D01E5"/>
    <w:rsid w:val="007D147B"/>
    <w:rsid w:val="007D2317"/>
    <w:rsid w:val="007D2FE7"/>
    <w:rsid w:val="007D3198"/>
    <w:rsid w:val="007D5D41"/>
    <w:rsid w:val="007D653E"/>
    <w:rsid w:val="007E030B"/>
    <w:rsid w:val="007E1F6F"/>
    <w:rsid w:val="007E31BE"/>
    <w:rsid w:val="007E4523"/>
    <w:rsid w:val="007E4FBD"/>
    <w:rsid w:val="007F0D2B"/>
    <w:rsid w:val="007F3BC5"/>
    <w:rsid w:val="00800005"/>
    <w:rsid w:val="00800C5F"/>
    <w:rsid w:val="00802053"/>
    <w:rsid w:val="008026EB"/>
    <w:rsid w:val="00805961"/>
    <w:rsid w:val="00805C79"/>
    <w:rsid w:val="00810048"/>
    <w:rsid w:val="00810207"/>
    <w:rsid w:val="00810949"/>
    <w:rsid w:val="00810BEB"/>
    <w:rsid w:val="008151B2"/>
    <w:rsid w:val="00817AF2"/>
    <w:rsid w:val="00821418"/>
    <w:rsid w:val="00822503"/>
    <w:rsid w:val="008229C3"/>
    <w:rsid w:val="00823121"/>
    <w:rsid w:val="00824C58"/>
    <w:rsid w:val="00826AE0"/>
    <w:rsid w:val="00827789"/>
    <w:rsid w:val="008325CF"/>
    <w:rsid w:val="008336EF"/>
    <w:rsid w:val="0083412D"/>
    <w:rsid w:val="00834A83"/>
    <w:rsid w:val="0083518F"/>
    <w:rsid w:val="00837B15"/>
    <w:rsid w:val="00845732"/>
    <w:rsid w:val="0084580A"/>
    <w:rsid w:val="00847045"/>
    <w:rsid w:val="00850DFE"/>
    <w:rsid w:val="00850F35"/>
    <w:rsid w:val="00851DE3"/>
    <w:rsid w:val="00853F72"/>
    <w:rsid w:val="008572D9"/>
    <w:rsid w:val="00857E94"/>
    <w:rsid w:val="00861E13"/>
    <w:rsid w:val="008620E8"/>
    <w:rsid w:val="00863782"/>
    <w:rsid w:val="00866F24"/>
    <w:rsid w:val="00875B89"/>
    <w:rsid w:val="00882E96"/>
    <w:rsid w:val="00883799"/>
    <w:rsid w:val="0088622F"/>
    <w:rsid w:val="008911DF"/>
    <w:rsid w:val="00892496"/>
    <w:rsid w:val="00896329"/>
    <w:rsid w:val="00896EE2"/>
    <w:rsid w:val="008A1A6F"/>
    <w:rsid w:val="008A2BD7"/>
    <w:rsid w:val="008A5BF6"/>
    <w:rsid w:val="008A6D3B"/>
    <w:rsid w:val="008A6F22"/>
    <w:rsid w:val="008B3CF1"/>
    <w:rsid w:val="008B5D8F"/>
    <w:rsid w:val="008C0B8C"/>
    <w:rsid w:val="008C586A"/>
    <w:rsid w:val="008D2009"/>
    <w:rsid w:val="008D4294"/>
    <w:rsid w:val="008D50B8"/>
    <w:rsid w:val="008D5551"/>
    <w:rsid w:val="008D7768"/>
    <w:rsid w:val="008E3E11"/>
    <w:rsid w:val="008E42D7"/>
    <w:rsid w:val="008E48D8"/>
    <w:rsid w:val="008E58E3"/>
    <w:rsid w:val="008E75AB"/>
    <w:rsid w:val="008F0A1C"/>
    <w:rsid w:val="008F211D"/>
    <w:rsid w:val="008F4E0B"/>
    <w:rsid w:val="008F6F28"/>
    <w:rsid w:val="009003C0"/>
    <w:rsid w:val="00903DEC"/>
    <w:rsid w:val="009076A0"/>
    <w:rsid w:val="0091010D"/>
    <w:rsid w:val="00910844"/>
    <w:rsid w:val="00911E6C"/>
    <w:rsid w:val="00912FE6"/>
    <w:rsid w:val="009211E5"/>
    <w:rsid w:val="0092179A"/>
    <w:rsid w:val="00930BFA"/>
    <w:rsid w:val="00932B7D"/>
    <w:rsid w:val="009349A1"/>
    <w:rsid w:val="00942827"/>
    <w:rsid w:val="00945826"/>
    <w:rsid w:val="00945BC8"/>
    <w:rsid w:val="0095200B"/>
    <w:rsid w:val="00952848"/>
    <w:rsid w:val="0095387F"/>
    <w:rsid w:val="009556D7"/>
    <w:rsid w:val="00956A0C"/>
    <w:rsid w:val="009571D7"/>
    <w:rsid w:val="00957369"/>
    <w:rsid w:val="00957522"/>
    <w:rsid w:val="00960F82"/>
    <w:rsid w:val="00966AAD"/>
    <w:rsid w:val="00967675"/>
    <w:rsid w:val="00967B7F"/>
    <w:rsid w:val="00970A8F"/>
    <w:rsid w:val="00973EF8"/>
    <w:rsid w:val="00974E36"/>
    <w:rsid w:val="00975B3F"/>
    <w:rsid w:val="00982943"/>
    <w:rsid w:val="0099058B"/>
    <w:rsid w:val="00991133"/>
    <w:rsid w:val="00995944"/>
    <w:rsid w:val="00995EDC"/>
    <w:rsid w:val="00996E75"/>
    <w:rsid w:val="009A199C"/>
    <w:rsid w:val="009A2033"/>
    <w:rsid w:val="009A230F"/>
    <w:rsid w:val="009A379C"/>
    <w:rsid w:val="009A506D"/>
    <w:rsid w:val="009A6430"/>
    <w:rsid w:val="009B3942"/>
    <w:rsid w:val="009C0FE9"/>
    <w:rsid w:val="009C1D76"/>
    <w:rsid w:val="009C2025"/>
    <w:rsid w:val="009C33F5"/>
    <w:rsid w:val="009C4180"/>
    <w:rsid w:val="009C7858"/>
    <w:rsid w:val="009D3402"/>
    <w:rsid w:val="009D4B95"/>
    <w:rsid w:val="009D7124"/>
    <w:rsid w:val="009D7B5C"/>
    <w:rsid w:val="009E08E0"/>
    <w:rsid w:val="009E4059"/>
    <w:rsid w:val="009E5AC0"/>
    <w:rsid w:val="009E5F4F"/>
    <w:rsid w:val="009F04B2"/>
    <w:rsid w:val="009F1B91"/>
    <w:rsid w:val="009F1C26"/>
    <w:rsid w:val="009F258A"/>
    <w:rsid w:val="009F34CB"/>
    <w:rsid w:val="009F65D1"/>
    <w:rsid w:val="009F6CE7"/>
    <w:rsid w:val="009F7A76"/>
    <w:rsid w:val="00A02ABC"/>
    <w:rsid w:val="00A04630"/>
    <w:rsid w:val="00A07960"/>
    <w:rsid w:val="00A109CC"/>
    <w:rsid w:val="00A10F93"/>
    <w:rsid w:val="00A134C2"/>
    <w:rsid w:val="00A168CB"/>
    <w:rsid w:val="00A21132"/>
    <w:rsid w:val="00A212F5"/>
    <w:rsid w:val="00A21376"/>
    <w:rsid w:val="00A23EA2"/>
    <w:rsid w:val="00A26831"/>
    <w:rsid w:val="00A27705"/>
    <w:rsid w:val="00A300DE"/>
    <w:rsid w:val="00A3228B"/>
    <w:rsid w:val="00A35256"/>
    <w:rsid w:val="00A36527"/>
    <w:rsid w:val="00A37BF5"/>
    <w:rsid w:val="00A41250"/>
    <w:rsid w:val="00A41D4E"/>
    <w:rsid w:val="00A47A88"/>
    <w:rsid w:val="00A52A8F"/>
    <w:rsid w:val="00A55148"/>
    <w:rsid w:val="00A553EC"/>
    <w:rsid w:val="00A55C0F"/>
    <w:rsid w:val="00A640FF"/>
    <w:rsid w:val="00A64E62"/>
    <w:rsid w:val="00A66DDC"/>
    <w:rsid w:val="00A743B9"/>
    <w:rsid w:val="00A74FA3"/>
    <w:rsid w:val="00A77B87"/>
    <w:rsid w:val="00A83B38"/>
    <w:rsid w:val="00A83F63"/>
    <w:rsid w:val="00A9308C"/>
    <w:rsid w:val="00A93ACA"/>
    <w:rsid w:val="00A9680C"/>
    <w:rsid w:val="00AA2849"/>
    <w:rsid w:val="00AA6010"/>
    <w:rsid w:val="00AA6584"/>
    <w:rsid w:val="00AB03D2"/>
    <w:rsid w:val="00AB2378"/>
    <w:rsid w:val="00AB30EA"/>
    <w:rsid w:val="00AB7F54"/>
    <w:rsid w:val="00AC6DB5"/>
    <w:rsid w:val="00AD125E"/>
    <w:rsid w:val="00AD1D4E"/>
    <w:rsid w:val="00AD232C"/>
    <w:rsid w:val="00AD2434"/>
    <w:rsid w:val="00AD6EC2"/>
    <w:rsid w:val="00AD79FD"/>
    <w:rsid w:val="00AE39EA"/>
    <w:rsid w:val="00AE3F83"/>
    <w:rsid w:val="00AE4C26"/>
    <w:rsid w:val="00AE5C3E"/>
    <w:rsid w:val="00AF0DE8"/>
    <w:rsid w:val="00AF14D3"/>
    <w:rsid w:val="00AF2204"/>
    <w:rsid w:val="00AF5725"/>
    <w:rsid w:val="00B0014B"/>
    <w:rsid w:val="00B012F3"/>
    <w:rsid w:val="00B111BF"/>
    <w:rsid w:val="00B1273F"/>
    <w:rsid w:val="00B134A2"/>
    <w:rsid w:val="00B13BC7"/>
    <w:rsid w:val="00B153A2"/>
    <w:rsid w:val="00B16767"/>
    <w:rsid w:val="00B16CC8"/>
    <w:rsid w:val="00B17658"/>
    <w:rsid w:val="00B1781B"/>
    <w:rsid w:val="00B17C44"/>
    <w:rsid w:val="00B21910"/>
    <w:rsid w:val="00B21C1C"/>
    <w:rsid w:val="00B22E51"/>
    <w:rsid w:val="00B23B1C"/>
    <w:rsid w:val="00B2654B"/>
    <w:rsid w:val="00B307D3"/>
    <w:rsid w:val="00B352AF"/>
    <w:rsid w:val="00B368FD"/>
    <w:rsid w:val="00B446C4"/>
    <w:rsid w:val="00B51695"/>
    <w:rsid w:val="00B53493"/>
    <w:rsid w:val="00B55D18"/>
    <w:rsid w:val="00B56CC8"/>
    <w:rsid w:val="00B5719F"/>
    <w:rsid w:val="00B6419C"/>
    <w:rsid w:val="00B647AC"/>
    <w:rsid w:val="00B65281"/>
    <w:rsid w:val="00B65E6A"/>
    <w:rsid w:val="00B667E2"/>
    <w:rsid w:val="00B668FB"/>
    <w:rsid w:val="00B67006"/>
    <w:rsid w:val="00B67B7E"/>
    <w:rsid w:val="00B7473B"/>
    <w:rsid w:val="00B74A25"/>
    <w:rsid w:val="00B76B8E"/>
    <w:rsid w:val="00B77C63"/>
    <w:rsid w:val="00B82659"/>
    <w:rsid w:val="00B83AB5"/>
    <w:rsid w:val="00B9349C"/>
    <w:rsid w:val="00B93DBA"/>
    <w:rsid w:val="00BA1290"/>
    <w:rsid w:val="00BA39A3"/>
    <w:rsid w:val="00BA3E2E"/>
    <w:rsid w:val="00BA45AE"/>
    <w:rsid w:val="00BA4F4A"/>
    <w:rsid w:val="00BA66AD"/>
    <w:rsid w:val="00BA6A81"/>
    <w:rsid w:val="00BA7F59"/>
    <w:rsid w:val="00BB022C"/>
    <w:rsid w:val="00BB0A90"/>
    <w:rsid w:val="00BB4564"/>
    <w:rsid w:val="00BB4C42"/>
    <w:rsid w:val="00BB579F"/>
    <w:rsid w:val="00BC2DD3"/>
    <w:rsid w:val="00BC5E54"/>
    <w:rsid w:val="00BC67B1"/>
    <w:rsid w:val="00BC7101"/>
    <w:rsid w:val="00BD0996"/>
    <w:rsid w:val="00BD0E21"/>
    <w:rsid w:val="00BD3722"/>
    <w:rsid w:val="00BD3C9B"/>
    <w:rsid w:val="00BD4629"/>
    <w:rsid w:val="00BD495F"/>
    <w:rsid w:val="00BD5063"/>
    <w:rsid w:val="00BD6459"/>
    <w:rsid w:val="00BE02A9"/>
    <w:rsid w:val="00BE0492"/>
    <w:rsid w:val="00BE1572"/>
    <w:rsid w:val="00BE199B"/>
    <w:rsid w:val="00BE2985"/>
    <w:rsid w:val="00BE3406"/>
    <w:rsid w:val="00BE49E1"/>
    <w:rsid w:val="00BF0E79"/>
    <w:rsid w:val="00BF2C53"/>
    <w:rsid w:val="00BF3C49"/>
    <w:rsid w:val="00BF3E01"/>
    <w:rsid w:val="00BF3EDA"/>
    <w:rsid w:val="00BF575F"/>
    <w:rsid w:val="00BF64DF"/>
    <w:rsid w:val="00C000C3"/>
    <w:rsid w:val="00C00E2E"/>
    <w:rsid w:val="00C02E60"/>
    <w:rsid w:val="00C0328F"/>
    <w:rsid w:val="00C12708"/>
    <w:rsid w:val="00C15AB1"/>
    <w:rsid w:val="00C16598"/>
    <w:rsid w:val="00C172AA"/>
    <w:rsid w:val="00C17363"/>
    <w:rsid w:val="00C175D2"/>
    <w:rsid w:val="00C22117"/>
    <w:rsid w:val="00C240FD"/>
    <w:rsid w:val="00C24374"/>
    <w:rsid w:val="00C26BE1"/>
    <w:rsid w:val="00C302EF"/>
    <w:rsid w:val="00C32D28"/>
    <w:rsid w:val="00C32DB7"/>
    <w:rsid w:val="00C41271"/>
    <w:rsid w:val="00C43092"/>
    <w:rsid w:val="00C43C24"/>
    <w:rsid w:val="00C44AAC"/>
    <w:rsid w:val="00C46B7A"/>
    <w:rsid w:val="00C50037"/>
    <w:rsid w:val="00C5374E"/>
    <w:rsid w:val="00C53EF5"/>
    <w:rsid w:val="00C541F1"/>
    <w:rsid w:val="00C55330"/>
    <w:rsid w:val="00C55A98"/>
    <w:rsid w:val="00C564FD"/>
    <w:rsid w:val="00C624BC"/>
    <w:rsid w:val="00C6511E"/>
    <w:rsid w:val="00C65DB0"/>
    <w:rsid w:val="00C66470"/>
    <w:rsid w:val="00C66787"/>
    <w:rsid w:val="00C73859"/>
    <w:rsid w:val="00C74C53"/>
    <w:rsid w:val="00C76EBF"/>
    <w:rsid w:val="00C82BB8"/>
    <w:rsid w:val="00C840EB"/>
    <w:rsid w:val="00C85A83"/>
    <w:rsid w:val="00C87F73"/>
    <w:rsid w:val="00C90A10"/>
    <w:rsid w:val="00C94ADF"/>
    <w:rsid w:val="00C97431"/>
    <w:rsid w:val="00C97CCB"/>
    <w:rsid w:val="00CA15CC"/>
    <w:rsid w:val="00CA2098"/>
    <w:rsid w:val="00CA482A"/>
    <w:rsid w:val="00CB3DF0"/>
    <w:rsid w:val="00CB6306"/>
    <w:rsid w:val="00CB77C8"/>
    <w:rsid w:val="00CC06BA"/>
    <w:rsid w:val="00CC2331"/>
    <w:rsid w:val="00CC234F"/>
    <w:rsid w:val="00CD0A8D"/>
    <w:rsid w:val="00CD0CBB"/>
    <w:rsid w:val="00CD3D19"/>
    <w:rsid w:val="00CD718C"/>
    <w:rsid w:val="00CE39B6"/>
    <w:rsid w:val="00CE5B9F"/>
    <w:rsid w:val="00D01CB5"/>
    <w:rsid w:val="00D0274D"/>
    <w:rsid w:val="00D02B0D"/>
    <w:rsid w:val="00D03358"/>
    <w:rsid w:val="00D037C1"/>
    <w:rsid w:val="00D03CFA"/>
    <w:rsid w:val="00D058D0"/>
    <w:rsid w:val="00D07DED"/>
    <w:rsid w:val="00D1313B"/>
    <w:rsid w:val="00D1353D"/>
    <w:rsid w:val="00D146E9"/>
    <w:rsid w:val="00D1485B"/>
    <w:rsid w:val="00D17C3A"/>
    <w:rsid w:val="00D21471"/>
    <w:rsid w:val="00D241D3"/>
    <w:rsid w:val="00D253E1"/>
    <w:rsid w:val="00D27072"/>
    <w:rsid w:val="00D27FA8"/>
    <w:rsid w:val="00D365D3"/>
    <w:rsid w:val="00D36786"/>
    <w:rsid w:val="00D42F7B"/>
    <w:rsid w:val="00D4302E"/>
    <w:rsid w:val="00D44041"/>
    <w:rsid w:val="00D44760"/>
    <w:rsid w:val="00D46D12"/>
    <w:rsid w:val="00D473D5"/>
    <w:rsid w:val="00D50482"/>
    <w:rsid w:val="00D53B56"/>
    <w:rsid w:val="00D55089"/>
    <w:rsid w:val="00D554FF"/>
    <w:rsid w:val="00D603DE"/>
    <w:rsid w:val="00D62E09"/>
    <w:rsid w:val="00D64327"/>
    <w:rsid w:val="00D65684"/>
    <w:rsid w:val="00D82F2E"/>
    <w:rsid w:val="00D837F1"/>
    <w:rsid w:val="00D850FE"/>
    <w:rsid w:val="00D902A2"/>
    <w:rsid w:val="00D923D6"/>
    <w:rsid w:val="00D93831"/>
    <w:rsid w:val="00DA0C31"/>
    <w:rsid w:val="00DA37F6"/>
    <w:rsid w:val="00DA3865"/>
    <w:rsid w:val="00DA5B09"/>
    <w:rsid w:val="00DA60A1"/>
    <w:rsid w:val="00DA76FA"/>
    <w:rsid w:val="00DA7EA4"/>
    <w:rsid w:val="00DB0305"/>
    <w:rsid w:val="00DB2B49"/>
    <w:rsid w:val="00DB432F"/>
    <w:rsid w:val="00DB4812"/>
    <w:rsid w:val="00DB4E7B"/>
    <w:rsid w:val="00DB5485"/>
    <w:rsid w:val="00DB64FF"/>
    <w:rsid w:val="00DB7B68"/>
    <w:rsid w:val="00DC00FD"/>
    <w:rsid w:val="00DC28FE"/>
    <w:rsid w:val="00DC290C"/>
    <w:rsid w:val="00DC33B4"/>
    <w:rsid w:val="00DD3DDD"/>
    <w:rsid w:val="00DD4656"/>
    <w:rsid w:val="00DD74FD"/>
    <w:rsid w:val="00DD7EDD"/>
    <w:rsid w:val="00DE0708"/>
    <w:rsid w:val="00DE0B14"/>
    <w:rsid w:val="00DE1C17"/>
    <w:rsid w:val="00DE1EB0"/>
    <w:rsid w:val="00DE7A23"/>
    <w:rsid w:val="00DF01DF"/>
    <w:rsid w:val="00DF15CF"/>
    <w:rsid w:val="00DF16FE"/>
    <w:rsid w:val="00DF2291"/>
    <w:rsid w:val="00DF2368"/>
    <w:rsid w:val="00DF245B"/>
    <w:rsid w:val="00DF3EEE"/>
    <w:rsid w:val="00E01619"/>
    <w:rsid w:val="00E01879"/>
    <w:rsid w:val="00E018FB"/>
    <w:rsid w:val="00E0393C"/>
    <w:rsid w:val="00E04F2B"/>
    <w:rsid w:val="00E101D2"/>
    <w:rsid w:val="00E117B9"/>
    <w:rsid w:val="00E12B84"/>
    <w:rsid w:val="00E131AB"/>
    <w:rsid w:val="00E14604"/>
    <w:rsid w:val="00E1663B"/>
    <w:rsid w:val="00E21DC0"/>
    <w:rsid w:val="00E3039C"/>
    <w:rsid w:val="00E34822"/>
    <w:rsid w:val="00E34D6F"/>
    <w:rsid w:val="00E402DF"/>
    <w:rsid w:val="00E43678"/>
    <w:rsid w:val="00E43E89"/>
    <w:rsid w:val="00E456CE"/>
    <w:rsid w:val="00E4614B"/>
    <w:rsid w:val="00E470F9"/>
    <w:rsid w:val="00E471F0"/>
    <w:rsid w:val="00E4743F"/>
    <w:rsid w:val="00E504F1"/>
    <w:rsid w:val="00E52A42"/>
    <w:rsid w:val="00E5311C"/>
    <w:rsid w:val="00E53585"/>
    <w:rsid w:val="00E53C49"/>
    <w:rsid w:val="00E56729"/>
    <w:rsid w:val="00E57CBB"/>
    <w:rsid w:val="00E57D42"/>
    <w:rsid w:val="00E61532"/>
    <w:rsid w:val="00E6763B"/>
    <w:rsid w:val="00E67941"/>
    <w:rsid w:val="00E67E42"/>
    <w:rsid w:val="00E70059"/>
    <w:rsid w:val="00E71493"/>
    <w:rsid w:val="00E72590"/>
    <w:rsid w:val="00E72DE1"/>
    <w:rsid w:val="00E76C6B"/>
    <w:rsid w:val="00E77E9D"/>
    <w:rsid w:val="00E80AB9"/>
    <w:rsid w:val="00E87B3B"/>
    <w:rsid w:val="00E91BEA"/>
    <w:rsid w:val="00E94599"/>
    <w:rsid w:val="00E95E6D"/>
    <w:rsid w:val="00E96D88"/>
    <w:rsid w:val="00E97A02"/>
    <w:rsid w:val="00EA05FC"/>
    <w:rsid w:val="00EA0B41"/>
    <w:rsid w:val="00EA27D5"/>
    <w:rsid w:val="00EA3531"/>
    <w:rsid w:val="00EA52B9"/>
    <w:rsid w:val="00EB4210"/>
    <w:rsid w:val="00EB4CA3"/>
    <w:rsid w:val="00EB58BD"/>
    <w:rsid w:val="00EB7D44"/>
    <w:rsid w:val="00EC0FFC"/>
    <w:rsid w:val="00EC16F4"/>
    <w:rsid w:val="00EC279C"/>
    <w:rsid w:val="00ED187A"/>
    <w:rsid w:val="00ED2E33"/>
    <w:rsid w:val="00ED3024"/>
    <w:rsid w:val="00ED4F8D"/>
    <w:rsid w:val="00ED6D84"/>
    <w:rsid w:val="00ED71B6"/>
    <w:rsid w:val="00ED7DE7"/>
    <w:rsid w:val="00EE0828"/>
    <w:rsid w:val="00EE1D0B"/>
    <w:rsid w:val="00EE25C6"/>
    <w:rsid w:val="00EE55DD"/>
    <w:rsid w:val="00EE6D5A"/>
    <w:rsid w:val="00EF0AD9"/>
    <w:rsid w:val="00EF0E10"/>
    <w:rsid w:val="00EF1042"/>
    <w:rsid w:val="00EF1921"/>
    <w:rsid w:val="00EF2076"/>
    <w:rsid w:val="00EF2AFB"/>
    <w:rsid w:val="00EF5674"/>
    <w:rsid w:val="00EF7E88"/>
    <w:rsid w:val="00F00123"/>
    <w:rsid w:val="00F010C9"/>
    <w:rsid w:val="00F02DEB"/>
    <w:rsid w:val="00F04242"/>
    <w:rsid w:val="00F045F4"/>
    <w:rsid w:val="00F06B42"/>
    <w:rsid w:val="00F123DD"/>
    <w:rsid w:val="00F13BFF"/>
    <w:rsid w:val="00F13CA5"/>
    <w:rsid w:val="00F141A8"/>
    <w:rsid w:val="00F14B78"/>
    <w:rsid w:val="00F17363"/>
    <w:rsid w:val="00F17776"/>
    <w:rsid w:val="00F178B2"/>
    <w:rsid w:val="00F17F53"/>
    <w:rsid w:val="00F21607"/>
    <w:rsid w:val="00F244E5"/>
    <w:rsid w:val="00F24DA1"/>
    <w:rsid w:val="00F25F65"/>
    <w:rsid w:val="00F26182"/>
    <w:rsid w:val="00F27524"/>
    <w:rsid w:val="00F33DD3"/>
    <w:rsid w:val="00F377E5"/>
    <w:rsid w:val="00F4046B"/>
    <w:rsid w:val="00F41C7B"/>
    <w:rsid w:val="00F431FB"/>
    <w:rsid w:val="00F43EDE"/>
    <w:rsid w:val="00F46C60"/>
    <w:rsid w:val="00F47367"/>
    <w:rsid w:val="00F4748C"/>
    <w:rsid w:val="00F47601"/>
    <w:rsid w:val="00F476D3"/>
    <w:rsid w:val="00F5138E"/>
    <w:rsid w:val="00F51A4F"/>
    <w:rsid w:val="00F53ACB"/>
    <w:rsid w:val="00F54738"/>
    <w:rsid w:val="00F55BFC"/>
    <w:rsid w:val="00F568C4"/>
    <w:rsid w:val="00F60E46"/>
    <w:rsid w:val="00F6184E"/>
    <w:rsid w:val="00F7305C"/>
    <w:rsid w:val="00F73C38"/>
    <w:rsid w:val="00F76B10"/>
    <w:rsid w:val="00F8007E"/>
    <w:rsid w:val="00F80D3E"/>
    <w:rsid w:val="00F81C8A"/>
    <w:rsid w:val="00F835BD"/>
    <w:rsid w:val="00F84805"/>
    <w:rsid w:val="00F86C13"/>
    <w:rsid w:val="00F87D02"/>
    <w:rsid w:val="00F91DC8"/>
    <w:rsid w:val="00F92B0D"/>
    <w:rsid w:val="00F932B2"/>
    <w:rsid w:val="00F94A46"/>
    <w:rsid w:val="00F951F9"/>
    <w:rsid w:val="00FA0233"/>
    <w:rsid w:val="00FA0B28"/>
    <w:rsid w:val="00FA21EA"/>
    <w:rsid w:val="00FA2B02"/>
    <w:rsid w:val="00FA7B74"/>
    <w:rsid w:val="00FB0FBD"/>
    <w:rsid w:val="00FB1115"/>
    <w:rsid w:val="00FB1B8F"/>
    <w:rsid w:val="00FB4AE4"/>
    <w:rsid w:val="00FB5355"/>
    <w:rsid w:val="00FB596D"/>
    <w:rsid w:val="00FC5522"/>
    <w:rsid w:val="00FC649F"/>
    <w:rsid w:val="00FD004A"/>
    <w:rsid w:val="00FD0EE3"/>
    <w:rsid w:val="00FD10B8"/>
    <w:rsid w:val="00FD14E5"/>
    <w:rsid w:val="00FD446E"/>
    <w:rsid w:val="00FD74C3"/>
    <w:rsid w:val="00FE00FE"/>
    <w:rsid w:val="00FE275C"/>
    <w:rsid w:val="00FE4184"/>
    <w:rsid w:val="00FE4245"/>
    <w:rsid w:val="00FE4E79"/>
    <w:rsid w:val="00FE77B8"/>
    <w:rsid w:val="00FF313B"/>
    <w:rsid w:val="00FF7801"/>
    <w:rsid w:val="00FF7F33"/>
    <w:rsid w:val="00FF7FBB"/>
  </w:rsids>
  <m:mathPr>
    <m:mathFont m:val="Cambria Math"/>
    <m:brkBin m:val="before"/>
    <m:brkBinSub m:val="--"/>
    <m:smallFrac/>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80186DD"/>
  <w15:docId w15:val="{BC7EC166-BC16-4239-9B44-E64EA5BD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0A01"/>
    <w:pPr>
      <w:spacing w:before="0" w:after="0"/>
    </w:pPr>
    <w:rPr>
      <w:sz w:val="24"/>
    </w:rPr>
  </w:style>
  <w:style w:type="paragraph" w:styleId="Heading1">
    <w:name w:val="heading 1"/>
    <w:basedOn w:val="BodyText"/>
    <w:next w:val="BodyText"/>
    <w:link w:val="Heading1Char"/>
    <w:qFormat/>
    <w:rsid w:val="00991133"/>
    <w:pPr>
      <w:spacing w:before="5000"/>
      <w:outlineLvl w:val="0"/>
    </w:pPr>
    <w:rPr>
      <w:b/>
      <w:u w:val="single"/>
    </w:rPr>
  </w:style>
  <w:style w:type="paragraph" w:styleId="Heading2">
    <w:name w:val="heading 2"/>
    <w:basedOn w:val="BodyText"/>
    <w:next w:val="BodyText"/>
    <w:link w:val="Heading2Char"/>
    <w:qFormat/>
    <w:rsid w:val="00991133"/>
    <w:pPr>
      <w:outlineLvl w:val="1"/>
    </w:pPr>
    <w:rPr>
      <w:b/>
      <w:sz w:val="28"/>
      <w:szCs w:val="28"/>
    </w:rPr>
  </w:style>
  <w:style w:type="paragraph" w:styleId="Heading3">
    <w:name w:val="heading 3"/>
    <w:basedOn w:val="Normal"/>
    <w:next w:val="BodyText"/>
    <w:link w:val="Heading3Char"/>
    <w:qFormat/>
    <w:rsid w:val="00991133"/>
    <w:pPr>
      <w:keepNext/>
      <w:keepLines/>
      <w:spacing w:before="280" w:after="140"/>
      <w:outlineLvl w:val="2"/>
    </w:pPr>
    <w:rPr>
      <w:rFonts w:asciiTheme="majorHAnsi" w:eastAsia="Times New Roman" w:hAnsiTheme="majorHAnsi" w:cs="Times New Roman"/>
      <w:b/>
      <w:bCs/>
      <w:color w:val="525051"/>
      <w:sz w:val="28"/>
      <w:szCs w:val="28"/>
      <w:lang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lang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szCs w:val="24"/>
      <w:lang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rsid w:val="00991133"/>
    <w:rPr>
      <w:rFonts w:eastAsia="Times New Roman" w:cs="Times New Roman"/>
      <w:b/>
      <w:sz w:val="24"/>
      <w:szCs w:val="24"/>
      <w:u w:val="single"/>
      <w:lang w:eastAsia="en-AU"/>
    </w:rPr>
  </w:style>
  <w:style w:type="character" w:customStyle="1" w:styleId="Heading2Char">
    <w:name w:val="Heading 2 Char"/>
    <w:basedOn w:val="DefaultParagraphFont"/>
    <w:link w:val="Heading2"/>
    <w:rsid w:val="00991133"/>
    <w:rPr>
      <w:rFonts w:eastAsia="Times New Roman" w:cs="Times New Roman"/>
      <w:b/>
      <w:sz w:val="28"/>
      <w:szCs w:val="28"/>
      <w:lang w:eastAsia="en-AU"/>
    </w:rPr>
  </w:style>
  <w:style w:type="character" w:customStyle="1" w:styleId="Heading3Char">
    <w:name w:val="Heading 3 Char"/>
    <w:basedOn w:val="DefaultParagraphFont"/>
    <w:link w:val="Heading3"/>
    <w:rsid w:val="00991133"/>
    <w:rPr>
      <w:rFonts w:asciiTheme="majorHAnsi" w:eastAsia="Times New Roman" w:hAnsiTheme="majorHAnsi" w:cs="Times New Roman"/>
      <w:b/>
      <w:bCs/>
      <w:color w:val="525051"/>
      <w:sz w:val="28"/>
      <w:szCs w:val="28"/>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numPr>
        <w:numId w:val="17"/>
      </w:numPr>
    </w:pPr>
    <w:rPr>
      <w:bCs/>
    </w:rPr>
  </w:style>
  <w:style w:type="paragraph" w:customStyle="1" w:styleId="AltHeading2">
    <w:name w:val="Alt Heading 2"/>
    <w:basedOn w:val="Heading2"/>
    <w:next w:val="BodyText"/>
    <w:qFormat/>
    <w:rsid w:val="003A08A5"/>
    <w:pPr>
      <w:numPr>
        <w:ilvl w:val="1"/>
        <w:numId w:val="17"/>
      </w:numPr>
    </w:pPr>
  </w:style>
  <w:style w:type="paragraph" w:customStyle="1" w:styleId="AltHeading3">
    <w:name w:val="Alt Heading 3"/>
    <w:basedOn w:val="Heading3"/>
    <w:next w:val="BodyText"/>
    <w:qFormat/>
    <w:rsid w:val="00822503"/>
    <w:pPr>
      <w:numPr>
        <w:ilvl w:val="2"/>
        <w:numId w:val="17"/>
      </w:numPr>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szCs w:val="24"/>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sz w:val="17"/>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sz w:val="18"/>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numPr>
        <w:numId w:val="18"/>
      </w:numPr>
      <w:spacing w:before="120" w:after="120"/>
    </w:pPr>
    <w:rPr>
      <w:rFonts w:eastAsia="Times New Roman" w:cs="Times New Roman"/>
      <w:szCs w:val="24"/>
      <w:lang w:eastAsia="en-AU"/>
    </w:rPr>
  </w:style>
  <w:style w:type="paragraph" w:styleId="ListBullet0">
    <w:name w:val="List Bullet"/>
    <w:basedOn w:val="Normal"/>
    <w:qFormat/>
    <w:rsid w:val="002106C4"/>
    <w:pPr>
      <w:numPr>
        <w:numId w:val="16"/>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spacing w:before="360"/>
    </w:pPr>
    <w:rPr>
      <w:rFonts w:asciiTheme="majorHAnsi" w:hAnsiTheme="majorHAnsi" w:cstheme="majorHAnsi"/>
      <w:b/>
      <w:bCs/>
      <w:caps/>
      <w:szCs w:val="24"/>
    </w:rPr>
  </w:style>
  <w:style w:type="paragraph" w:styleId="TOC2">
    <w:name w:val="toc 2"/>
    <w:basedOn w:val="Normal"/>
    <w:next w:val="Normal"/>
    <w:uiPriority w:val="39"/>
    <w:rsid w:val="00DF01DF"/>
    <w:pPr>
      <w:spacing w:before="240"/>
    </w:pPr>
    <w:rPr>
      <w:rFonts w:cstheme="minorHAnsi"/>
      <w:b/>
      <w:bCs/>
      <w:sz w:val="20"/>
      <w:szCs w:val="20"/>
    </w:rPr>
  </w:style>
  <w:style w:type="paragraph" w:styleId="TOC3">
    <w:name w:val="toc 3"/>
    <w:basedOn w:val="Normal"/>
    <w:next w:val="Normal"/>
    <w:uiPriority w:val="39"/>
    <w:rsid w:val="00DF01DF"/>
    <w:pPr>
      <w:ind w:left="240"/>
    </w:pPr>
    <w:rPr>
      <w:rFonts w:cstheme="minorHAnsi"/>
      <w:sz w:val="20"/>
      <w:szCs w:val="20"/>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b/>
    </w:rPr>
  </w:style>
  <w:style w:type="paragraph" w:customStyle="1" w:styleId="TableText">
    <w:name w:val="Table Text"/>
    <w:basedOn w:val="Normal"/>
    <w:uiPriority w:val="4"/>
    <w:qFormat/>
    <w:rsid w:val="00E71493"/>
    <w:pPr>
      <w:spacing w:before="60" w:after="60"/>
    </w:pPr>
  </w:style>
  <w:style w:type="paragraph" w:customStyle="1" w:styleId="TableBullet">
    <w:name w:val="Table Bullet"/>
    <w:basedOn w:val="TableText"/>
    <w:qFormat/>
    <w:rsid w:val="002106C4"/>
    <w:pPr>
      <w:numPr>
        <w:numId w:val="14"/>
      </w:numPr>
    </w:pPr>
    <w:rPr>
      <w:rFonts w:eastAsia="Times New Roman" w:cs="Times New Roman"/>
      <w:szCs w:val="24"/>
      <w:lang w:eastAsia="en-AU"/>
    </w:rPr>
  </w:style>
  <w:style w:type="paragraph" w:customStyle="1" w:styleId="TableNumber">
    <w:name w:val="Table Number"/>
    <w:basedOn w:val="TableText"/>
    <w:qFormat/>
    <w:rsid w:val="003A08A5"/>
    <w:pPr>
      <w:numPr>
        <w:numId w:val="20"/>
      </w:numPr>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rsid w:val="003A08A5"/>
    <w:pPr>
      <w:numPr>
        <w:numId w:val="11"/>
      </w:numPr>
    </w:pPr>
  </w:style>
  <w:style w:type="paragraph" w:styleId="TOC4">
    <w:name w:val="toc 4"/>
    <w:basedOn w:val="TOC1"/>
    <w:next w:val="Normal"/>
    <w:uiPriority w:val="39"/>
    <w:rsid w:val="00DF01DF"/>
    <w:pPr>
      <w:spacing w:before="0"/>
      <w:ind w:left="480"/>
    </w:pPr>
    <w:rPr>
      <w:rFonts w:asciiTheme="minorHAnsi" w:hAnsiTheme="minorHAnsi" w:cstheme="minorHAnsi"/>
      <w:b w:val="0"/>
      <w:bCs w:val="0"/>
      <w:caps w:val="0"/>
      <w:sz w:val="20"/>
      <w:szCs w:val="20"/>
    </w:r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rsid w:val="00E21DC0"/>
    <w:rPr>
      <w:rFonts w:ascii="Tahoma" w:hAnsi="Tahoma" w:cs="Tahoma"/>
      <w:sz w:val="16"/>
      <w:szCs w:val="16"/>
    </w:rPr>
  </w:style>
  <w:style w:type="character" w:customStyle="1" w:styleId="BalloonTextChar">
    <w:name w:val="Balloon Text Char"/>
    <w:basedOn w:val="DefaultParagraphFont"/>
    <w:link w:val="BalloonText"/>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spacing w:before="0"/>
      <w:ind w:left="720"/>
    </w:pPr>
    <w:rPr>
      <w:b w:val="0"/>
      <w:bCs w:val="0"/>
    </w:rPr>
  </w:style>
  <w:style w:type="paragraph" w:styleId="TOC6">
    <w:name w:val="toc 6"/>
    <w:basedOn w:val="TOC3"/>
    <w:next w:val="Normal"/>
    <w:uiPriority w:val="39"/>
    <w:semiHidden/>
    <w:rsid w:val="0061089F"/>
    <w:pPr>
      <w:ind w:left="960"/>
    </w:pPr>
  </w:style>
  <w:style w:type="paragraph" w:styleId="TOC7">
    <w:name w:val="toc 7"/>
    <w:basedOn w:val="TOC2"/>
    <w:next w:val="Normal"/>
    <w:uiPriority w:val="39"/>
    <w:semiHidden/>
    <w:rsid w:val="003B4DCF"/>
    <w:pPr>
      <w:spacing w:before="0"/>
      <w:ind w:left="1200"/>
    </w:pPr>
    <w:rPr>
      <w:b w:val="0"/>
      <w:bCs w:val="0"/>
    </w:rPr>
  </w:style>
  <w:style w:type="paragraph" w:styleId="TOC8">
    <w:name w:val="toc 8"/>
    <w:basedOn w:val="Normal"/>
    <w:next w:val="Normal"/>
    <w:uiPriority w:val="39"/>
    <w:semiHidden/>
    <w:rsid w:val="003B4DCF"/>
    <w:pPr>
      <w:ind w:left="1440"/>
    </w:pPr>
    <w:rPr>
      <w:rFonts w:cstheme="minorHAnsi"/>
      <w:sz w:val="20"/>
      <w:szCs w:val="20"/>
    </w:rPr>
  </w:style>
  <w:style w:type="paragraph" w:styleId="TOC9">
    <w:name w:val="toc 9"/>
    <w:basedOn w:val="Normal"/>
    <w:next w:val="Normal"/>
    <w:uiPriority w:val="39"/>
    <w:semiHidden/>
    <w:rsid w:val="003B4DCF"/>
    <w:pPr>
      <w:ind w:left="1680"/>
    </w:pPr>
    <w:rPr>
      <w:rFonts w:cstheme="minorHAnsi"/>
      <w:sz w:val="20"/>
      <w:szCs w:val="20"/>
    </w:r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qFormat/>
    <w:rsid w:val="003A08A5"/>
    <w:pPr>
      <w:numPr>
        <w:numId w:val="19"/>
      </w:numPr>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paragraph" w:styleId="FootnoteText">
    <w:name w:val="footnote text"/>
    <w:basedOn w:val="Normal"/>
    <w:link w:val="FootnoteTextChar"/>
    <w:uiPriority w:val="99"/>
    <w:semiHidden/>
    <w:unhideWhenUsed/>
    <w:rsid w:val="009E5F4F"/>
    <w:rPr>
      <w:sz w:val="20"/>
      <w:szCs w:val="20"/>
    </w:rPr>
  </w:style>
  <w:style w:type="character" w:customStyle="1" w:styleId="FootnoteTextChar">
    <w:name w:val="Footnote Text Char"/>
    <w:basedOn w:val="DefaultParagraphFont"/>
    <w:link w:val="FootnoteText"/>
    <w:uiPriority w:val="99"/>
    <w:semiHidden/>
    <w:rsid w:val="009E5F4F"/>
    <w:rPr>
      <w:sz w:val="20"/>
      <w:szCs w:val="20"/>
    </w:rPr>
  </w:style>
  <w:style w:type="character" w:styleId="FootnoteReference">
    <w:name w:val="footnote reference"/>
    <w:basedOn w:val="DefaultParagraphFont"/>
    <w:uiPriority w:val="99"/>
    <w:semiHidden/>
    <w:unhideWhenUsed/>
    <w:rsid w:val="009E5F4F"/>
    <w:rPr>
      <w:vertAlign w:val="superscript"/>
    </w:rPr>
  </w:style>
  <w:style w:type="paragraph" w:styleId="NormalWeb">
    <w:name w:val="Normal (Web)"/>
    <w:basedOn w:val="Normal"/>
    <w:uiPriority w:val="99"/>
    <w:unhideWhenUsed/>
    <w:rsid w:val="00412424"/>
    <w:rPr>
      <w:rFonts w:ascii="Times New Roman" w:hAnsi="Times New Roman" w:cs="Times New Roman"/>
      <w:szCs w:val="24"/>
      <w:lang w:eastAsia="en-AU"/>
    </w:rPr>
  </w:style>
  <w:style w:type="character" w:styleId="CommentReference">
    <w:name w:val="annotation reference"/>
    <w:basedOn w:val="DefaultParagraphFont"/>
    <w:uiPriority w:val="99"/>
    <w:semiHidden/>
    <w:unhideWhenUsed/>
    <w:rsid w:val="001461E4"/>
    <w:rPr>
      <w:sz w:val="16"/>
      <w:szCs w:val="16"/>
    </w:rPr>
  </w:style>
  <w:style w:type="paragraph" w:styleId="CommentText">
    <w:name w:val="annotation text"/>
    <w:basedOn w:val="Normal"/>
    <w:link w:val="CommentTextChar"/>
    <w:uiPriority w:val="99"/>
    <w:semiHidden/>
    <w:unhideWhenUsed/>
    <w:rsid w:val="001461E4"/>
    <w:rPr>
      <w:sz w:val="20"/>
      <w:szCs w:val="20"/>
    </w:rPr>
  </w:style>
  <w:style w:type="character" w:customStyle="1" w:styleId="CommentTextChar">
    <w:name w:val="Comment Text Char"/>
    <w:basedOn w:val="DefaultParagraphFont"/>
    <w:link w:val="CommentText"/>
    <w:uiPriority w:val="99"/>
    <w:semiHidden/>
    <w:rsid w:val="001461E4"/>
    <w:rPr>
      <w:sz w:val="20"/>
      <w:szCs w:val="20"/>
    </w:rPr>
  </w:style>
  <w:style w:type="paragraph" w:styleId="CommentSubject">
    <w:name w:val="annotation subject"/>
    <w:basedOn w:val="CommentText"/>
    <w:next w:val="CommentText"/>
    <w:link w:val="CommentSubjectChar"/>
    <w:uiPriority w:val="99"/>
    <w:semiHidden/>
    <w:unhideWhenUsed/>
    <w:rsid w:val="000C2785"/>
    <w:rPr>
      <w:b/>
      <w:bCs/>
    </w:rPr>
  </w:style>
  <w:style w:type="character" w:customStyle="1" w:styleId="CommentSubjectChar">
    <w:name w:val="Comment Subject Char"/>
    <w:basedOn w:val="CommentTextChar"/>
    <w:link w:val="CommentSubject"/>
    <w:uiPriority w:val="99"/>
    <w:semiHidden/>
    <w:rsid w:val="000C2785"/>
    <w:rPr>
      <w:b/>
      <w:bCs/>
      <w:sz w:val="20"/>
      <w:szCs w:val="20"/>
    </w:rPr>
  </w:style>
  <w:style w:type="paragraph" w:styleId="Revision">
    <w:name w:val="Revision"/>
    <w:hidden/>
    <w:uiPriority w:val="99"/>
    <w:semiHidden/>
    <w:rsid w:val="000C2785"/>
    <w:pPr>
      <w:spacing w:before="0"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249469">
      <w:bodyDiv w:val="1"/>
      <w:marLeft w:val="0"/>
      <w:marRight w:val="0"/>
      <w:marTop w:val="0"/>
      <w:marBottom w:val="0"/>
      <w:divBdr>
        <w:top w:val="none" w:sz="0" w:space="0" w:color="auto"/>
        <w:left w:val="none" w:sz="0" w:space="0" w:color="auto"/>
        <w:bottom w:val="none" w:sz="0" w:space="0" w:color="auto"/>
        <w:right w:val="none" w:sz="0" w:space="0" w:color="auto"/>
      </w:divBdr>
    </w:div>
    <w:div w:id="1047948804">
      <w:bodyDiv w:val="1"/>
      <w:marLeft w:val="0"/>
      <w:marRight w:val="0"/>
      <w:marTop w:val="0"/>
      <w:marBottom w:val="0"/>
      <w:divBdr>
        <w:top w:val="none" w:sz="0" w:space="0" w:color="auto"/>
        <w:left w:val="none" w:sz="0" w:space="0" w:color="auto"/>
        <w:bottom w:val="none" w:sz="0" w:space="0" w:color="auto"/>
        <w:right w:val="none" w:sz="0" w:space="0" w:color="auto"/>
      </w:divBdr>
    </w:div>
    <w:div w:id="1054356846">
      <w:bodyDiv w:val="1"/>
      <w:marLeft w:val="0"/>
      <w:marRight w:val="0"/>
      <w:marTop w:val="0"/>
      <w:marBottom w:val="0"/>
      <w:divBdr>
        <w:top w:val="none" w:sz="0" w:space="0" w:color="auto"/>
        <w:left w:val="none" w:sz="0" w:space="0" w:color="auto"/>
        <w:bottom w:val="none" w:sz="0" w:space="0" w:color="auto"/>
        <w:right w:val="none" w:sz="0" w:space="0" w:color="auto"/>
      </w:divBdr>
    </w:div>
    <w:div w:id="1204753529">
      <w:bodyDiv w:val="1"/>
      <w:marLeft w:val="0"/>
      <w:marRight w:val="0"/>
      <w:marTop w:val="0"/>
      <w:marBottom w:val="0"/>
      <w:divBdr>
        <w:top w:val="none" w:sz="0" w:space="0" w:color="auto"/>
        <w:left w:val="none" w:sz="0" w:space="0" w:color="auto"/>
        <w:bottom w:val="none" w:sz="0" w:space="0" w:color="auto"/>
        <w:right w:val="none" w:sz="0" w:space="0" w:color="auto"/>
      </w:divBdr>
    </w:div>
    <w:div w:id="1533570948">
      <w:bodyDiv w:val="1"/>
      <w:marLeft w:val="0"/>
      <w:marRight w:val="0"/>
      <w:marTop w:val="0"/>
      <w:marBottom w:val="0"/>
      <w:divBdr>
        <w:top w:val="none" w:sz="0" w:space="0" w:color="auto"/>
        <w:left w:val="none" w:sz="0" w:space="0" w:color="auto"/>
        <w:bottom w:val="none" w:sz="0" w:space="0" w:color="auto"/>
        <w:right w:val="none" w:sz="0" w:space="0" w:color="auto"/>
      </w:divBdr>
    </w:div>
    <w:div w:id="1892768456">
      <w:bodyDiv w:val="1"/>
      <w:marLeft w:val="0"/>
      <w:marRight w:val="0"/>
      <w:marTop w:val="0"/>
      <w:marBottom w:val="0"/>
      <w:divBdr>
        <w:top w:val="none" w:sz="0" w:space="0" w:color="auto"/>
        <w:left w:val="none" w:sz="0" w:space="0" w:color="auto"/>
        <w:bottom w:val="none" w:sz="0" w:space="0" w:color="auto"/>
        <w:right w:val="none" w:sz="0" w:space="0" w:color="auto"/>
      </w:divBdr>
      <w:divsChild>
        <w:div w:id="629288319">
          <w:marLeft w:val="0"/>
          <w:marRight w:val="0"/>
          <w:marTop w:val="0"/>
          <w:marBottom w:val="0"/>
          <w:divBdr>
            <w:top w:val="none" w:sz="0" w:space="0" w:color="auto"/>
            <w:left w:val="none" w:sz="0" w:space="0" w:color="auto"/>
            <w:bottom w:val="none" w:sz="0" w:space="0" w:color="auto"/>
            <w:right w:val="none" w:sz="0" w:space="0" w:color="auto"/>
          </w:divBdr>
          <w:divsChild>
            <w:div w:id="234366916">
              <w:marLeft w:val="0"/>
              <w:marRight w:val="0"/>
              <w:marTop w:val="0"/>
              <w:marBottom w:val="0"/>
              <w:divBdr>
                <w:top w:val="none" w:sz="0" w:space="0" w:color="auto"/>
                <w:left w:val="none" w:sz="0" w:space="0" w:color="auto"/>
                <w:bottom w:val="none" w:sz="0" w:space="0" w:color="auto"/>
                <w:right w:val="none" w:sz="0" w:space="0" w:color="auto"/>
              </w:divBdr>
              <w:divsChild>
                <w:div w:id="339040509">
                  <w:marLeft w:val="0"/>
                  <w:marRight w:val="0"/>
                  <w:marTop w:val="0"/>
                  <w:marBottom w:val="600"/>
                  <w:divBdr>
                    <w:top w:val="none" w:sz="0" w:space="0" w:color="auto"/>
                    <w:left w:val="none" w:sz="0" w:space="0" w:color="auto"/>
                    <w:bottom w:val="none" w:sz="0" w:space="0" w:color="auto"/>
                    <w:right w:val="none" w:sz="0" w:space="0" w:color="auto"/>
                  </w:divBdr>
                  <w:divsChild>
                    <w:div w:id="1365250140">
                      <w:marLeft w:val="0"/>
                      <w:marRight w:val="0"/>
                      <w:marTop w:val="0"/>
                      <w:marBottom w:val="0"/>
                      <w:divBdr>
                        <w:top w:val="none" w:sz="0" w:space="0" w:color="auto"/>
                        <w:left w:val="none" w:sz="0" w:space="0" w:color="auto"/>
                        <w:bottom w:val="none" w:sz="0" w:space="0" w:color="auto"/>
                        <w:right w:val="none" w:sz="0" w:space="0" w:color="auto"/>
                      </w:divBdr>
                      <w:divsChild>
                        <w:div w:id="1573345388">
                          <w:marLeft w:val="75"/>
                          <w:marRight w:val="75"/>
                          <w:marTop w:val="0"/>
                          <w:marBottom w:val="0"/>
                          <w:divBdr>
                            <w:top w:val="none" w:sz="0" w:space="0" w:color="auto"/>
                            <w:left w:val="none" w:sz="0" w:space="0" w:color="auto"/>
                            <w:bottom w:val="none" w:sz="0" w:space="0" w:color="auto"/>
                            <w:right w:val="none" w:sz="0" w:space="0" w:color="auto"/>
                          </w:divBdr>
                          <w:divsChild>
                            <w:div w:id="1812358474">
                              <w:marLeft w:val="0"/>
                              <w:marRight w:val="0"/>
                              <w:marTop w:val="0"/>
                              <w:marBottom w:val="0"/>
                              <w:divBdr>
                                <w:top w:val="none" w:sz="0" w:space="0" w:color="auto"/>
                                <w:left w:val="none" w:sz="0" w:space="0" w:color="auto"/>
                                <w:bottom w:val="none" w:sz="0" w:space="0" w:color="auto"/>
                                <w:right w:val="none" w:sz="0" w:space="0" w:color="auto"/>
                              </w:divBdr>
                              <w:divsChild>
                                <w:div w:id="1028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council.gov.au/workspace/uploads/files/indigenous-cultural-and-intellectual-property.pdf" TargetMode="External"/><Relationship Id="rId1" Type="http://schemas.openxmlformats.org/officeDocument/2006/relationships/hyperlink" Target="http://www.australiacouncil.gov.au/about/protocols-for-working-with-indigenous-artis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385A364BC6364298AF17771C802905" ma:contentTypeVersion="0" ma:contentTypeDescription="Create a new document." ma:contentTypeScope="" ma:versionID="406b4cc83048e3902a68f12a217bcf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C2B5D-5B43-4CD2-9823-8B2C8EEA3DA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86F16D1-3F17-4CD9-8D00-5A3BF5425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4E0ACB-8022-450F-9ED3-3A4891D3D0EA}">
  <ds:schemaRefs>
    <ds:schemaRef ds:uri="http://schemas.microsoft.com/sharepoint/v3/contenttype/forms"/>
  </ds:schemaRefs>
</ds:datastoreItem>
</file>

<file path=customXml/itemProps4.xml><?xml version="1.0" encoding="utf-8"?>
<ds:datastoreItem xmlns:ds="http://schemas.openxmlformats.org/officeDocument/2006/customXml" ds:itemID="{03522881-C068-41B7-903A-D34B4E46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4191</Words>
  <Characters>23893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79—Submission—Australia Council for the Arts—attachment A—Updating Australia's copyright laws</dc:title>
  <dc:subject/>
  <dc:creator>Rebecca Burgess</dc:creator>
  <cp:keywords/>
  <dc:description/>
  <cp:lastModifiedBy>Department of Communications and the Arts</cp:lastModifiedBy>
  <cp:revision>3</cp:revision>
  <cp:lastPrinted>2016-03-15T05:20:00Z</cp:lastPrinted>
  <dcterms:created xsi:type="dcterms:W3CDTF">2017-02-28T01:16:00Z</dcterms:created>
  <dcterms:modified xsi:type="dcterms:W3CDTF">2017-03-06T02:33:00Z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0x010100FA385A364BC6364298AF17771C802905</vt:lpwstr>
  </property>
  <property fmtid="{D5CDD505-2E9C-101B-9397-08002B2CF9AE}" pid="3" name="TrimRevisionNumber">
    <vt:i4>7</vt:i4>
  </property>
</Properties>
</file>