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4.75pt;height:.5pt;mso-position-horizontal-relative:char;mso-position-vertical-relative:line" coordorigin="0,0" coordsize="9695,10">
            <v:rect style="position:absolute;left:0;top:0;width:9695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34"/>
        <w:ind w:left="146" w:right="0" w:firstLine="0"/>
        <w:jc w:val="left"/>
        <w:rPr>
          <w:b/>
          <w:sz w:val="32"/>
        </w:rPr>
      </w:pPr>
      <w:r>
        <w:rPr>
          <w:b/>
          <w:color w:val="004D9D"/>
          <w:sz w:val="32"/>
        </w:rPr>
        <w:t>TELSTRA CORPORATION LIMITED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before="252"/>
        <w:ind w:left="146" w:right="0" w:firstLine="0"/>
        <w:jc w:val="left"/>
        <w:rPr>
          <w:b/>
          <w:sz w:val="34"/>
        </w:rPr>
      </w:pPr>
      <w:r>
        <w:rPr>
          <w:b/>
          <w:color w:val="004D9D"/>
          <w:sz w:val="34"/>
        </w:rPr>
        <w:t>Submission to the</w:t>
      </w:r>
    </w:p>
    <w:p>
      <w:pPr>
        <w:spacing w:line="268" w:lineRule="auto" w:before="47"/>
        <w:ind w:left="146" w:right="0" w:firstLine="0"/>
        <w:jc w:val="left"/>
        <w:rPr>
          <w:b/>
          <w:sz w:val="34"/>
        </w:rPr>
      </w:pPr>
      <w:r>
        <w:rPr>
          <w:b/>
          <w:color w:val="004D9D"/>
          <w:spacing w:val="-3"/>
          <w:sz w:val="34"/>
        </w:rPr>
        <w:t>Department </w:t>
      </w:r>
      <w:r>
        <w:rPr>
          <w:b/>
          <w:color w:val="004D9D"/>
          <w:sz w:val="34"/>
        </w:rPr>
        <w:t>of </w:t>
      </w:r>
      <w:r>
        <w:rPr>
          <w:b/>
          <w:color w:val="004D9D"/>
          <w:spacing w:val="-3"/>
          <w:sz w:val="34"/>
        </w:rPr>
        <w:t>Infrastructure, </w:t>
      </w:r>
      <w:r>
        <w:rPr>
          <w:b/>
          <w:color w:val="004D9D"/>
          <w:spacing w:val="-5"/>
          <w:sz w:val="34"/>
        </w:rPr>
        <w:t>Transport, </w:t>
      </w:r>
      <w:r>
        <w:rPr>
          <w:b/>
          <w:color w:val="004D9D"/>
          <w:spacing w:val="-3"/>
          <w:sz w:val="34"/>
        </w:rPr>
        <w:t>Regional Development </w:t>
      </w:r>
      <w:r>
        <w:rPr>
          <w:b/>
          <w:color w:val="004D9D"/>
          <w:sz w:val="34"/>
        </w:rPr>
        <w:t>and </w:t>
      </w:r>
      <w:r>
        <w:rPr>
          <w:b/>
          <w:color w:val="004D9D"/>
          <w:spacing w:val="-3"/>
          <w:sz w:val="34"/>
        </w:rPr>
        <w:t>Communications (DITRDC)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10"/>
        <w:rPr>
          <w:b/>
          <w:sz w:val="56"/>
        </w:rPr>
      </w:pPr>
    </w:p>
    <w:p>
      <w:pPr>
        <w:pStyle w:val="Title"/>
        <w:spacing w:before="1"/>
      </w:pPr>
      <w:r>
        <w:rPr/>
        <w:t>Consultation on the designation of the</w:t>
      </w:r>
    </w:p>
    <w:p>
      <w:pPr>
        <w:pStyle w:val="Title"/>
      </w:pPr>
      <w:r>
        <w:rPr>
          <w:spacing w:val="-19"/>
        </w:rPr>
        <w:t>3.4 </w:t>
      </w:r>
      <w:r>
        <w:rPr>
          <w:spacing w:val="-18"/>
        </w:rPr>
        <w:t>GHz</w:t>
      </w:r>
      <w:r>
        <w:rPr>
          <w:spacing w:val="-91"/>
        </w:rPr>
        <w:t> </w:t>
      </w:r>
      <w:r>
        <w:rPr>
          <w:spacing w:val="-22"/>
        </w:rPr>
        <w:t>band</w:t>
      </w:r>
    </w:p>
    <w:p>
      <w:pPr>
        <w:pStyle w:val="BodyText"/>
        <w:rPr>
          <w:b/>
          <w:sz w:val="58"/>
        </w:rPr>
      </w:pPr>
    </w:p>
    <w:p>
      <w:pPr>
        <w:pStyle w:val="BodyText"/>
        <w:rPr>
          <w:b/>
          <w:sz w:val="63"/>
        </w:rPr>
      </w:pPr>
    </w:p>
    <w:p>
      <w:pPr>
        <w:spacing w:before="0"/>
        <w:ind w:left="146" w:right="0" w:firstLine="0"/>
        <w:jc w:val="left"/>
        <w:rPr>
          <w:sz w:val="28"/>
        </w:rPr>
      </w:pPr>
      <w:r>
        <w:rPr>
          <w:color w:val="1C1C1C"/>
          <w:sz w:val="28"/>
        </w:rPr>
        <w:t>20 October 2020</w:t>
      </w:r>
    </w:p>
    <w:p>
      <w:pPr>
        <w:spacing w:after="0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624" w:footer="773" w:top="1560" w:bottom="960" w:left="1160" w:right="1160"/>
          <w:pgNumType w:start="1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84.75pt;height:.5pt;mso-position-horizontal-relative:char;mso-position-vertical-relative:line" coordorigin="0,0" coordsize="9695,10">
            <v:rect style="position:absolute;left:0;top:0;width:969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</w:pPr>
      <w:r>
        <w:rPr>
          <w:color w:val="004D9D"/>
        </w:rPr>
        <w:t>Introduction</w:t>
      </w:r>
    </w:p>
    <w:p>
      <w:pPr>
        <w:spacing w:before="232"/>
        <w:ind w:left="146" w:right="0" w:firstLine="0"/>
        <w:jc w:val="left"/>
        <w:rPr>
          <w:i/>
          <w:sz w:val="20"/>
        </w:rPr>
      </w:pPr>
      <w:r>
        <w:rPr>
          <w:color w:val="1C1C1C"/>
          <w:sz w:val="20"/>
        </w:rPr>
        <w:t>We welcome the opportunity to make this submission to the DITRDC’s </w:t>
      </w:r>
      <w:r>
        <w:rPr>
          <w:i/>
          <w:color w:val="1C1C1C"/>
          <w:sz w:val="20"/>
        </w:rPr>
        <w:t>Consultation on the designation of the</w:t>
      </w:r>
    </w:p>
    <w:p>
      <w:pPr>
        <w:pStyle w:val="BodyText"/>
        <w:spacing w:line="276" w:lineRule="auto" w:before="39"/>
        <w:ind w:left="146" w:right="190"/>
      </w:pPr>
      <w:r>
        <w:rPr>
          <w:i/>
          <w:color w:val="1C1C1C"/>
        </w:rPr>
        <w:t>3.4 </w:t>
      </w:r>
      <w:r>
        <w:rPr>
          <w:i/>
          <w:color w:val="1C1C1C"/>
          <w:spacing w:val="-2"/>
        </w:rPr>
        <w:t>GHz </w:t>
      </w:r>
      <w:r>
        <w:rPr>
          <w:i/>
          <w:color w:val="1C1C1C"/>
          <w:spacing w:val="-4"/>
        </w:rPr>
        <w:t>band</w:t>
      </w:r>
      <w:r>
        <w:rPr>
          <w:color w:val="1C1C1C"/>
          <w:spacing w:val="-4"/>
        </w:rPr>
        <w:t>. </w:t>
      </w:r>
      <w:r>
        <w:rPr>
          <w:color w:val="1C1C1C"/>
        </w:rPr>
        <w:t>We </w:t>
      </w:r>
      <w:r>
        <w:rPr>
          <w:color w:val="1C1C1C"/>
          <w:spacing w:val="-3"/>
        </w:rPr>
        <w:t>agree </w:t>
      </w:r>
      <w:r>
        <w:rPr>
          <w:color w:val="1C1C1C"/>
        </w:rPr>
        <w:t>with and </w:t>
      </w:r>
      <w:r>
        <w:rPr>
          <w:color w:val="1C1C1C"/>
          <w:spacing w:val="-3"/>
        </w:rPr>
        <w:t>support </w:t>
      </w:r>
      <w:r>
        <w:rPr>
          <w:color w:val="1C1C1C"/>
        </w:rPr>
        <w:t>the </w:t>
      </w:r>
      <w:r>
        <w:rPr>
          <w:color w:val="1C1C1C"/>
          <w:spacing w:val="-3"/>
        </w:rPr>
        <w:t>DITRDC’s assessment </w:t>
      </w:r>
      <w:r>
        <w:rPr>
          <w:color w:val="1C1C1C"/>
          <w:spacing w:val="-4"/>
        </w:rPr>
        <w:t>of </w:t>
      </w:r>
      <w:r>
        <w:rPr>
          <w:color w:val="1C1C1C"/>
        </w:rPr>
        <w:t>the </w:t>
      </w:r>
      <w:r>
        <w:rPr>
          <w:color w:val="1C1C1C"/>
          <w:spacing w:val="-3"/>
        </w:rPr>
        <w:t>proposed approach </w:t>
      </w:r>
      <w:r>
        <w:rPr>
          <w:color w:val="1C1C1C"/>
          <w:spacing w:val="-4"/>
        </w:rPr>
        <w:t>against </w:t>
      </w:r>
      <w:r>
        <w:rPr>
          <w:color w:val="1C1C1C"/>
          <w:spacing w:val="-3"/>
        </w:rPr>
        <w:t>relevant policy </w:t>
      </w:r>
      <w:r>
        <w:rPr>
          <w:color w:val="1C1C1C"/>
          <w:spacing w:val="-4"/>
        </w:rPr>
        <w:t>objectives, </w:t>
      </w:r>
      <w:r>
        <w:rPr>
          <w:color w:val="1C1C1C"/>
          <w:spacing w:val="-3"/>
        </w:rPr>
        <w:t>especially </w:t>
      </w:r>
      <w:r>
        <w:rPr>
          <w:color w:val="1C1C1C"/>
          <w:spacing w:val="-4"/>
        </w:rPr>
        <w:t>that </w:t>
      </w:r>
      <w:r>
        <w:rPr>
          <w:color w:val="1C1C1C"/>
          <w:spacing w:val="-2"/>
        </w:rPr>
        <w:t>the </w:t>
      </w:r>
      <w:r>
        <w:rPr>
          <w:color w:val="1C1C1C"/>
          <w:spacing w:val="-3"/>
        </w:rPr>
        <w:t>designation </w:t>
      </w:r>
      <w:r>
        <w:rPr>
          <w:color w:val="1C1C1C"/>
          <w:spacing w:val="-4"/>
        </w:rPr>
        <w:t>of </w:t>
      </w:r>
      <w:r>
        <w:rPr>
          <w:color w:val="1C1C1C"/>
        </w:rPr>
        <w:t>this </w:t>
      </w:r>
      <w:r>
        <w:rPr>
          <w:color w:val="1C1C1C"/>
          <w:spacing w:val="-3"/>
        </w:rPr>
        <w:t>spectrum </w:t>
      </w:r>
      <w:r>
        <w:rPr>
          <w:color w:val="1C1C1C"/>
          <w:spacing w:val="-4"/>
        </w:rPr>
        <w:t>is </w:t>
      </w:r>
      <w:r>
        <w:rPr>
          <w:color w:val="1C1C1C"/>
          <w:spacing w:val="-3"/>
        </w:rPr>
        <w:t>aligned </w:t>
      </w:r>
      <w:r>
        <w:rPr>
          <w:color w:val="1C1C1C"/>
        </w:rPr>
        <w:t>to the </w:t>
      </w:r>
      <w:r>
        <w:rPr>
          <w:color w:val="1C1C1C"/>
          <w:spacing w:val="-3"/>
        </w:rPr>
        <w:t>Government’s policy </w:t>
      </w:r>
      <w:r>
        <w:rPr>
          <w:color w:val="1C1C1C"/>
        </w:rPr>
        <w:t>for </w:t>
      </w:r>
      <w:r>
        <w:rPr>
          <w:color w:val="1C1C1C"/>
          <w:spacing w:val="-2"/>
        </w:rPr>
        <w:t>the </w:t>
      </w:r>
      <w:r>
        <w:rPr>
          <w:color w:val="1C1C1C"/>
          <w:spacing w:val="-3"/>
        </w:rPr>
        <w:t>rollout </w:t>
      </w:r>
      <w:r>
        <w:rPr>
          <w:color w:val="1C1C1C"/>
          <w:spacing w:val="-4"/>
        </w:rPr>
        <w:t>of 5G </w:t>
      </w:r>
      <w:r>
        <w:rPr>
          <w:color w:val="1C1C1C"/>
          <w:spacing w:val="-3"/>
        </w:rPr>
        <w:t>technologies and making </w:t>
      </w:r>
      <w:r>
        <w:rPr>
          <w:color w:val="1C1C1C"/>
        </w:rPr>
        <w:t>more </w:t>
      </w:r>
      <w:r>
        <w:rPr>
          <w:color w:val="1C1C1C"/>
          <w:spacing w:val="-4"/>
        </w:rPr>
        <w:t>spectrum </w:t>
      </w:r>
      <w:r>
        <w:rPr>
          <w:color w:val="1C1C1C"/>
          <w:spacing w:val="-3"/>
        </w:rPr>
        <w:t>available </w:t>
      </w:r>
      <w:r>
        <w:rPr>
          <w:color w:val="1C1C1C"/>
          <w:spacing w:val="-2"/>
        </w:rPr>
        <w:t>for </w:t>
      </w:r>
      <w:r>
        <w:rPr>
          <w:color w:val="1C1C1C"/>
        </w:rPr>
        <w:t>the </w:t>
      </w:r>
      <w:r>
        <w:rPr>
          <w:color w:val="1C1C1C"/>
          <w:spacing w:val="-3"/>
        </w:rPr>
        <w:t>provision </w:t>
      </w:r>
      <w:r>
        <w:rPr>
          <w:color w:val="1C1C1C"/>
          <w:spacing w:val="-4"/>
        </w:rPr>
        <w:t>of 5G </w:t>
      </w:r>
      <w:r>
        <w:rPr>
          <w:color w:val="1C1C1C"/>
          <w:spacing w:val="-3"/>
        </w:rPr>
        <w:t>services </w:t>
      </w:r>
      <w:r>
        <w:rPr>
          <w:color w:val="1C1C1C"/>
        </w:rPr>
        <w:t>in both </w:t>
      </w:r>
      <w:r>
        <w:rPr>
          <w:color w:val="1C1C1C"/>
          <w:spacing w:val="-3"/>
        </w:rPr>
        <w:t>metropolitan </w:t>
      </w:r>
      <w:r>
        <w:rPr>
          <w:color w:val="1C1C1C"/>
        </w:rPr>
        <w:t>and </w:t>
      </w:r>
      <w:r>
        <w:rPr>
          <w:color w:val="1C1C1C"/>
          <w:spacing w:val="-3"/>
        </w:rPr>
        <w:t>regional </w:t>
      </w:r>
      <w:r>
        <w:rPr>
          <w:color w:val="1C1C1C"/>
          <w:spacing w:val="-4"/>
        </w:rPr>
        <w:t>areas</w:t>
      </w:r>
      <w:r>
        <w:rPr>
          <w:color w:val="1C1C1C"/>
          <w:spacing w:val="-4"/>
          <w:vertAlign w:val="superscript"/>
        </w:rPr>
        <w:t>1</w:t>
      </w:r>
      <w:r>
        <w:rPr>
          <w:color w:val="1C1C1C"/>
          <w:spacing w:val="-4"/>
          <w:vertAlign w:val="baseline"/>
        </w:rPr>
        <w:t>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46" w:right="190"/>
      </w:pPr>
      <w:r>
        <w:rPr>
          <w:color w:val="1C1C1C"/>
        </w:rPr>
        <w:t>While we </w:t>
      </w:r>
      <w:r>
        <w:rPr>
          <w:color w:val="1C1C1C"/>
          <w:spacing w:val="-3"/>
        </w:rPr>
        <w:t>are not </w:t>
      </w:r>
      <w:r>
        <w:rPr>
          <w:color w:val="1C1C1C"/>
          <w:spacing w:val="-4"/>
        </w:rPr>
        <w:t>directly </w:t>
      </w:r>
      <w:r>
        <w:rPr>
          <w:color w:val="1C1C1C"/>
          <w:spacing w:val="-3"/>
        </w:rPr>
        <w:t>affected </w:t>
      </w:r>
      <w:r>
        <w:rPr>
          <w:color w:val="1C1C1C"/>
        </w:rPr>
        <w:t>by the </w:t>
      </w:r>
      <w:r>
        <w:rPr>
          <w:color w:val="1C1C1C"/>
          <w:spacing w:val="-3"/>
        </w:rPr>
        <w:t>draft Notice </w:t>
      </w:r>
      <w:r>
        <w:rPr>
          <w:color w:val="1C1C1C"/>
          <w:spacing w:val="-4"/>
        </w:rPr>
        <w:t>as </w:t>
      </w:r>
      <w:r>
        <w:rPr>
          <w:color w:val="1C1C1C"/>
        </w:rPr>
        <w:t>we do </w:t>
      </w:r>
      <w:r>
        <w:rPr>
          <w:color w:val="1C1C1C"/>
          <w:spacing w:val="-3"/>
        </w:rPr>
        <w:t>not hold </w:t>
      </w:r>
      <w:r>
        <w:rPr>
          <w:color w:val="1C1C1C"/>
          <w:spacing w:val="-4"/>
        </w:rPr>
        <w:t>spectrum </w:t>
      </w:r>
      <w:r>
        <w:rPr>
          <w:color w:val="1C1C1C"/>
        </w:rPr>
        <w:t>in the </w:t>
      </w:r>
      <w:r>
        <w:rPr>
          <w:color w:val="1C1C1C"/>
          <w:spacing w:val="-4"/>
        </w:rPr>
        <w:t>3400-3575 </w:t>
      </w:r>
      <w:r>
        <w:rPr>
          <w:color w:val="1C1C1C"/>
          <w:spacing w:val="-3"/>
        </w:rPr>
        <w:t>MHz range </w:t>
      </w:r>
      <w:r>
        <w:rPr>
          <w:color w:val="1C1C1C"/>
        </w:rPr>
        <w:t>in the </w:t>
      </w:r>
      <w:r>
        <w:rPr>
          <w:color w:val="1C1C1C"/>
          <w:spacing w:val="-3"/>
        </w:rPr>
        <w:t>specified </w:t>
      </w:r>
      <w:r>
        <w:rPr>
          <w:color w:val="1C1C1C"/>
          <w:spacing w:val="-4"/>
        </w:rPr>
        <w:t>geographies, </w:t>
      </w:r>
      <w:r>
        <w:rPr>
          <w:color w:val="1C1C1C"/>
        </w:rPr>
        <w:t>we </w:t>
      </w:r>
      <w:r>
        <w:rPr>
          <w:color w:val="1C1C1C"/>
          <w:spacing w:val="-3"/>
        </w:rPr>
        <w:t>would like </w:t>
      </w:r>
      <w:r>
        <w:rPr>
          <w:color w:val="1C1C1C"/>
        </w:rPr>
        <w:t>to take the </w:t>
      </w:r>
      <w:r>
        <w:rPr>
          <w:color w:val="1C1C1C"/>
          <w:spacing w:val="-3"/>
        </w:rPr>
        <w:t>opportunity </w:t>
      </w:r>
      <w:r>
        <w:rPr>
          <w:color w:val="1C1C1C"/>
        </w:rPr>
        <w:t>to </w:t>
      </w:r>
      <w:r>
        <w:rPr>
          <w:color w:val="1C1C1C"/>
          <w:spacing w:val="-3"/>
        </w:rPr>
        <w:t>draw </w:t>
      </w:r>
      <w:r>
        <w:rPr>
          <w:color w:val="1C1C1C"/>
        </w:rPr>
        <w:t>to the </w:t>
      </w:r>
      <w:r>
        <w:rPr>
          <w:color w:val="1C1C1C"/>
          <w:spacing w:val="-3"/>
        </w:rPr>
        <w:t>DITRDC’s attention </w:t>
      </w:r>
      <w:r>
        <w:rPr>
          <w:color w:val="1C1C1C"/>
        </w:rPr>
        <w:t>to three </w:t>
      </w:r>
      <w:r>
        <w:rPr>
          <w:color w:val="1C1C1C"/>
          <w:spacing w:val="-3"/>
        </w:rPr>
        <w:t>matters, </w:t>
      </w:r>
      <w:r>
        <w:rPr>
          <w:color w:val="1C1C1C"/>
          <w:spacing w:val="-4"/>
        </w:rPr>
        <w:t>as </w:t>
      </w:r>
      <w:r>
        <w:rPr>
          <w:color w:val="1C1C1C"/>
          <w:spacing w:val="-3"/>
        </w:rPr>
        <w:t>explained </w:t>
      </w:r>
      <w:r>
        <w:rPr>
          <w:color w:val="1C1C1C"/>
          <w:spacing w:val="-4"/>
        </w:rPr>
        <w:t>below.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</w:pPr>
      <w:r>
        <w:rPr>
          <w:color w:val="004D9D"/>
        </w:rPr>
        <w:t>Time limit on vacant Earth Station Protection Zones</w:t>
      </w:r>
    </w:p>
    <w:p>
      <w:pPr>
        <w:pStyle w:val="BodyText"/>
        <w:spacing w:line="276" w:lineRule="auto" w:before="232"/>
        <w:ind w:left="146" w:right="205"/>
      </w:pPr>
      <w:r>
        <w:rPr>
          <w:color w:val="1C1C1C"/>
        </w:rPr>
        <w:t>We </w:t>
      </w:r>
      <w:r>
        <w:rPr>
          <w:color w:val="1C1C1C"/>
          <w:spacing w:val="-3"/>
        </w:rPr>
        <w:t>support </w:t>
      </w:r>
      <w:r>
        <w:rPr>
          <w:color w:val="1C1C1C"/>
        </w:rPr>
        <w:t>the </w:t>
      </w:r>
      <w:r>
        <w:rPr>
          <w:color w:val="1C1C1C"/>
          <w:spacing w:val="-3"/>
        </w:rPr>
        <w:t>reservation </w:t>
      </w:r>
      <w:r>
        <w:rPr>
          <w:color w:val="1C1C1C"/>
          <w:spacing w:val="-4"/>
        </w:rPr>
        <w:t>of </w:t>
      </w:r>
      <w:r>
        <w:rPr>
          <w:color w:val="1C1C1C"/>
          <w:spacing w:val="-3"/>
        </w:rPr>
        <w:t>geographical </w:t>
      </w:r>
      <w:r>
        <w:rPr>
          <w:color w:val="1C1C1C"/>
          <w:spacing w:val="-4"/>
        </w:rPr>
        <w:t>areas </w:t>
      </w:r>
      <w:r>
        <w:rPr>
          <w:color w:val="1C1C1C"/>
          <w:spacing w:val="-3"/>
        </w:rPr>
        <w:t>(“protection zones”) </w:t>
      </w:r>
      <w:r>
        <w:rPr>
          <w:color w:val="1C1C1C"/>
        </w:rPr>
        <w:t>for </w:t>
      </w:r>
      <w:r>
        <w:rPr>
          <w:color w:val="1C1C1C"/>
          <w:spacing w:val="-4"/>
        </w:rPr>
        <w:t>possible </w:t>
      </w:r>
      <w:r>
        <w:rPr>
          <w:color w:val="1C1C1C"/>
          <w:spacing w:val="-3"/>
        </w:rPr>
        <w:t>future earth stations </w:t>
      </w:r>
      <w:r>
        <w:rPr>
          <w:color w:val="1C1C1C"/>
          <w:spacing w:val="-4"/>
        </w:rPr>
        <w:t>at </w:t>
      </w:r>
      <w:r>
        <w:rPr>
          <w:color w:val="1C1C1C"/>
          <w:spacing w:val="-3"/>
        </w:rPr>
        <w:t>each </w:t>
      </w:r>
      <w:r>
        <w:rPr>
          <w:color w:val="1C1C1C"/>
        </w:rPr>
        <w:t>of the four </w:t>
      </w:r>
      <w:r>
        <w:rPr>
          <w:color w:val="1C1C1C"/>
          <w:spacing w:val="-3"/>
        </w:rPr>
        <w:t>locations </w:t>
      </w:r>
      <w:r>
        <w:rPr>
          <w:color w:val="1C1C1C"/>
        </w:rPr>
        <w:t>in </w:t>
      </w:r>
      <w:r>
        <w:rPr>
          <w:color w:val="1C1C1C"/>
          <w:spacing w:val="-3"/>
        </w:rPr>
        <w:t>regional NSW and Queensland. At </w:t>
      </w:r>
      <w:r>
        <w:rPr>
          <w:color w:val="1C1C1C"/>
        </w:rPr>
        <w:t>the </w:t>
      </w:r>
      <w:r>
        <w:rPr>
          <w:color w:val="1C1C1C"/>
          <w:spacing w:val="-3"/>
        </w:rPr>
        <w:t>same time, </w:t>
      </w:r>
      <w:r>
        <w:rPr>
          <w:color w:val="1C1C1C"/>
          <w:spacing w:val="-4"/>
        </w:rPr>
        <w:t>we </w:t>
      </w:r>
      <w:r>
        <w:rPr>
          <w:color w:val="1C1C1C"/>
          <w:spacing w:val="-3"/>
        </w:rPr>
        <w:t>maintain </w:t>
      </w:r>
      <w:r>
        <w:rPr>
          <w:color w:val="1C1C1C"/>
        </w:rPr>
        <w:t>our </w:t>
      </w:r>
      <w:r>
        <w:rPr>
          <w:color w:val="1C1C1C"/>
          <w:spacing w:val="-3"/>
        </w:rPr>
        <w:t>position described </w:t>
      </w:r>
      <w:r>
        <w:rPr>
          <w:color w:val="1C1C1C"/>
        </w:rPr>
        <w:t>in our </w:t>
      </w:r>
      <w:r>
        <w:rPr>
          <w:color w:val="1C1C1C"/>
          <w:spacing w:val="-3"/>
        </w:rPr>
        <w:t>Nov 2017 </w:t>
      </w:r>
      <w:r>
        <w:rPr>
          <w:color w:val="1C1C1C"/>
          <w:spacing w:val="-4"/>
        </w:rPr>
        <w:t>submission</w:t>
      </w:r>
      <w:r>
        <w:rPr>
          <w:color w:val="1C1C1C"/>
          <w:spacing w:val="-4"/>
          <w:vertAlign w:val="superscript"/>
        </w:rPr>
        <w:t>2</w:t>
      </w:r>
      <w:r>
        <w:rPr>
          <w:color w:val="1C1C1C"/>
          <w:spacing w:val="-4"/>
          <w:vertAlign w:val="baseline"/>
        </w:rPr>
        <w:t> </w:t>
      </w:r>
      <w:r>
        <w:rPr>
          <w:color w:val="1C1C1C"/>
          <w:vertAlign w:val="baseline"/>
        </w:rPr>
        <w:t>to the </w:t>
      </w:r>
      <w:r>
        <w:rPr>
          <w:color w:val="1C1C1C"/>
          <w:spacing w:val="-3"/>
          <w:vertAlign w:val="baseline"/>
        </w:rPr>
        <w:t>Draft </w:t>
      </w:r>
      <w:r>
        <w:rPr>
          <w:color w:val="1C1C1C"/>
          <w:vertAlign w:val="baseline"/>
        </w:rPr>
        <w:t>3.6 </w:t>
      </w:r>
      <w:r>
        <w:rPr>
          <w:color w:val="1C1C1C"/>
          <w:spacing w:val="-2"/>
          <w:vertAlign w:val="baseline"/>
        </w:rPr>
        <w:t>GHz </w:t>
      </w:r>
      <w:r>
        <w:rPr>
          <w:color w:val="1C1C1C"/>
          <w:spacing w:val="-3"/>
          <w:vertAlign w:val="baseline"/>
        </w:rPr>
        <w:t>band </w:t>
      </w:r>
      <w:r>
        <w:rPr>
          <w:color w:val="1C1C1C"/>
          <w:spacing w:val="-4"/>
          <w:vertAlign w:val="baseline"/>
        </w:rPr>
        <w:t>Reallocation </w:t>
      </w:r>
      <w:r>
        <w:rPr>
          <w:color w:val="1C1C1C"/>
          <w:spacing w:val="-3"/>
          <w:vertAlign w:val="baseline"/>
        </w:rPr>
        <w:t>Recommendation consultation </w:t>
      </w:r>
      <w:r>
        <w:rPr>
          <w:color w:val="1C1C1C"/>
          <w:spacing w:val="-4"/>
          <w:vertAlign w:val="baseline"/>
        </w:rPr>
        <w:t>that </w:t>
      </w:r>
      <w:r>
        <w:rPr>
          <w:color w:val="1C1C1C"/>
          <w:spacing w:val="-3"/>
          <w:vertAlign w:val="baseline"/>
        </w:rPr>
        <w:t>where </w:t>
      </w:r>
      <w:r>
        <w:rPr>
          <w:color w:val="1C1C1C"/>
          <w:vertAlign w:val="baseline"/>
        </w:rPr>
        <w:t>one or more </w:t>
      </w:r>
      <w:r>
        <w:rPr>
          <w:color w:val="1C1C1C"/>
          <w:spacing w:val="-3"/>
          <w:vertAlign w:val="baseline"/>
        </w:rPr>
        <w:t>proposed Earth Station Protection </w:t>
      </w:r>
      <w:r>
        <w:rPr>
          <w:color w:val="1C1C1C"/>
          <w:vertAlign w:val="baseline"/>
        </w:rPr>
        <w:t>Zones (ESPZs) </w:t>
      </w:r>
      <w:r>
        <w:rPr>
          <w:color w:val="1C1C1C"/>
          <w:spacing w:val="-3"/>
          <w:vertAlign w:val="baseline"/>
        </w:rPr>
        <w:t>are </w:t>
      </w:r>
      <w:r>
        <w:rPr>
          <w:color w:val="1C1C1C"/>
          <w:vertAlign w:val="baseline"/>
        </w:rPr>
        <w:t>found to be </w:t>
      </w:r>
      <w:r>
        <w:rPr>
          <w:color w:val="1C1C1C"/>
          <w:spacing w:val="-4"/>
          <w:vertAlign w:val="baseline"/>
        </w:rPr>
        <w:t>unsuitable, </w:t>
      </w:r>
      <w:r>
        <w:rPr>
          <w:color w:val="1C1C1C"/>
          <w:spacing w:val="-3"/>
          <w:vertAlign w:val="baseline"/>
        </w:rPr>
        <w:t>not </w:t>
      </w:r>
      <w:r>
        <w:rPr>
          <w:color w:val="1C1C1C"/>
          <w:spacing w:val="-4"/>
          <w:vertAlign w:val="baseline"/>
        </w:rPr>
        <w:t>necessary or </w:t>
      </w:r>
      <w:r>
        <w:rPr>
          <w:color w:val="1C1C1C"/>
          <w:spacing w:val="-3"/>
          <w:vertAlign w:val="baseline"/>
        </w:rPr>
        <w:t>otherwise </w:t>
      </w:r>
      <w:r>
        <w:rPr>
          <w:color w:val="1C1C1C"/>
          <w:vertAlign w:val="baseline"/>
        </w:rPr>
        <w:t>remain </w:t>
      </w:r>
      <w:r>
        <w:rPr>
          <w:color w:val="1C1C1C"/>
          <w:spacing w:val="-3"/>
          <w:vertAlign w:val="baseline"/>
        </w:rPr>
        <w:t>unused, </w:t>
      </w:r>
      <w:r>
        <w:rPr>
          <w:color w:val="1C1C1C"/>
          <w:vertAlign w:val="baseline"/>
        </w:rPr>
        <w:t>those </w:t>
      </w:r>
      <w:r>
        <w:rPr>
          <w:color w:val="1C1C1C"/>
          <w:spacing w:val="-4"/>
          <w:vertAlign w:val="baseline"/>
        </w:rPr>
        <w:t>vacant </w:t>
      </w:r>
      <w:r>
        <w:rPr>
          <w:color w:val="1C1C1C"/>
          <w:spacing w:val="-3"/>
          <w:vertAlign w:val="baseline"/>
        </w:rPr>
        <w:t>protection zones should </w:t>
      </w:r>
      <w:r>
        <w:rPr>
          <w:color w:val="1C1C1C"/>
          <w:vertAlign w:val="baseline"/>
        </w:rPr>
        <w:t>expire no </w:t>
      </w:r>
      <w:r>
        <w:rPr>
          <w:color w:val="1C1C1C"/>
          <w:spacing w:val="-3"/>
          <w:vertAlign w:val="baseline"/>
        </w:rPr>
        <w:t>later </w:t>
      </w:r>
      <w:r>
        <w:rPr>
          <w:color w:val="1C1C1C"/>
          <w:vertAlign w:val="baseline"/>
        </w:rPr>
        <w:t>than the </w:t>
      </w:r>
      <w:r>
        <w:rPr>
          <w:color w:val="1C1C1C"/>
          <w:spacing w:val="-4"/>
          <w:vertAlign w:val="baseline"/>
        </w:rPr>
        <w:t>expiry </w:t>
      </w:r>
      <w:r>
        <w:rPr>
          <w:color w:val="1C1C1C"/>
          <w:vertAlign w:val="baseline"/>
        </w:rPr>
        <w:t>of the </w:t>
      </w:r>
      <w:r>
        <w:rPr>
          <w:color w:val="1C1C1C"/>
          <w:spacing w:val="-3"/>
          <w:vertAlign w:val="baseline"/>
        </w:rPr>
        <w:t>reallocation period </w:t>
      </w:r>
      <w:r>
        <w:rPr>
          <w:color w:val="1C1C1C"/>
          <w:vertAlign w:val="baseline"/>
        </w:rPr>
        <w:t>for </w:t>
      </w:r>
      <w:r>
        <w:rPr>
          <w:color w:val="1C1C1C"/>
          <w:spacing w:val="-3"/>
          <w:vertAlign w:val="baseline"/>
        </w:rPr>
        <w:t>regional areas set </w:t>
      </w:r>
      <w:r>
        <w:rPr>
          <w:color w:val="1C1C1C"/>
          <w:vertAlign w:val="baseline"/>
        </w:rPr>
        <w:t>for </w:t>
      </w:r>
      <w:r>
        <w:rPr>
          <w:color w:val="1C1C1C"/>
          <w:spacing w:val="-2"/>
          <w:vertAlign w:val="baseline"/>
        </w:rPr>
        <w:t>the </w:t>
      </w:r>
      <w:r>
        <w:rPr>
          <w:color w:val="1C1C1C"/>
          <w:vertAlign w:val="baseline"/>
        </w:rPr>
        <w:t>3.6 GHz </w:t>
      </w:r>
      <w:r>
        <w:rPr>
          <w:color w:val="1C1C1C"/>
          <w:spacing w:val="-4"/>
          <w:vertAlign w:val="baseline"/>
        </w:rPr>
        <w:t>band, </w:t>
      </w:r>
      <w:r>
        <w:rPr>
          <w:color w:val="1C1C1C"/>
          <w:spacing w:val="-3"/>
          <w:vertAlign w:val="baseline"/>
        </w:rPr>
        <w:t>i.e., </w:t>
      </w:r>
      <w:r>
        <w:rPr>
          <w:color w:val="1C1C1C"/>
          <w:vertAlign w:val="baseline"/>
        </w:rPr>
        <w:t>30 </w:t>
      </w:r>
      <w:r>
        <w:rPr>
          <w:color w:val="1C1C1C"/>
          <w:spacing w:val="-3"/>
          <w:vertAlign w:val="baseline"/>
        </w:rPr>
        <w:t>March </w:t>
      </w:r>
      <w:r>
        <w:rPr>
          <w:color w:val="1C1C1C"/>
          <w:spacing w:val="-4"/>
          <w:vertAlign w:val="baseline"/>
        </w:rPr>
        <w:t>2025. </w:t>
      </w:r>
      <w:r>
        <w:rPr>
          <w:color w:val="1C1C1C"/>
          <w:vertAlign w:val="baseline"/>
        </w:rPr>
        <w:t>This </w:t>
      </w:r>
      <w:r>
        <w:rPr>
          <w:color w:val="1C1C1C"/>
          <w:spacing w:val="-3"/>
          <w:vertAlign w:val="baseline"/>
        </w:rPr>
        <w:t>would avoid unnecessarily locking </w:t>
      </w:r>
      <w:r>
        <w:rPr>
          <w:color w:val="1C1C1C"/>
          <w:spacing w:val="-4"/>
          <w:vertAlign w:val="baseline"/>
        </w:rPr>
        <w:t>5G </w:t>
      </w:r>
      <w:r>
        <w:rPr>
          <w:color w:val="1C1C1C"/>
          <w:spacing w:val="-3"/>
          <w:vertAlign w:val="baseline"/>
        </w:rPr>
        <w:t>services out </w:t>
      </w:r>
      <w:r>
        <w:rPr>
          <w:color w:val="1C1C1C"/>
          <w:vertAlign w:val="baseline"/>
        </w:rPr>
        <w:t>of these </w:t>
      </w:r>
      <w:r>
        <w:rPr>
          <w:color w:val="1C1C1C"/>
          <w:spacing w:val="-4"/>
          <w:vertAlign w:val="baseline"/>
        </w:rPr>
        <w:t>areas if </w:t>
      </w:r>
      <w:r>
        <w:rPr>
          <w:color w:val="1C1C1C"/>
          <w:vertAlign w:val="baseline"/>
        </w:rPr>
        <w:t>they </w:t>
      </w:r>
      <w:r>
        <w:rPr>
          <w:color w:val="1C1C1C"/>
          <w:spacing w:val="-3"/>
          <w:vertAlign w:val="baseline"/>
        </w:rPr>
        <w:t>are not used </w:t>
      </w:r>
      <w:r>
        <w:rPr>
          <w:color w:val="1C1C1C"/>
          <w:vertAlign w:val="baseline"/>
        </w:rPr>
        <w:t>for </w:t>
      </w:r>
      <w:r>
        <w:rPr>
          <w:color w:val="1C1C1C"/>
          <w:spacing w:val="-3"/>
          <w:vertAlign w:val="baseline"/>
        </w:rPr>
        <w:t>satellite earth stations </w:t>
      </w:r>
      <w:r>
        <w:rPr>
          <w:color w:val="1C1C1C"/>
          <w:vertAlign w:val="baseline"/>
        </w:rPr>
        <w:t>in this band by that </w:t>
      </w:r>
      <w:r>
        <w:rPr>
          <w:color w:val="1C1C1C"/>
          <w:spacing w:val="-3"/>
          <w:vertAlign w:val="baseline"/>
        </w:rPr>
        <w:t>time. Note: </w:t>
      </w:r>
      <w:r>
        <w:rPr>
          <w:color w:val="1C1C1C"/>
          <w:vertAlign w:val="baseline"/>
        </w:rPr>
        <w:t>this </w:t>
      </w:r>
      <w:r>
        <w:rPr>
          <w:color w:val="1C1C1C"/>
          <w:spacing w:val="-3"/>
          <w:vertAlign w:val="baseline"/>
        </w:rPr>
        <w:t>approach would not </w:t>
      </w:r>
      <w:r>
        <w:rPr>
          <w:color w:val="1C1C1C"/>
          <w:spacing w:val="-4"/>
          <w:vertAlign w:val="baseline"/>
        </w:rPr>
        <w:t>preclude </w:t>
      </w:r>
      <w:r>
        <w:rPr>
          <w:color w:val="1C1C1C"/>
          <w:spacing w:val="-3"/>
          <w:vertAlign w:val="baseline"/>
        </w:rPr>
        <w:t>any </w:t>
      </w:r>
      <w:r>
        <w:rPr>
          <w:color w:val="1C1C1C"/>
          <w:spacing w:val="-4"/>
          <w:vertAlign w:val="baseline"/>
        </w:rPr>
        <w:t>or </w:t>
      </w:r>
      <w:r>
        <w:rPr>
          <w:color w:val="1C1C1C"/>
          <w:vertAlign w:val="baseline"/>
        </w:rPr>
        <w:t>all those </w:t>
      </w:r>
      <w:r>
        <w:rPr>
          <w:color w:val="1C1C1C"/>
          <w:spacing w:val="-3"/>
          <w:vertAlign w:val="baseline"/>
        </w:rPr>
        <w:t>locations remaining </w:t>
      </w:r>
      <w:r>
        <w:rPr>
          <w:color w:val="1C1C1C"/>
          <w:spacing w:val="-4"/>
          <w:vertAlign w:val="baseline"/>
        </w:rPr>
        <w:t>as </w:t>
      </w:r>
      <w:r>
        <w:rPr>
          <w:color w:val="1C1C1C"/>
          <w:spacing w:val="-3"/>
          <w:vertAlign w:val="baseline"/>
        </w:rPr>
        <w:t>protection zones </w:t>
      </w:r>
      <w:r>
        <w:rPr>
          <w:color w:val="1C1C1C"/>
          <w:vertAlign w:val="baseline"/>
        </w:rPr>
        <w:t>for </w:t>
      </w:r>
      <w:r>
        <w:rPr>
          <w:color w:val="1C1C1C"/>
          <w:spacing w:val="-3"/>
          <w:vertAlign w:val="baseline"/>
        </w:rPr>
        <w:t>earth stations operating </w:t>
      </w:r>
      <w:r>
        <w:rPr>
          <w:color w:val="1C1C1C"/>
          <w:vertAlign w:val="baseline"/>
        </w:rPr>
        <w:t>in </w:t>
      </w:r>
      <w:r>
        <w:rPr>
          <w:color w:val="1C1C1C"/>
          <w:spacing w:val="-3"/>
          <w:vertAlign w:val="baseline"/>
        </w:rPr>
        <w:t>other</w:t>
      </w:r>
      <w:r>
        <w:rPr>
          <w:color w:val="1C1C1C"/>
          <w:spacing w:val="-14"/>
          <w:vertAlign w:val="baseline"/>
        </w:rPr>
        <w:t> </w:t>
      </w:r>
      <w:r>
        <w:rPr>
          <w:color w:val="1C1C1C"/>
          <w:spacing w:val="-4"/>
          <w:vertAlign w:val="baseline"/>
        </w:rPr>
        <w:t>bands.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>
          <w:color w:val="004D9D"/>
        </w:rPr>
        <w:t>Timing for possible future reallocation</w:t>
      </w:r>
    </w:p>
    <w:p>
      <w:pPr>
        <w:pStyle w:val="BodyText"/>
        <w:spacing w:line="276" w:lineRule="auto" w:before="232"/>
        <w:ind w:left="146"/>
      </w:pPr>
      <w:r>
        <w:rPr/>
        <w:t>We </w:t>
      </w:r>
      <w:r>
        <w:rPr>
          <w:spacing w:val="-4"/>
        </w:rPr>
        <w:t>propose that </w:t>
      </w:r>
      <w:r>
        <w:rPr>
          <w:spacing w:val="-2"/>
        </w:rPr>
        <w:t>the </w:t>
      </w:r>
      <w:r>
        <w:rPr>
          <w:spacing w:val="-3"/>
        </w:rPr>
        <w:t>allocation </w:t>
      </w:r>
      <w:r>
        <w:rPr>
          <w:spacing w:val="-4"/>
        </w:rPr>
        <w:t>of </w:t>
      </w:r>
      <w:r>
        <w:rPr>
          <w:spacing w:val="-3"/>
        </w:rPr>
        <w:t>any </w:t>
      </w:r>
      <w:r>
        <w:rPr/>
        <w:t>3.4 GHz “urban excise” spectrum </w:t>
      </w:r>
      <w:r>
        <w:rPr>
          <w:spacing w:val="-4"/>
        </w:rPr>
        <w:t>be </w:t>
      </w:r>
      <w:r>
        <w:rPr>
          <w:spacing w:val="-3"/>
        </w:rPr>
        <w:t>combined </w:t>
      </w:r>
      <w:r>
        <w:rPr>
          <w:spacing w:val="-4"/>
        </w:rPr>
        <w:t>with </w:t>
      </w:r>
      <w:r>
        <w:rPr>
          <w:spacing w:val="-2"/>
        </w:rPr>
        <w:t>the </w:t>
      </w:r>
      <w:r>
        <w:rPr>
          <w:spacing w:val="-3"/>
        </w:rPr>
        <w:t>allocation </w:t>
      </w:r>
      <w:r>
        <w:rPr>
          <w:spacing w:val="-4"/>
        </w:rPr>
        <w:t>of </w:t>
      </w:r>
      <w:r>
        <w:rPr>
          <w:spacing w:val="-3"/>
        </w:rPr>
        <w:t>spectrum </w:t>
      </w:r>
      <w:r>
        <w:rPr/>
        <w:t>in the </w:t>
      </w:r>
      <w:r>
        <w:rPr>
          <w:spacing w:val="-3"/>
        </w:rPr>
        <w:t>range 3700-4200 MHz </w:t>
      </w:r>
      <w:r>
        <w:rPr/>
        <w:t>(both subject to Ministerial designation decisions) to </w:t>
      </w:r>
      <w:r>
        <w:rPr>
          <w:spacing w:val="-3"/>
        </w:rPr>
        <w:t>create </w:t>
      </w:r>
      <w:r>
        <w:rPr/>
        <w:t>a </w:t>
      </w:r>
      <w:r>
        <w:rPr>
          <w:spacing w:val="-3"/>
        </w:rPr>
        <w:t>single allocation exercise encompassing </w:t>
      </w:r>
      <w:r>
        <w:rPr/>
        <w:t>the </w:t>
      </w:r>
      <w:r>
        <w:rPr>
          <w:spacing w:val="-3"/>
        </w:rPr>
        <w:t>3GPP n78 </w:t>
      </w:r>
      <w:r>
        <w:rPr/>
        <w:t>and </w:t>
      </w:r>
      <w:r>
        <w:rPr>
          <w:spacing w:val="-3"/>
        </w:rPr>
        <w:t>n77 </w:t>
      </w:r>
      <w:r>
        <w:rPr>
          <w:spacing w:val="-4"/>
        </w:rPr>
        <w:t>bands. </w:t>
      </w:r>
      <w:r>
        <w:rPr>
          <w:spacing w:val="-3"/>
        </w:rPr>
        <w:t>Reallocating </w:t>
      </w:r>
      <w:r>
        <w:rPr/>
        <w:t>all </w:t>
      </w:r>
      <w:r>
        <w:rPr>
          <w:spacing w:val="-3"/>
        </w:rPr>
        <w:t>spectrum through </w:t>
      </w:r>
      <w:r>
        <w:rPr/>
        <w:t>a </w:t>
      </w:r>
      <w:r>
        <w:rPr>
          <w:spacing w:val="-3"/>
        </w:rPr>
        <w:t>single </w:t>
      </w:r>
      <w:r>
        <w:rPr/>
        <w:t>exercise </w:t>
      </w:r>
      <w:r>
        <w:rPr>
          <w:spacing w:val="-4"/>
        </w:rPr>
        <w:t>is </w:t>
      </w:r>
      <w:r>
        <w:rPr>
          <w:spacing w:val="-2"/>
        </w:rPr>
        <w:t>the </w:t>
      </w:r>
      <w:r>
        <w:rPr>
          <w:spacing w:val="-3"/>
        </w:rPr>
        <w:t>quickest </w:t>
      </w:r>
      <w:r>
        <w:rPr/>
        <w:t>route to </w:t>
      </w:r>
      <w:r>
        <w:rPr>
          <w:spacing w:val="-3"/>
        </w:rPr>
        <w:t>facilitating </w:t>
      </w:r>
      <w:r>
        <w:rPr/>
        <w:t>a </w:t>
      </w:r>
      <w:r>
        <w:rPr>
          <w:spacing w:val="-3"/>
        </w:rPr>
        <w:t>restack </w:t>
      </w:r>
      <w:r>
        <w:rPr>
          <w:spacing w:val="-4"/>
        </w:rPr>
        <w:t>of </w:t>
      </w:r>
      <w:r>
        <w:rPr>
          <w:spacing w:val="-2"/>
        </w:rPr>
        <w:t>the </w:t>
      </w:r>
      <w:r>
        <w:rPr/>
        <w:t>band so that </w:t>
      </w:r>
      <w:r>
        <w:rPr>
          <w:spacing w:val="-3"/>
        </w:rPr>
        <w:t>MNOs </w:t>
      </w:r>
      <w:r>
        <w:rPr/>
        <w:t>can </w:t>
      </w:r>
      <w:r>
        <w:rPr>
          <w:spacing w:val="-3"/>
        </w:rPr>
        <w:t>have access </w:t>
      </w:r>
      <w:r>
        <w:rPr/>
        <w:t>to </w:t>
      </w:r>
      <w:r>
        <w:rPr>
          <w:spacing w:val="-3"/>
        </w:rPr>
        <w:t>contiguous spectrum and maximise </w:t>
      </w:r>
      <w:r>
        <w:rPr/>
        <w:t>the </w:t>
      </w:r>
      <w:r>
        <w:rPr>
          <w:spacing w:val="-3"/>
        </w:rPr>
        <w:t>value </w:t>
      </w:r>
      <w:r>
        <w:rPr>
          <w:spacing w:val="-4"/>
        </w:rPr>
        <w:t>of </w:t>
      </w:r>
      <w:r>
        <w:rPr/>
        <w:t>the </w:t>
      </w:r>
      <w:r>
        <w:rPr>
          <w:spacing w:val="-3"/>
        </w:rPr>
        <w:t>spectrum </w:t>
      </w:r>
      <w:r>
        <w:rPr/>
        <w:t>for </w:t>
      </w:r>
      <w:r>
        <w:rPr>
          <w:spacing w:val="-4"/>
        </w:rPr>
        <w:t>customers.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"/>
      </w:pPr>
      <w:r>
        <w:rPr>
          <w:color w:val="004D9D"/>
        </w:rPr>
        <w:t>All entities should pay “market rates” for spectrum licences</w:t>
      </w:r>
    </w:p>
    <w:p>
      <w:pPr>
        <w:pStyle w:val="BodyText"/>
        <w:spacing w:before="6"/>
        <w:rPr>
          <w:b/>
        </w:rPr>
      </w:pPr>
    </w:p>
    <w:p>
      <w:pPr>
        <w:spacing w:line="276" w:lineRule="auto" w:before="1"/>
        <w:ind w:left="146" w:right="69" w:firstLine="0"/>
        <w:jc w:val="left"/>
        <w:rPr>
          <w:sz w:val="21"/>
        </w:rPr>
      </w:pPr>
      <w:r>
        <w:rPr>
          <w:sz w:val="20"/>
        </w:rPr>
        <w:t>The </w:t>
      </w:r>
      <w:r>
        <w:rPr>
          <w:spacing w:val="-3"/>
          <w:sz w:val="20"/>
        </w:rPr>
        <w:t>consultation paper observes </w:t>
      </w:r>
      <w:r>
        <w:rPr>
          <w:spacing w:val="-4"/>
          <w:sz w:val="20"/>
        </w:rPr>
        <w:t>that </w:t>
      </w:r>
      <w:r>
        <w:rPr>
          <w:sz w:val="20"/>
        </w:rPr>
        <w:t>“</w:t>
      </w:r>
      <w:r>
        <w:rPr>
          <w:i/>
          <w:sz w:val="21"/>
        </w:rPr>
        <w:t>In </w:t>
      </w:r>
      <w:r>
        <w:rPr>
          <w:i/>
          <w:spacing w:val="-3"/>
          <w:sz w:val="21"/>
        </w:rPr>
        <w:t>parallel with </w:t>
      </w:r>
      <w:r>
        <w:rPr>
          <w:i/>
          <w:spacing w:val="-4"/>
          <w:sz w:val="21"/>
        </w:rPr>
        <w:t>this </w:t>
      </w:r>
      <w:r>
        <w:rPr>
          <w:i/>
          <w:spacing w:val="-3"/>
          <w:sz w:val="21"/>
        </w:rPr>
        <w:t>consultation, the Government </w:t>
      </w:r>
      <w:r>
        <w:rPr>
          <w:i/>
          <w:sz w:val="21"/>
        </w:rPr>
        <w:t>is </w:t>
      </w:r>
      <w:r>
        <w:rPr>
          <w:i/>
          <w:spacing w:val="-3"/>
          <w:sz w:val="21"/>
        </w:rPr>
        <w:t>separately </w:t>
      </w:r>
      <w:r>
        <w:rPr>
          <w:i/>
          <w:spacing w:val="-3"/>
          <w:sz w:val="21"/>
        </w:rPr>
        <w:t>considering whether to direct ACMA </w:t>
      </w:r>
      <w:r>
        <w:rPr>
          <w:i/>
          <w:sz w:val="21"/>
        </w:rPr>
        <w:t>in </w:t>
      </w:r>
      <w:r>
        <w:rPr>
          <w:i/>
          <w:spacing w:val="-3"/>
          <w:sz w:val="21"/>
        </w:rPr>
        <w:t>relation to the fixing </w:t>
      </w:r>
      <w:r>
        <w:rPr>
          <w:i/>
          <w:sz w:val="21"/>
        </w:rPr>
        <w:t>of a </w:t>
      </w:r>
      <w:r>
        <w:rPr>
          <w:i/>
          <w:spacing w:val="-3"/>
          <w:sz w:val="21"/>
        </w:rPr>
        <w:t>charge for spectrum licences to </w:t>
      </w:r>
      <w:r>
        <w:rPr>
          <w:i/>
          <w:sz w:val="21"/>
        </w:rPr>
        <w:t>be </w:t>
      </w:r>
      <w:r>
        <w:rPr>
          <w:i/>
          <w:spacing w:val="-3"/>
          <w:sz w:val="21"/>
        </w:rPr>
        <w:t>offered </w:t>
      </w:r>
      <w:r>
        <w:rPr>
          <w:i/>
          <w:sz w:val="21"/>
        </w:rPr>
        <w:t>to </w:t>
      </w:r>
      <w:r>
        <w:rPr>
          <w:i/>
          <w:spacing w:val="-4"/>
          <w:sz w:val="21"/>
        </w:rPr>
        <w:t>NBN </w:t>
      </w:r>
      <w:r>
        <w:rPr>
          <w:i/>
          <w:sz w:val="21"/>
        </w:rPr>
        <w:t>Co and </w:t>
      </w:r>
      <w:r>
        <w:rPr>
          <w:i/>
          <w:spacing w:val="-3"/>
          <w:sz w:val="21"/>
        </w:rPr>
        <w:t>the </w:t>
      </w:r>
      <w:r>
        <w:rPr>
          <w:i/>
          <w:spacing w:val="-4"/>
          <w:sz w:val="21"/>
        </w:rPr>
        <w:t>terms </w:t>
      </w:r>
      <w:r>
        <w:rPr>
          <w:i/>
          <w:sz w:val="21"/>
        </w:rPr>
        <w:t>of any </w:t>
      </w:r>
      <w:r>
        <w:rPr>
          <w:i/>
          <w:spacing w:val="-4"/>
          <w:sz w:val="21"/>
        </w:rPr>
        <w:t>such </w:t>
      </w:r>
      <w:r>
        <w:rPr>
          <w:i/>
          <w:spacing w:val="-3"/>
          <w:sz w:val="21"/>
        </w:rPr>
        <w:t>direction</w:t>
      </w:r>
      <w:r>
        <w:rPr>
          <w:spacing w:val="-3"/>
          <w:sz w:val="21"/>
        </w:rPr>
        <w:t>.</w:t>
      </w:r>
      <w:r>
        <w:rPr>
          <w:color w:val="1C1C1C"/>
          <w:spacing w:val="-3"/>
          <w:sz w:val="21"/>
        </w:rPr>
        <w:t>”</w:t>
      </w:r>
      <w:r>
        <w:rPr>
          <w:color w:val="1C1C1C"/>
          <w:spacing w:val="-3"/>
          <w:sz w:val="21"/>
          <w:vertAlign w:val="superscript"/>
        </w:rPr>
        <w:t>3</w:t>
      </w:r>
    </w:p>
    <w:p>
      <w:pPr>
        <w:pStyle w:val="BodyText"/>
        <w:spacing w:line="276" w:lineRule="auto" w:before="199"/>
        <w:ind w:left="146" w:right="168"/>
      </w:pPr>
      <w:r>
        <w:rPr>
          <w:color w:val="1C1C1C"/>
          <w:spacing w:val="-3"/>
        </w:rPr>
        <w:t>Owners </w:t>
      </w:r>
      <w:r>
        <w:rPr>
          <w:color w:val="1C1C1C"/>
          <w:spacing w:val="-4"/>
        </w:rPr>
        <w:t>of </w:t>
      </w:r>
      <w:r>
        <w:rPr>
          <w:color w:val="1C1C1C"/>
          <w:spacing w:val="-3"/>
        </w:rPr>
        <w:t>new spectrum </w:t>
      </w:r>
      <w:r>
        <w:rPr>
          <w:color w:val="1C1C1C"/>
          <w:spacing w:val="-4"/>
        </w:rPr>
        <w:t>licences </w:t>
      </w:r>
      <w:r>
        <w:rPr>
          <w:color w:val="1C1C1C"/>
        </w:rPr>
        <w:t>that </w:t>
      </w:r>
      <w:r>
        <w:rPr>
          <w:color w:val="1C1C1C"/>
          <w:spacing w:val="-3"/>
        </w:rPr>
        <w:t>have been converted </w:t>
      </w:r>
      <w:r>
        <w:rPr>
          <w:color w:val="1C1C1C"/>
        </w:rPr>
        <w:t>from PTS </w:t>
      </w:r>
      <w:r>
        <w:rPr>
          <w:color w:val="1C1C1C"/>
          <w:spacing w:val="-3"/>
        </w:rPr>
        <w:t>apparatus </w:t>
      </w:r>
      <w:r>
        <w:rPr>
          <w:color w:val="1C1C1C"/>
          <w:spacing w:val="-4"/>
        </w:rPr>
        <w:t>licences </w:t>
      </w:r>
      <w:r>
        <w:rPr>
          <w:color w:val="1C1C1C"/>
          <w:spacing w:val="-3"/>
        </w:rPr>
        <w:t>should pay </w:t>
      </w:r>
      <w:r>
        <w:rPr>
          <w:color w:val="1C1C1C"/>
          <w:spacing w:val="-4"/>
        </w:rPr>
        <w:t>market </w:t>
      </w:r>
      <w:r>
        <w:rPr>
          <w:color w:val="1C1C1C"/>
        </w:rPr>
        <w:t>rates for the term </w:t>
      </w:r>
      <w:r>
        <w:rPr>
          <w:color w:val="1C1C1C"/>
          <w:spacing w:val="-4"/>
        </w:rPr>
        <w:t>of </w:t>
      </w:r>
      <w:r>
        <w:rPr>
          <w:color w:val="1C1C1C"/>
        </w:rPr>
        <w:t>the </w:t>
      </w:r>
      <w:r>
        <w:rPr>
          <w:color w:val="1C1C1C"/>
          <w:spacing w:val="-4"/>
        </w:rPr>
        <w:t>licence(s), </w:t>
      </w:r>
      <w:r>
        <w:rPr>
          <w:color w:val="1C1C1C"/>
          <w:spacing w:val="-3"/>
        </w:rPr>
        <w:t>and </w:t>
      </w:r>
      <w:r>
        <w:rPr>
          <w:color w:val="1C1C1C"/>
        </w:rPr>
        <w:t>nbn co </w:t>
      </w:r>
      <w:r>
        <w:rPr>
          <w:color w:val="1C1C1C"/>
          <w:spacing w:val="-3"/>
        </w:rPr>
        <w:t>should </w:t>
      </w:r>
      <w:r>
        <w:rPr>
          <w:color w:val="1C1C1C"/>
        </w:rPr>
        <w:t>be no </w:t>
      </w:r>
      <w:r>
        <w:rPr>
          <w:color w:val="1C1C1C"/>
          <w:spacing w:val="-3"/>
        </w:rPr>
        <w:t>exception. </w:t>
      </w:r>
      <w:r>
        <w:rPr>
          <w:color w:val="1C1C1C"/>
        </w:rPr>
        <w:t>The </w:t>
      </w:r>
      <w:r>
        <w:rPr>
          <w:color w:val="1C1C1C"/>
          <w:spacing w:val="-4"/>
        </w:rPr>
        <w:t>payment of market </w:t>
      </w:r>
      <w:r>
        <w:rPr>
          <w:color w:val="1C1C1C"/>
          <w:spacing w:val="-3"/>
        </w:rPr>
        <w:t>rates recognises </w:t>
      </w:r>
      <w:r>
        <w:rPr>
          <w:color w:val="1C1C1C"/>
          <w:spacing w:val="-2"/>
        </w:rPr>
        <w:t>the </w:t>
      </w:r>
      <w:r>
        <w:rPr>
          <w:color w:val="1C1C1C"/>
          <w:spacing w:val="-3"/>
        </w:rPr>
        <w:t>opportunity </w:t>
      </w:r>
      <w:r>
        <w:rPr>
          <w:color w:val="1C1C1C"/>
        </w:rPr>
        <w:t>cost </w:t>
      </w:r>
      <w:r>
        <w:rPr>
          <w:color w:val="1C1C1C"/>
          <w:spacing w:val="-4"/>
        </w:rPr>
        <w:t>of </w:t>
      </w:r>
      <w:r>
        <w:rPr>
          <w:color w:val="1C1C1C"/>
        </w:rPr>
        <w:t>this </w:t>
      </w:r>
      <w:r>
        <w:rPr>
          <w:color w:val="1C1C1C"/>
          <w:spacing w:val="-4"/>
        </w:rPr>
        <w:t>spectrum, </w:t>
      </w:r>
      <w:r>
        <w:rPr>
          <w:color w:val="1C1C1C"/>
          <w:spacing w:val="-3"/>
        </w:rPr>
        <w:t>encourages </w:t>
      </w:r>
      <w:r>
        <w:rPr>
          <w:color w:val="1C1C1C"/>
          <w:spacing w:val="-4"/>
        </w:rPr>
        <w:t>it </w:t>
      </w:r>
      <w:r>
        <w:rPr>
          <w:color w:val="1C1C1C"/>
        </w:rPr>
        <w:t>to be </w:t>
      </w:r>
      <w:r>
        <w:rPr>
          <w:color w:val="1C1C1C"/>
          <w:spacing w:val="-3"/>
        </w:rPr>
        <w:t>used </w:t>
      </w:r>
      <w:r>
        <w:rPr>
          <w:color w:val="1C1C1C"/>
          <w:spacing w:val="-2"/>
        </w:rPr>
        <w:t>for </w:t>
      </w:r>
      <w:r>
        <w:rPr>
          <w:color w:val="1C1C1C"/>
        </w:rPr>
        <w:t>the </w:t>
      </w:r>
      <w:r>
        <w:rPr>
          <w:color w:val="1C1C1C"/>
          <w:spacing w:val="-4"/>
        </w:rPr>
        <w:t>highest </w:t>
      </w:r>
      <w:r>
        <w:rPr>
          <w:color w:val="1C1C1C"/>
          <w:spacing w:val="-3"/>
        </w:rPr>
        <w:t>value </w:t>
      </w:r>
      <w:r>
        <w:rPr>
          <w:color w:val="1C1C1C"/>
          <w:spacing w:val="-4"/>
        </w:rPr>
        <w:t>use, </w:t>
      </w:r>
      <w:r>
        <w:rPr>
          <w:color w:val="1C1C1C"/>
        </w:rPr>
        <w:t>and </w:t>
      </w:r>
      <w:r>
        <w:rPr>
          <w:color w:val="1C1C1C"/>
          <w:spacing w:val="-3"/>
        </w:rPr>
        <w:t>avoids distorting </w:t>
      </w:r>
      <w:r>
        <w:rPr>
          <w:color w:val="1C1C1C"/>
        </w:rPr>
        <w:t>the </w:t>
      </w:r>
      <w:r>
        <w:rPr>
          <w:color w:val="1C1C1C"/>
          <w:spacing w:val="-3"/>
        </w:rPr>
        <w:t>market </w:t>
      </w:r>
      <w:r>
        <w:rPr>
          <w:color w:val="1C1C1C"/>
        </w:rPr>
        <w:t>for </w:t>
      </w:r>
      <w:r>
        <w:rPr>
          <w:color w:val="1C1C1C"/>
          <w:spacing w:val="-4"/>
        </w:rPr>
        <w:t>spectrum. </w:t>
      </w:r>
      <w:r>
        <w:rPr>
          <w:color w:val="1C1C1C"/>
        </w:rPr>
        <w:t>We </w:t>
      </w:r>
      <w:r>
        <w:rPr>
          <w:color w:val="1C1C1C"/>
          <w:spacing w:val="-3"/>
        </w:rPr>
        <w:t>propose </w:t>
      </w:r>
      <w:r>
        <w:rPr>
          <w:color w:val="1C1C1C"/>
        </w:rPr>
        <w:t>that an </w:t>
      </w:r>
      <w:r>
        <w:rPr>
          <w:color w:val="1C1C1C"/>
          <w:spacing w:val="-3"/>
        </w:rPr>
        <w:t>appropriate </w:t>
      </w:r>
      <w:r>
        <w:rPr>
          <w:color w:val="1C1C1C"/>
          <w:spacing w:val="-4"/>
        </w:rPr>
        <w:t>market </w:t>
      </w:r>
      <w:r>
        <w:rPr>
          <w:color w:val="1C1C1C"/>
        </w:rPr>
        <w:t>rate </w:t>
      </w:r>
      <w:r>
        <w:rPr>
          <w:color w:val="1C1C1C"/>
          <w:spacing w:val="-3"/>
        </w:rPr>
        <w:t>would </w:t>
      </w:r>
      <w:r>
        <w:rPr>
          <w:color w:val="1C1C1C"/>
          <w:spacing w:val="-4"/>
        </w:rPr>
        <w:t>be </w:t>
      </w:r>
      <w:r>
        <w:rPr>
          <w:color w:val="1C1C1C"/>
          <w:spacing w:val="-3"/>
        </w:rPr>
        <w:t>based </w:t>
      </w:r>
      <w:r>
        <w:rPr>
          <w:color w:val="1C1C1C"/>
        </w:rPr>
        <w:t>on the </w:t>
      </w:r>
      <w:r>
        <w:rPr>
          <w:color w:val="1C1C1C"/>
          <w:spacing w:val="-3"/>
        </w:rPr>
        <w:t>outcomes </w:t>
      </w:r>
      <w:r>
        <w:rPr>
          <w:color w:val="1C1C1C"/>
          <w:spacing w:val="-4"/>
        </w:rPr>
        <w:t>of </w:t>
      </w:r>
      <w:r>
        <w:rPr>
          <w:color w:val="1C1C1C"/>
          <w:spacing w:val="-2"/>
        </w:rPr>
        <w:t>the </w:t>
      </w:r>
      <w:r>
        <w:rPr>
          <w:color w:val="1C1C1C"/>
        </w:rPr>
        <w:t>3.6 GHz </w:t>
      </w:r>
      <w:r>
        <w:rPr>
          <w:color w:val="1C1C1C"/>
          <w:spacing w:val="-3"/>
        </w:rPr>
        <w:t>auction </w:t>
      </w:r>
      <w:r>
        <w:rPr>
          <w:color w:val="1C1C1C"/>
        </w:rPr>
        <w:t>in </w:t>
      </w:r>
      <w:r>
        <w:rPr>
          <w:color w:val="1C1C1C"/>
          <w:spacing w:val="-3"/>
        </w:rPr>
        <w:t>December</w:t>
      </w:r>
      <w:r>
        <w:rPr>
          <w:color w:val="1C1C1C"/>
          <w:spacing w:val="-31"/>
        </w:rPr>
        <w:t> </w:t>
      </w:r>
      <w:r>
        <w:rPr>
          <w:color w:val="1C1C1C"/>
          <w:spacing w:val="-3"/>
        </w:rPr>
        <w:t>2018.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65.304001pt;margin-top:13.166759pt;width:144.050pt;height:.48004pt;mso-position-horizontal-relative:page;mso-position-vertical-relative:paragraph;z-index:-15727616;mso-wrap-distance-left:0;mso-wrap-distance-right:0" filled="true" fillcolor="#1c1c1c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6"/>
        </w:rPr>
      </w:pPr>
    </w:p>
    <w:p>
      <w:pPr>
        <w:tabs>
          <w:tab w:pos="429" w:val="left" w:leader="none"/>
        </w:tabs>
        <w:spacing w:line="183" w:lineRule="exact" w:before="104"/>
        <w:ind w:left="146" w:right="0" w:firstLine="0"/>
        <w:jc w:val="left"/>
        <w:rPr>
          <w:sz w:val="16"/>
        </w:rPr>
      </w:pPr>
      <w:r>
        <w:rPr>
          <w:color w:val="1C1C1C"/>
          <w:sz w:val="16"/>
          <w:vertAlign w:val="superscript"/>
        </w:rPr>
        <w:t>1</w:t>
      </w:r>
      <w:r>
        <w:rPr>
          <w:color w:val="1C1C1C"/>
          <w:sz w:val="16"/>
          <w:vertAlign w:val="baseline"/>
        </w:rPr>
        <w:tab/>
        <w:t>Consultation paper,</w:t>
      </w:r>
      <w:r>
        <w:rPr>
          <w:color w:val="1C1C1C"/>
          <w:spacing w:val="-6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p.10.</w:t>
      </w:r>
    </w:p>
    <w:p>
      <w:pPr>
        <w:tabs>
          <w:tab w:pos="429" w:val="left" w:leader="none"/>
        </w:tabs>
        <w:spacing w:line="244" w:lineRule="auto" w:before="0"/>
        <w:ind w:left="429" w:right="471" w:hanging="284"/>
        <w:jc w:val="left"/>
        <w:rPr>
          <w:sz w:val="16"/>
        </w:rPr>
      </w:pPr>
      <w:r>
        <w:rPr>
          <w:color w:val="1C1C1C"/>
          <w:sz w:val="16"/>
          <w:vertAlign w:val="superscript"/>
        </w:rPr>
        <w:t>2</w:t>
      </w:r>
      <w:r>
        <w:rPr>
          <w:color w:val="1C1C1C"/>
          <w:sz w:val="16"/>
          <w:vertAlign w:val="baseline"/>
        </w:rPr>
        <w:tab/>
        <w:t>Telstra</w:t>
      </w:r>
      <w:r>
        <w:rPr>
          <w:color w:val="1C1C1C"/>
          <w:spacing w:val="-17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submission</w:t>
      </w:r>
      <w:r>
        <w:rPr>
          <w:color w:val="1C1C1C"/>
          <w:spacing w:val="-13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to</w:t>
      </w:r>
      <w:r>
        <w:rPr>
          <w:color w:val="1C1C1C"/>
          <w:spacing w:val="-12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ACMA</w:t>
      </w:r>
      <w:r>
        <w:rPr>
          <w:color w:val="1C1C1C"/>
          <w:spacing w:val="-16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consultation</w:t>
      </w:r>
      <w:r>
        <w:rPr>
          <w:color w:val="1C1C1C"/>
          <w:spacing w:val="-13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on</w:t>
      </w:r>
      <w:r>
        <w:rPr>
          <w:color w:val="1C1C1C"/>
          <w:spacing w:val="-13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the</w:t>
      </w:r>
      <w:r>
        <w:rPr>
          <w:color w:val="1C1C1C"/>
          <w:spacing w:val="-12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Draft</w:t>
      </w:r>
      <w:r>
        <w:rPr>
          <w:color w:val="1C1C1C"/>
          <w:spacing w:val="-12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Reallocation</w:t>
      </w:r>
      <w:r>
        <w:rPr>
          <w:color w:val="1C1C1C"/>
          <w:spacing w:val="-13"/>
          <w:sz w:val="16"/>
          <w:vertAlign w:val="baseline"/>
        </w:rPr>
        <w:t> </w:t>
      </w:r>
      <w:r>
        <w:rPr>
          <w:color w:val="1C1C1C"/>
          <w:spacing w:val="-3"/>
          <w:sz w:val="16"/>
          <w:vertAlign w:val="baseline"/>
        </w:rPr>
        <w:t>Recommendation</w:t>
      </w:r>
      <w:r>
        <w:rPr>
          <w:color w:val="1C1C1C"/>
          <w:spacing w:val="-9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for</w:t>
      </w:r>
      <w:r>
        <w:rPr>
          <w:color w:val="1C1C1C"/>
          <w:spacing w:val="-12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the</w:t>
      </w:r>
      <w:r>
        <w:rPr>
          <w:color w:val="1C1C1C"/>
          <w:spacing w:val="-13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3.6</w:t>
      </w:r>
      <w:r>
        <w:rPr>
          <w:color w:val="1C1C1C"/>
          <w:spacing w:val="-12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GHz</w:t>
      </w:r>
      <w:r>
        <w:rPr>
          <w:color w:val="1C1C1C"/>
          <w:spacing w:val="-10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band,</w:t>
      </w:r>
      <w:r>
        <w:rPr>
          <w:color w:val="1C1C1C"/>
          <w:spacing w:val="-12"/>
          <w:sz w:val="16"/>
          <w:vertAlign w:val="baseline"/>
        </w:rPr>
        <w:t> </w:t>
      </w:r>
      <w:r>
        <w:rPr>
          <w:color w:val="1C1C1C"/>
          <w:spacing w:val="-3"/>
          <w:sz w:val="16"/>
          <w:vertAlign w:val="baseline"/>
        </w:rPr>
        <w:t>Nov</w:t>
      </w:r>
      <w:r>
        <w:rPr>
          <w:color w:val="1C1C1C"/>
          <w:spacing w:val="-10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2017,</w:t>
      </w:r>
      <w:r>
        <w:rPr>
          <w:color w:val="1C1C1C"/>
          <w:spacing w:val="-12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available</w:t>
      </w:r>
      <w:r>
        <w:rPr>
          <w:color w:val="1C1C1C"/>
          <w:spacing w:val="-12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at: </w:t>
      </w:r>
      <w:hyperlink r:id="rId7">
        <w:r>
          <w:rPr>
            <w:color w:val="77787A"/>
            <w:sz w:val="16"/>
            <w:u w:val="single" w:color="77787A"/>
            <w:vertAlign w:val="baseline"/>
          </w:rPr>
          <w:t>https://www.acma.gov.au/sites/default/files/2020-06/Draft%20reallocation%20recommendation%20consultation%20-</w:t>
        </w:r>
      </w:hyperlink>
    </w:p>
    <w:p>
      <w:pPr>
        <w:spacing w:line="178" w:lineRule="exact" w:before="0"/>
        <w:ind w:left="429" w:right="0" w:firstLine="0"/>
        <w:jc w:val="left"/>
        <w:rPr>
          <w:sz w:val="16"/>
        </w:rPr>
      </w:pPr>
      <w:hyperlink r:id="rId7">
        <w:r>
          <w:rPr>
            <w:color w:val="77787A"/>
            <w:sz w:val="16"/>
            <w:u w:val="single" w:color="77787A"/>
          </w:rPr>
          <w:t>%20submissions_1.zip</w:t>
        </w:r>
      </w:hyperlink>
    </w:p>
    <w:p>
      <w:pPr>
        <w:tabs>
          <w:tab w:pos="429" w:val="left" w:leader="none"/>
        </w:tabs>
        <w:spacing w:line="183" w:lineRule="exact" w:before="0"/>
        <w:ind w:left="146" w:right="0" w:firstLine="0"/>
        <w:jc w:val="left"/>
        <w:rPr>
          <w:sz w:val="16"/>
        </w:rPr>
      </w:pPr>
      <w:r>
        <w:rPr>
          <w:color w:val="1C1C1C"/>
          <w:sz w:val="16"/>
          <w:vertAlign w:val="superscript"/>
        </w:rPr>
        <w:t>3</w:t>
      </w:r>
      <w:r>
        <w:rPr>
          <w:color w:val="1C1C1C"/>
          <w:sz w:val="16"/>
          <w:vertAlign w:val="baseline"/>
        </w:rPr>
        <w:tab/>
        <w:t>Consultation paper,</w:t>
      </w:r>
      <w:r>
        <w:rPr>
          <w:color w:val="1C1C1C"/>
          <w:spacing w:val="-6"/>
          <w:sz w:val="16"/>
          <w:vertAlign w:val="baseline"/>
        </w:rPr>
        <w:t> </w:t>
      </w:r>
      <w:r>
        <w:rPr>
          <w:color w:val="1C1C1C"/>
          <w:sz w:val="16"/>
          <w:vertAlign w:val="baseline"/>
        </w:rPr>
        <w:t>p.13.</w:t>
      </w:r>
    </w:p>
    <w:p>
      <w:pPr>
        <w:spacing w:after="0" w:line="183" w:lineRule="exact"/>
        <w:jc w:val="left"/>
        <w:rPr>
          <w:sz w:val="16"/>
        </w:rPr>
        <w:sectPr>
          <w:pgSz w:w="12240" w:h="15840"/>
          <w:pgMar w:header="624" w:footer="773" w:top="1560" w:bottom="960" w:left="1160" w:right="116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84.75pt;height:.5pt;mso-position-horizontal-relative:char;mso-position-vertical-relative:line" coordorigin="0,0" coordsize="9695,10">
            <v:rect style="position:absolute;left:0;top:0;width:969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</w:pPr>
      <w:r>
        <w:rPr>
          <w:color w:val="004D9D"/>
        </w:rPr>
        <w:t>Appendix 1: Answers to consultation questions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8"/>
        </w:rPr>
      </w:pPr>
      <w:r>
        <w:rPr/>
        <w:pict>
          <v:shape style="position:absolute;margin-left:63.863998pt;margin-top:11.928974pt;width:484.75pt;height:26.4pt;mso-position-horizontal-relative:page;mso-position-vertical-relative:paragraph;z-index:-15726592;mso-wrap-distance-left:0;mso-wrap-distance-right:0" type="#_x0000_t202" filled="true" fillcolor="#d9d9d9" stroked="false">
            <v:textbox inset="0,0,0,0">
              <w:txbxContent>
                <w:p>
                  <w:pPr>
                    <w:pStyle w:val="BodyText"/>
                    <w:spacing w:line="276" w:lineRule="auto"/>
                    <w:ind w:left="312" w:right="136" w:hanging="284"/>
                  </w:pPr>
                  <w:r>
                    <w:rPr/>
                    <w:t>1. Do you support the proposed approach to designate the specified geographic areas and frequency ranges for spectrum licensing? Why or why not?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b/>
          <w:sz w:val="7"/>
        </w:rPr>
      </w:pPr>
    </w:p>
    <w:p>
      <w:pPr>
        <w:pStyle w:val="BodyText"/>
        <w:spacing w:line="276" w:lineRule="auto" w:before="95"/>
        <w:ind w:left="146"/>
      </w:pPr>
      <w:r>
        <w:rPr>
          <w:color w:val="1C1C1C"/>
        </w:rPr>
        <w:t>We </w:t>
      </w:r>
      <w:r>
        <w:rPr>
          <w:color w:val="1C1C1C"/>
          <w:spacing w:val="-3"/>
        </w:rPr>
        <w:t>support </w:t>
      </w:r>
      <w:r>
        <w:rPr>
          <w:color w:val="1C1C1C"/>
        </w:rPr>
        <w:t>the </w:t>
      </w:r>
      <w:r>
        <w:rPr>
          <w:color w:val="1C1C1C"/>
          <w:spacing w:val="-4"/>
        </w:rPr>
        <w:t>proposed </w:t>
      </w:r>
      <w:r>
        <w:rPr>
          <w:color w:val="1C1C1C"/>
          <w:spacing w:val="-3"/>
        </w:rPr>
        <w:t>approach </w:t>
      </w:r>
      <w:r>
        <w:rPr>
          <w:color w:val="1C1C1C"/>
        </w:rPr>
        <w:t>to </w:t>
      </w:r>
      <w:r>
        <w:rPr>
          <w:color w:val="1C1C1C"/>
          <w:spacing w:val="-3"/>
        </w:rPr>
        <w:t>designate </w:t>
      </w:r>
      <w:r>
        <w:rPr>
          <w:color w:val="1C1C1C"/>
        </w:rPr>
        <w:t>the </w:t>
      </w:r>
      <w:r>
        <w:rPr>
          <w:color w:val="1C1C1C"/>
          <w:spacing w:val="-3"/>
        </w:rPr>
        <w:t>specified </w:t>
      </w:r>
      <w:r>
        <w:rPr>
          <w:color w:val="1C1C1C"/>
          <w:spacing w:val="-4"/>
        </w:rPr>
        <w:t>geographic areas </w:t>
      </w:r>
      <w:r>
        <w:rPr>
          <w:color w:val="1C1C1C"/>
        </w:rPr>
        <w:t>and </w:t>
      </w:r>
      <w:r>
        <w:rPr>
          <w:color w:val="1C1C1C"/>
          <w:spacing w:val="-3"/>
        </w:rPr>
        <w:t>frequency ranges </w:t>
      </w:r>
      <w:r>
        <w:rPr>
          <w:color w:val="1C1C1C"/>
          <w:spacing w:val="-4"/>
        </w:rPr>
        <w:t>as it </w:t>
      </w:r>
      <w:r>
        <w:rPr>
          <w:color w:val="1C1C1C"/>
        </w:rPr>
        <w:t>will help </w:t>
      </w:r>
      <w:r>
        <w:rPr>
          <w:color w:val="1C1C1C"/>
          <w:spacing w:val="-3"/>
        </w:rPr>
        <w:t>advance relevant policy </w:t>
      </w:r>
      <w:r>
        <w:rPr>
          <w:color w:val="1C1C1C"/>
          <w:spacing w:val="-4"/>
        </w:rPr>
        <w:t>objectives.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63.863998pt;margin-top:10.389541pt;width:484.75pt;height:13pt;mso-position-horizontal-relative:page;mso-position-vertical-relative:paragraph;z-index:-15726080;mso-wrap-distance-left:0;mso-wrap-distance-right:0" type="#_x0000_t202" filled="true" fillcolor="#d9d9d9" stroked="false">
            <v:textbox inset="0,0,0,0">
              <w:txbxContent>
                <w:p>
                  <w:pPr>
                    <w:pStyle w:val="BodyText"/>
                    <w:spacing w:line="230" w:lineRule="exact"/>
                    <w:ind w:left="28"/>
                  </w:pPr>
                  <w:r>
                    <w:rPr/>
                    <w:t>2. Would the Notice as drafted affect you? If so, how?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80" w:lineRule="auto" w:before="95"/>
        <w:ind w:left="146" w:right="635"/>
      </w:pPr>
      <w:r>
        <w:rPr>
          <w:color w:val="1C1C1C"/>
          <w:spacing w:val="-3"/>
        </w:rPr>
        <w:t>Telstra </w:t>
      </w:r>
      <w:r>
        <w:rPr>
          <w:color w:val="1C1C1C"/>
        </w:rPr>
        <w:t>is </w:t>
      </w:r>
      <w:r>
        <w:rPr>
          <w:color w:val="1C1C1C"/>
          <w:spacing w:val="-3"/>
        </w:rPr>
        <w:t>not </w:t>
      </w:r>
      <w:r>
        <w:rPr>
          <w:color w:val="1C1C1C"/>
          <w:spacing w:val="-4"/>
        </w:rPr>
        <w:t>directly </w:t>
      </w:r>
      <w:r>
        <w:rPr>
          <w:color w:val="1C1C1C"/>
          <w:spacing w:val="-3"/>
        </w:rPr>
        <w:t>affected </w:t>
      </w:r>
      <w:r>
        <w:rPr>
          <w:color w:val="1C1C1C"/>
        </w:rPr>
        <w:t>by the </w:t>
      </w:r>
      <w:r>
        <w:rPr>
          <w:color w:val="1C1C1C"/>
          <w:spacing w:val="-3"/>
        </w:rPr>
        <w:t>Notice, </w:t>
      </w:r>
      <w:r>
        <w:rPr>
          <w:color w:val="1C1C1C"/>
        </w:rPr>
        <w:t>as </w:t>
      </w:r>
      <w:r>
        <w:rPr>
          <w:color w:val="1C1C1C"/>
          <w:spacing w:val="-4"/>
        </w:rPr>
        <w:t>we </w:t>
      </w:r>
      <w:r>
        <w:rPr>
          <w:color w:val="1C1C1C"/>
        </w:rPr>
        <w:t>do </w:t>
      </w:r>
      <w:r>
        <w:rPr>
          <w:color w:val="1C1C1C"/>
          <w:spacing w:val="-3"/>
        </w:rPr>
        <w:t>not own spectrum </w:t>
      </w:r>
      <w:r>
        <w:rPr>
          <w:color w:val="1C1C1C"/>
          <w:spacing w:val="-4"/>
        </w:rPr>
        <w:t>in </w:t>
      </w:r>
      <w:r>
        <w:rPr>
          <w:color w:val="1C1C1C"/>
          <w:spacing w:val="-2"/>
        </w:rPr>
        <w:t>the </w:t>
      </w:r>
      <w:r>
        <w:rPr>
          <w:color w:val="1C1C1C"/>
          <w:spacing w:val="-3"/>
        </w:rPr>
        <w:t>frequency range 3400- </w:t>
      </w:r>
      <w:r>
        <w:rPr>
          <w:color w:val="1C1C1C"/>
        </w:rPr>
        <w:t>3575 MHz </w:t>
      </w:r>
      <w:r>
        <w:rPr>
          <w:color w:val="1C1C1C"/>
          <w:spacing w:val="-4"/>
        </w:rPr>
        <w:t>in </w:t>
      </w:r>
      <w:r>
        <w:rPr>
          <w:color w:val="1C1C1C"/>
          <w:spacing w:val="-2"/>
        </w:rPr>
        <w:t>the </w:t>
      </w:r>
      <w:r>
        <w:rPr>
          <w:color w:val="1C1C1C"/>
          <w:spacing w:val="-3"/>
        </w:rPr>
        <w:t>specified </w:t>
      </w:r>
      <w:r>
        <w:rPr>
          <w:color w:val="1C1C1C"/>
          <w:spacing w:val="-4"/>
        </w:rPr>
        <w:t>geographic </w:t>
      </w:r>
      <w:r>
        <w:rPr>
          <w:color w:val="1C1C1C"/>
          <w:spacing w:val="-3"/>
        </w:rPr>
        <w:t>areas.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63.863998pt;margin-top:9.939580pt;width:484.75pt;height:13.2pt;mso-position-horizontal-relative:page;mso-position-vertical-relative:paragraph;z-index:-15725568;mso-wrap-distance-left:0;mso-wrap-distance-right:0" type="#_x0000_t202" filled="true" fillcolor="#d9d9d9" stroked="false">
            <v:textbox inset="0,0,0,0">
              <w:txbxContent>
                <w:p>
                  <w:pPr>
                    <w:pStyle w:val="BodyText"/>
                    <w:spacing w:line="230" w:lineRule="exact"/>
                    <w:ind w:left="28"/>
                  </w:pPr>
                  <w:r>
                    <w:rPr/>
                    <w:t>3. Do you have any concerns about the Notice? If so, what are they?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before="95"/>
        <w:ind w:left="146"/>
      </w:pPr>
      <w:r>
        <w:rPr>
          <w:color w:val="1C1C1C"/>
        </w:rPr>
        <w:t>We do not have any concerns about the Notice.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63.863998pt;margin-top:11.898272pt;width:484.75pt;height:26.4pt;mso-position-horizontal-relative:page;mso-position-vertical-relative:paragraph;z-index:-15725056;mso-wrap-distance-left:0;mso-wrap-distance-right:0" type="#_x0000_t202" filled="true" fillcolor="#d9d9d9" stroked="false">
            <v:textbox inset="0,0,0,0">
              <w:txbxContent>
                <w:p>
                  <w:pPr>
                    <w:pStyle w:val="BodyText"/>
                    <w:spacing w:line="280" w:lineRule="auto"/>
                    <w:ind w:left="312" w:right="136" w:hanging="284"/>
                  </w:pPr>
                  <w:r>
                    <w:rPr/>
                    <w:t>4. Are there alternative options to a designation that could facilitate defragmentation of spectrum holdings and achieve greater uniformity of licence type that the Government should consider?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before="95"/>
        <w:ind w:left="146"/>
      </w:pPr>
      <w:r>
        <w:rPr>
          <w:color w:val="1C1C1C"/>
        </w:rPr>
        <w:t>We are not aware of any superior alternatives to this approach.</w:t>
      </w:r>
    </w:p>
    <w:sectPr>
      <w:pgSz w:w="12240" w:h="15840"/>
      <w:pgMar w:header="624" w:footer="773" w:top="1560" w:bottom="96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4.304001pt;margin-top:742.34436pt;width:157.65pt;height:8.75pt;mso-position-horizontal-relative:page;mso-position-vertical-relative:page;z-index:-158028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TELSTRA</w:t>
                </w:r>
                <w:r>
                  <w:rPr>
                    <w:spacing w:val="-12"/>
                    <w:sz w:val="12"/>
                  </w:rPr>
                  <w:t> </w:t>
                </w:r>
                <w:r>
                  <w:rPr>
                    <w:sz w:val="12"/>
                  </w:rPr>
                  <w:t>CORPORATION</w:t>
                </w:r>
                <w:r>
                  <w:rPr>
                    <w:spacing w:val="-11"/>
                    <w:sz w:val="12"/>
                  </w:rPr>
                  <w:t> </w:t>
                </w:r>
                <w:r>
                  <w:rPr>
                    <w:sz w:val="12"/>
                  </w:rPr>
                  <w:t>LIMITED</w:t>
                </w:r>
                <w:r>
                  <w:rPr>
                    <w:spacing w:val="-13"/>
                    <w:sz w:val="12"/>
                  </w:rPr>
                  <w:t> </w:t>
                </w:r>
                <w:r>
                  <w:rPr>
                    <w:spacing w:val="-3"/>
                    <w:sz w:val="12"/>
                  </w:rPr>
                  <w:t>(ABN</w:t>
                </w:r>
                <w:r>
                  <w:rPr>
                    <w:spacing w:val="-12"/>
                    <w:sz w:val="12"/>
                  </w:rPr>
                  <w:t> </w:t>
                </w:r>
                <w:r>
                  <w:rPr>
                    <w:sz w:val="12"/>
                  </w:rPr>
                  <w:t>33</w:t>
                </w:r>
                <w:r>
                  <w:rPr>
                    <w:spacing w:val="-13"/>
                    <w:sz w:val="12"/>
                  </w:rPr>
                  <w:t> </w:t>
                </w:r>
                <w:r>
                  <w:rPr>
                    <w:sz w:val="12"/>
                  </w:rPr>
                  <w:t>051</w:t>
                </w:r>
                <w:r>
                  <w:rPr>
                    <w:spacing w:val="-11"/>
                    <w:sz w:val="12"/>
                  </w:rPr>
                  <w:t> </w:t>
                </w:r>
                <w:r>
                  <w:rPr>
                    <w:sz w:val="12"/>
                  </w:rPr>
                  <w:t>775</w:t>
                </w:r>
                <w:r>
                  <w:rPr>
                    <w:spacing w:val="-12"/>
                    <w:sz w:val="12"/>
                  </w:rPr>
                  <w:t> </w:t>
                </w:r>
                <w:r>
                  <w:rPr>
                    <w:sz w:val="12"/>
                  </w:rPr>
                  <w:t>556)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149994pt;margin-top:742.34436pt;width:25.35pt;height:8.75pt;mso-position-horizontal-relative:page;mso-position-vertical-relative:page;z-index:-158023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6008800</wp:posOffset>
          </wp:positionH>
          <wp:positionV relativeFrom="page">
            <wp:posOffset>396240</wp:posOffset>
          </wp:positionV>
          <wp:extent cx="579578" cy="50863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578" cy="508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304001pt;margin-top:30.470234pt;width:182.95pt;height:21.45pt;mso-position-horizontal-relative:page;mso-position-vertical-relative:page;z-index:-15803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004D9D"/>
                    <w:sz w:val="16"/>
                  </w:rPr>
                  <w:t>Telstra submission to DITRDC consultation on</w:t>
                </w:r>
              </w:p>
              <w:p>
                <w:pPr>
                  <w:spacing w:before="28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004D9D"/>
                    <w:sz w:val="16"/>
                  </w:rPr>
                  <w:t>Consultation</w:t>
                </w:r>
                <w:r>
                  <w:rPr>
                    <w:i/>
                    <w:color w:val="004D9D"/>
                    <w:spacing w:val="-13"/>
                    <w:sz w:val="16"/>
                  </w:rPr>
                  <w:t> </w:t>
                </w:r>
                <w:r>
                  <w:rPr>
                    <w:i/>
                    <w:color w:val="004D9D"/>
                    <w:sz w:val="16"/>
                  </w:rPr>
                  <w:t>on</w:t>
                </w:r>
                <w:r>
                  <w:rPr>
                    <w:i/>
                    <w:color w:val="004D9D"/>
                    <w:spacing w:val="-13"/>
                    <w:sz w:val="16"/>
                  </w:rPr>
                  <w:t> </w:t>
                </w:r>
                <w:r>
                  <w:rPr>
                    <w:i/>
                    <w:color w:val="004D9D"/>
                    <w:sz w:val="16"/>
                  </w:rPr>
                  <w:t>the</w:t>
                </w:r>
                <w:r>
                  <w:rPr>
                    <w:i/>
                    <w:color w:val="004D9D"/>
                    <w:spacing w:val="-13"/>
                    <w:sz w:val="16"/>
                  </w:rPr>
                  <w:t> </w:t>
                </w:r>
                <w:r>
                  <w:rPr>
                    <w:i/>
                    <w:color w:val="004D9D"/>
                    <w:sz w:val="16"/>
                  </w:rPr>
                  <w:t>designation</w:t>
                </w:r>
                <w:r>
                  <w:rPr>
                    <w:i/>
                    <w:color w:val="004D9D"/>
                    <w:spacing w:val="-13"/>
                    <w:sz w:val="16"/>
                  </w:rPr>
                  <w:t> </w:t>
                </w:r>
                <w:r>
                  <w:rPr>
                    <w:i/>
                    <w:color w:val="004D9D"/>
                    <w:sz w:val="16"/>
                  </w:rPr>
                  <w:t>of</w:t>
                </w:r>
                <w:r>
                  <w:rPr>
                    <w:i/>
                    <w:color w:val="004D9D"/>
                    <w:spacing w:val="-15"/>
                    <w:sz w:val="16"/>
                  </w:rPr>
                  <w:t> </w:t>
                </w:r>
                <w:r>
                  <w:rPr>
                    <w:i/>
                    <w:color w:val="004D9D"/>
                    <w:sz w:val="16"/>
                  </w:rPr>
                  <w:t>the</w:t>
                </w:r>
                <w:r>
                  <w:rPr>
                    <w:i/>
                    <w:color w:val="004D9D"/>
                    <w:spacing w:val="-13"/>
                    <w:sz w:val="16"/>
                  </w:rPr>
                  <w:t> </w:t>
                </w:r>
                <w:r>
                  <w:rPr>
                    <w:i/>
                    <w:color w:val="004D9D"/>
                    <w:sz w:val="16"/>
                  </w:rPr>
                  <w:t>3.4</w:t>
                </w:r>
                <w:r>
                  <w:rPr>
                    <w:i/>
                    <w:color w:val="004D9D"/>
                    <w:spacing w:val="-13"/>
                    <w:sz w:val="16"/>
                  </w:rPr>
                  <w:t> </w:t>
                </w:r>
                <w:r>
                  <w:rPr>
                    <w:i/>
                    <w:color w:val="004D9D"/>
                    <w:sz w:val="16"/>
                  </w:rPr>
                  <w:t>GHz</w:t>
                </w:r>
                <w:r>
                  <w:rPr>
                    <w:i/>
                    <w:color w:val="004D9D"/>
                    <w:spacing w:val="-10"/>
                    <w:sz w:val="16"/>
                  </w:rPr>
                  <w:t> </w:t>
                </w:r>
                <w:r>
                  <w:rPr>
                    <w:i/>
                    <w:color w:val="004D9D"/>
                    <w:sz w:val="16"/>
                  </w:rPr>
                  <w:t>band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au" w:eastAsia="en-US" w:bidi="ar-SA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Arial" w:hAnsi="Arial" w:eastAsia="Arial" w:cs="Arial"/>
      <w:b/>
      <w:bCs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line="586" w:lineRule="exact"/>
      <w:ind w:left="146"/>
    </w:pPr>
    <w:rPr>
      <w:rFonts w:ascii="Arial" w:hAnsi="Arial" w:eastAsia="Arial" w:cs="Arial"/>
      <w:b/>
      <w:bCs/>
      <w:sz w:val="53"/>
      <w:szCs w:val="53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acma.gov.au/sites/default/files/2020-06/Draft%20reallocation%20recommendation%20consultation%20-%20submissions_1.zip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dc:title>Telstra Submission - DITRDC Consultation on 3.4 GHz Designation</dc:title>
  <dcterms:created xsi:type="dcterms:W3CDTF">2020-12-16T05:56:10Z</dcterms:created>
  <dcterms:modified xsi:type="dcterms:W3CDTF">2020-12-16T05:56:10Z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2020-12-16T00:00:00Z</vt:filetime>
  </property>
</Properties>
</file>