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71" w:rsidRDefault="00180871" w:rsidP="002D2882">
      <w:pPr>
        <w:pStyle w:val="Heading1"/>
      </w:pPr>
      <w:r w:rsidRPr="00180871">
        <w:t xml:space="preserve">Comments on the </w:t>
      </w:r>
      <w:r w:rsidRPr="002D2882">
        <w:t>Copyrigh</w:t>
      </w:r>
      <w:bookmarkStart w:id="0" w:name="_GoBack"/>
      <w:bookmarkEnd w:id="0"/>
      <w:r w:rsidRPr="002D2882">
        <w:t>t</w:t>
      </w:r>
      <w:r w:rsidRPr="00180871">
        <w:t xml:space="preserve"> Amendment (Disability Access and Other Measures) Bill 2016</w:t>
      </w:r>
    </w:p>
    <w:p w:rsidR="00526CA2" w:rsidRDefault="00526CA2" w:rsidP="00526CA2">
      <w:pPr>
        <w:spacing w:after="0" w:line="240" w:lineRule="auto"/>
      </w:pPr>
      <w:r>
        <w:t>12 February 2016</w:t>
      </w:r>
    </w:p>
    <w:p w:rsidR="00526CA2" w:rsidRDefault="00526CA2" w:rsidP="00180871">
      <w:pPr>
        <w:spacing w:after="0" w:line="240" w:lineRule="auto"/>
      </w:pPr>
    </w:p>
    <w:p w:rsidR="00A10A60" w:rsidRDefault="006A5A92" w:rsidP="00180871">
      <w:pPr>
        <w:spacing w:after="0" w:line="240" w:lineRule="auto"/>
      </w:pPr>
      <w:r>
        <w:t>Nicolas Suzor</w:t>
      </w:r>
    </w:p>
    <w:p w:rsidR="006A5A92" w:rsidRDefault="006A5A92" w:rsidP="00180871">
      <w:pPr>
        <w:spacing w:after="0" w:line="240" w:lineRule="auto"/>
      </w:pPr>
      <w:r>
        <w:t>Senior Research Fellow</w:t>
      </w:r>
    </w:p>
    <w:p w:rsidR="006A5A92" w:rsidRDefault="006A5A92" w:rsidP="00180871">
      <w:pPr>
        <w:spacing w:after="0" w:line="240" w:lineRule="auto"/>
      </w:pPr>
      <w:r>
        <w:t>Queensland University of Technology (QUT) School of Law</w:t>
      </w:r>
    </w:p>
    <w:p w:rsidR="006A5A92" w:rsidRDefault="002D2882" w:rsidP="00180871">
      <w:pPr>
        <w:spacing w:after="0" w:line="240" w:lineRule="auto"/>
      </w:pPr>
      <w:hyperlink r:id="rId8" w:history="1">
        <w:r w:rsidR="006A5A92" w:rsidRPr="00813B2D">
          <w:rPr>
            <w:rStyle w:val="Hyperlink"/>
          </w:rPr>
          <w:t>n.suzor@qut.edu.au</w:t>
        </w:r>
      </w:hyperlink>
    </w:p>
    <w:p w:rsidR="00180871" w:rsidRDefault="00180871" w:rsidP="00180871">
      <w:pPr>
        <w:spacing w:after="0" w:line="240" w:lineRule="auto"/>
      </w:pPr>
    </w:p>
    <w:p w:rsidR="008D20BB" w:rsidRDefault="008D20BB" w:rsidP="00180871">
      <w:pPr>
        <w:spacing w:after="0" w:line="240" w:lineRule="auto"/>
      </w:pPr>
    </w:p>
    <w:p w:rsidR="009739FF" w:rsidRDefault="009739FF" w:rsidP="006A5A92">
      <w:pPr>
        <w:pStyle w:val="ListParagraph"/>
        <w:numPr>
          <w:ilvl w:val="0"/>
          <w:numId w:val="1"/>
        </w:numPr>
      </w:pPr>
      <w:r>
        <w:t xml:space="preserve">The new fair dealing exception in s </w:t>
      </w:r>
      <w:proofErr w:type="gramStart"/>
      <w:r>
        <w:t>113E(</w:t>
      </w:r>
      <w:proofErr w:type="gramEnd"/>
      <w:r>
        <w:t>1) is a clear and useful addition to the law that will simplify access to people with disabilities.</w:t>
      </w:r>
    </w:p>
    <w:p w:rsidR="009739FF" w:rsidRDefault="009739FF" w:rsidP="006A5A92">
      <w:pPr>
        <w:pStyle w:val="ListParagraph"/>
        <w:numPr>
          <w:ilvl w:val="0"/>
          <w:numId w:val="1"/>
        </w:numPr>
      </w:pPr>
      <w:r>
        <w:t>Nevertheless, this Bill does not alleviate the broader need for a Fair Use exception as recommended by the ALRC.</w:t>
      </w:r>
    </w:p>
    <w:p w:rsidR="00E5313B" w:rsidRDefault="00313BFC" w:rsidP="006A5A92">
      <w:pPr>
        <w:pStyle w:val="ListParagraph"/>
        <w:numPr>
          <w:ilvl w:val="0"/>
          <w:numId w:val="1"/>
        </w:numPr>
      </w:pPr>
      <w:r>
        <w:t xml:space="preserve">The anti-circumvention exceptions in </w:t>
      </w:r>
      <w:r w:rsidR="0001705D">
        <w:t>Schedule 10A of the Copyright Regulations 1969 (</w:t>
      </w:r>
      <w:proofErr w:type="spellStart"/>
      <w:r w:rsidR="0001705D">
        <w:t>Cth</w:t>
      </w:r>
      <w:proofErr w:type="spellEnd"/>
      <w:r w:rsidR="0001705D">
        <w:t>) must be amended in line with the new fair dealing exception. A new ‘Prescribed act’ should be introduced to enable any person to circumvent a technological protection measure and to deal with circumvention devices, and to provide circumvention services, for the purposes of assisting people with disabilities gain access and make use of copyright material.</w:t>
      </w:r>
      <w:r w:rsidR="00E5313B">
        <w:t xml:space="preserve"> </w:t>
      </w:r>
    </w:p>
    <w:p w:rsidR="0001705D" w:rsidRDefault="00E5313B" w:rsidP="00E5313B">
      <w:pPr>
        <w:pStyle w:val="ListParagraph"/>
        <w:numPr>
          <w:ilvl w:val="1"/>
          <w:numId w:val="1"/>
        </w:numPr>
      </w:pPr>
      <w:r>
        <w:t xml:space="preserve">For example, under the proposed legislation, a person who is blind and purchases an eBook with DRM that does not allow the use of a screen reader may not </w:t>
      </w:r>
      <w:r w:rsidR="00B6723A">
        <w:t>circumvent these restrictions in order to access the work. He or she may not enlist the assistance of others to gain access to the work. A clear exception is required to give effect to the new fair dealing exception in these circumstances.</w:t>
      </w:r>
      <w:r w:rsidR="00B6723A">
        <w:rPr>
          <w:rStyle w:val="FootnoteReference"/>
        </w:rPr>
        <w:footnoteReference w:id="1"/>
      </w:r>
    </w:p>
    <w:p w:rsidR="00B6723A" w:rsidRDefault="00B6723A" w:rsidP="00E5313B">
      <w:pPr>
        <w:pStyle w:val="ListParagraph"/>
        <w:numPr>
          <w:ilvl w:val="1"/>
          <w:numId w:val="1"/>
        </w:numPr>
      </w:pPr>
      <w:r>
        <w:t>Consequential amendments are also required to remove references to Part VB.</w:t>
      </w:r>
    </w:p>
    <w:p w:rsidR="006A5A92" w:rsidRDefault="006A5A92" w:rsidP="006A5A92">
      <w:pPr>
        <w:pStyle w:val="ListParagraph"/>
        <w:numPr>
          <w:ilvl w:val="0"/>
          <w:numId w:val="1"/>
        </w:numPr>
      </w:pPr>
      <w:r>
        <w:t xml:space="preserve">Subsection </w:t>
      </w:r>
      <w:proofErr w:type="gramStart"/>
      <w:r>
        <w:t>113E(</w:t>
      </w:r>
      <w:proofErr w:type="gramEnd"/>
      <w:r>
        <w:t>2) is not required</w:t>
      </w:r>
      <w:r w:rsidR="009739FF">
        <w:t xml:space="preserve"> and should be removed</w:t>
      </w:r>
      <w:r>
        <w:t>. Most fair dealing exceptions do not explicitly contain the four fairness factors. The four fairness factors are particularly not required in the context of disability access and are likely to make interpretation more difficult and more narrow than necessary.</w:t>
      </w:r>
      <w:r w:rsidR="000D5582" w:rsidRPr="000D5582">
        <w:rPr>
          <w:rStyle w:val="FootnoteReference"/>
        </w:rPr>
        <w:t xml:space="preserve"> </w:t>
      </w:r>
      <w:r w:rsidR="000D5582">
        <w:rPr>
          <w:rStyle w:val="FootnoteReference"/>
        </w:rPr>
        <w:footnoteReference w:id="2"/>
      </w:r>
      <w:r>
        <w:t xml:space="preserve"> In particular:</w:t>
      </w:r>
    </w:p>
    <w:p w:rsidR="006A5A92" w:rsidRDefault="006A5A92" w:rsidP="006A5A92">
      <w:pPr>
        <w:pStyle w:val="ListParagraph"/>
        <w:numPr>
          <w:ilvl w:val="1"/>
          <w:numId w:val="1"/>
        </w:numPr>
      </w:pPr>
      <w:r>
        <w:t>Purpose and character: the legislation should clearly reflect the intent that the purpose of enabling access is explicitly fair (which means that this factor will always be satisfied if s 113E(1) is satisfied);</w:t>
      </w:r>
    </w:p>
    <w:p w:rsidR="006A5A92" w:rsidRDefault="006A5A92" w:rsidP="006A5A92">
      <w:pPr>
        <w:pStyle w:val="ListParagraph"/>
        <w:numPr>
          <w:ilvl w:val="1"/>
          <w:numId w:val="1"/>
        </w:numPr>
      </w:pPr>
      <w:r>
        <w:t>Nature of the copyright material is irrelevant – people with disabilities have clear rights under the CRPD to access all forms of copyright material.</w:t>
      </w:r>
    </w:p>
    <w:p w:rsidR="006A5A92" w:rsidRDefault="006A5A92" w:rsidP="006A5A92">
      <w:pPr>
        <w:pStyle w:val="ListParagraph"/>
        <w:numPr>
          <w:ilvl w:val="1"/>
          <w:numId w:val="1"/>
        </w:numPr>
      </w:pPr>
      <w:r>
        <w:t>Effect on the market: this factor is effectively covered by the requirement that a dealing be ‘fair’ and does not need to be explicitly stated.</w:t>
      </w:r>
    </w:p>
    <w:p w:rsidR="006A5A92" w:rsidRDefault="006A5A92" w:rsidP="006A5A92">
      <w:pPr>
        <w:pStyle w:val="ListParagraph"/>
        <w:numPr>
          <w:ilvl w:val="1"/>
          <w:numId w:val="1"/>
        </w:numPr>
      </w:pPr>
      <w:r>
        <w:t>Amount and substantiality is irrelevant in the context of disability access. The Marrakesh Treaty is specifically designed to promote access to entire works.</w:t>
      </w:r>
    </w:p>
    <w:p w:rsidR="0001705D" w:rsidRDefault="00313BFC" w:rsidP="0001705D">
      <w:pPr>
        <w:pStyle w:val="ListParagraph"/>
        <w:numPr>
          <w:ilvl w:val="0"/>
          <w:numId w:val="1"/>
        </w:numPr>
      </w:pPr>
      <w:r>
        <w:t>The term ‘</w:t>
      </w:r>
      <w:r w:rsidR="0001705D">
        <w:t>using the material’</w:t>
      </w:r>
      <w:r>
        <w:t xml:space="preserve"> in s 113F is ambiguous</w:t>
      </w:r>
      <w:r w:rsidR="0001705D">
        <w:t>. The legislation should clearly set out that assisting people with disabilities to access and consume copyright material is not an infringement of copyright.</w:t>
      </w:r>
    </w:p>
    <w:p w:rsidR="006A5A92" w:rsidRDefault="0001705D" w:rsidP="00142232">
      <w:pPr>
        <w:pStyle w:val="ListParagraph"/>
        <w:numPr>
          <w:ilvl w:val="0"/>
          <w:numId w:val="1"/>
        </w:numPr>
      </w:pPr>
      <w:r>
        <w:lastRenderedPageBreak/>
        <w:t xml:space="preserve">The introduction of workable Safe Harbours through the new definition of ‘service provider’ is a welcome resolution to a longstanding problem. </w:t>
      </w:r>
    </w:p>
    <w:sectPr w:rsidR="006A5A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050" w:rsidRDefault="000A6050" w:rsidP="00B6723A">
      <w:pPr>
        <w:spacing w:after="0" w:line="240" w:lineRule="auto"/>
      </w:pPr>
      <w:r>
        <w:separator/>
      </w:r>
    </w:p>
  </w:endnote>
  <w:endnote w:type="continuationSeparator" w:id="0">
    <w:p w:rsidR="000A6050" w:rsidRDefault="000A6050" w:rsidP="00B6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050" w:rsidRDefault="000A6050" w:rsidP="00B6723A">
      <w:pPr>
        <w:spacing w:after="0" w:line="240" w:lineRule="auto"/>
      </w:pPr>
      <w:r>
        <w:separator/>
      </w:r>
    </w:p>
  </w:footnote>
  <w:footnote w:type="continuationSeparator" w:id="0">
    <w:p w:rsidR="000A6050" w:rsidRDefault="000A6050" w:rsidP="00B6723A">
      <w:pPr>
        <w:spacing w:after="0" w:line="240" w:lineRule="auto"/>
      </w:pPr>
      <w:r>
        <w:continuationSeparator/>
      </w:r>
    </w:p>
  </w:footnote>
  <w:footnote w:id="1">
    <w:p w:rsidR="00B6723A" w:rsidRPr="00180871" w:rsidRDefault="00B6723A">
      <w:pPr>
        <w:pStyle w:val="FootnoteText"/>
        <w:rPr>
          <w:sz w:val="18"/>
          <w:szCs w:val="18"/>
        </w:rPr>
      </w:pPr>
      <w:r w:rsidRPr="00180871">
        <w:rPr>
          <w:rStyle w:val="FootnoteReference"/>
          <w:sz w:val="18"/>
          <w:szCs w:val="18"/>
        </w:rPr>
        <w:footnoteRef/>
      </w:r>
      <w:r w:rsidRPr="00180871">
        <w:rPr>
          <w:sz w:val="18"/>
          <w:szCs w:val="18"/>
        </w:rPr>
        <w:t xml:space="preserve"> See </w:t>
      </w:r>
      <w:proofErr w:type="spellStart"/>
      <w:r w:rsidRPr="00180871">
        <w:rPr>
          <w:rStyle w:val="personname"/>
          <w:color w:val="000000"/>
          <w:sz w:val="18"/>
          <w:szCs w:val="18"/>
          <w:shd w:val="clear" w:color="auto" w:fill="FFFFFF"/>
        </w:rPr>
        <w:t>Harpur</w:t>
      </w:r>
      <w:proofErr w:type="spellEnd"/>
      <w:r w:rsidRPr="00180871">
        <w:rPr>
          <w:rStyle w:val="personname"/>
          <w:color w:val="000000"/>
          <w:sz w:val="18"/>
          <w:szCs w:val="18"/>
          <w:shd w:val="clear" w:color="auto" w:fill="FFFFFF"/>
        </w:rPr>
        <w:t>, Paul</w:t>
      </w:r>
      <w:r w:rsidRPr="00180871">
        <w:rPr>
          <w:rStyle w:val="apple-converted-space"/>
          <w:color w:val="000000"/>
          <w:sz w:val="18"/>
          <w:szCs w:val="18"/>
          <w:shd w:val="clear" w:color="auto" w:fill="FFFFFF"/>
        </w:rPr>
        <w:t> </w:t>
      </w:r>
      <w:r w:rsidRPr="00180871">
        <w:rPr>
          <w:color w:val="000000"/>
          <w:sz w:val="18"/>
          <w:szCs w:val="18"/>
          <w:shd w:val="clear" w:color="auto" w:fill="FFFFFF"/>
        </w:rPr>
        <w:t>&amp;</w:t>
      </w:r>
      <w:r w:rsidRPr="00180871">
        <w:rPr>
          <w:rStyle w:val="apple-converted-space"/>
          <w:color w:val="000000"/>
          <w:sz w:val="18"/>
          <w:szCs w:val="18"/>
          <w:shd w:val="clear" w:color="auto" w:fill="FFFFFF"/>
        </w:rPr>
        <w:t> </w:t>
      </w:r>
      <w:proofErr w:type="spellStart"/>
      <w:r w:rsidRPr="00180871">
        <w:rPr>
          <w:rStyle w:val="personname"/>
          <w:color w:val="000000"/>
          <w:sz w:val="18"/>
          <w:szCs w:val="18"/>
          <w:shd w:val="clear" w:color="auto" w:fill="FFFFFF"/>
        </w:rPr>
        <w:t>Suzor</w:t>
      </w:r>
      <w:proofErr w:type="spellEnd"/>
      <w:r w:rsidRPr="00180871">
        <w:rPr>
          <w:rStyle w:val="personname"/>
          <w:color w:val="000000"/>
          <w:sz w:val="18"/>
          <w:szCs w:val="18"/>
          <w:shd w:val="clear" w:color="auto" w:fill="FFFFFF"/>
        </w:rPr>
        <w:t>, Nicolas P.</w:t>
      </w:r>
      <w:r w:rsidRPr="00180871">
        <w:rPr>
          <w:rStyle w:val="apple-converted-space"/>
          <w:color w:val="000000"/>
          <w:sz w:val="18"/>
          <w:szCs w:val="18"/>
          <w:shd w:val="clear" w:color="auto" w:fill="FFFFFF"/>
        </w:rPr>
        <w:t> </w:t>
      </w:r>
      <w:r w:rsidRPr="00180871">
        <w:rPr>
          <w:color w:val="000000"/>
          <w:sz w:val="18"/>
          <w:szCs w:val="18"/>
          <w:shd w:val="clear" w:color="auto" w:fill="FFFFFF"/>
        </w:rPr>
        <w:t>(2014)</w:t>
      </w:r>
      <w:r w:rsidRPr="00180871">
        <w:rPr>
          <w:rStyle w:val="apple-converted-space"/>
          <w:color w:val="000000"/>
          <w:sz w:val="18"/>
          <w:szCs w:val="18"/>
          <w:shd w:val="clear" w:color="auto" w:fill="FFFFFF"/>
        </w:rPr>
        <w:t> </w:t>
      </w:r>
      <w:hyperlink r:id="rId1" w:history="1">
        <w:r w:rsidRPr="00180871">
          <w:rPr>
            <w:rStyle w:val="Hyperlink"/>
            <w:color w:val="0B0080"/>
            <w:sz w:val="18"/>
            <w:szCs w:val="18"/>
            <w:shd w:val="clear" w:color="auto" w:fill="FFFFFF"/>
          </w:rPr>
          <w:t xml:space="preserve">The paradigm shift in realising the right to </w:t>
        </w:r>
        <w:proofErr w:type="gramStart"/>
        <w:r w:rsidRPr="00180871">
          <w:rPr>
            <w:rStyle w:val="Hyperlink"/>
            <w:color w:val="0B0080"/>
            <w:sz w:val="18"/>
            <w:szCs w:val="18"/>
            <w:shd w:val="clear" w:color="auto" w:fill="FFFFFF"/>
          </w:rPr>
          <w:t>read :</w:t>
        </w:r>
        <w:proofErr w:type="gramEnd"/>
        <w:r w:rsidRPr="00180871">
          <w:rPr>
            <w:rStyle w:val="Hyperlink"/>
            <w:color w:val="0B0080"/>
            <w:sz w:val="18"/>
            <w:szCs w:val="18"/>
            <w:shd w:val="clear" w:color="auto" w:fill="FFFFFF"/>
          </w:rPr>
          <w:t xml:space="preserve"> how </w:t>
        </w:r>
        <w:proofErr w:type="spellStart"/>
        <w:r w:rsidRPr="00180871">
          <w:rPr>
            <w:rStyle w:val="Hyperlink"/>
            <w:color w:val="0B0080"/>
            <w:sz w:val="18"/>
            <w:szCs w:val="18"/>
            <w:shd w:val="clear" w:color="auto" w:fill="FFFFFF"/>
          </w:rPr>
          <w:t>ebook</w:t>
        </w:r>
        <w:proofErr w:type="spellEnd"/>
        <w:r w:rsidRPr="00180871">
          <w:rPr>
            <w:rStyle w:val="Hyperlink"/>
            <w:color w:val="0B0080"/>
            <w:sz w:val="18"/>
            <w:szCs w:val="18"/>
            <w:shd w:val="clear" w:color="auto" w:fill="FFFFFF"/>
          </w:rPr>
          <w:t xml:space="preserve"> libraries are enabling in the university sector.</w:t>
        </w:r>
        <w:r w:rsidRPr="00180871">
          <w:rPr>
            <w:rStyle w:val="apple-converted-space"/>
            <w:color w:val="0B0080"/>
            <w:sz w:val="18"/>
            <w:szCs w:val="18"/>
            <w:shd w:val="clear" w:color="auto" w:fill="FFFFFF"/>
          </w:rPr>
          <w:t> </w:t>
        </w:r>
      </w:hyperlink>
      <w:r w:rsidRPr="00180871">
        <w:rPr>
          <w:rStyle w:val="Emphasis"/>
          <w:color w:val="000000"/>
          <w:sz w:val="18"/>
          <w:szCs w:val="18"/>
          <w:shd w:val="clear" w:color="auto" w:fill="FFFFFF"/>
        </w:rPr>
        <w:t>Disability and Society</w:t>
      </w:r>
      <w:r w:rsidRPr="00180871">
        <w:rPr>
          <w:color w:val="000000"/>
          <w:sz w:val="18"/>
          <w:szCs w:val="18"/>
          <w:shd w:val="clear" w:color="auto" w:fill="FFFFFF"/>
        </w:rPr>
        <w:t>,</w:t>
      </w:r>
      <w:r w:rsidRPr="00180871">
        <w:rPr>
          <w:rStyle w:val="apple-converted-space"/>
          <w:color w:val="000000"/>
          <w:sz w:val="18"/>
          <w:szCs w:val="18"/>
          <w:shd w:val="clear" w:color="auto" w:fill="FFFFFF"/>
        </w:rPr>
        <w:t> </w:t>
      </w:r>
      <w:r w:rsidRPr="00180871">
        <w:rPr>
          <w:rStyle w:val="Emphasis"/>
          <w:color w:val="000000"/>
          <w:sz w:val="18"/>
          <w:szCs w:val="18"/>
          <w:shd w:val="clear" w:color="auto" w:fill="FFFFFF"/>
        </w:rPr>
        <w:t>29</w:t>
      </w:r>
      <w:r w:rsidRPr="00180871">
        <w:rPr>
          <w:color w:val="000000"/>
          <w:sz w:val="18"/>
          <w:szCs w:val="18"/>
          <w:shd w:val="clear" w:color="auto" w:fill="FFFFFF"/>
        </w:rPr>
        <w:t>(10), pp. 1658-1671.</w:t>
      </w:r>
    </w:p>
  </w:footnote>
  <w:footnote w:id="2">
    <w:p w:rsidR="000D5582" w:rsidRPr="00180871" w:rsidRDefault="000D5582" w:rsidP="000D5582">
      <w:pPr>
        <w:pStyle w:val="FootnoteText"/>
        <w:rPr>
          <w:sz w:val="18"/>
          <w:szCs w:val="18"/>
        </w:rPr>
      </w:pPr>
      <w:r w:rsidRPr="00180871">
        <w:rPr>
          <w:rStyle w:val="FootnoteReference"/>
          <w:sz w:val="18"/>
          <w:szCs w:val="18"/>
        </w:rPr>
        <w:footnoteRef/>
      </w:r>
      <w:r w:rsidRPr="00180871">
        <w:rPr>
          <w:sz w:val="18"/>
          <w:szCs w:val="18"/>
        </w:rPr>
        <w:t xml:space="preserve"> See </w:t>
      </w:r>
      <w:proofErr w:type="spellStart"/>
      <w:r w:rsidR="00180871">
        <w:rPr>
          <w:rStyle w:val="personname"/>
          <w:color w:val="000000"/>
          <w:sz w:val="18"/>
          <w:szCs w:val="18"/>
          <w:shd w:val="clear" w:color="auto" w:fill="FFFFFF"/>
        </w:rPr>
        <w:t>Harpur</w:t>
      </w:r>
      <w:proofErr w:type="spellEnd"/>
      <w:r w:rsidR="00180871">
        <w:rPr>
          <w:rStyle w:val="personname"/>
          <w:color w:val="000000"/>
          <w:sz w:val="18"/>
          <w:szCs w:val="18"/>
          <w:shd w:val="clear" w:color="auto" w:fill="FFFFFF"/>
        </w:rPr>
        <w:t xml:space="preserve">, Paul </w:t>
      </w:r>
      <w:r w:rsidRPr="00180871">
        <w:rPr>
          <w:color w:val="000000"/>
          <w:sz w:val="18"/>
          <w:szCs w:val="18"/>
          <w:shd w:val="clear" w:color="auto" w:fill="FFFFFF"/>
        </w:rPr>
        <w:t>&amp;</w:t>
      </w:r>
      <w:r w:rsidRPr="00180871">
        <w:rPr>
          <w:rStyle w:val="apple-converted-space"/>
          <w:color w:val="000000"/>
          <w:sz w:val="18"/>
          <w:szCs w:val="18"/>
          <w:shd w:val="clear" w:color="auto" w:fill="FFFFFF"/>
        </w:rPr>
        <w:t> </w:t>
      </w:r>
      <w:proofErr w:type="spellStart"/>
      <w:r w:rsidRPr="00180871">
        <w:rPr>
          <w:rStyle w:val="personname"/>
          <w:color w:val="000000"/>
          <w:sz w:val="18"/>
          <w:szCs w:val="18"/>
          <w:shd w:val="clear" w:color="auto" w:fill="FFFFFF"/>
        </w:rPr>
        <w:t>Suzor</w:t>
      </w:r>
      <w:proofErr w:type="spellEnd"/>
      <w:r w:rsidRPr="00180871">
        <w:rPr>
          <w:rStyle w:val="personname"/>
          <w:color w:val="000000"/>
          <w:sz w:val="18"/>
          <w:szCs w:val="18"/>
          <w:shd w:val="clear" w:color="auto" w:fill="FFFFFF"/>
        </w:rPr>
        <w:t>, Nicolas P.</w:t>
      </w:r>
      <w:r w:rsidRPr="00180871">
        <w:rPr>
          <w:rStyle w:val="apple-converted-space"/>
          <w:color w:val="000000"/>
          <w:sz w:val="18"/>
          <w:szCs w:val="18"/>
          <w:shd w:val="clear" w:color="auto" w:fill="FFFFFF"/>
        </w:rPr>
        <w:t> </w:t>
      </w:r>
      <w:r w:rsidRPr="00180871">
        <w:rPr>
          <w:color w:val="000000"/>
          <w:sz w:val="18"/>
          <w:szCs w:val="18"/>
          <w:shd w:val="clear" w:color="auto" w:fill="FFFFFF"/>
        </w:rPr>
        <w:t>(2013)</w:t>
      </w:r>
      <w:r w:rsidRPr="00180871">
        <w:rPr>
          <w:rStyle w:val="apple-converted-space"/>
          <w:color w:val="000000"/>
          <w:sz w:val="18"/>
          <w:szCs w:val="18"/>
          <w:shd w:val="clear" w:color="auto" w:fill="FFFFFF"/>
        </w:rPr>
        <w:t> </w:t>
      </w:r>
      <w:hyperlink r:id="rId2" w:history="1">
        <w:r w:rsidRPr="00180871">
          <w:rPr>
            <w:rStyle w:val="Hyperlink"/>
            <w:color w:val="0B0080"/>
            <w:sz w:val="18"/>
            <w:szCs w:val="18"/>
            <w:shd w:val="clear" w:color="auto" w:fill="FFFFFF"/>
          </w:rPr>
          <w:t xml:space="preserve">Copyright protections and disability </w:t>
        </w:r>
        <w:proofErr w:type="gramStart"/>
        <w:r w:rsidRPr="00180871">
          <w:rPr>
            <w:rStyle w:val="Hyperlink"/>
            <w:color w:val="0B0080"/>
            <w:sz w:val="18"/>
            <w:szCs w:val="18"/>
            <w:shd w:val="clear" w:color="auto" w:fill="FFFFFF"/>
          </w:rPr>
          <w:t>rights :</w:t>
        </w:r>
        <w:proofErr w:type="gramEnd"/>
        <w:r w:rsidRPr="00180871">
          <w:rPr>
            <w:rStyle w:val="Hyperlink"/>
            <w:color w:val="0B0080"/>
            <w:sz w:val="18"/>
            <w:szCs w:val="18"/>
            <w:shd w:val="clear" w:color="auto" w:fill="FFFFFF"/>
          </w:rPr>
          <w:t xml:space="preserve"> turning the page to a new international paradigm.</w:t>
        </w:r>
        <w:r w:rsidRPr="00180871">
          <w:rPr>
            <w:rStyle w:val="apple-converted-space"/>
            <w:color w:val="0B0080"/>
            <w:sz w:val="18"/>
            <w:szCs w:val="18"/>
            <w:shd w:val="clear" w:color="auto" w:fill="FFFFFF"/>
          </w:rPr>
          <w:t> </w:t>
        </w:r>
      </w:hyperlink>
      <w:r w:rsidRPr="00180871">
        <w:rPr>
          <w:rStyle w:val="Emphasis"/>
          <w:color w:val="000000"/>
          <w:sz w:val="18"/>
          <w:szCs w:val="18"/>
          <w:shd w:val="clear" w:color="auto" w:fill="FFFFFF"/>
        </w:rPr>
        <w:t>University of New South Wales Law Journal</w:t>
      </w:r>
      <w:r w:rsidRPr="00180871">
        <w:rPr>
          <w:color w:val="000000"/>
          <w:sz w:val="18"/>
          <w:szCs w:val="18"/>
          <w:shd w:val="clear" w:color="auto" w:fill="FFFFFF"/>
        </w:rPr>
        <w:t>,</w:t>
      </w:r>
      <w:r w:rsidRPr="00180871">
        <w:rPr>
          <w:rStyle w:val="apple-converted-space"/>
          <w:color w:val="000000"/>
          <w:sz w:val="18"/>
          <w:szCs w:val="18"/>
          <w:shd w:val="clear" w:color="auto" w:fill="FFFFFF"/>
        </w:rPr>
        <w:t> </w:t>
      </w:r>
      <w:r w:rsidRPr="00180871">
        <w:rPr>
          <w:rStyle w:val="Emphasis"/>
          <w:color w:val="000000"/>
          <w:sz w:val="18"/>
          <w:szCs w:val="18"/>
          <w:shd w:val="clear" w:color="auto" w:fill="FFFFFF"/>
        </w:rPr>
        <w:t>36</w:t>
      </w:r>
      <w:r w:rsidR="00094D75">
        <w:rPr>
          <w:color w:val="000000"/>
          <w:sz w:val="18"/>
          <w:szCs w:val="18"/>
          <w:shd w:val="clear" w:color="auto" w:fill="FFFFFF"/>
        </w:rPr>
        <w:t>(3), pp. 745-778 at pp 753-7.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806C8"/>
    <w:multiLevelType w:val="hybridMultilevel"/>
    <w:tmpl w:val="24F65BA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2"/>
    <w:rsid w:val="0001705D"/>
    <w:rsid w:val="00094D75"/>
    <w:rsid w:val="000A233C"/>
    <w:rsid w:val="000A6050"/>
    <w:rsid w:val="000D5582"/>
    <w:rsid w:val="00117A3A"/>
    <w:rsid w:val="00142232"/>
    <w:rsid w:val="00180871"/>
    <w:rsid w:val="002060F8"/>
    <w:rsid w:val="002064AD"/>
    <w:rsid w:val="002D2882"/>
    <w:rsid w:val="00313BFC"/>
    <w:rsid w:val="003E0FFA"/>
    <w:rsid w:val="0041487B"/>
    <w:rsid w:val="00526CA2"/>
    <w:rsid w:val="0053509C"/>
    <w:rsid w:val="006A5A92"/>
    <w:rsid w:val="008D20BB"/>
    <w:rsid w:val="009739FF"/>
    <w:rsid w:val="00B6647E"/>
    <w:rsid w:val="00B6723A"/>
    <w:rsid w:val="00E5313B"/>
    <w:rsid w:val="00F0404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AE19A-045C-4CC7-9221-7E2F8D0A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2882"/>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A92"/>
    <w:rPr>
      <w:color w:val="0000FF" w:themeColor="hyperlink"/>
      <w:u w:val="single"/>
    </w:rPr>
  </w:style>
  <w:style w:type="paragraph" w:styleId="ListParagraph">
    <w:name w:val="List Paragraph"/>
    <w:basedOn w:val="Normal"/>
    <w:uiPriority w:val="34"/>
    <w:qFormat/>
    <w:rsid w:val="006A5A92"/>
    <w:pPr>
      <w:ind w:left="720"/>
      <w:contextualSpacing/>
    </w:pPr>
  </w:style>
  <w:style w:type="paragraph" w:styleId="FootnoteText">
    <w:name w:val="footnote text"/>
    <w:basedOn w:val="Normal"/>
    <w:link w:val="FootnoteTextChar"/>
    <w:uiPriority w:val="99"/>
    <w:semiHidden/>
    <w:unhideWhenUsed/>
    <w:rsid w:val="00B672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23A"/>
    <w:rPr>
      <w:sz w:val="20"/>
      <w:szCs w:val="20"/>
    </w:rPr>
  </w:style>
  <w:style w:type="character" w:styleId="FootnoteReference">
    <w:name w:val="footnote reference"/>
    <w:basedOn w:val="DefaultParagraphFont"/>
    <w:uiPriority w:val="99"/>
    <w:semiHidden/>
    <w:unhideWhenUsed/>
    <w:rsid w:val="00B6723A"/>
    <w:rPr>
      <w:vertAlign w:val="superscript"/>
    </w:rPr>
  </w:style>
  <w:style w:type="character" w:customStyle="1" w:styleId="personname">
    <w:name w:val="person_name"/>
    <w:basedOn w:val="DefaultParagraphFont"/>
    <w:rsid w:val="00B6723A"/>
  </w:style>
  <w:style w:type="character" w:customStyle="1" w:styleId="apple-converted-space">
    <w:name w:val="apple-converted-space"/>
    <w:basedOn w:val="DefaultParagraphFont"/>
    <w:rsid w:val="00B6723A"/>
  </w:style>
  <w:style w:type="character" w:styleId="Emphasis">
    <w:name w:val="Emphasis"/>
    <w:basedOn w:val="DefaultParagraphFont"/>
    <w:uiPriority w:val="20"/>
    <w:qFormat/>
    <w:rsid w:val="00B6723A"/>
    <w:rPr>
      <w:i/>
      <w:iCs/>
    </w:rPr>
  </w:style>
  <w:style w:type="character" w:customStyle="1" w:styleId="Heading1Char">
    <w:name w:val="Heading 1 Char"/>
    <w:basedOn w:val="DefaultParagraphFont"/>
    <w:link w:val="Heading1"/>
    <w:uiPriority w:val="9"/>
    <w:rsid w:val="002D288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uzor@qut.edu.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prints.qut.edu.au/61501/" TargetMode="External"/><Relationship Id="rId1" Type="http://schemas.openxmlformats.org/officeDocument/2006/relationships/hyperlink" Target="http://eprints.qut.edu.au/78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512D-4E17-4AAC-9D54-402FF1A1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26—Submission—Associate Professor Nicolas Suzor—Updating Australia's copyright laws</dc:title>
  <dc:creator>Nic Suzor</dc:creator>
  <cp:lastModifiedBy>Department of Communications and the Arts</cp:lastModifiedBy>
  <cp:revision>4</cp:revision>
  <cp:lastPrinted>2016-02-11T23:28:00Z</cp:lastPrinted>
  <dcterms:created xsi:type="dcterms:W3CDTF">2016-10-18T03:44:00Z</dcterms:created>
  <dcterms:modified xsi:type="dcterms:W3CDTF">2017-02-28T07:05:00Z</dcterms:modified>
</cp:coreProperties>
</file>