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B4800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37D618EB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2B86BEF2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6B582001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2ED0BB41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18AC6DE1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2A000C3C" w14:textId="77777777" w:rsidR="005D05D4" w:rsidRDefault="005D05D4" w:rsidP="00236253">
      <w:pPr>
        <w:pStyle w:val="BCRReporttitle"/>
        <w:spacing w:after="0"/>
        <w:rPr>
          <w:rFonts w:asciiTheme="minorHAnsi" w:hAnsiTheme="minorHAnsi" w:cstheme="minorHAnsi"/>
          <w:sz w:val="72"/>
        </w:rPr>
      </w:pPr>
    </w:p>
    <w:p w14:paraId="5EE215D0" w14:textId="4001B010" w:rsidR="005D05D4" w:rsidRPr="00BF5377" w:rsidRDefault="009633A2" w:rsidP="00236253">
      <w:pPr>
        <w:pStyle w:val="BCRReporttitle"/>
        <w:spacing w:after="0"/>
        <w:ind w:right="678"/>
      </w:pPr>
      <w:r>
        <w:t>Leading Indicators</w:t>
      </w:r>
    </w:p>
    <w:p w14:paraId="226BB95C" w14:textId="2143E885" w:rsidR="005D05D4" w:rsidRDefault="009633A2" w:rsidP="00236253">
      <w:pPr>
        <w:pStyle w:val="BCRBodytext"/>
        <w:spacing w:before="0"/>
        <w:rPr>
          <w:rFonts w:eastAsia="Times New Roman" w:cs="Times New Roman"/>
          <w:bCs/>
          <w:i/>
          <w:color w:val="AA0F14"/>
          <w:sz w:val="40"/>
          <w:szCs w:val="48"/>
        </w:rPr>
      </w:pPr>
      <w:r>
        <w:rPr>
          <w:rFonts w:eastAsia="Times New Roman" w:cs="Times New Roman"/>
          <w:bCs/>
          <w:i/>
          <w:color w:val="AA0F14"/>
          <w:sz w:val="40"/>
          <w:szCs w:val="48"/>
        </w:rPr>
        <w:t>Second release</w:t>
      </w:r>
    </w:p>
    <w:p w14:paraId="19B2CE5F" w14:textId="2EA2044C" w:rsidR="005D05D4" w:rsidRPr="00BF5377" w:rsidRDefault="009633A2" w:rsidP="00236253">
      <w:pPr>
        <w:pStyle w:val="BCRBodytext"/>
        <w:spacing w:before="0"/>
      </w:pPr>
      <w:r>
        <w:t>March</w:t>
      </w:r>
      <w:r w:rsidR="005D05D4">
        <w:t xml:space="preserve"> 2015</w:t>
      </w:r>
    </w:p>
    <w:p w14:paraId="7BA3E514" w14:textId="77777777" w:rsidR="00A03917" w:rsidRPr="009F0020" w:rsidRDefault="005D05D4" w:rsidP="00236253">
      <w:pPr>
        <w:pStyle w:val="Documenttype"/>
        <w:spacing w:before="0"/>
        <w:jc w:val="center"/>
        <w:rPr>
          <w:rFonts w:asciiTheme="minorHAnsi" w:hAnsiTheme="minorHAnsi" w:cstheme="minorHAnsi"/>
          <w:sz w:val="7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2CACC98" wp14:editId="4917B903">
            <wp:simplePos x="0" y="0"/>
            <wp:positionH relativeFrom="page">
              <wp:posOffset>9705</wp:posOffset>
            </wp:positionH>
            <wp:positionV relativeFrom="page">
              <wp:posOffset>-9525</wp:posOffset>
            </wp:positionV>
            <wp:extent cx="7559040" cy="10692384"/>
            <wp:effectExtent l="0" t="0" r="1016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836E9" w14:textId="77777777" w:rsidR="00A03917" w:rsidRPr="009F0020" w:rsidRDefault="00A03917" w:rsidP="00236253">
      <w:pPr>
        <w:pStyle w:val="Documenttype"/>
        <w:spacing w:before="0"/>
        <w:jc w:val="center"/>
        <w:rPr>
          <w:rFonts w:asciiTheme="minorHAnsi" w:hAnsiTheme="minorHAnsi" w:cstheme="minorHAnsi"/>
          <w:sz w:val="72"/>
        </w:rPr>
      </w:pPr>
    </w:p>
    <w:p w14:paraId="3F7F7238" w14:textId="77777777" w:rsidR="00A03917" w:rsidRPr="009F0020" w:rsidRDefault="00A03917" w:rsidP="00236253">
      <w:pPr>
        <w:pStyle w:val="Titleheading"/>
        <w:spacing w:after="0"/>
        <w:rPr>
          <w:rFonts w:cstheme="minorHAnsi"/>
        </w:rPr>
      </w:pPr>
    </w:p>
    <w:p w14:paraId="174DA590" w14:textId="77777777" w:rsidR="00A03917" w:rsidRPr="009F0020" w:rsidRDefault="00A03917" w:rsidP="00236253">
      <w:pPr>
        <w:pStyle w:val="Titleheading"/>
        <w:spacing w:after="0"/>
        <w:rPr>
          <w:rFonts w:cstheme="minorHAnsi"/>
          <w:i/>
          <w:color w:val="900000"/>
          <w:sz w:val="56"/>
          <w:szCs w:val="56"/>
        </w:rPr>
      </w:pPr>
      <w:bookmarkStart w:id="0" w:name="_Toc402426282"/>
      <w:bookmarkStart w:id="1" w:name="_Toc403039642"/>
      <w:bookmarkStart w:id="2" w:name="_Toc405280737"/>
      <w:bookmarkStart w:id="3" w:name="_Toc409102230"/>
      <w:bookmarkStart w:id="4" w:name="_Toc409102315"/>
      <w:bookmarkStart w:id="5" w:name="_Toc409596362"/>
      <w:bookmarkEnd w:id="0"/>
      <w:bookmarkEnd w:id="1"/>
      <w:bookmarkEnd w:id="2"/>
      <w:bookmarkEnd w:id="3"/>
      <w:bookmarkEnd w:id="4"/>
      <w:bookmarkEnd w:id="5"/>
    </w:p>
    <w:p w14:paraId="18D54946" w14:textId="77777777" w:rsidR="00A03917" w:rsidRPr="009F0020" w:rsidRDefault="00A03917" w:rsidP="00236253">
      <w:pPr>
        <w:pStyle w:val="BodyText"/>
        <w:spacing w:before="0" w:after="0"/>
        <w:rPr>
          <w:rFonts w:cstheme="minorHAnsi"/>
        </w:rPr>
        <w:sectPr w:rsidR="00A03917" w:rsidRPr="009F0020" w:rsidSect="005D05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737" w:bottom="567" w:left="1560" w:header="284" w:footer="284" w:gutter="0"/>
          <w:cols w:space="708"/>
          <w:docGrid w:linePitch="360"/>
        </w:sectPr>
      </w:pPr>
    </w:p>
    <w:p w14:paraId="30DF2CE3" w14:textId="76A3CCC4" w:rsidR="00F95509" w:rsidRPr="00125B62" w:rsidRDefault="00F95509" w:rsidP="0053679E">
      <w:pPr>
        <w:pStyle w:val="Heading1"/>
      </w:pPr>
      <w:bookmarkStart w:id="6" w:name="_Toc411248736"/>
      <w:bookmarkStart w:id="7" w:name="_Toc402356892"/>
      <w:r w:rsidRPr="004927AC">
        <w:lastRenderedPageBreak/>
        <w:t>Introduction</w:t>
      </w:r>
      <w:r w:rsidRPr="005D05D4">
        <w:t xml:space="preserve"> </w:t>
      </w:r>
      <w:bookmarkEnd w:id="6"/>
    </w:p>
    <w:p w14:paraId="2F0FADDB" w14:textId="0DB4F63C" w:rsidR="00514363" w:rsidRDefault="009633A2" w:rsidP="00D24DE7">
      <w:pPr>
        <w:pStyle w:val="BCRBodytext"/>
        <w:rPr>
          <w:rFonts w:eastAsiaTheme="majorEastAsia" w:cstheme="majorBidi"/>
        </w:rPr>
      </w:pPr>
      <w:r w:rsidRPr="0031667F">
        <w:t xml:space="preserve">The </w:t>
      </w:r>
      <w:r>
        <w:t>Bureau of Communication Research (</w:t>
      </w:r>
      <w:r w:rsidRPr="0031667F">
        <w:t>BCR</w:t>
      </w:r>
      <w:r>
        <w:t>)</w:t>
      </w:r>
      <w:r w:rsidRPr="0031667F">
        <w:t xml:space="preserve"> support</w:t>
      </w:r>
      <w:r w:rsidR="00082B3E">
        <w:t>s</w:t>
      </w:r>
      <w:r w:rsidRPr="0031667F">
        <w:t xml:space="preserve"> the development of good public policy and informed policy discussion </w:t>
      </w:r>
      <w:r w:rsidR="006B2E64">
        <w:t>for digital technologies, communications networks and services</w:t>
      </w:r>
      <w:r w:rsidR="00EC2BB6">
        <w:t>.</w:t>
      </w:r>
      <w:r w:rsidRPr="0031667F">
        <w:t xml:space="preserve"> As part of this, </w:t>
      </w:r>
      <w:r w:rsidR="006B2E64">
        <w:t xml:space="preserve">its </w:t>
      </w:r>
      <w:r w:rsidRPr="0031667F">
        <w:t xml:space="preserve">Leading Indicators </w:t>
      </w:r>
      <w:r w:rsidR="00EC2BB6">
        <w:t xml:space="preserve">project </w:t>
      </w:r>
      <w:r w:rsidRPr="0031667F">
        <w:t>framework</w:t>
      </w:r>
      <w:r w:rsidR="00EC2BB6">
        <w:t xml:space="preserve"> is </w:t>
      </w:r>
      <w:r w:rsidR="00082B3E">
        <w:t>generating snapshots around recent data releases to build</w:t>
      </w:r>
      <w:r w:rsidR="00EC2BB6">
        <w:t xml:space="preserve"> insight</w:t>
      </w:r>
      <w:r w:rsidR="00082B3E">
        <w:t>s</w:t>
      </w:r>
      <w:r w:rsidR="00EC2BB6">
        <w:t xml:space="preserve"> </w:t>
      </w:r>
      <w:r w:rsidR="00082B3E">
        <w:t>into</w:t>
      </w:r>
      <w:r w:rsidR="00EC2BB6">
        <w:t xml:space="preserve"> </w:t>
      </w:r>
      <w:r w:rsidR="003F45DF">
        <w:t xml:space="preserve">the </w:t>
      </w:r>
      <w:r w:rsidRPr="0031667F">
        <w:t>communications sector</w:t>
      </w:r>
      <w:r w:rsidR="004927AC">
        <w:t>. In this release we profile</w:t>
      </w:r>
      <w:r w:rsidRPr="0031667F">
        <w:t>:</w:t>
      </w:r>
    </w:p>
    <w:p w14:paraId="3F30E249" w14:textId="10ED874E" w:rsidR="00514363" w:rsidRPr="00334E3E" w:rsidRDefault="00EC2BB6" w:rsidP="00D24DE7">
      <w:pPr>
        <w:pStyle w:val="Bullet1"/>
        <w:rPr>
          <w:rFonts w:eastAsiaTheme="majorEastAsia"/>
        </w:rPr>
      </w:pPr>
      <w:r w:rsidRPr="003F45DF">
        <w:rPr>
          <w:rFonts w:eastAsiaTheme="majorEastAsia"/>
        </w:rPr>
        <w:t>C</w:t>
      </w:r>
      <w:r w:rsidR="009633A2" w:rsidRPr="003F45DF">
        <w:rPr>
          <w:rFonts w:eastAsiaTheme="majorEastAsia"/>
        </w:rPr>
        <w:t>onsumption patterns –</w:t>
      </w:r>
      <w:r w:rsidR="00172923">
        <w:rPr>
          <w:rFonts w:eastAsiaTheme="majorEastAsia"/>
        </w:rPr>
        <w:t xml:space="preserve"> </w:t>
      </w:r>
      <w:r w:rsidRPr="003F45DF">
        <w:rPr>
          <w:rFonts w:eastAsiaTheme="majorEastAsia"/>
        </w:rPr>
        <w:t>recent</w:t>
      </w:r>
      <w:r w:rsidR="00172923">
        <w:rPr>
          <w:rFonts w:eastAsiaTheme="majorEastAsia"/>
        </w:rPr>
        <w:t xml:space="preserve"> </w:t>
      </w:r>
      <w:r w:rsidRPr="003F45DF">
        <w:rPr>
          <w:rFonts w:eastAsiaTheme="majorEastAsia"/>
        </w:rPr>
        <w:t>data for public access to government information online provides insight</w:t>
      </w:r>
      <w:r w:rsidR="006B2E64">
        <w:rPr>
          <w:rFonts w:eastAsiaTheme="majorEastAsia"/>
        </w:rPr>
        <w:t>s</w:t>
      </w:r>
      <w:r w:rsidRPr="003F45DF">
        <w:rPr>
          <w:rFonts w:eastAsiaTheme="majorEastAsia"/>
        </w:rPr>
        <w:t xml:space="preserve"> </w:t>
      </w:r>
      <w:r w:rsidR="006B2E64">
        <w:rPr>
          <w:rFonts w:eastAsiaTheme="majorEastAsia"/>
        </w:rPr>
        <w:t>in</w:t>
      </w:r>
      <w:r w:rsidRPr="003F45DF">
        <w:rPr>
          <w:rFonts w:eastAsiaTheme="majorEastAsia"/>
        </w:rPr>
        <w:t xml:space="preserve">to evolving consumer behaviour patterns including </w:t>
      </w:r>
      <w:r w:rsidR="009633A2" w:rsidRPr="003F45DF">
        <w:rPr>
          <w:rFonts w:eastAsiaTheme="majorEastAsia"/>
        </w:rPr>
        <w:t>the adoption and use of digital services</w:t>
      </w:r>
      <w:r w:rsidR="00B963F7" w:rsidRPr="003F45DF">
        <w:rPr>
          <w:rFonts w:eastAsiaTheme="majorEastAsia"/>
        </w:rPr>
        <w:t>.</w:t>
      </w:r>
      <w:r w:rsidR="009633A2" w:rsidRPr="003F45DF">
        <w:rPr>
          <w:rFonts w:eastAsiaTheme="majorEastAsia"/>
        </w:rPr>
        <w:t xml:space="preserve"> </w:t>
      </w:r>
    </w:p>
    <w:p w14:paraId="6C58D788" w14:textId="092C4748" w:rsidR="003F45DF" w:rsidRPr="00334E3E" w:rsidRDefault="00B963F7" w:rsidP="00D24DE7">
      <w:pPr>
        <w:pStyle w:val="Bullet1"/>
        <w:rPr>
          <w:rFonts w:eastAsiaTheme="majorEastAsia"/>
        </w:rPr>
      </w:pPr>
      <w:r w:rsidRPr="003F45DF">
        <w:rPr>
          <w:rFonts w:eastAsiaTheme="majorEastAsia"/>
        </w:rPr>
        <w:t>I</w:t>
      </w:r>
      <w:r w:rsidR="009633A2" w:rsidRPr="003F45DF">
        <w:rPr>
          <w:rFonts w:eastAsiaTheme="majorEastAsia"/>
        </w:rPr>
        <w:t>ndustry growth –</w:t>
      </w:r>
      <w:r w:rsidR="003F45DF">
        <w:rPr>
          <w:rFonts w:eastAsiaTheme="majorEastAsia"/>
        </w:rPr>
        <w:t xml:space="preserve"> </w:t>
      </w:r>
      <w:r w:rsidRPr="003F45DF">
        <w:rPr>
          <w:rFonts w:eastAsiaTheme="majorEastAsia"/>
        </w:rPr>
        <w:t xml:space="preserve">trends for 457 visa grants and holders in the </w:t>
      </w:r>
      <w:r w:rsidR="006B2E64">
        <w:rPr>
          <w:rFonts w:eastAsiaTheme="majorEastAsia"/>
        </w:rPr>
        <w:t>t</w:t>
      </w:r>
      <w:r w:rsidRPr="003F45DF">
        <w:rPr>
          <w:rFonts w:eastAsiaTheme="majorEastAsia"/>
        </w:rPr>
        <w:t xml:space="preserve">elecommunications sector against the backdrop of employment trends for the sector </w:t>
      </w:r>
      <w:r w:rsidR="003F45DF">
        <w:rPr>
          <w:rFonts w:eastAsiaTheme="majorEastAsia"/>
        </w:rPr>
        <w:t>indicates</w:t>
      </w:r>
      <w:r w:rsidRPr="003F45DF">
        <w:rPr>
          <w:rFonts w:eastAsiaTheme="majorEastAsia"/>
        </w:rPr>
        <w:t xml:space="preserve"> how employers are meeting their labour requirements</w:t>
      </w:r>
      <w:r w:rsidR="003F45DF">
        <w:rPr>
          <w:rFonts w:eastAsiaTheme="majorEastAsia"/>
        </w:rPr>
        <w:t>.</w:t>
      </w:r>
      <w:r w:rsidRPr="003F45DF">
        <w:rPr>
          <w:rFonts w:eastAsiaTheme="majorEastAsia"/>
        </w:rPr>
        <w:t xml:space="preserve"> </w:t>
      </w:r>
    </w:p>
    <w:p w14:paraId="34D5E568" w14:textId="7C2C7390" w:rsidR="002A157C" w:rsidRPr="00894951" w:rsidRDefault="003F45DF" w:rsidP="00D24DE7">
      <w:pPr>
        <w:pStyle w:val="Bullet1"/>
        <w:rPr>
          <w:rFonts w:eastAsiaTheme="majorEastAsia"/>
        </w:rPr>
      </w:pPr>
      <w:r w:rsidRPr="003F45DF">
        <w:rPr>
          <w:rFonts w:eastAsiaTheme="majorEastAsia"/>
        </w:rPr>
        <w:t>Industry investment</w:t>
      </w:r>
      <w:r w:rsidR="00172923">
        <w:rPr>
          <w:rFonts w:eastAsiaTheme="majorEastAsia"/>
        </w:rPr>
        <w:t xml:space="preserve"> </w:t>
      </w:r>
      <w:r w:rsidRPr="003F45DF">
        <w:rPr>
          <w:rFonts w:eastAsiaTheme="majorEastAsia"/>
        </w:rPr>
        <w:t>–</w:t>
      </w:r>
      <w:r>
        <w:rPr>
          <w:rFonts w:eastAsiaTheme="majorEastAsia"/>
        </w:rPr>
        <w:t xml:space="preserve"> </w:t>
      </w:r>
      <w:r w:rsidRPr="003F45DF">
        <w:rPr>
          <w:rFonts w:eastAsiaTheme="majorEastAsia"/>
        </w:rPr>
        <w:t xml:space="preserve">pre-committed investment </w:t>
      </w:r>
      <w:r>
        <w:rPr>
          <w:rFonts w:eastAsiaTheme="majorEastAsia"/>
        </w:rPr>
        <w:t xml:space="preserve">for construction in the </w:t>
      </w:r>
      <w:r w:rsidR="006B2E64">
        <w:rPr>
          <w:rFonts w:eastAsiaTheme="majorEastAsia"/>
        </w:rPr>
        <w:t>t</w:t>
      </w:r>
      <w:r w:rsidRPr="003F45DF">
        <w:rPr>
          <w:rFonts w:eastAsiaTheme="majorEastAsia"/>
        </w:rPr>
        <w:t>elecommunications sector help</w:t>
      </w:r>
      <w:r>
        <w:rPr>
          <w:rFonts w:eastAsiaTheme="majorEastAsia"/>
        </w:rPr>
        <w:t>s</w:t>
      </w:r>
      <w:r w:rsidRPr="003F45DF">
        <w:rPr>
          <w:rFonts w:eastAsiaTheme="majorEastAsia"/>
        </w:rPr>
        <w:t xml:space="preserve"> foreshadow further growth, just as low levels of pre-committed funds may pre-empt a downturn in the sector. </w:t>
      </w:r>
    </w:p>
    <w:bookmarkEnd w:id="7"/>
    <w:p w14:paraId="5C56237D" w14:textId="77777777" w:rsidR="00236253" w:rsidRPr="00266439" w:rsidRDefault="00236253" w:rsidP="00D24DE7">
      <w:pPr>
        <w:pStyle w:val="Heading1"/>
      </w:pPr>
      <w:r w:rsidRPr="00266439">
        <w:t xml:space="preserve">Consumption </w:t>
      </w:r>
      <w:r>
        <w:t>p</w:t>
      </w:r>
      <w:r w:rsidRPr="00266439">
        <w:t xml:space="preserve">atterns: </w:t>
      </w:r>
      <w:r>
        <w:t>open data</w:t>
      </w:r>
    </w:p>
    <w:p w14:paraId="76FC4CD4" w14:textId="7CCEEBEF" w:rsidR="00894951" w:rsidRPr="002B4EAD" w:rsidRDefault="005F0FA5" w:rsidP="001A3C18">
      <w:pPr>
        <w:pStyle w:val="BCRBodytext"/>
      </w:pPr>
      <w:r w:rsidRPr="002B4EAD">
        <w:t>Datasets accessed on</w:t>
      </w:r>
      <w:r w:rsidR="006E04A4" w:rsidRPr="002B4EAD">
        <w:t xml:space="preserve"> Australia’s national open data website </w:t>
      </w:r>
      <w:r w:rsidR="006E04A4" w:rsidRPr="00D24DE7">
        <w:t>data.gov.au</w:t>
      </w:r>
      <w:r w:rsidR="006E04A4" w:rsidRPr="002B4EAD">
        <w:t>, show an 18 per cent increase in the number of views of published government data over</w:t>
      </w:r>
      <w:r w:rsidR="0095495C" w:rsidRPr="002B4EAD">
        <w:t xml:space="preserve"> the</w:t>
      </w:r>
      <w:r w:rsidR="006E04A4" w:rsidRPr="002B4EAD">
        <w:t xml:space="preserve"> twelve months to</w:t>
      </w:r>
      <w:r w:rsidRPr="002B4EAD">
        <w:t xml:space="preserve"> October 2014, </w:t>
      </w:r>
      <w:r w:rsidR="006E04A4" w:rsidRPr="002B4EAD">
        <w:t>and an increase in public access of data across levels of government.</w:t>
      </w:r>
      <w:r w:rsidR="00FF5A60">
        <w:rPr>
          <w:rStyle w:val="FootnoteReference"/>
        </w:rPr>
        <w:footnoteReference w:id="2"/>
      </w:r>
      <w:r w:rsidR="00FF5A60">
        <w:t xml:space="preserve"> </w:t>
      </w:r>
    </w:p>
    <w:p w14:paraId="28F2DFE9" w14:textId="1CEC31BA" w:rsidR="008571E2" w:rsidRPr="002B4EAD" w:rsidRDefault="00403175" w:rsidP="002B4EAD">
      <w:pPr>
        <w:pStyle w:val="BCRBodytext"/>
      </w:pPr>
      <w:r w:rsidRPr="002B4EAD">
        <w:t xml:space="preserve">Of the top </w:t>
      </w:r>
      <w:r w:rsidR="002B4EAD">
        <w:t>10</w:t>
      </w:r>
      <w:r w:rsidRPr="002B4EAD">
        <w:t xml:space="preserve"> datasets, l</w:t>
      </w:r>
      <w:r w:rsidR="006E04A4" w:rsidRPr="002B4EAD">
        <w:t xml:space="preserve">ocation data for government services is the most popular, in particular </w:t>
      </w:r>
      <w:r w:rsidR="00236253" w:rsidRPr="002B4EAD">
        <w:t>Medicare office</w:t>
      </w:r>
      <w:r w:rsidR="006E04A4" w:rsidRPr="002B4EAD">
        <w:t>s</w:t>
      </w:r>
      <w:r w:rsidR="00236253" w:rsidRPr="002B4EAD">
        <w:t xml:space="preserve"> (</w:t>
      </w:r>
      <w:r w:rsidR="002B4EAD">
        <w:t>63</w:t>
      </w:r>
      <w:r w:rsidRPr="002B4EAD">
        <w:t xml:space="preserve"> per cent</w:t>
      </w:r>
      <w:r w:rsidR="00236253" w:rsidRPr="002B4EAD">
        <w:t>)</w:t>
      </w:r>
      <w:r w:rsidR="006E04A4" w:rsidRPr="002B4EAD">
        <w:t xml:space="preserve"> and </w:t>
      </w:r>
      <w:r w:rsidR="00236253" w:rsidRPr="002B4EAD">
        <w:t>Centrelink office</w:t>
      </w:r>
      <w:r w:rsidR="006E04A4" w:rsidRPr="002B4EAD">
        <w:t>s</w:t>
      </w:r>
      <w:r w:rsidR="00236253" w:rsidRPr="002B4EAD">
        <w:t xml:space="preserve"> (</w:t>
      </w:r>
      <w:r w:rsidR="00053589">
        <w:t>26</w:t>
      </w:r>
      <w:r w:rsidRPr="002B4EAD">
        <w:t xml:space="preserve"> per cent</w:t>
      </w:r>
      <w:r w:rsidR="00236253" w:rsidRPr="002B4EAD">
        <w:t>)</w:t>
      </w:r>
      <w:r w:rsidR="006E04A4" w:rsidRPr="002B4EAD">
        <w:t xml:space="preserve"> with </w:t>
      </w:r>
      <w:r w:rsidR="00236253" w:rsidRPr="002B4EAD">
        <w:t>the Federal Budget 2014-15</w:t>
      </w:r>
      <w:r w:rsidRPr="002B4EAD">
        <w:t xml:space="preserve"> (2 per cent</w:t>
      </w:r>
      <w:r w:rsidR="00236253" w:rsidRPr="002B4EAD">
        <w:t>)</w:t>
      </w:r>
      <w:r w:rsidR="006E04A4" w:rsidRPr="002B4EAD">
        <w:t xml:space="preserve"> </w:t>
      </w:r>
      <w:r w:rsidR="00236253" w:rsidRPr="002B4EAD">
        <w:t>in May</w:t>
      </w:r>
      <w:r w:rsidR="005C2122" w:rsidRPr="002B4EAD">
        <w:t xml:space="preserve"> representing the top three datasets accessed</w:t>
      </w:r>
      <w:r w:rsidR="00236253" w:rsidRPr="002B4EAD">
        <w:t>.</w:t>
      </w:r>
    </w:p>
    <w:p w14:paraId="651FD6C6" w14:textId="18A09CCE" w:rsidR="00894951" w:rsidRPr="002B4EAD" w:rsidRDefault="00236253" w:rsidP="001A3C18">
      <w:pPr>
        <w:pStyle w:val="BCRBodytext"/>
      </w:pPr>
      <w:r w:rsidRPr="002B4EAD">
        <w:t>Datasets from state and territory governments</w:t>
      </w:r>
      <w:r w:rsidR="00172923" w:rsidRPr="002B4EAD">
        <w:t xml:space="preserve"> – </w:t>
      </w:r>
      <w:r w:rsidRPr="002B4EAD">
        <w:t>such</w:t>
      </w:r>
      <w:r w:rsidR="00172923" w:rsidRPr="002B4EAD">
        <w:t xml:space="preserve"> </w:t>
      </w:r>
      <w:r w:rsidRPr="002B4EAD">
        <w:t xml:space="preserve">as ACT Magistrates Court </w:t>
      </w:r>
      <w:r w:rsidR="005C2122" w:rsidRPr="002B4EAD">
        <w:t>j</w:t>
      </w:r>
      <w:r w:rsidRPr="002B4EAD">
        <w:t>udgements and Victorian school locations</w:t>
      </w:r>
      <w:r w:rsidR="00172923" w:rsidRPr="002B4EAD">
        <w:t xml:space="preserve"> – </w:t>
      </w:r>
      <w:r w:rsidR="005C2122" w:rsidRPr="002B4EAD">
        <w:t>were</w:t>
      </w:r>
      <w:r w:rsidR="00172923" w:rsidRPr="002B4EAD">
        <w:t xml:space="preserve"> </w:t>
      </w:r>
      <w:r w:rsidR="005C2122" w:rsidRPr="002B4EAD">
        <w:t>also reflected in the top ten sites visited together with l</w:t>
      </w:r>
      <w:r w:rsidRPr="002B4EAD">
        <w:t xml:space="preserve">ocal government </w:t>
      </w:r>
      <w:r w:rsidR="005C2122" w:rsidRPr="002B4EAD">
        <w:t>Brisbane City Council</w:t>
      </w:r>
      <w:r w:rsidR="005C2122" w:rsidRPr="002B4EAD" w:rsidDel="005C2122">
        <w:t xml:space="preserve"> </w:t>
      </w:r>
      <w:r w:rsidR="005C2122" w:rsidRPr="002B4EAD">
        <w:t>p</w:t>
      </w:r>
      <w:r w:rsidRPr="002B4EAD">
        <w:t xml:space="preserve">arking </w:t>
      </w:r>
      <w:r w:rsidR="005C2122" w:rsidRPr="002B4EAD">
        <w:t>m</w:t>
      </w:r>
      <w:r w:rsidRPr="002B4EAD">
        <w:t xml:space="preserve">eter </w:t>
      </w:r>
      <w:r w:rsidR="005C2122" w:rsidRPr="002B4EAD">
        <w:t>a</w:t>
      </w:r>
      <w:r w:rsidR="00894951" w:rsidRPr="002B4EAD">
        <w:t>reas.</w:t>
      </w:r>
    </w:p>
    <w:p w14:paraId="0511CEDD" w14:textId="7A79EA5E" w:rsidR="00236253" w:rsidRPr="00D63749" w:rsidRDefault="00917145" w:rsidP="00491C07">
      <w:pPr>
        <w:pStyle w:val="Figurecaption"/>
      </w:pPr>
      <w:r>
        <w:t>Table 1</w:t>
      </w:r>
      <w:r w:rsidR="00491C07">
        <w:t>:</w:t>
      </w:r>
      <w:r w:rsidR="00491C07">
        <w:tab/>
      </w:r>
      <w:r>
        <w:t xml:space="preserve">Top </w:t>
      </w:r>
      <w:r w:rsidR="002B4EAD">
        <w:t>10</w:t>
      </w:r>
      <w:r>
        <w:t xml:space="preserve"> datasets visited on data.gov.au</w:t>
      </w:r>
    </w:p>
    <w:tbl>
      <w:tblPr>
        <w:tblStyle w:val="GridTable4-Accent21"/>
        <w:tblW w:w="9918" w:type="dxa"/>
        <w:tblLook w:val="04A0" w:firstRow="1" w:lastRow="0" w:firstColumn="1" w:lastColumn="0" w:noHBand="0" w:noVBand="1"/>
      </w:tblPr>
      <w:tblGrid>
        <w:gridCol w:w="7518"/>
        <w:gridCol w:w="2400"/>
      </w:tblGrid>
      <w:tr w:rsidR="00236253" w:rsidRPr="00D63749" w14:paraId="696EE149" w14:textId="77777777" w:rsidTr="00D24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</w:tcPr>
          <w:p w14:paraId="199655F9" w14:textId="23E7E41F" w:rsidR="00236253" w:rsidRPr="00D24DE7" w:rsidRDefault="00844A1D" w:rsidP="00D24DE7">
            <w:pPr>
              <w:spacing w:before="0"/>
              <w:rPr>
                <w:rFonts w:ascii="Calibri" w:hAnsi="Calibri"/>
                <w:color w:val="000000"/>
              </w:rPr>
            </w:pPr>
            <w:bookmarkStart w:id="8" w:name="_GoBack" w:colFirst="0" w:colLast="2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Datasets</w:t>
            </w:r>
          </w:p>
        </w:tc>
        <w:tc>
          <w:tcPr>
            <w:tcW w:w="2400" w:type="dxa"/>
            <w:noWrap/>
          </w:tcPr>
          <w:p w14:paraId="376CF139" w14:textId="77777777" w:rsidR="00236253" w:rsidRPr="00D52353" w:rsidRDefault="00236253" w:rsidP="00EB286A">
            <w:pPr>
              <w:spacing w:before="0"/>
              <w:ind w:left="733" w:right="6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52353">
              <w:rPr>
                <w:rFonts w:ascii="Calibri" w:eastAsia="Times New Roman" w:hAnsi="Calibri" w:cs="Times New Roman"/>
                <w:color w:val="000000"/>
                <w:lang w:eastAsia="en-AU"/>
              </w:rPr>
              <w:t>Visits</w:t>
            </w:r>
          </w:p>
        </w:tc>
      </w:tr>
      <w:tr w:rsidR="00236253" w:rsidRPr="00D63749" w14:paraId="6CC15755" w14:textId="77777777" w:rsidTr="00D24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  <w:hideMark/>
          </w:tcPr>
          <w:p w14:paraId="5DC59598" w14:textId="04145E87" w:rsidR="00236253" w:rsidRPr="00D24DE7" w:rsidRDefault="0091673D" w:rsidP="00236253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Location of Medicare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offices, Department of Human Services</w:t>
            </w:r>
          </w:p>
        </w:tc>
        <w:tc>
          <w:tcPr>
            <w:tcW w:w="2400" w:type="dxa"/>
            <w:noWrap/>
            <w:hideMark/>
          </w:tcPr>
          <w:p w14:paraId="0008CD87" w14:textId="77777777" w:rsidR="00236253" w:rsidRPr="00D63749" w:rsidRDefault="00236253" w:rsidP="00D24DE7">
            <w:pPr>
              <w:spacing w:before="0"/>
              <w:ind w:left="449" w:right="7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180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815</w:t>
            </w:r>
          </w:p>
        </w:tc>
      </w:tr>
      <w:tr w:rsidR="00236253" w:rsidRPr="00D63749" w14:paraId="5720659A" w14:textId="77777777" w:rsidTr="00D24D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  <w:hideMark/>
          </w:tcPr>
          <w:p w14:paraId="504046EC" w14:textId="1C7B00BD" w:rsidR="00236253" w:rsidRPr="00D24DE7" w:rsidRDefault="0091673D" w:rsidP="0091673D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Location of </w:t>
            </w:r>
            <w:r w:rsidR="00236253" w:rsidRPr="00D52353">
              <w:rPr>
                <w:rFonts w:ascii="Calibri" w:hAnsi="Calibri"/>
                <w:color w:val="000000"/>
              </w:rPr>
              <w:t xml:space="preserve">Centrelink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o</w:t>
            </w:r>
            <w:r w:rsidR="00236253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ffices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, Department of Human Services </w:t>
            </w:r>
          </w:p>
        </w:tc>
        <w:tc>
          <w:tcPr>
            <w:tcW w:w="2400" w:type="dxa"/>
            <w:noWrap/>
            <w:hideMark/>
          </w:tcPr>
          <w:p w14:paraId="4CEDBAB4" w14:textId="77777777" w:rsidR="00236253" w:rsidRPr="00D63749" w:rsidRDefault="00236253" w:rsidP="00D24DE7">
            <w:pPr>
              <w:spacing w:before="0"/>
              <w:ind w:left="449" w:right="74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75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757</w:t>
            </w:r>
          </w:p>
        </w:tc>
      </w:tr>
      <w:tr w:rsidR="00236253" w:rsidRPr="00D63749" w14:paraId="1D03DEC5" w14:textId="77777777" w:rsidTr="00D24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  <w:hideMark/>
          </w:tcPr>
          <w:p w14:paraId="10E6B976" w14:textId="403BA72A" w:rsidR="00236253" w:rsidRPr="00D24DE7" w:rsidRDefault="00705E71" w:rsidP="00F01A7F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Federal </w:t>
            </w:r>
            <w:r w:rsidR="00236253" w:rsidRPr="00D52353">
              <w:rPr>
                <w:rFonts w:ascii="Calibri" w:hAnsi="Calibri"/>
                <w:color w:val="000000"/>
              </w:rPr>
              <w:t>Budget 2014-15</w:t>
            </w:r>
            <w:r w:rsidRPr="00D52353">
              <w:rPr>
                <w:rFonts w:ascii="Calibri" w:hAnsi="Calibri"/>
                <w:color w:val="000000"/>
              </w:rPr>
              <w:t xml:space="preserve">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t</w:t>
            </w:r>
            <w:r w:rsidR="00236253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ables</w:t>
            </w:r>
            <w:r w:rsidR="00F01A7F">
              <w:rPr>
                <w:rFonts w:ascii="Calibri" w:hAnsi="Calibri"/>
                <w:color w:val="000000"/>
              </w:rPr>
              <w:t xml:space="preserve"> </w:t>
            </w:r>
            <w:r w:rsidR="00236253" w:rsidRPr="00D52353">
              <w:rPr>
                <w:rFonts w:ascii="Calibri" w:hAnsi="Calibri"/>
                <w:color w:val="000000"/>
              </w:rPr>
              <w:t xml:space="preserve">and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d</w:t>
            </w:r>
            <w:r w:rsidR="00236253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ata</w:t>
            </w:r>
            <w:r w:rsidR="009167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, Department of Finance</w:t>
            </w:r>
          </w:p>
        </w:tc>
        <w:tc>
          <w:tcPr>
            <w:tcW w:w="2400" w:type="dxa"/>
            <w:noWrap/>
            <w:hideMark/>
          </w:tcPr>
          <w:p w14:paraId="7E65A8A6" w14:textId="77777777" w:rsidR="00236253" w:rsidRPr="00D63749" w:rsidRDefault="00236253" w:rsidP="00D24DE7">
            <w:pPr>
              <w:spacing w:before="0"/>
              <w:ind w:left="449" w:right="7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629</w:t>
            </w:r>
          </w:p>
        </w:tc>
      </w:tr>
      <w:tr w:rsidR="00236253" w:rsidRPr="00D63749" w14:paraId="719205AB" w14:textId="77777777" w:rsidTr="00D24D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  <w:hideMark/>
          </w:tcPr>
          <w:p w14:paraId="3885E5C9" w14:textId="4B88D4AB" w:rsidR="00236253" w:rsidRPr="00D24DE7" w:rsidRDefault="00236253" w:rsidP="0091673D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 w:rsidRPr="00D52353">
              <w:rPr>
                <w:rFonts w:ascii="Calibri" w:hAnsi="Calibri"/>
                <w:color w:val="000000"/>
              </w:rPr>
              <w:t xml:space="preserve">ACT Magistrates Court </w:t>
            </w:r>
            <w:r w:rsidR="009167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j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udgements</w:t>
            </w:r>
            <w:r w:rsidR="009167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, ACT </w:t>
            </w:r>
            <w:r w:rsidR="0057537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Government </w:t>
            </w:r>
            <w:r w:rsidR="009167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Justice and Community Safety Directorate</w:t>
            </w:r>
          </w:p>
        </w:tc>
        <w:tc>
          <w:tcPr>
            <w:tcW w:w="2400" w:type="dxa"/>
            <w:noWrap/>
            <w:hideMark/>
          </w:tcPr>
          <w:p w14:paraId="03CD2F08" w14:textId="77777777" w:rsidR="00236253" w:rsidRPr="00D63749" w:rsidRDefault="00236253" w:rsidP="00D24DE7">
            <w:pPr>
              <w:spacing w:before="0"/>
              <w:ind w:left="449" w:right="74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445</w:t>
            </w:r>
          </w:p>
        </w:tc>
      </w:tr>
      <w:tr w:rsidR="00236253" w:rsidRPr="00D63749" w14:paraId="598ACB82" w14:textId="77777777" w:rsidTr="00D24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  <w:hideMark/>
          </w:tcPr>
          <w:p w14:paraId="09F06111" w14:textId="5B5378DD" w:rsidR="00236253" w:rsidRPr="00D24DE7" w:rsidRDefault="00705E71" w:rsidP="00236253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Victorian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</w:t>
            </w:r>
            <w:r w:rsidR="00236253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chool</w:t>
            </w:r>
            <w:r w:rsidR="009167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l</w:t>
            </w:r>
            <w:r w:rsidR="00236253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ocations</w:t>
            </w:r>
            <w:r w:rsidR="0091673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, Victorian Department of Education and Early Childhood Development </w:t>
            </w:r>
          </w:p>
        </w:tc>
        <w:tc>
          <w:tcPr>
            <w:tcW w:w="2400" w:type="dxa"/>
            <w:noWrap/>
            <w:hideMark/>
          </w:tcPr>
          <w:p w14:paraId="65C88B09" w14:textId="77777777" w:rsidR="00236253" w:rsidRPr="00D63749" w:rsidRDefault="00236253" w:rsidP="00D24DE7">
            <w:pPr>
              <w:spacing w:before="0"/>
              <w:ind w:left="449" w:right="7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277</w:t>
            </w:r>
          </w:p>
        </w:tc>
      </w:tr>
      <w:tr w:rsidR="00236253" w:rsidRPr="00D63749" w14:paraId="6C2ACAE2" w14:textId="77777777" w:rsidTr="00D24D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  <w:hideMark/>
          </w:tcPr>
          <w:p w14:paraId="3CAE2201" w14:textId="2C36F075" w:rsidR="00236253" w:rsidRPr="00D24DE7" w:rsidRDefault="00236253" w:rsidP="00236253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National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p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ublic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t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oilet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m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ap</w:t>
            </w:r>
            <w:r w:rsidR="0057537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, </w:t>
            </w:r>
            <w:r w:rsidR="00575373">
              <w:rPr>
                <w:rFonts w:ascii="Calibri" w:hAnsi="Calibri"/>
                <w:color w:val="000000"/>
              </w:rPr>
              <w:t>Department of Social Services</w:t>
            </w:r>
            <w:r w:rsidR="00925C0F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(DSS)</w:t>
            </w:r>
          </w:p>
        </w:tc>
        <w:tc>
          <w:tcPr>
            <w:tcW w:w="2400" w:type="dxa"/>
            <w:noWrap/>
            <w:hideMark/>
          </w:tcPr>
          <w:p w14:paraId="7F5B49CA" w14:textId="52B3939E" w:rsidR="00236253" w:rsidRPr="00D63749" w:rsidRDefault="00236253" w:rsidP="00D24DE7">
            <w:pPr>
              <w:spacing w:before="0"/>
              <w:ind w:left="449" w:right="74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614</w:t>
            </w:r>
          </w:p>
        </w:tc>
      </w:tr>
      <w:tr w:rsidR="00255033" w:rsidRPr="00D63749" w14:paraId="74A45449" w14:textId="77777777" w:rsidTr="00EB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</w:tcPr>
          <w:p w14:paraId="5B328690" w14:textId="68B533EF" w:rsidR="00255033" w:rsidRPr="00D52353" w:rsidRDefault="00925C0F" w:rsidP="00925C0F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DSS payment demographic data, DSS</w:t>
            </w:r>
          </w:p>
        </w:tc>
        <w:tc>
          <w:tcPr>
            <w:tcW w:w="2400" w:type="dxa"/>
            <w:noWrap/>
          </w:tcPr>
          <w:p w14:paraId="3C611D0D" w14:textId="700082E6" w:rsidR="00255033" w:rsidRPr="00D63749" w:rsidRDefault="00255033" w:rsidP="00EB286A">
            <w:pPr>
              <w:spacing w:before="0"/>
              <w:ind w:left="449" w:right="7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392</w:t>
            </w:r>
          </w:p>
        </w:tc>
      </w:tr>
      <w:tr w:rsidR="005A74BF" w:rsidRPr="00D63749" w14:paraId="46342940" w14:textId="77777777" w:rsidTr="00D24D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</w:tcPr>
          <w:p w14:paraId="74B6CA1C" w14:textId="4E32E971" w:rsidR="005A74BF" w:rsidRPr="00D24DE7" w:rsidRDefault="005A74BF" w:rsidP="00EE23ED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 w:rsidRPr="00D52353">
              <w:rPr>
                <w:rFonts w:ascii="Calibri" w:hAnsi="Calibri"/>
                <w:color w:val="000000"/>
              </w:rPr>
              <w:t xml:space="preserve">Parking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m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eter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a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reas</w:t>
            </w:r>
            <w:r w:rsidR="00EE23E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,</w:t>
            </w:r>
            <w:r w:rsidR="00EE23ED">
              <w:rPr>
                <w:rFonts w:ascii="Calibri" w:hAnsi="Calibri"/>
                <w:color w:val="000000"/>
              </w:rPr>
              <w:t xml:space="preserve"> </w:t>
            </w:r>
            <w:r w:rsidRPr="00D52353">
              <w:rPr>
                <w:rFonts w:ascii="Calibri" w:hAnsi="Calibri"/>
                <w:color w:val="000000"/>
              </w:rPr>
              <w:t>Brisbane</w:t>
            </w:r>
            <w:r w:rsidR="00F01A7F">
              <w:rPr>
                <w:rFonts w:ascii="Calibri" w:hAnsi="Calibri"/>
                <w:color w:val="000000"/>
              </w:rPr>
              <w:t xml:space="preserve"> </w:t>
            </w:r>
            <w:r w:rsidRPr="00D52353">
              <w:rPr>
                <w:rFonts w:ascii="Calibri" w:hAnsi="Calibri"/>
                <w:color w:val="000000"/>
              </w:rPr>
              <w:t>City Council</w:t>
            </w:r>
          </w:p>
        </w:tc>
        <w:tc>
          <w:tcPr>
            <w:tcW w:w="2400" w:type="dxa"/>
            <w:noWrap/>
          </w:tcPr>
          <w:p w14:paraId="23747834" w14:textId="41311019" w:rsidR="005A74BF" w:rsidRPr="00D63749" w:rsidRDefault="005A74BF" w:rsidP="00D24DE7">
            <w:pPr>
              <w:spacing w:before="0"/>
              <w:ind w:left="449" w:right="74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383</w:t>
            </w:r>
          </w:p>
        </w:tc>
      </w:tr>
      <w:tr w:rsidR="005A74BF" w:rsidRPr="00D63749" w14:paraId="5E64EB1A" w14:textId="77777777" w:rsidTr="00D24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  <w:hideMark/>
          </w:tcPr>
          <w:p w14:paraId="40B62DB9" w14:textId="1232741D" w:rsidR="005A74BF" w:rsidRPr="00D24DE7" w:rsidRDefault="00EE23ED" w:rsidP="00EE23ED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NSW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crime data, NSW Bureau of </w:t>
            </w:r>
            <w:r>
              <w:rPr>
                <w:rFonts w:ascii="Calibri" w:hAnsi="Calibri"/>
                <w:color w:val="000000"/>
              </w:rPr>
              <w:t xml:space="preserve">Crime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Statistics and Research</w:t>
            </w:r>
          </w:p>
        </w:tc>
        <w:tc>
          <w:tcPr>
            <w:tcW w:w="2400" w:type="dxa"/>
            <w:noWrap/>
            <w:hideMark/>
          </w:tcPr>
          <w:p w14:paraId="2804E228" w14:textId="200A238D" w:rsidR="005A74BF" w:rsidRPr="00D63749" w:rsidRDefault="005A74BF" w:rsidP="00D24DE7">
            <w:pPr>
              <w:spacing w:before="0"/>
              <w:ind w:left="449" w:right="74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325</w:t>
            </w:r>
          </w:p>
        </w:tc>
      </w:tr>
      <w:tr w:rsidR="005A74BF" w:rsidRPr="00D63749" w14:paraId="03E2CBCB" w14:textId="77777777" w:rsidTr="00D24DE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noWrap/>
          </w:tcPr>
          <w:p w14:paraId="609C24BA" w14:textId="349D2AC4" w:rsidR="005A74BF" w:rsidRPr="00D24DE7" w:rsidRDefault="005A74BF" w:rsidP="005A74BF">
            <w:pPr>
              <w:spacing w:before="0"/>
              <w:rPr>
                <w:rFonts w:ascii="Calibri" w:hAnsi="Calibri"/>
                <w:b w:val="0"/>
                <w:color w:val="000000"/>
              </w:rPr>
            </w:pPr>
            <w:r w:rsidRPr="00D52353">
              <w:rPr>
                <w:rFonts w:ascii="Calibri" w:hAnsi="Calibri"/>
                <w:color w:val="000000"/>
              </w:rPr>
              <w:t xml:space="preserve">Energy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r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ating </w:t>
            </w:r>
            <w:r w:rsidR="000B048C"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d</w:t>
            </w:r>
            <w:r w:rsidRPr="00D5235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ata</w:t>
            </w:r>
            <w:r w:rsidR="00F01A7F">
              <w:rPr>
                <w:rFonts w:ascii="Calibri" w:hAnsi="Calibri"/>
                <w:color w:val="000000"/>
              </w:rPr>
              <w:t xml:space="preserve"> </w:t>
            </w:r>
            <w:r w:rsidR="00EE23ED">
              <w:rPr>
                <w:rFonts w:ascii="Calibri" w:hAnsi="Calibri"/>
                <w:color w:val="000000"/>
              </w:rPr>
              <w:t xml:space="preserve">for </w:t>
            </w:r>
            <w:r w:rsidRPr="00D52353">
              <w:rPr>
                <w:rFonts w:ascii="Calibri" w:hAnsi="Calibri"/>
                <w:color w:val="000000"/>
              </w:rPr>
              <w:t>household appliances</w:t>
            </w:r>
            <w:r w:rsidR="00EE23E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, Department of Industry and Science</w:t>
            </w:r>
          </w:p>
        </w:tc>
        <w:tc>
          <w:tcPr>
            <w:tcW w:w="2400" w:type="dxa"/>
            <w:noWrap/>
          </w:tcPr>
          <w:p w14:paraId="6139DD11" w14:textId="794222EE" w:rsidR="005A74BF" w:rsidRPr="00D63749" w:rsidRDefault="005A74BF" w:rsidP="00D24DE7">
            <w:pPr>
              <w:spacing w:before="0"/>
              <w:ind w:left="449" w:right="74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63749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63749">
              <w:rPr>
                <w:rFonts w:ascii="Calibri" w:hAnsi="Calibri"/>
                <w:color w:val="000000"/>
              </w:rPr>
              <w:t>334</w:t>
            </w:r>
          </w:p>
        </w:tc>
      </w:tr>
    </w:tbl>
    <w:bookmarkEnd w:id="8"/>
    <w:p w14:paraId="4C5ACCAA" w14:textId="51B975EC" w:rsidR="00236253" w:rsidRDefault="009A7B3C" w:rsidP="00236253">
      <w:pPr>
        <w:pStyle w:val="BCRBodytext"/>
        <w:spacing w:before="0"/>
        <w:rPr>
          <w:rStyle w:val="Hyperlink"/>
          <w:color w:val="auto"/>
          <w:u w:val="none"/>
        </w:rPr>
      </w:pPr>
      <w:r w:rsidRPr="00BF1321">
        <w:rPr>
          <w:sz w:val="16"/>
          <w:szCs w:val="16"/>
        </w:rPr>
        <w:t>Source:</w:t>
      </w:r>
      <w:r>
        <w:rPr>
          <w:sz w:val="16"/>
          <w:szCs w:val="16"/>
        </w:rPr>
        <w:t xml:space="preserve"> Data.gov.au</w:t>
      </w:r>
      <w:r w:rsidR="00D815CB">
        <w:rPr>
          <w:sz w:val="16"/>
          <w:szCs w:val="16"/>
        </w:rPr>
        <w:t>, October 2013 – October 2014</w:t>
      </w:r>
    </w:p>
    <w:p w14:paraId="4F3421EA" w14:textId="77777777" w:rsidR="00236253" w:rsidRPr="00266439" w:rsidRDefault="00236253" w:rsidP="00D24DE7">
      <w:pPr>
        <w:pStyle w:val="Heading1"/>
      </w:pPr>
      <w:r w:rsidRPr="00266439">
        <w:lastRenderedPageBreak/>
        <w:t xml:space="preserve">Industry </w:t>
      </w:r>
      <w:r w:rsidRPr="004927AC">
        <w:t>growth</w:t>
      </w:r>
    </w:p>
    <w:p w14:paraId="52F32734" w14:textId="1A77060D" w:rsidR="00874B45" w:rsidRDefault="00874B45" w:rsidP="00334E3E">
      <w:pPr>
        <w:pStyle w:val="BCRBodytext"/>
      </w:pPr>
      <w:r>
        <w:t>Despite the slower growth rate in information, media and technology sector (IMT) 457 visa employees and approved grants in 2013-14, overall employment in the IMT industry rose by six per cent to 209,100.  A comparison between 457 visa holders and industry employment trends may indicate that employers are looking to the skilled domestic market to meet demand in the short to medium term.</w:t>
      </w:r>
    </w:p>
    <w:p w14:paraId="1E05EA3F" w14:textId="3A15020B" w:rsidR="00236253" w:rsidRDefault="00917145" w:rsidP="00D24DE7">
      <w:pPr>
        <w:pStyle w:val="BCRBodytext"/>
      </w:pPr>
      <w:r>
        <w:t>The subclass 457 visa program</w:t>
      </w:r>
      <w:r w:rsidR="00236253">
        <w:t xml:space="preserve"> is designed to address labour shortages in industries where employers are unable to find appropriately skilled workers locally. The program </w:t>
      </w:r>
      <w:r w:rsidR="00514363">
        <w:t xml:space="preserve">is </w:t>
      </w:r>
      <w:r w:rsidR="00236253">
        <w:t xml:space="preserve">driven by demand </w:t>
      </w:r>
      <w:r w:rsidR="00514363">
        <w:t>from</w:t>
      </w:r>
      <w:r w:rsidR="00236253">
        <w:t xml:space="preserve"> employers</w:t>
      </w:r>
      <w:r w:rsidR="007E0CC1">
        <w:t xml:space="preserve"> and data available reflects workers currently employed in Australia (holders) and approved applications yet to commence (grants)</w:t>
      </w:r>
      <w:r w:rsidR="00FF5A60">
        <w:t>.</w:t>
      </w:r>
      <w:r w:rsidR="00236253">
        <w:rPr>
          <w:rStyle w:val="FootnoteReference"/>
        </w:rPr>
        <w:footnoteReference w:id="3"/>
      </w:r>
    </w:p>
    <w:p w14:paraId="57DA3C4E" w14:textId="7D6D6BED" w:rsidR="00917145" w:rsidRDefault="007E0CC1" w:rsidP="00D24DE7">
      <w:pPr>
        <w:pStyle w:val="BCRBodytext"/>
      </w:pPr>
      <w:r>
        <w:t xml:space="preserve">Between </w:t>
      </w:r>
      <w:r w:rsidR="006333E5">
        <w:t>2009-10</w:t>
      </w:r>
      <w:r w:rsidR="00236253">
        <w:t xml:space="preserve"> </w:t>
      </w:r>
      <w:r>
        <w:t xml:space="preserve">and </w:t>
      </w:r>
      <w:r w:rsidR="006333E5">
        <w:t>2011-</w:t>
      </w:r>
      <w:r w:rsidR="00236253">
        <w:t>12, 457 visa grants in the IMT industry nearly doubled</w:t>
      </w:r>
      <w:r>
        <w:t xml:space="preserve">, flowing through to an </w:t>
      </w:r>
      <w:r w:rsidR="00236253">
        <w:t>expan</w:t>
      </w:r>
      <w:r>
        <w:t>sion in</w:t>
      </w:r>
      <w:r w:rsidR="00236253">
        <w:t xml:space="preserve"> </w:t>
      </w:r>
      <w:r w:rsidR="006333E5">
        <w:t xml:space="preserve">the </w:t>
      </w:r>
      <w:r w:rsidR="00236253">
        <w:t>number of 457 visa holders</w:t>
      </w:r>
      <w:r w:rsidR="00917145">
        <w:t xml:space="preserve"> in the industry</w:t>
      </w:r>
      <w:r>
        <w:t xml:space="preserve"> (40 per cent</w:t>
      </w:r>
      <w:r w:rsidDel="007E0CC1">
        <w:t xml:space="preserve"> </w:t>
      </w:r>
      <w:r>
        <w:t>i</w:t>
      </w:r>
      <w:r w:rsidR="00236253">
        <w:t>n the same period</w:t>
      </w:r>
      <w:r>
        <w:t>)</w:t>
      </w:r>
      <w:r w:rsidR="00236253">
        <w:t xml:space="preserve">. </w:t>
      </w:r>
      <w:r w:rsidR="00917145">
        <w:t>In the IMT industry, g</w:t>
      </w:r>
      <w:r w:rsidR="00236253">
        <w:t xml:space="preserve">rants have since </w:t>
      </w:r>
      <w:r>
        <w:t xml:space="preserve">decreased </w:t>
      </w:r>
      <w:r w:rsidR="00236253">
        <w:t>by 22 per cent to 5,820 in 20</w:t>
      </w:r>
      <w:r w:rsidR="006333E5">
        <w:t>13-</w:t>
      </w:r>
      <w:r w:rsidR="00236253">
        <w:t xml:space="preserve">14 and the growth rate in the number of visa holders </w:t>
      </w:r>
      <w:r>
        <w:t xml:space="preserve">has </w:t>
      </w:r>
      <w:r w:rsidR="00236253">
        <w:t>slow</w:t>
      </w:r>
      <w:r>
        <w:t>ed</w:t>
      </w:r>
      <w:r w:rsidR="00236253">
        <w:t xml:space="preserve"> to seven per cent for the same time period.</w:t>
      </w:r>
      <w:r w:rsidR="00D815CB" w:rsidRPr="00D24DE7">
        <w:rPr>
          <w:rStyle w:val="FootnoteReference"/>
        </w:rPr>
        <w:t xml:space="preserve"> </w:t>
      </w:r>
      <w:r w:rsidR="00D815CB">
        <w:rPr>
          <w:rStyle w:val="FootnoteReference"/>
        </w:rPr>
        <w:footnoteReference w:id="4"/>
      </w:r>
      <w:r w:rsidR="00236253">
        <w:t xml:space="preserve"> </w:t>
      </w:r>
    </w:p>
    <w:p w14:paraId="01368B8F" w14:textId="42FCD5EC" w:rsidR="00017EB8" w:rsidRDefault="00917145" w:rsidP="00017EB8">
      <w:pPr>
        <w:pStyle w:val="Figurecaption"/>
        <w:rPr>
          <w:rStyle w:val="BCRBodytextChar"/>
          <w:color w:val="auto"/>
        </w:rPr>
      </w:pPr>
      <w:r w:rsidRPr="00491C07">
        <w:rPr>
          <w:rStyle w:val="FigurecaptionCharChar"/>
          <w:b/>
        </w:rPr>
        <w:t xml:space="preserve">Figure </w:t>
      </w:r>
      <w:r w:rsidR="00491C07" w:rsidRPr="00491C07">
        <w:rPr>
          <w:rStyle w:val="FigurecaptionCharChar"/>
          <w:b/>
        </w:rPr>
        <w:t>2</w:t>
      </w:r>
      <w:r w:rsidRPr="00491C07">
        <w:rPr>
          <w:rStyle w:val="FigurecaptionCharChar"/>
          <w:b/>
        </w:rPr>
        <w:t>:</w:t>
      </w:r>
      <w:r w:rsidR="00491C07" w:rsidRPr="00491C07">
        <w:rPr>
          <w:rStyle w:val="FigurecaptionCharChar"/>
          <w:b/>
        </w:rPr>
        <w:tab/>
      </w:r>
      <w:r w:rsidRPr="00491C07">
        <w:rPr>
          <w:rStyle w:val="FigurecaptionCharChar"/>
          <w:b/>
        </w:rPr>
        <w:t>Number of 457 grants and holders, and total employment in IMT industry</w:t>
      </w:r>
      <w:r w:rsidRPr="00491C07">
        <w:rPr>
          <w:rStyle w:val="Hyperlink"/>
          <w:b w:val="0"/>
          <w:color w:val="auto"/>
          <w:sz w:val="16"/>
          <w:szCs w:val="16"/>
          <w:u w:val="none"/>
        </w:rPr>
        <w:t xml:space="preserve"> </w:t>
      </w:r>
    </w:p>
    <w:p w14:paraId="31B3DDA6" w14:textId="6B73A837" w:rsidR="009A7B3C" w:rsidRPr="001A3C18" w:rsidRDefault="00017EB8" w:rsidP="00D24DE7">
      <w:pPr>
        <w:pStyle w:val="Caption"/>
        <w:rPr>
          <w:rStyle w:val="BCRBodytextChar"/>
          <w:rFonts w:eastAsia="Calibri" w:cs="Times New Roman"/>
          <w:b/>
          <w:bCs/>
          <w:color w:val="808080" w:themeColor="background1" w:themeShade="80"/>
        </w:rPr>
      </w:pPr>
      <w:r>
        <w:rPr>
          <w:rStyle w:val="BCRBodytextChar"/>
          <w:noProof/>
          <w:color w:val="auto"/>
          <w:lang w:eastAsia="en-AU"/>
        </w:rPr>
        <w:drawing>
          <wp:inline distT="0" distB="0" distL="0" distR="0" wp14:anchorId="021F16AB" wp14:editId="04D49C0F">
            <wp:extent cx="5742940" cy="2487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B3C" w:rsidRPr="001A3C18">
        <w:rPr>
          <w:rStyle w:val="BCRBodytextChar"/>
          <w:color w:val="auto"/>
        </w:rPr>
        <w:t>Source: Department of Immigration and Border Protection</w:t>
      </w:r>
      <w:r w:rsidR="00C63A30">
        <w:rPr>
          <w:rStyle w:val="BCRBodytextChar"/>
          <w:color w:val="auto"/>
        </w:rPr>
        <w:t xml:space="preserve"> subclass 457 pivot tables, 2014; Australian Bureau of Statistics 6291.004 – Labour Force, Australia</w:t>
      </w:r>
      <w:r w:rsidR="00D238F8">
        <w:rPr>
          <w:rStyle w:val="BCRBodytextChar"/>
          <w:color w:val="auto"/>
        </w:rPr>
        <w:t>, August</w:t>
      </w:r>
      <w:r w:rsidR="00C63A30">
        <w:rPr>
          <w:rStyle w:val="BCRBodytextChar"/>
          <w:color w:val="auto"/>
        </w:rPr>
        <w:t xml:space="preserve"> 2014</w:t>
      </w:r>
    </w:p>
    <w:p w14:paraId="39CC16ED" w14:textId="77777777" w:rsidR="00241755" w:rsidRPr="00266439" w:rsidDel="00703428" w:rsidRDefault="00241755" w:rsidP="00D24DE7">
      <w:pPr>
        <w:pStyle w:val="Heading1"/>
      </w:pPr>
      <w:r>
        <w:t xml:space="preserve">Industry </w:t>
      </w:r>
      <w:r w:rsidRPr="004927AC">
        <w:t>investment</w:t>
      </w:r>
    </w:p>
    <w:p w14:paraId="59534E6B" w14:textId="40881A43" w:rsidR="00450775" w:rsidRDefault="00241755" w:rsidP="00450775">
      <w:pPr>
        <w:pStyle w:val="BCRBodytext"/>
      </w:pPr>
      <w:r>
        <w:t>Seasonally adjusted</w:t>
      </w:r>
      <w:r w:rsidRPr="00D63749">
        <w:t xml:space="preserve"> data on </w:t>
      </w:r>
      <w:r w:rsidR="00B4526D">
        <w:t xml:space="preserve">Australia’s </w:t>
      </w:r>
      <w:r w:rsidRPr="00D63749">
        <w:t>engineering construction activity</w:t>
      </w:r>
      <w:r>
        <w:t xml:space="preserve"> </w:t>
      </w:r>
      <w:r w:rsidR="00B4526D">
        <w:t xml:space="preserve">combines public and private sector </w:t>
      </w:r>
      <w:r w:rsidRPr="00D63749">
        <w:t xml:space="preserve">work </w:t>
      </w:r>
      <w:r>
        <w:t>‘</w:t>
      </w:r>
      <w:r w:rsidRPr="00D63749">
        <w:t>commenced</w:t>
      </w:r>
      <w:r>
        <w:t>’</w:t>
      </w:r>
      <w:r w:rsidRPr="00D63749">
        <w:t xml:space="preserve">, </w:t>
      </w:r>
      <w:r>
        <w:t>‘</w:t>
      </w:r>
      <w:r w:rsidRPr="00D63749">
        <w:t>done</w:t>
      </w:r>
      <w:r>
        <w:t>’</w:t>
      </w:r>
      <w:r w:rsidRPr="00D63749">
        <w:t xml:space="preserve">, and </w:t>
      </w:r>
      <w:r>
        <w:t>‘</w:t>
      </w:r>
      <w:r w:rsidRPr="00D63749">
        <w:t>yet to be done</w:t>
      </w:r>
      <w:r>
        <w:t>’</w:t>
      </w:r>
      <w:r w:rsidRPr="00D63749">
        <w:t>.</w:t>
      </w:r>
      <w:r w:rsidR="00B4526D" w:rsidRPr="00B4526D">
        <w:t xml:space="preserve"> </w:t>
      </w:r>
      <w:r w:rsidR="00B4526D" w:rsidRPr="00844A1D">
        <w:t xml:space="preserve">Based on </w:t>
      </w:r>
      <w:r w:rsidR="00053589">
        <w:t>e</w:t>
      </w:r>
      <w:r w:rsidR="00F36A5E" w:rsidRPr="00844A1D">
        <w:t xml:space="preserve">ngineering </w:t>
      </w:r>
      <w:r w:rsidR="00053589">
        <w:t>c</w:t>
      </w:r>
      <w:r w:rsidR="00F36A5E" w:rsidRPr="00844A1D">
        <w:t xml:space="preserve">onstruction </w:t>
      </w:r>
      <w:r w:rsidR="00053589">
        <w:t>a</w:t>
      </w:r>
      <w:r w:rsidR="00F36A5E" w:rsidRPr="00844A1D">
        <w:t>ctivity figures released on 1 October 2014</w:t>
      </w:r>
      <w:r w:rsidR="0095495C">
        <w:t>,</w:t>
      </w:r>
      <w:r w:rsidR="00B4526D" w:rsidRPr="00844A1D">
        <w:t xml:space="preserve"> t</w:t>
      </w:r>
      <w:r w:rsidR="00B4526D" w:rsidRPr="00491C07">
        <w:t xml:space="preserve">he telecommunications sector has outperformed other sectors in the economy. </w:t>
      </w:r>
    </w:p>
    <w:p w14:paraId="7CBAC5FD" w14:textId="4A0B4430" w:rsidR="00450775" w:rsidRDefault="00E141CE" w:rsidP="00450775">
      <w:pPr>
        <w:pStyle w:val="BCRBodytext"/>
      </w:pPr>
      <w:r>
        <w:t xml:space="preserve">However </w:t>
      </w:r>
      <w:r w:rsidR="00450775">
        <w:t xml:space="preserve">telecommunications </w:t>
      </w:r>
      <w:r>
        <w:t>w</w:t>
      </w:r>
      <w:r w:rsidRPr="00D63749">
        <w:t xml:space="preserve">ork </w:t>
      </w:r>
      <w:r>
        <w:t>‘</w:t>
      </w:r>
      <w:r w:rsidRPr="00D63749">
        <w:t>yet to be done</w:t>
      </w:r>
      <w:r>
        <w:t>’</w:t>
      </w:r>
      <w:r w:rsidRPr="00D63749">
        <w:t xml:space="preserve"> peaked in the fourth quarter of 2012 for both total engineering construction activity and, more specifically, for engineering construction. </w:t>
      </w:r>
      <w:r w:rsidR="00450775" w:rsidRPr="00450775">
        <w:t xml:space="preserve"> </w:t>
      </w:r>
      <w:r w:rsidR="00450775" w:rsidRPr="00D63749">
        <w:t>The telecommunications industry grew faster than the rest of the economy in the build up to the peak</w:t>
      </w:r>
      <w:r w:rsidR="00450775">
        <w:t xml:space="preserve"> in 2012</w:t>
      </w:r>
      <w:r w:rsidR="00450775" w:rsidRPr="00D63749">
        <w:t xml:space="preserve"> and has continued to decline at a steadier rate since.</w:t>
      </w:r>
      <w:r w:rsidR="00450775">
        <w:t xml:space="preserve"> </w:t>
      </w:r>
    </w:p>
    <w:p w14:paraId="346D2E6C" w14:textId="638D8B8E" w:rsidR="00894951" w:rsidRDefault="00770FF7" w:rsidP="00334E3E">
      <w:pPr>
        <w:pStyle w:val="BCRBodytext"/>
      </w:pPr>
      <w:r>
        <w:lastRenderedPageBreak/>
        <w:t xml:space="preserve">While </w:t>
      </w:r>
      <w:r w:rsidRPr="00D63749">
        <w:t xml:space="preserve">the value of the work </w:t>
      </w:r>
      <w:r>
        <w:t>‘</w:t>
      </w:r>
      <w:r w:rsidRPr="00D63749">
        <w:t>yet to be done</w:t>
      </w:r>
      <w:r>
        <w:t xml:space="preserve">’ </w:t>
      </w:r>
      <w:r w:rsidR="00B4526D">
        <w:t xml:space="preserve">for </w:t>
      </w:r>
      <w:r w:rsidR="0095495C">
        <w:t xml:space="preserve">the </w:t>
      </w:r>
      <w:r w:rsidR="000A2D60">
        <w:t>second quarter</w:t>
      </w:r>
      <w:r w:rsidR="00F36A5E">
        <w:t xml:space="preserve"> </w:t>
      </w:r>
      <w:r w:rsidR="0095495C">
        <w:t xml:space="preserve">of </w:t>
      </w:r>
      <w:r w:rsidR="00F36A5E">
        <w:t>20</w:t>
      </w:r>
      <w:r w:rsidR="00B4526D">
        <w:t>14 at</w:t>
      </w:r>
      <w:r w:rsidR="00053589">
        <w:t xml:space="preserve"> $2</w:t>
      </w:r>
      <w:r w:rsidR="00B4526D" w:rsidRPr="00D63749">
        <w:t xml:space="preserve"> billion </w:t>
      </w:r>
      <w:r>
        <w:t>is trending</w:t>
      </w:r>
      <w:r w:rsidRPr="00D63749">
        <w:t xml:space="preserve"> </w:t>
      </w:r>
      <w:r>
        <w:t>below the 2012 peak,</w:t>
      </w:r>
      <w:r w:rsidR="00241755" w:rsidRPr="00D63749">
        <w:t xml:space="preserve"> </w:t>
      </w:r>
      <w:r>
        <w:t xml:space="preserve">it remains well above </w:t>
      </w:r>
      <w:r w:rsidR="00B4526D">
        <w:t>the 2009 -2</w:t>
      </w:r>
      <w:r>
        <w:t xml:space="preserve">011 </w:t>
      </w:r>
      <w:r w:rsidR="00B4526D">
        <w:t xml:space="preserve">period where quarterly investment was below $0.5 million. </w:t>
      </w:r>
      <w:r w:rsidR="007C4B2D" w:rsidRPr="00D63749">
        <w:t xml:space="preserve">This could foreshadow a period of </w:t>
      </w:r>
      <w:r w:rsidR="007C4B2D">
        <w:t xml:space="preserve">continued </w:t>
      </w:r>
      <w:r w:rsidR="007C4B2D" w:rsidRPr="00D63749">
        <w:t xml:space="preserve">growth in the telecommunication sector as work </w:t>
      </w:r>
      <w:r w:rsidR="007C4B2D">
        <w:t>‘</w:t>
      </w:r>
      <w:r w:rsidR="007C4B2D" w:rsidRPr="00D63749">
        <w:t>yet to be done</w:t>
      </w:r>
      <w:r w:rsidR="007C4B2D">
        <w:t>’</w:t>
      </w:r>
      <w:r w:rsidR="007C4B2D" w:rsidRPr="00D63749">
        <w:t xml:space="preserve"> commences.</w:t>
      </w:r>
      <w:r w:rsidR="00D238F8">
        <w:t xml:space="preserve"> </w:t>
      </w:r>
      <w:r w:rsidR="00450775">
        <w:t>The</w:t>
      </w:r>
      <w:r w:rsidR="00241755" w:rsidRPr="00D63749">
        <w:t xml:space="preserve"> </w:t>
      </w:r>
      <w:r w:rsidR="007C4B2D">
        <w:t xml:space="preserve">value of work </w:t>
      </w:r>
      <w:r w:rsidR="00450775">
        <w:t xml:space="preserve">commenced </w:t>
      </w:r>
      <w:r w:rsidR="00053589">
        <w:t>at $1.4</w:t>
      </w:r>
      <w:r w:rsidR="00450775" w:rsidRPr="00D63749">
        <w:t xml:space="preserve"> billion </w:t>
      </w:r>
      <w:r w:rsidR="00450775">
        <w:t xml:space="preserve">and work completed at </w:t>
      </w:r>
      <w:r w:rsidR="00053589">
        <w:t>$1.7</w:t>
      </w:r>
      <w:r w:rsidR="00450775" w:rsidRPr="00D63749">
        <w:t xml:space="preserve"> billion </w:t>
      </w:r>
      <w:r w:rsidR="00450775">
        <w:t>for the June 2014 quarter also reflect</w:t>
      </w:r>
      <w:r w:rsidR="0095495C">
        <w:t>s</w:t>
      </w:r>
      <w:r w:rsidR="00450775">
        <w:t xml:space="preserve"> this positive trend</w:t>
      </w:r>
      <w:r w:rsidR="00241755" w:rsidRPr="00D63749">
        <w:t>.</w:t>
      </w:r>
      <w:r w:rsidR="00D238F8" w:rsidRPr="00BA4FD7">
        <w:rPr>
          <w:vertAlign w:val="superscript"/>
        </w:rPr>
        <w:t xml:space="preserve"> </w:t>
      </w:r>
      <w:r w:rsidR="00D238F8" w:rsidRPr="00D63749">
        <w:rPr>
          <w:vertAlign w:val="superscript"/>
        </w:rPr>
        <w:footnoteReference w:id="5"/>
      </w:r>
      <w:r w:rsidR="00D238F8" w:rsidRPr="00E141CE">
        <w:t xml:space="preserve"> </w:t>
      </w:r>
    </w:p>
    <w:p w14:paraId="33105C30" w14:textId="2F20390A" w:rsidR="00894951" w:rsidRDefault="00894951" w:rsidP="00741E54">
      <w:pPr>
        <w:pStyle w:val="Figurecaption"/>
        <w:ind w:left="0" w:firstLine="0"/>
      </w:pPr>
      <w:r>
        <w:t xml:space="preserve">Figure </w:t>
      </w:r>
      <w:r w:rsidR="00241CEF">
        <w:fldChar w:fldCharType="begin"/>
      </w:r>
      <w:r w:rsidR="00241CEF">
        <w:instrText xml:space="preserve"> SEQ Figure \* ARABIC </w:instrText>
      </w:r>
      <w:r w:rsidR="00241CEF">
        <w:fldChar w:fldCharType="separate"/>
      </w:r>
      <w:r w:rsidR="00E32A8B">
        <w:rPr>
          <w:noProof/>
        </w:rPr>
        <w:t>1</w:t>
      </w:r>
      <w:r w:rsidR="00241CEF">
        <w:rPr>
          <w:noProof/>
        </w:rPr>
        <w:fldChar w:fldCharType="end"/>
      </w:r>
      <w:r>
        <w:t>:</w:t>
      </w:r>
      <w:r>
        <w:tab/>
        <w:t>Telecommunications industry investment – value of work ($ millions)</w:t>
      </w:r>
      <w:r>
        <w:tab/>
      </w:r>
    </w:p>
    <w:p w14:paraId="5DEE206B" w14:textId="4E721850" w:rsidR="00241755" w:rsidRDefault="00017EB8" w:rsidP="00D238F8">
      <w:pPr>
        <w:rPr>
          <w:rStyle w:val="Hyperlink"/>
          <w:color w:val="auto"/>
          <w:u w:val="none"/>
        </w:rPr>
      </w:pPr>
      <w:r>
        <w:rPr>
          <w:rStyle w:val="Hyperlink"/>
          <w:noProof/>
          <w:color w:val="auto"/>
          <w:u w:val="none"/>
          <w:lang w:eastAsia="en-AU"/>
        </w:rPr>
        <w:drawing>
          <wp:inline distT="0" distB="0" distL="0" distR="0" wp14:anchorId="524965CB" wp14:editId="1D05C2C1">
            <wp:extent cx="5742940" cy="3304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E3392" w14:textId="77777777" w:rsidR="009A7B3C" w:rsidRDefault="009A7B3C" w:rsidP="009A7B3C">
      <w:pPr>
        <w:pStyle w:val="BCRBodytext"/>
        <w:rPr>
          <w:sz w:val="16"/>
          <w:szCs w:val="16"/>
        </w:rPr>
      </w:pPr>
      <w:r w:rsidRPr="00BF1321">
        <w:rPr>
          <w:sz w:val="16"/>
          <w:szCs w:val="16"/>
        </w:rPr>
        <w:t>Source:</w:t>
      </w:r>
      <w:r>
        <w:rPr>
          <w:sz w:val="16"/>
          <w:szCs w:val="16"/>
        </w:rPr>
        <w:t xml:space="preserve"> </w:t>
      </w:r>
      <w:r w:rsidRPr="009A7B3C">
        <w:rPr>
          <w:sz w:val="16"/>
          <w:szCs w:val="16"/>
        </w:rPr>
        <w:t>Australian Bureau of Statistics, 8762.0 - Engineering Construction Activity, Australia, Sep 2014</w:t>
      </w:r>
    </w:p>
    <w:p w14:paraId="783D128A" w14:textId="7CC3578A" w:rsidR="008F2265" w:rsidRPr="00D63749" w:rsidRDefault="00016BB8" w:rsidP="00491C07">
      <w:pPr>
        <w:pStyle w:val="Figurecaption"/>
        <w:ind w:left="907" w:hanging="907"/>
      </w:pPr>
      <w:r>
        <w:t xml:space="preserve"> </w:t>
      </w:r>
      <w:r w:rsidR="00491C07">
        <w:t xml:space="preserve">Table 2: </w:t>
      </w:r>
      <w:r w:rsidR="00491C07">
        <w:tab/>
        <w:t>Compound Quarterly Growth Rate (CQGR) of</w:t>
      </w:r>
      <w:r w:rsidR="00053589">
        <w:t xml:space="preserve"> engineering</w:t>
      </w:r>
      <w:r w:rsidR="00491C07">
        <w:t xml:space="preserve"> work yet to be done in the telecommunications industry and the total economy</w:t>
      </w:r>
    </w:p>
    <w:tbl>
      <w:tblPr>
        <w:tblStyle w:val="GridTable4-Accent21"/>
        <w:tblW w:w="5636" w:type="dxa"/>
        <w:tblLayout w:type="fixed"/>
        <w:tblLook w:val="04A0" w:firstRow="1" w:lastRow="0" w:firstColumn="1" w:lastColumn="0" w:noHBand="0" w:noVBand="1"/>
      </w:tblPr>
      <w:tblGrid>
        <w:gridCol w:w="2402"/>
        <w:gridCol w:w="1617"/>
        <w:gridCol w:w="123"/>
        <w:gridCol w:w="1494"/>
      </w:tblGrid>
      <w:tr w:rsidR="00241CEF" w:rsidRPr="00D63749" w14:paraId="60D622ED" w14:textId="77777777" w:rsidTr="00B02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noWrap/>
          </w:tcPr>
          <w:p w14:paraId="3C0F85A5" w14:textId="2D43BA42" w:rsidR="00241CEF" w:rsidRPr="00D63749" w:rsidRDefault="00241CEF" w:rsidP="00241755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(CQGR)</w:t>
            </w:r>
          </w:p>
        </w:tc>
        <w:tc>
          <w:tcPr>
            <w:tcW w:w="1617" w:type="dxa"/>
            <w:noWrap/>
          </w:tcPr>
          <w:p w14:paraId="7D12BE92" w14:textId="764338AB" w:rsidR="00241CEF" w:rsidRPr="00D63749" w:rsidRDefault="00241CEF" w:rsidP="0024175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 of work yet to be done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- 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Telecom.</w:t>
            </w:r>
          </w:p>
        </w:tc>
        <w:tc>
          <w:tcPr>
            <w:tcW w:w="1617" w:type="dxa"/>
            <w:gridSpan w:val="2"/>
          </w:tcPr>
          <w:p w14:paraId="3A86CF94" w14:textId="37ED5ED7" w:rsidR="00241CEF" w:rsidRPr="00D63749" w:rsidRDefault="00241CEF" w:rsidP="00241CE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Value of work yet to be done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- 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otal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</w:tr>
      <w:tr w:rsidR="00241755" w:rsidRPr="00D63749" w14:paraId="286FBFCB" w14:textId="77777777" w:rsidTr="0024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noWrap/>
            <w:hideMark/>
          </w:tcPr>
          <w:p w14:paraId="28D97411" w14:textId="7380F313" w:rsidR="00241755" w:rsidRPr="00D63749" w:rsidRDefault="00241755" w:rsidP="00241755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nd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Q 2008 – 4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th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Q 2012</w:t>
            </w:r>
          </w:p>
        </w:tc>
        <w:tc>
          <w:tcPr>
            <w:tcW w:w="1740" w:type="dxa"/>
            <w:gridSpan w:val="2"/>
            <w:noWrap/>
            <w:hideMark/>
          </w:tcPr>
          <w:p w14:paraId="39468093" w14:textId="77777777" w:rsidR="00241755" w:rsidRPr="00D63749" w:rsidRDefault="00241755" w:rsidP="0024175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16.21%</w:t>
            </w:r>
          </w:p>
        </w:tc>
        <w:tc>
          <w:tcPr>
            <w:tcW w:w="1494" w:type="dxa"/>
            <w:noWrap/>
            <w:hideMark/>
          </w:tcPr>
          <w:p w14:paraId="60BF5D6B" w14:textId="77777777" w:rsidR="00241755" w:rsidRPr="00D63749" w:rsidRDefault="00241755" w:rsidP="0024175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7.08%</w:t>
            </w:r>
          </w:p>
        </w:tc>
      </w:tr>
      <w:tr w:rsidR="00241755" w:rsidRPr="00D63749" w14:paraId="63B72F2C" w14:textId="77777777" w:rsidTr="002417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noWrap/>
            <w:hideMark/>
          </w:tcPr>
          <w:p w14:paraId="621D9421" w14:textId="77777777" w:rsidR="00241755" w:rsidRPr="00D63749" w:rsidRDefault="00241755" w:rsidP="00241755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st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Q 2013 - 2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nd</w:t>
            </w: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Q 2014</w:t>
            </w:r>
          </w:p>
        </w:tc>
        <w:tc>
          <w:tcPr>
            <w:tcW w:w="1740" w:type="dxa"/>
            <w:gridSpan w:val="2"/>
            <w:noWrap/>
            <w:hideMark/>
          </w:tcPr>
          <w:p w14:paraId="23C89779" w14:textId="77777777" w:rsidR="00241755" w:rsidRPr="00D63749" w:rsidRDefault="00241755" w:rsidP="0024175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-5.79%</w:t>
            </w:r>
          </w:p>
        </w:tc>
        <w:tc>
          <w:tcPr>
            <w:tcW w:w="1494" w:type="dxa"/>
            <w:noWrap/>
            <w:hideMark/>
          </w:tcPr>
          <w:p w14:paraId="6167BC7F" w14:textId="77777777" w:rsidR="00241755" w:rsidRPr="00D63749" w:rsidRDefault="00241755" w:rsidP="0024175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6374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-7.44%</w:t>
            </w:r>
          </w:p>
        </w:tc>
      </w:tr>
    </w:tbl>
    <w:p w14:paraId="6DAAB061" w14:textId="77777777" w:rsidR="00241755" w:rsidRDefault="00241755" w:rsidP="00D24DE7">
      <w:pPr>
        <w:pStyle w:val="Heading1"/>
      </w:pPr>
      <w:r>
        <w:t>End note</w:t>
      </w:r>
    </w:p>
    <w:p w14:paraId="75DF3E75" w14:textId="1B8B5E7E" w:rsidR="00241755" w:rsidRDefault="00241755" w:rsidP="00D24DE7">
      <w:pPr>
        <w:pStyle w:val="BCRBodytext"/>
      </w:pPr>
      <w:r>
        <w:t>Using the current set of indicators to gauge investment, growth and consumption patterns provides a snapshot of the industry and could foreshadow future trends. However, the communications sector is dynamic and continually evolving</w:t>
      </w:r>
      <w:r w:rsidR="00450775">
        <w:t>. T</w:t>
      </w:r>
      <w:r w:rsidRPr="006C3A6F">
        <w:t xml:space="preserve">he value of particular indicators </w:t>
      </w:r>
      <w:r w:rsidR="00450775">
        <w:t xml:space="preserve">needs to be reassessed </w:t>
      </w:r>
      <w:r w:rsidRPr="006C3A6F">
        <w:t xml:space="preserve">and </w:t>
      </w:r>
      <w:r w:rsidR="00172923">
        <w:t xml:space="preserve">the </w:t>
      </w:r>
      <w:r w:rsidR="00450775">
        <w:t xml:space="preserve">BCR is seeking </w:t>
      </w:r>
      <w:r w:rsidRPr="006C3A6F">
        <w:t xml:space="preserve">new </w:t>
      </w:r>
      <w:r>
        <w:t>measures</w:t>
      </w:r>
      <w:r w:rsidRPr="006C3A6F">
        <w:t xml:space="preserve"> </w:t>
      </w:r>
      <w:r w:rsidR="00450775">
        <w:t xml:space="preserve">to be identified </w:t>
      </w:r>
      <w:r w:rsidR="00F647EB">
        <w:t xml:space="preserve">to </w:t>
      </w:r>
      <w:r w:rsidRPr="006C3A6F">
        <w:t>provide insights into new and emerging areas</w:t>
      </w:r>
      <w:r>
        <w:t>.</w:t>
      </w:r>
      <w:r w:rsidR="00387326">
        <w:t xml:space="preserve"> </w:t>
      </w:r>
    </w:p>
    <w:p w14:paraId="106C080A" w14:textId="50E4455B" w:rsidR="00241755" w:rsidRDefault="00241755" w:rsidP="00D24DE7">
      <w:pPr>
        <w:pStyle w:val="BCRBodytext"/>
      </w:pPr>
      <w:r>
        <w:t xml:space="preserve">The development of a Leading Indicators framework is </w:t>
      </w:r>
      <w:r w:rsidR="00450775">
        <w:t xml:space="preserve">an early area of </w:t>
      </w:r>
      <w:r>
        <w:t xml:space="preserve">work for the BCR. The framework will continually evolve through engagement with key stakeholders to determine the most effective and </w:t>
      </w:r>
      <w:r w:rsidR="00450775">
        <w:t xml:space="preserve">relevant </w:t>
      </w:r>
      <w:r>
        <w:t xml:space="preserve">indicators for the communications sector. </w:t>
      </w:r>
    </w:p>
    <w:p w14:paraId="5F4E18FF" w14:textId="77777777" w:rsidR="00241755" w:rsidRPr="00236253" w:rsidRDefault="00241755" w:rsidP="00334E3E">
      <w:pPr>
        <w:pStyle w:val="BCRBodytext"/>
        <w:rPr>
          <w:rStyle w:val="Hyperlink"/>
          <w:color w:val="auto"/>
          <w:u w:val="none"/>
        </w:rPr>
      </w:pPr>
    </w:p>
    <w:sectPr w:rsidR="00241755" w:rsidRPr="00236253" w:rsidSect="00D24DE7">
      <w:footerReference w:type="default" r:id="rId17"/>
      <w:pgSz w:w="11906" w:h="16838"/>
      <w:pgMar w:top="1440" w:right="1440" w:bottom="1440" w:left="1440" w:header="708" w:footer="6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F985D" w14:textId="77777777" w:rsidR="0053679E" w:rsidRDefault="0053679E">
      <w:pPr>
        <w:spacing w:before="0"/>
      </w:pPr>
      <w:r>
        <w:separator/>
      </w:r>
    </w:p>
  </w:endnote>
  <w:endnote w:type="continuationSeparator" w:id="0">
    <w:p w14:paraId="31113019" w14:textId="77777777" w:rsidR="0053679E" w:rsidRDefault="0053679E">
      <w:pPr>
        <w:spacing w:before="0"/>
      </w:pPr>
      <w:r>
        <w:continuationSeparator/>
      </w:r>
    </w:p>
  </w:endnote>
  <w:endnote w:type="continuationNotice" w:id="1">
    <w:p w14:paraId="6AAB1A74" w14:textId="77777777" w:rsidR="0053679E" w:rsidRDefault="005367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E6E8" w14:textId="77777777" w:rsidR="00017EB8" w:rsidRDefault="00017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5E41D" w14:textId="77777777" w:rsidR="00F54D56" w:rsidRPr="00EF2B86" w:rsidRDefault="00F54D56" w:rsidP="00B40B53">
    <w:pPr>
      <w:pStyle w:val="Footer"/>
      <w:tabs>
        <w:tab w:val="right" w:pos="10773"/>
      </w:tabs>
      <w:ind w:left="-993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B848" w14:textId="77777777" w:rsidR="00017EB8" w:rsidRDefault="00017EB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031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ADEEE" w14:textId="2C5B71FD" w:rsidR="00F54D56" w:rsidRDefault="00F54D56">
        <w:pPr>
          <w:pStyle w:val="Footer"/>
        </w:pPr>
        <w:r w:rsidRPr="00D41600">
          <w:rPr>
            <w:sz w:val="16"/>
          </w:rPr>
          <w:fldChar w:fldCharType="begin"/>
        </w:r>
        <w:r w:rsidRPr="00D41600">
          <w:rPr>
            <w:sz w:val="16"/>
          </w:rPr>
          <w:instrText xml:space="preserve"> PAGE   \* MERGEFORMAT </w:instrText>
        </w:r>
        <w:r w:rsidRPr="00D41600">
          <w:rPr>
            <w:sz w:val="16"/>
          </w:rPr>
          <w:fldChar w:fldCharType="separate"/>
        </w:r>
        <w:r w:rsidR="00241CEF">
          <w:rPr>
            <w:noProof/>
            <w:sz w:val="16"/>
          </w:rPr>
          <w:t>3</w:t>
        </w:r>
        <w:r w:rsidRPr="00D41600">
          <w:rPr>
            <w:noProof/>
            <w:sz w:val="16"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  <w:sz w:val="16"/>
          </w:rPr>
          <w:t xml:space="preserve">Leading Indicators - March </w:t>
        </w:r>
        <w:r w:rsidRPr="00D41600">
          <w:rPr>
            <w:noProof/>
            <w:sz w:val="16"/>
          </w:rPr>
          <w:t>201</w:t>
        </w:r>
        <w:r>
          <w:rPr>
            <w:noProof/>
            <w:sz w:val="16"/>
          </w:rPr>
          <w:t>5</w:t>
        </w:r>
      </w:p>
    </w:sdtContent>
  </w:sdt>
  <w:p w14:paraId="7ED7032F" w14:textId="77777777" w:rsidR="00F54D56" w:rsidRDefault="00F54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1FF97" w14:textId="77777777" w:rsidR="0053679E" w:rsidRDefault="0053679E">
      <w:pPr>
        <w:spacing w:before="0"/>
      </w:pPr>
      <w:r>
        <w:separator/>
      </w:r>
    </w:p>
  </w:footnote>
  <w:footnote w:type="continuationSeparator" w:id="0">
    <w:p w14:paraId="48A4532A" w14:textId="77777777" w:rsidR="0053679E" w:rsidRDefault="0053679E">
      <w:pPr>
        <w:spacing w:before="0"/>
      </w:pPr>
      <w:r>
        <w:continuationSeparator/>
      </w:r>
    </w:p>
  </w:footnote>
  <w:footnote w:type="continuationNotice" w:id="1">
    <w:p w14:paraId="0E7EDBE3" w14:textId="77777777" w:rsidR="0053679E" w:rsidRDefault="0053679E">
      <w:pPr>
        <w:spacing w:before="0"/>
      </w:pPr>
    </w:p>
  </w:footnote>
  <w:footnote w:id="2">
    <w:p w14:paraId="253C2C1E" w14:textId="77500961" w:rsidR="00FF5A60" w:rsidRDefault="00FF5A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Data.gov.au, October 2013 – October 2014</w:t>
      </w:r>
    </w:p>
  </w:footnote>
  <w:footnote w:id="3">
    <w:p w14:paraId="36D15154" w14:textId="77777777" w:rsidR="00F54D56" w:rsidRPr="00BB4589" w:rsidRDefault="00F54D56" w:rsidP="002A157C">
      <w:pPr>
        <w:pStyle w:val="FootnoteText"/>
        <w:spacing w:before="0" w:after="0"/>
      </w:pPr>
      <w:r w:rsidRPr="00BB4589">
        <w:rPr>
          <w:rStyle w:val="FootnoteReference"/>
        </w:rPr>
        <w:footnoteRef/>
      </w:r>
      <w:r w:rsidRPr="00BB4589">
        <w:t xml:space="preserve"> Department of Immigration and Border Protection, Annual Report 2013-14, p.66</w:t>
      </w:r>
    </w:p>
  </w:footnote>
  <w:footnote w:id="4">
    <w:p w14:paraId="6231EA42" w14:textId="77777777" w:rsidR="00F54D56" w:rsidRDefault="00F54D56" w:rsidP="00D815CB">
      <w:pPr>
        <w:pStyle w:val="FootnoteText"/>
        <w:spacing w:before="0" w:after="0"/>
      </w:pPr>
      <w:r w:rsidRPr="00BB4589">
        <w:rPr>
          <w:rStyle w:val="FootnoteReference"/>
        </w:rPr>
        <w:footnoteRef/>
      </w:r>
      <w:r w:rsidRPr="00BB4589">
        <w:t xml:space="preserve"> Department of Immigration and Border Protection, 457 visa holders </w:t>
      </w:r>
      <w:r>
        <w:t>pivot table 2014</w:t>
      </w:r>
    </w:p>
  </w:footnote>
  <w:footnote w:id="5">
    <w:p w14:paraId="35A3965A" w14:textId="77777777" w:rsidR="00F54D56" w:rsidRDefault="00F54D56" w:rsidP="00D238F8">
      <w:pPr>
        <w:pStyle w:val="FootnoteText"/>
        <w:spacing w:before="0" w:after="0"/>
      </w:pPr>
      <w:r w:rsidRPr="00BB4589">
        <w:rPr>
          <w:rStyle w:val="FootnoteReference"/>
        </w:rPr>
        <w:footnoteRef/>
      </w:r>
      <w:r w:rsidRPr="00BB4589">
        <w:t xml:space="preserve"> Australian Bureau of Statistics, 8762.0 - Engineering Construction Activity, Australia, Sep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B9A1C" w14:textId="77777777" w:rsidR="00017EB8" w:rsidRDefault="00017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A975A" w14:textId="77777777" w:rsidR="00F54D56" w:rsidRDefault="00F54D56" w:rsidP="00B40B53">
    <w:pPr>
      <w:pStyle w:val="Header"/>
      <w:tabs>
        <w:tab w:val="right" w:pos="10773"/>
      </w:tabs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53AC" w14:textId="77777777" w:rsidR="00017EB8" w:rsidRDefault="00017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66F"/>
    <w:multiLevelType w:val="hybridMultilevel"/>
    <w:tmpl w:val="7910B5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89A"/>
    <w:multiLevelType w:val="hybridMultilevel"/>
    <w:tmpl w:val="D5E2F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2280"/>
    <w:multiLevelType w:val="hybridMultilevel"/>
    <w:tmpl w:val="7B364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3D3B"/>
    <w:multiLevelType w:val="hybridMultilevel"/>
    <w:tmpl w:val="9808D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F39DD"/>
    <w:multiLevelType w:val="hybridMultilevel"/>
    <w:tmpl w:val="43E4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2CCF"/>
    <w:multiLevelType w:val="hybridMultilevel"/>
    <w:tmpl w:val="FC26C666"/>
    <w:lvl w:ilvl="0" w:tplc="ABAA4E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63A5C"/>
    <w:multiLevelType w:val="hybridMultilevel"/>
    <w:tmpl w:val="486608E8"/>
    <w:lvl w:ilvl="0" w:tplc="38D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B62F6"/>
    <w:multiLevelType w:val="hybridMultilevel"/>
    <w:tmpl w:val="750E09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67544"/>
    <w:multiLevelType w:val="hybridMultilevel"/>
    <w:tmpl w:val="B930DACA"/>
    <w:lvl w:ilvl="0" w:tplc="38D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61DE4"/>
    <w:multiLevelType w:val="hybridMultilevel"/>
    <w:tmpl w:val="DBE0B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03BC7"/>
    <w:multiLevelType w:val="hybridMultilevel"/>
    <w:tmpl w:val="267849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570C1"/>
    <w:multiLevelType w:val="hybridMultilevel"/>
    <w:tmpl w:val="E2DE1BCA"/>
    <w:lvl w:ilvl="0" w:tplc="38D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F0E4C"/>
    <w:multiLevelType w:val="hybridMultilevel"/>
    <w:tmpl w:val="591A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76D36"/>
    <w:multiLevelType w:val="multilevel"/>
    <w:tmpl w:val="0C240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776"/>
        <w:sz w:val="22"/>
      </w:rPr>
    </w:lvl>
    <w:lvl w:ilvl="1">
      <w:start w:val="1"/>
      <w:numFmt w:val="bullet"/>
      <w:lvlRestart w:val="0"/>
      <w:lvlText w:val="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  <w:b/>
        <w:i w:val="0"/>
        <w:color w:val="931638"/>
        <w:sz w:val="24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93163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240538B"/>
    <w:multiLevelType w:val="hybridMultilevel"/>
    <w:tmpl w:val="4ED6F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F15D0"/>
    <w:multiLevelType w:val="hybridMultilevel"/>
    <w:tmpl w:val="DFDA6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12C8E"/>
    <w:multiLevelType w:val="hybridMultilevel"/>
    <w:tmpl w:val="56487AC6"/>
    <w:lvl w:ilvl="0" w:tplc="277C2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E7B87"/>
    <w:multiLevelType w:val="hybridMultilevel"/>
    <w:tmpl w:val="724099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264331"/>
    <w:multiLevelType w:val="hybridMultilevel"/>
    <w:tmpl w:val="FE243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17B55"/>
    <w:multiLevelType w:val="hybridMultilevel"/>
    <w:tmpl w:val="768EA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D278B"/>
    <w:multiLevelType w:val="hybridMultilevel"/>
    <w:tmpl w:val="FDBA7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A6CD6"/>
    <w:multiLevelType w:val="hybridMultilevel"/>
    <w:tmpl w:val="35AEB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86D4F"/>
    <w:multiLevelType w:val="hybridMultilevel"/>
    <w:tmpl w:val="9A308A32"/>
    <w:lvl w:ilvl="0" w:tplc="006ED1EE">
      <w:start w:val="1"/>
      <w:numFmt w:val="bullet"/>
      <w:pStyle w:val="Bullet2"/>
      <w:lvlText w:val="•"/>
      <w:lvlJc w:val="left"/>
      <w:pPr>
        <w:ind w:left="1287" w:hanging="360"/>
      </w:pPr>
      <w:rPr>
        <w:rFonts w:ascii="Calibri" w:hAnsi="Calibri" w:hint="default"/>
        <w:color w:val="72C7E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651FF2"/>
    <w:multiLevelType w:val="hybridMultilevel"/>
    <w:tmpl w:val="412A66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30F6E"/>
    <w:multiLevelType w:val="hybridMultilevel"/>
    <w:tmpl w:val="2892D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125A1"/>
    <w:multiLevelType w:val="hybridMultilevel"/>
    <w:tmpl w:val="412A66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F2D55"/>
    <w:multiLevelType w:val="hybridMultilevel"/>
    <w:tmpl w:val="93B28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B2AAF"/>
    <w:multiLevelType w:val="hybridMultilevel"/>
    <w:tmpl w:val="47E45974"/>
    <w:lvl w:ilvl="0" w:tplc="0C09000F">
      <w:start w:val="1"/>
      <w:numFmt w:val="decimal"/>
      <w:lvlText w:val="%1."/>
      <w:lvlJc w:val="left"/>
      <w:pPr>
        <w:ind w:left="456" w:hanging="456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9B27D5"/>
    <w:multiLevelType w:val="multilevel"/>
    <w:tmpl w:val="C2F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3D0B0F"/>
    <w:multiLevelType w:val="hybridMultilevel"/>
    <w:tmpl w:val="99EA1D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8480F"/>
    <w:multiLevelType w:val="hybridMultilevel"/>
    <w:tmpl w:val="9320C114"/>
    <w:lvl w:ilvl="0" w:tplc="92BA8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D31029"/>
    <w:multiLevelType w:val="multilevel"/>
    <w:tmpl w:val="75E44F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2776"/>
        <w:sz w:val="22"/>
      </w:rPr>
    </w:lvl>
    <w:lvl w:ilvl="1">
      <w:start w:val="1"/>
      <w:numFmt w:val="bullet"/>
      <w:lvlRestart w:val="0"/>
      <w:lvlText w:val="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  <w:b/>
        <w:i w:val="0"/>
        <w:color w:val="931638"/>
        <w:sz w:val="24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93163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6BD0364"/>
    <w:multiLevelType w:val="hybridMultilevel"/>
    <w:tmpl w:val="DFC64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2586D"/>
    <w:multiLevelType w:val="hybridMultilevel"/>
    <w:tmpl w:val="3B98ABCC"/>
    <w:lvl w:ilvl="0" w:tplc="B0007CB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97F08"/>
    <w:multiLevelType w:val="hybridMultilevel"/>
    <w:tmpl w:val="427C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</w:num>
  <w:num w:numId="7">
    <w:abstractNumId w:val="21"/>
  </w:num>
  <w:num w:numId="8">
    <w:abstractNumId w:val="28"/>
  </w:num>
  <w:num w:numId="9">
    <w:abstractNumId w:val="19"/>
  </w:num>
  <w:num w:numId="10">
    <w:abstractNumId w:val="31"/>
  </w:num>
  <w:num w:numId="11">
    <w:abstractNumId w:val="1"/>
  </w:num>
  <w:num w:numId="12">
    <w:abstractNumId w:val="4"/>
  </w:num>
  <w:num w:numId="13">
    <w:abstractNumId w:val="26"/>
  </w:num>
  <w:num w:numId="14">
    <w:abstractNumId w:val="22"/>
  </w:num>
  <w:num w:numId="15">
    <w:abstractNumId w:val="10"/>
  </w:num>
  <w:num w:numId="16">
    <w:abstractNumId w:val="25"/>
  </w:num>
  <w:num w:numId="17">
    <w:abstractNumId w:val="23"/>
  </w:num>
  <w:num w:numId="18">
    <w:abstractNumId w:val="3"/>
  </w:num>
  <w:num w:numId="19">
    <w:abstractNumId w:val="32"/>
  </w:num>
  <w:num w:numId="20">
    <w:abstractNumId w:val="20"/>
  </w:num>
  <w:num w:numId="21">
    <w:abstractNumId w:val="34"/>
  </w:num>
  <w:num w:numId="22">
    <w:abstractNumId w:val="17"/>
  </w:num>
  <w:num w:numId="23">
    <w:abstractNumId w:val="29"/>
  </w:num>
  <w:num w:numId="24">
    <w:abstractNumId w:val="5"/>
  </w:num>
  <w:num w:numId="25">
    <w:abstractNumId w:val="15"/>
  </w:num>
  <w:num w:numId="26">
    <w:abstractNumId w:val="14"/>
  </w:num>
  <w:num w:numId="27">
    <w:abstractNumId w:val="12"/>
  </w:num>
  <w:num w:numId="28">
    <w:abstractNumId w:val="32"/>
  </w:num>
  <w:num w:numId="29">
    <w:abstractNumId w:val="9"/>
  </w:num>
  <w:num w:numId="30">
    <w:abstractNumId w:val="24"/>
  </w:num>
  <w:num w:numId="31">
    <w:abstractNumId w:val="8"/>
  </w:num>
  <w:num w:numId="32">
    <w:abstractNumId w:val="6"/>
  </w:num>
  <w:num w:numId="33">
    <w:abstractNumId w:val="11"/>
  </w:num>
  <w:num w:numId="34">
    <w:abstractNumId w:val="30"/>
  </w:num>
  <w:num w:numId="35">
    <w:abstractNumId w:val="0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7"/>
    <w:rsid w:val="00007FE2"/>
    <w:rsid w:val="00016BB8"/>
    <w:rsid w:val="00017EB8"/>
    <w:rsid w:val="00021276"/>
    <w:rsid w:val="00021C56"/>
    <w:rsid w:val="00027226"/>
    <w:rsid w:val="00027F33"/>
    <w:rsid w:val="000522AF"/>
    <w:rsid w:val="00053589"/>
    <w:rsid w:val="000577C0"/>
    <w:rsid w:val="000776DE"/>
    <w:rsid w:val="00080591"/>
    <w:rsid w:val="00082B3E"/>
    <w:rsid w:val="000A0C5B"/>
    <w:rsid w:val="000A2D60"/>
    <w:rsid w:val="000A402D"/>
    <w:rsid w:val="000A5FA7"/>
    <w:rsid w:val="000B048C"/>
    <w:rsid w:val="000C002F"/>
    <w:rsid w:val="000C0900"/>
    <w:rsid w:val="000C47FF"/>
    <w:rsid w:val="000C5EDC"/>
    <w:rsid w:val="000D5CAB"/>
    <w:rsid w:val="000D69C2"/>
    <w:rsid w:val="000D768C"/>
    <w:rsid w:val="000E6BC2"/>
    <w:rsid w:val="000F2100"/>
    <w:rsid w:val="000F30EB"/>
    <w:rsid w:val="000F316A"/>
    <w:rsid w:val="000F4558"/>
    <w:rsid w:val="000F7CA1"/>
    <w:rsid w:val="00104D3D"/>
    <w:rsid w:val="00107E0F"/>
    <w:rsid w:val="00125B62"/>
    <w:rsid w:val="0013165B"/>
    <w:rsid w:val="00137805"/>
    <w:rsid w:val="0014201B"/>
    <w:rsid w:val="00143438"/>
    <w:rsid w:val="00145DA7"/>
    <w:rsid w:val="00150092"/>
    <w:rsid w:val="00151304"/>
    <w:rsid w:val="00160924"/>
    <w:rsid w:val="00161750"/>
    <w:rsid w:val="0016311F"/>
    <w:rsid w:val="00172923"/>
    <w:rsid w:val="00175A94"/>
    <w:rsid w:val="00177866"/>
    <w:rsid w:val="00182BCA"/>
    <w:rsid w:val="001963C0"/>
    <w:rsid w:val="001A3C18"/>
    <w:rsid w:val="001A57E8"/>
    <w:rsid w:val="001A7645"/>
    <w:rsid w:val="001B046E"/>
    <w:rsid w:val="001D197F"/>
    <w:rsid w:val="001D4862"/>
    <w:rsid w:val="001D5141"/>
    <w:rsid w:val="001D69AA"/>
    <w:rsid w:val="001D752D"/>
    <w:rsid w:val="001E1CBA"/>
    <w:rsid w:val="001E2B62"/>
    <w:rsid w:val="001F14A1"/>
    <w:rsid w:val="001F38D5"/>
    <w:rsid w:val="001F5C59"/>
    <w:rsid w:val="001F724A"/>
    <w:rsid w:val="001F7876"/>
    <w:rsid w:val="00203881"/>
    <w:rsid w:val="00204129"/>
    <w:rsid w:val="00204654"/>
    <w:rsid w:val="00206BED"/>
    <w:rsid w:val="00207CF6"/>
    <w:rsid w:val="00222750"/>
    <w:rsid w:val="00226B67"/>
    <w:rsid w:val="00236253"/>
    <w:rsid w:val="00241755"/>
    <w:rsid w:val="00241CEF"/>
    <w:rsid w:val="0025045C"/>
    <w:rsid w:val="00255033"/>
    <w:rsid w:val="0026160E"/>
    <w:rsid w:val="00270727"/>
    <w:rsid w:val="00282477"/>
    <w:rsid w:val="00296D08"/>
    <w:rsid w:val="002976BC"/>
    <w:rsid w:val="002A157C"/>
    <w:rsid w:val="002A2EA0"/>
    <w:rsid w:val="002A526B"/>
    <w:rsid w:val="002A7C24"/>
    <w:rsid w:val="002B121B"/>
    <w:rsid w:val="002B4EAD"/>
    <w:rsid w:val="002B5096"/>
    <w:rsid w:val="002B5920"/>
    <w:rsid w:val="002C6AA7"/>
    <w:rsid w:val="002D4396"/>
    <w:rsid w:val="002D52A6"/>
    <w:rsid w:val="002D5A13"/>
    <w:rsid w:val="002D6230"/>
    <w:rsid w:val="002D67B9"/>
    <w:rsid w:val="002F12AE"/>
    <w:rsid w:val="003125EE"/>
    <w:rsid w:val="00322726"/>
    <w:rsid w:val="00327352"/>
    <w:rsid w:val="00334E3E"/>
    <w:rsid w:val="003404BB"/>
    <w:rsid w:val="0034199B"/>
    <w:rsid w:val="00344ACE"/>
    <w:rsid w:val="00346567"/>
    <w:rsid w:val="00347459"/>
    <w:rsid w:val="00347C6F"/>
    <w:rsid w:val="00350409"/>
    <w:rsid w:val="00354782"/>
    <w:rsid w:val="00356171"/>
    <w:rsid w:val="00371626"/>
    <w:rsid w:val="00375282"/>
    <w:rsid w:val="00380AB4"/>
    <w:rsid w:val="00382E1C"/>
    <w:rsid w:val="00387326"/>
    <w:rsid w:val="00391DE9"/>
    <w:rsid w:val="00395D5E"/>
    <w:rsid w:val="003A2EB2"/>
    <w:rsid w:val="003B4ADB"/>
    <w:rsid w:val="003B7E3D"/>
    <w:rsid w:val="003C0FE9"/>
    <w:rsid w:val="003E4A41"/>
    <w:rsid w:val="003E7187"/>
    <w:rsid w:val="003E73A0"/>
    <w:rsid w:val="003F45DF"/>
    <w:rsid w:val="003F7365"/>
    <w:rsid w:val="00401921"/>
    <w:rsid w:val="00402845"/>
    <w:rsid w:val="00403175"/>
    <w:rsid w:val="00404FD1"/>
    <w:rsid w:val="004072CD"/>
    <w:rsid w:val="00410149"/>
    <w:rsid w:val="00423463"/>
    <w:rsid w:val="00423C5B"/>
    <w:rsid w:val="00430C01"/>
    <w:rsid w:val="00433C2A"/>
    <w:rsid w:val="00440B56"/>
    <w:rsid w:val="00450775"/>
    <w:rsid w:val="004516ED"/>
    <w:rsid w:val="00466E8C"/>
    <w:rsid w:val="00475361"/>
    <w:rsid w:val="004806AA"/>
    <w:rsid w:val="00491C07"/>
    <w:rsid w:val="004927AC"/>
    <w:rsid w:val="0049484A"/>
    <w:rsid w:val="00494FDD"/>
    <w:rsid w:val="004A3A4E"/>
    <w:rsid w:val="004A4279"/>
    <w:rsid w:val="004A50A5"/>
    <w:rsid w:val="004B04C2"/>
    <w:rsid w:val="004B27BE"/>
    <w:rsid w:val="004B3CE6"/>
    <w:rsid w:val="004C12B0"/>
    <w:rsid w:val="004C7712"/>
    <w:rsid w:val="004D5BAD"/>
    <w:rsid w:val="004E1989"/>
    <w:rsid w:val="004E34F3"/>
    <w:rsid w:val="004E4BCC"/>
    <w:rsid w:val="004E54B4"/>
    <w:rsid w:val="004E6F36"/>
    <w:rsid w:val="004F01A3"/>
    <w:rsid w:val="004F2452"/>
    <w:rsid w:val="004F26FE"/>
    <w:rsid w:val="005046A7"/>
    <w:rsid w:val="00514363"/>
    <w:rsid w:val="00516814"/>
    <w:rsid w:val="00516FCC"/>
    <w:rsid w:val="005249DB"/>
    <w:rsid w:val="0053679E"/>
    <w:rsid w:val="00544D84"/>
    <w:rsid w:val="00554399"/>
    <w:rsid w:val="00562EFA"/>
    <w:rsid w:val="00564991"/>
    <w:rsid w:val="00575373"/>
    <w:rsid w:val="00581FE4"/>
    <w:rsid w:val="005903A1"/>
    <w:rsid w:val="0059226C"/>
    <w:rsid w:val="005A3DD3"/>
    <w:rsid w:val="005A74BF"/>
    <w:rsid w:val="005B7990"/>
    <w:rsid w:val="005C2122"/>
    <w:rsid w:val="005C3676"/>
    <w:rsid w:val="005D05D4"/>
    <w:rsid w:val="005D469D"/>
    <w:rsid w:val="005F000A"/>
    <w:rsid w:val="005F05C4"/>
    <w:rsid w:val="005F0FA5"/>
    <w:rsid w:val="005F2CEA"/>
    <w:rsid w:val="005F300A"/>
    <w:rsid w:val="00600191"/>
    <w:rsid w:val="00602638"/>
    <w:rsid w:val="00612D4A"/>
    <w:rsid w:val="00615738"/>
    <w:rsid w:val="0062147B"/>
    <w:rsid w:val="00621B58"/>
    <w:rsid w:val="00631ADF"/>
    <w:rsid w:val="00631F4C"/>
    <w:rsid w:val="006333E5"/>
    <w:rsid w:val="006507B0"/>
    <w:rsid w:val="006511FF"/>
    <w:rsid w:val="006535B6"/>
    <w:rsid w:val="00656EAB"/>
    <w:rsid w:val="00667FF1"/>
    <w:rsid w:val="006748EF"/>
    <w:rsid w:val="00676C1B"/>
    <w:rsid w:val="00677DD1"/>
    <w:rsid w:val="00684E0F"/>
    <w:rsid w:val="00686401"/>
    <w:rsid w:val="00693833"/>
    <w:rsid w:val="006A0A90"/>
    <w:rsid w:val="006A38E6"/>
    <w:rsid w:val="006B0D12"/>
    <w:rsid w:val="006B2E64"/>
    <w:rsid w:val="006B5EAD"/>
    <w:rsid w:val="006D557E"/>
    <w:rsid w:val="006E04A4"/>
    <w:rsid w:val="006E1630"/>
    <w:rsid w:val="006E6314"/>
    <w:rsid w:val="006E78D9"/>
    <w:rsid w:val="007034B0"/>
    <w:rsid w:val="00705922"/>
    <w:rsid w:val="00705E71"/>
    <w:rsid w:val="007061A1"/>
    <w:rsid w:val="007128B2"/>
    <w:rsid w:val="007135AA"/>
    <w:rsid w:val="00715652"/>
    <w:rsid w:val="00722104"/>
    <w:rsid w:val="007408D7"/>
    <w:rsid w:val="00741E54"/>
    <w:rsid w:val="0074242A"/>
    <w:rsid w:val="00742E12"/>
    <w:rsid w:val="00767B22"/>
    <w:rsid w:val="00770FF7"/>
    <w:rsid w:val="00787F69"/>
    <w:rsid w:val="007963DC"/>
    <w:rsid w:val="007A2A46"/>
    <w:rsid w:val="007B0997"/>
    <w:rsid w:val="007C0219"/>
    <w:rsid w:val="007C1053"/>
    <w:rsid w:val="007C4B2D"/>
    <w:rsid w:val="007D32F0"/>
    <w:rsid w:val="007E0CC1"/>
    <w:rsid w:val="007E0D60"/>
    <w:rsid w:val="007E384E"/>
    <w:rsid w:val="007E4E9D"/>
    <w:rsid w:val="007F4983"/>
    <w:rsid w:val="00810865"/>
    <w:rsid w:val="0083206E"/>
    <w:rsid w:val="00836EC4"/>
    <w:rsid w:val="00844A1D"/>
    <w:rsid w:val="00853A45"/>
    <w:rsid w:val="0085409D"/>
    <w:rsid w:val="0085414D"/>
    <w:rsid w:val="008571E2"/>
    <w:rsid w:val="0087169B"/>
    <w:rsid w:val="00874B45"/>
    <w:rsid w:val="00881A6C"/>
    <w:rsid w:val="008846FE"/>
    <w:rsid w:val="00894951"/>
    <w:rsid w:val="008B0B04"/>
    <w:rsid w:val="008C0240"/>
    <w:rsid w:val="008C1F6E"/>
    <w:rsid w:val="008D6E68"/>
    <w:rsid w:val="008F16AE"/>
    <w:rsid w:val="008F2265"/>
    <w:rsid w:val="008F3D2C"/>
    <w:rsid w:val="008F6171"/>
    <w:rsid w:val="008F7394"/>
    <w:rsid w:val="008F770D"/>
    <w:rsid w:val="008F78CB"/>
    <w:rsid w:val="00900BD6"/>
    <w:rsid w:val="009134DD"/>
    <w:rsid w:val="0091673D"/>
    <w:rsid w:val="00917145"/>
    <w:rsid w:val="0091773B"/>
    <w:rsid w:val="00917994"/>
    <w:rsid w:val="009203E4"/>
    <w:rsid w:val="00925C0F"/>
    <w:rsid w:val="00937AF1"/>
    <w:rsid w:val="009425B8"/>
    <w:rsid w:val="0095495C"/>
    <w:rsid w:val="00957AD0"/>
    <w:rsid w:val="009633A2"/>
    <w:rsid w:val="009704EA"/>
    <w:rsid w:val="009737D0"/>
    <w:rsid w:val="00977510"/>
    <w:rsid w:val="00977CDC"/>
    <w:rsid w:val="009917E2"/>
    <w:rsid w:val="00992FFA"/>
    <w:rsid w:val="009A5E9A"/>
    <w:rsid w:val="009A7B3C"/>
    <w:rsid w:val="009B792A"/>
    <w:rsid w:val="009D38BD"/>
    <w:rsid w:val="009E305B"/>
    <w:rsid w:val="009E5269"/>
    <w:rsid w:val="009E6D43"/>
    <w:rsid w:val="00A00FB2"/>
    <w:rsid w:val="00A03917"/>
    <w:rsid w:val="00A03E97"/>
    <w:rsid w:val="00A31B25"/>
    <w:rsid w:val="00A46C1A"/>
    <w:rsid w:val="00A55D6C"/>
    <w:rsid w:val="00A63236"/>
    <w:rsid w:val="00A77CE6"/>
    <w:rsid w:val="00A80362"/>
    <w:rsid w:val="00A86A2F"/>
    <w:rsid w:val="00AA07AE"/>
    <w:rsid w:val="00AA10F7"/>
    <w:rsid w:val="00AA64B5"/>
    <w:rsid w:val="00AB0834"/>
    <w:rsid w:val="00AB791F"/>
    <w:rsid w:val="00AD2032"/>
    <w:rsid w:val="00AD62BF"/>
    <w:rsid w:val="00AE56D7"/>
    <w:rsid w:val="00AF370C"/>
    <w:rsid w:val="00B044EF"/>
    <w:rsid w:val="00B14FF9"/>
    <w:rsid w:val="00B17B0C"/>
    <w:rsid w:val="00B22185"/>
    <w:rsid w:val="00B36858"/>
    <w:rsid w:val="00B40B53"/>
    <w:rsid w:val="00B4526D"/>
    <w:rsid w:val="00B5346E"/>
    <w:rsid w:val="00B53AC8"/>
    <w:rsid w:val="00B53C7D"/>
    <w:rsid w:val="00B6528A"/>
    <w:rsid w:val="00B80E82"/>
    <w:rsid w:val="00B96045"/>
    <w:rsid w:val="00B963F7"/>
    <w:rsid w:val="00B97A60"/>
    <w:rsid w:val="00BA6355"/>
    <w:rsid w:val="00BA70D2"/>
    <w:rsid w:val="00BB1F92"/>
    <w:rsid w:val="00BB46E6"/>
    <w:rsid w:val="00BC70EA"/>
    <w:rsid w:val="00BD4C6C"/>
    <w:rsid w:val="00BF2957"/>
    <w:rsid w:val="00BF49EF"/>
    <w:rsid w:val="00C0195B"/>
    <w:rsid w:val="00C044D9"/>
    <w:rsid w:val="00C119AE"/>
    <w:rsid w:val="00C12EFF"/>
    <w:rsid w:val="00C20479"/>
    <w:rsid w:val="00C20CE2"/>
    <w:rsid w:val="00C26E82"/>
    <w:rsid w:val="00C300E8"/>
    <w:rsid w:val="00C31722"/>
    <w:rsid w:val="00C50EC8"/>
    <w:rsid w:val="00C57BAF"/>
    <w:rsid w:val="00C63A30"/>
    <w:rsid w:val="00C729D7"/>
    <w:rsid w:val="00C80E59"/>
    <w:rsid w:val="00C8574A"/>
    <w:rsid w:val="00C95110"/>
    <w:rsid w:val="00C9760B"/>
    <w:rsid w:val="00CA7AF8"/>
    <w:rsid w:val="00CC0680"/>
    <w:rsid w:val="00CC0782"/>
    <w:rsid w:val="00CC71F0"/>
    <w:rsid w:val="00CF59E2"/>
    <w:rsid w:val="00D01DD8"/>
    <w:rsid w:val="00D06B76"/>
    <w:rsid w:val="00D11284"/>
    <w:rsid w:val="00D14382"/>
    <w:rsid w:val="00D15D99"/>
    <w:rsid w:val="00D234C9"/>
    <w:rsid w:val="00D238F8"/>
    <w:rsid w:val="00D24DE7"/>
    <w:rsid w:val="00D33B7C"/>
    <w:rsid w:val="00D37992"/>
    <w:rsid w:val="00D41600"/>
    <w:rsid w:val="00D52353"/>
    <w:rsid w:val="00D53EC9"/>
    <w:rsid w:val="00D6546E"/>
    <w:rsid w:val="00D76B18"/>
    <w:rsid w:val="00D815CB"/>
    <w:rsid w:val="00D841A5"/>
    <w:rsid w:val="00D9147E"/>
    <w:rsid w:val="00DA6EAA"/>
    <w:rsid w:val="00DB02B0"/>
    <w:rsid w:val="00DB391C"/>
    <w:rsid w:val="00DB5A42"/>
    <w:rsid w:val="00DB6061"/>
    <w:rsid w:val="00DB60A7"/>
    <w:rsid w:val="00DD68E6"/>
    <w:rsid w:val="00DD6DF1"/>
    <w:rsid w:val="00DE3460"/>
    <w:rsid w:val="00DE534E"/>
    <w:rsid w:val="00DE66DC"/>
    <w:rsid w:val="00DE7541"/>
    <w:rsid w:val="00DE7686"/>
    <w:rsid w:val="00DF2DA9"/>
    <w:rsid w:val="00E0207C"/>
    <w:rsid w:val="00E126F5"/>
    <w:rsid w:val="00E12786"/>
    <w:rsid w:val="00E13285"/>
    <w:rsid w:val="00E141CE"/>
    <w:rsid w:val="00E17856"/>
    <w:rsid w:val="00E25893"/>
    <w:rsid w:val="00E32A8B"/>
    <w:rsid w:val="00E36358"/>
    <w:rsid w:val="00E44807"/>
    <w:rsid w:val="00E473CA"/>
    <w:rsid w:val="00E52094"/>
    <w:rsid w:val="00E5769E"/>
    <w:rsid w:val="00E62E21"/>
    <w:rsid w:val="00E646EB"/>
    <w:rsid w:val="00E70E12"/>
    <w:rsid w:val="00E71DFB"/>
    <w:rsid w:val="00E8147D"/>
    <w:rsid w:val="00E850DA"/>
    <w:rsid w:val="00EA079D"/>
    <w:rsid w:val="00EA3FA9"/>
    <w:rsid w:val="00EA7613"/>
    <w:rsid w:val="00EB13DC"/>
    <w:rsid w:val="00EB286A"/>
    <w:rsid w:val="00EB6510"/>
    <w:rsid w:val="00EC2BB6"/>
    <w:rsid w:val="00EC3AAF"/>
    <w:rsid w:val="00ED2F53"/>
    <w:rsid w:val="00EE03E9"/>
    <w:rsid w:val="00EE23ED"/>
    <w:rsid w:val="00EE2531"/>
    <w:rsid w:val="00EE36F5"/>
    <w:rsid w:val="00EE4117"/>
    <w:rsid w:val="00EF35C7"/>
    <w:rsid w:val="00EF4243"/>
    <w:rsid w:val="00F01A7F"/>
    <w:rsid w:val="00F0581F"/>
    <w:rsid w:val="00F11225"/>
    <w:rsid w:val="00F1142E"/>
    <w:rsid w:val="00F2279C"/>
    <w:rsid w:val="00F22AC6"/>
    <w:rsid w:val="00F27623"/>
    <w:rsid w:val="00F36A5E"/>
    <w:rsid w:val="00F41DFC"/>
    <w:rsid w:val="00F43A91"/>
    <w:rsid w:val="00F54D56"/>
    <w:rsid w:val="00F647EB"/>
    <w:rsid w:val="00F66059"/>
    <w:rsid w:val="00F66B0A"/>
    <w:rsid w:val="00F67518"/>
    <w:rsid w:val="00F74BE1"/>
    <w:rsid w:val="00F74EB1"/>
    <w:rsid w:val="00F8450C"/>
    <w:rsid w:val="00F872DA"/>
    <w:rsid w:val="00F87765"/>
    <w:rsid w:val="00F9076E"/>
    <w:rsid w:val="00F93FE8"/>
    <w:rsid w:val="00F95509"/>
    <w:rsid w:val="00F96669"/>
    <w:rsid w:val="00FA0159"/>
    <w:rsid w:val="00FA2D08"/>
    <w:rsid w:val="00FA6444"/>
    <w:rsid w:val="00FB3341"/>
    <w:rsid w:val="00FB346B"/>
    <w:rsid w:val="00FB51C4"/>
    <w:rsid w:val="00FC1F4B"/>
    <w:rsid w:val="00FC210B"/>
    <w:rsid w:val="00FC663E"/>
    <w:rsid w:val="00FD1BA1"/>
    <w:rsid w:val="00FD693C"/>
    <w:rsid w:val="00FE4DA1"/>
    <w:rsid w:val="00FF10C0"/>
    <w:rsid w:val="00FF5A60"/>
    <w:rsid w:val="00FF5A8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029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17"/>
    <w:pPr>
      <w:spacing w:before="240" w:after="0" w:line="240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53679E"/>
    <w:pPr>
      <w:keepNext/>
      <w:keepLines/>
      <w:spacing w:before="120" w:line="400" w:lineRule="atLeast"/>
      <w:outlineLvl w:val="0"/>
    </w:pPr>
    <w:rPr>
      <w:rFonts w:eastAsiaTheme="majorEastAsia" w:cstheme="majorBidi"/>
      <w:bCs/>
      <w:color w:val="0F293A"/>
      <w:sz w:val="36"/>
      <w:szCs w:val="28"/>
    </w:rPr>
  </w:style>
  <w:style w:type="paragraph" w:styleId="Heading2">
    <w:name w:val="heading 2"/>
    <w:basedOn w:val="BCRHead3"/>
    <w:next w:val="Normal"/>
    <w:link w:val="Heading2Char"/>
    <w:uiPriority w:val="9"/>
    <w:unhideWhenUsed/>
    <w:qFormat/>
    <w:rsid w:val="005D05D4"/>
    <w:pPr>
      <w:outlineLvl w:val="1"/>
    </w:pPr>
  </w:style>
  <w:style w:type="paragraph" w:styleId="Heading3">
    <w:name w:val="heading 3"/>
    <w:basedOn w:val="BCRHead4"/>
    <w:next w:val="Normal"/>
    <w:link w:val="Heading3Char"/>
    <w:uiPriority w:val="9"/>
    <w:unhideWhenUsed/>
    <w:qFormat/>
    <w:rsid w:val="00EB13DC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13DC"/>
    <w:pPr>
      <w:keepNext/>
      <w:keepLines/>
      <w:spacing w:after="60"/>
      <w:outlineLvl w:val="3"/>
    </w:pPr>
    <w:rPr>
      <w:rFonts w:asciiTheme="majorHAnsi" w:eastAsia="Times New Roman" w:hAnsiTheme="majorHAnsi" w:cstheme="majorBidi"/>
      <w:b/>
      <w:i/>
      <w:iCs/>
      <w:color w:val="0D0D0D" w:themeColor="text1" w:themeTint="F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3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7AC"/>
    <w:rPr>
      <w:rFonts w:eastAsiaTheme="majorEastAsia" w:cstheme="majorBidi"/>
      <w:bCs/>
      <w:color w:val="0F293A"/>
      <w:sz w:val="36"/>
      <w:szCs w:val="28"/>
    </w:rPr>
  </w:style>
  <w:style w:type="paragraph" w:styleId="BodyText">
    <w:name w:val="Body Text"/>
    <w:basedOn w:val="Normal"/>
    <w:link w:val="BodyTextChar"/>
    <w:rsid w:val="00A03917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A03917"/>
    <w:rPr>
      <w:rFonts w:ascii="Calibri" w:hAnsi="Calibri"/>
    </w:rPr>
  </w:style>
  <w:style w:type="paragraph" w:customStyle="1" w:styleId="Titleheading">
    <w:name w:val="Title heading"/>
    <w:basedOn w:val="Normal"/>
    <w:next w:val="BodyText"/>
    <w:uiPriority w:val="15"/>
    <w:qFormat/>
    <w:rsid w:val="00A03917"/>
    <w:pPr>
      <w:keepNext/>
      <w:keepLines/>
      <w:spacing w:before="0" w:after="120"/>
      <w:outlineLvl w:val="0"/>
    </w:pPr>
    <w:rPr>
      <w:rFonts w:eastAsia="Times New Roman" w:cs="Times New Roman"/>
      <w:b/>
      <w:bCs/>
      <w:color w:val="0F293A"/>
      <w:sz w:val="60"/>
      <w:szCs w:val="48"/>
    </w:rPr>
  </w:style>
  <w:style w:type="paragraph" w:customStyle="1" w:styleId="Titlesub-heading">
    <w:name w:val="Title sub-heading"/>
    <w:basedOn w:val="Normal"/>
    <w:next w:val="BodyText"/>
    <w:uiPriority w:val="15"/>
    <w:qFormat/>
    <w:rsid w:val="00A03917"/>
    <w:pPr>
      <w:keepNext/>
      <w:keepLines/>
      <w:spacing w:before="0" w:after="120"/>
      <w:outlineLvl w:val="0"/>
    </w:pPr>
    <w:rPr>
      <w:rFonts w:eastAsia="Times New Roman" w:cs="Times New Roman"/>
      <w:bCs/>
      <w:i/>
      <w:color w:val="0F293A"/>
      <w:sz w:val="40"/>
      <w:szCs w:val="48"/>
      <w:lang w:val="en-US"/>
    </w:rPr>
  </w:style>
  <w:style w:type="paragraph" w:styleId="Header">
    <w:name w:val="header"/>
    <w:basedOn w:val="Normal"/>
    <w:link w:val="HeaderChar"/>
    <w:uiPriority w:val="99"/>
    <w:rsid w:val="00A03917"/>
    <w:pPr>
      <w:tabs>
        <w:tab w:val="center" w:pos="4513"/>
        <w:tab w:val="right" w:pos="9026"/>
      </w:tabs>
      <w:spacing w:before="0"/>
    </w:pPr>
    <w:rPr>
      <w:color w:val="00728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03917"/>
    <w:rPr>
      <w:rFonts w:ascii="Calibri" w:hAnsi="Calibri"/>
      <w:color w:val="00728F"/>
      <w:sz w:val="20"/>
    </w:rPr>
  </w:style>
  <w:style w:type="paragraph" w:styleId="Footer">
    <w:name w:val="footer"/>
    <w:basedOn w:val="Normal"/>
    <w:link w:val="FooterChar"/>
    <w:uiPriority w:val="99"/>
    <w:rsid w:val="00A03917"/>
    <w:pPr>
      <w:pBdr>
        <w:top w:val="single" w:sz="4" w:space="3" w:color="F79620"/>
      </w:pBdr>
      <w:tabs>
        <w:tab w:val="center" w:pos="4513"/>
        <w:tab w:val="right" w:pos="9026"/>
      </w:tabs>
    </w:pPr>
    <w:rPr>
      <w:color w:val="6E6E6E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3917"/>
    <w:rPr>
      <w:rFonts w:ascii="Calibri" w:hAnsi="Calibri"/>
      <w:color w:val="6E6E6E"/>
      <w:sz w:val="20"/>
    </w:rPr>
  </w:style>
  <w:style w:type="paragraph" w:styleId="ListParagraph">
    <w:name w:val="List Paragraph"/>
    <w:basedOn w:val="Normal"/>
    <w:uiPriority w:val="34"/>
    <w:qFormat/>
    <w:rsid w:val="00A03917"/>
    <w:pPr>
      <w:ind w:left="720"/>
      <w:contextualSpacing/>
    </w:pPr>
  </w:style>
  <w:style w:type="paragraph" w:customStyle="1" w:styleId="Documenttype">
    <w:name w:val="Document type"/>
    <w:basedOn w:val="Normal"/>
    <w:uiPriority w:val="17"/>
    <w:qFormat/>
    <w:rsid w:val="00A03917"/>
    <w:pPr>
      <w:spacing w:before="120"/>
      <w:jc w:val="right"/>
    </w:pPr>
    <w:rPr>
      <w:rFonts w:ascii="Cambria" w:eastAsiaTheme="majorEastAsia" w:hAnsi="Cambria" w:cstheme="majorBidi"/>
      <w:b/>
      <w:color w:val="00728F"/>
      <w:kern w:val="28"/>
      <w:sz w:val="24"/>
      <w:szCs w:val="52"/>
    </w:rPr>
  </w:style>
  <w:style w:type="paragraph" w:styleId="NormalWeb">
    <w:name w:val="Normal (Web)"/>
    <w:basedOn w:val="Normal"/>
    <w:uiPriority w:val="99"/>
    <w:unhideWhenUsed/>
    <w:rsid w:val="00C044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5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40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21">
    <w:name w:val="Grid Table 4 - Accent 21"/>
    <w:basedOn w:val="TableNormal"/>
    <w:uiPriority w:val="49"/>
    <w:rsid w:val="003404B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6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6D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6DE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DE"/>
    <w:rPr>
      <w:rFonts w:ascii="Segoe UI" w:hAnsi="Segoe UI" w:cs="Segoe UI"/>
      <w:sz w:val="18"/>
      <w:szCs w:val="18"/>
    </w:rPr>
  </w:style>
  <w:style w:type="paragraph" w:customStyle="1" w:styleId="BoldPara">
    <w:name w:val="Bold Para"/>
    <w:basedOn w:val="Normal"/>
    <w:next w:val="BodyText"/>
    <w:link w:val="BoldParaChar"/>
    <w:rsid w:val="00347C6F"/>
    <w:pPr>
      <w:jc w:val="both"/>
    </w:pPr>
    <w:rPr>
      <w:rFonts w:eastAsia="Times New Roman" w:cs="Times New Roman"/>
      <w:b/>
      <w:color w:val="002776"/>
      <w:szCs w:val="24"/>
    </w:rPr>
  </w:style>
  <w:style w:type="character" w:styleId="FootnoteReference">
    <w:name w:val="footnote reference"/>
    <w:basedOn w:val="DefaultParagraphFont"/>
    <w:uiPriority w:val="99"/>
    <w:semiHidden/>
    <w:rsid w:val="00347C6F"/>
    <w:rPr>
      <w:rFonts w:ascii="Arial" w:hAnsi="Arial"/>
      <w:sz w:val="18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47C6F"/>
    <w:pPr>
      <w:spacing w:before="120" w:after="60"/>
      <w:jc w:val="both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7C6F"/>
    <w:rPr>
      <w:rFonts w:eastAsia="Times New Roman" w:cs="Times New Roman"/>
      <w:sz w:val="18"/>
      <w:szCs w:val="20"/>
    </w:rPr>
  </w:style>
  <w:style w:type="character" w:customStyle="1" w:styleId="BoldParaChar">
    <w:name w:val="Bold Para Char"/>
    <w:basedOn w:val="DefaultParagraphFont"/>
    <w:link w:val="BoldPara"/>
    <w:locked/>
    <w:rsid w:val="00347C6F"/>
    <w:rPr>
      <w:rFonts w:ascii="Calibri" w:eastAsia="Times New Roman" w:hAnsi="Calibri" w:cs="Times New Roman"/>
      <w:b/>
      <w:color w:val="002776"/>
      <w:szCs w:val="24"/>
    </w:rPr>
  </w:style>
  <w:style w:type="paragraph" w:customStyle="1" w:styleId="Bullet1">
    <w:name w:val="Bullet 1"/>
    <w:basedOn w:val="Normal"/>
    <w:link w:val="Bullet1Char"/>
    <w:qFormat/>
    <w:rsid w:val="00344ACE"/>
    <w:pPr>
      <w:numPr>
        <w:numId w:val="10"/>
      </w:numPr>
      <w:spacing w:before="60"/>
      <w:jc w:val="both"/>
    </w:pPr>
    <w:rPr>
      <w:rFonts w:eastAsia="Times New Roman" w:cs="Arial"/>
      <w:szCs w:val="20"/>
      <w:lang w:eastAsia="en-AU"/>
    </w:rPr>
  </w:style>
  <w:style w:type="character" w:customStyle="1" w:styleId="Bullet1Char">
    <w:name w:val="Bullet 1 Char"/>
    <w:basedOn w:val="DefaultParagraphFont"/>
    <w:link w:val="Bullet1"/>
    <w:rsid w:val="00344ACE"/>
    <w:rPr>
      <w:rFonts w:ascii="Calibri" w:eastAsia="Times New Roman" w:hAnsi="Calibri" w:cs="Arial"/>
      <w:szCs w:val="20"/>
      <w:lang w:eastAsia="en-AU"/>
    </w:rPr>
  </w:style>
  <w:style w:type="paragraph" w:customStyle="1" w:styleId="Default">
    <w:name w:val="Default"/>
    <w:rsid w:val="003B4A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D05D4"/>
    <w:rPr>
      <w:rFonts w:ascii="Calibri" w:hAnsi="Calibri"/>
      <w:color w:val="AA0F14"/>
      <w:sz w:val="30"/>
      <w:szCs w:val="32"/>
    </w:rPr>
  </w:style>
  <w:style w:type="paragraph" w:customStyle="1" w:styleId="Bullet2">
    <w:name w:val="Bullet 2"/>
    <w:basedOn w:val="Normal"/>
    <w:qFormat/>
    <w:rsid w:val="002C6AA7"/>
    <w:pPr>
      <w:numPr>
        <w:numId w:val="14"/>
      </w:numPr>
      <w:spacing w:before="60"/>
      <w:ind w:left="1134" w:hanging="567"/>
      <w:jc w:val="both"/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A4279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33C2A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B13DC"/>
    <w:rPr>
      <w:rFonts w:asciiTheme="majorHAnsi" w:eastAsia="Times New Roman" w:hAnsiTheme="majorHAnsi" w:cstheme="majorBidi"/>
      <w:b/>
      <w:i/>
      <w:iCs/>
      <w:color w:val="0D0D0D" w:themeColor="text1" w:themeTint="F2"/>
      <w:lang w:val="en-US"/>
    </w:rPr>
  </w:style>
  <w:style w:type="character" w:styleId="Emphasis">
    <w:name w:val="Emphasis"/>
    <w:basedOn w:val="DefaultParagraphFont"/>
    <w:uiPriority w:val="20"/>
    <w:qFormat/>
    <w:rsid w:val="00D6546E"/>
    <w:rPr>
      <w:i/>
      <w:iCs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D6546E"/>
    <w:pPr>
      <w:spacing w:before="0" w:after="200" w:line="27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3679E"/>
    <w:pPr>
      <w:spacing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25B62"/>
    <w:pPr>
      <w:tabs>
        <w:tab w:val="right" w:leader="dot" w:pos="9016"/>
      </w:tabs>
      <w:spacing w:before="0"/>
      <w:ind w:firstLine="220"/>
    </w:pPr>
    <w:rPr>
      <w:noProof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E13285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EB13DC"/>
    <w:rPr>
      <w:rFonts w:ascii="Calibri" w:hAnsi="Calibri"/>
      <w:b/>
      <w:color w:val="0E293A"/>
      <w:sz w:val="26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E1989"/>
    <w:pPr>
      <w:tabs>
        <w:tab w:val="right" w:leader="dot" w:pos="9016"/>
      </w:tabs>
      <w:spacing w:after="100"/>
      <w:ind w:left="709"/>
    </w:pPr>
  </w:style>
  <w:style w:type="character" w:customStyle="1" w:styleId="Heading5Char">
    <w:name w:val="Heading 5 Char"/>
    <w:basedOn w:val="DefaultParagraphFont"/>
    <w:link w:val="Heading5"/>
    <w:uiPriority w:val="9"/>
    <w:rsid w:val="00DB391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805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4FD1"/>
    <w:pPr>
      <w:spacing w:after="0" w:line="240" w:lineRule="auto"/>
    </w:pPr>
  </w:style>
  <w:style w:type="paragraph" w:customStyle="1" w:styleId="BCRReporttitle">
    <w:name w:val="BCR Report title"/>
    <w:basedOn w:val="Normal"/>
    <w:qFormat/>
    <w:rsid w:val="005D05D4"/>
    <w:pPr>
      <w:keepNext/>
      <w:keepLines/>
      <w:spacing w:before="0" w:after="120"/>
      <w:outlineLvl w:val="0"/>
    </w:pPr>
    <w:rPr>
      <w:rFonts w:ascii="Calibri" w:eastAsia="Times New Roman" w:hAnsi="Calibri" w:cs="Times New Roman"/>
      <w:b/>
      <w:bCs/>
      <w:color w:val="0E293A"/>
      <w:sz w:val="60"/>
      <w:szCs w:val="48"/>
    </w:rPr>
  </w:style>
  <w:style w:type="paragraph" w:customStyle="1" w:styleId="BCRBodytext">
    <w:name w:val="BCR Body text"/>
    <w:link w:val="BCRBodytextChar"/>
    <w:qFormat/>
    <w:rsid w:val="0053679E"/>
    <w:pPr>
      <w:spacing w:before="240" w:after="120" w:line="240" w:lineRule="auto"/>
    </w:pPr>
    <w:rPr>
      <w:rFonts w:ascii="Calibri" w:hAnsi="Calibri"/>
    </w:rPr>
  </w:style>
  <w:style w:type="character" w:customStyle="1" w:styleId="BCRBodytextChar">
    <w:name w:val="BCR Body text Char"/>
    <w:basedOn w:val="DefaultParagraphFont"/>
    <w:link w:val="BCRBodytext"/>
    <w:rsid w:val="00894951"/>
    <w:rPr>
      <w:rFonts w:ascii="Calibri" w:hAnsi="Calibri"/>
    </w:rPr>
  </w:style>
  <w:style w:type="paragraph" w:customStyle="1" w:styleId="BCRHead3">
    <w:name w:val="BCR Head 3"/>
    <w:basedOn w:val="Normal"/>
    <w:qFormat/>
    <w:rsid w:val="005D05D4"/>
    <w:pPr>
      <w:spacing w:after="240"/>
    </w:pPr>
    <w:rPr>
      <w:rFonts w:ascii="Calibri" w:hAnsi="Calibri"/>
      <w:color w:val="AA0F14"/>
      <w:sz w:val="30"/>
      <w:szCs w:val="32"/>
    </w:rPr>
  </w:style>
  <w:style w:type="paragraph" w:customStyle="1" w:styleId="BCRHead4">
    <w:name w:val="BCR Head 4"/>
    <w:qFormat/>
    <w:rsid w:val="005D05D4"/>
    <w:pPr>
      <w:spacing w:before="240" w:after="0" w:line="240" w:lineRule="auto"/>
    </w:pPr>
    <w:rPr>
      <w:rFonts w:ascii="Calibri" w:hAnsi="Calibri"/>
      <w:b/>
      <w:color w:val="0E293A"/>
      <w:sz w:val="26"/>
      <w:szCs w:val="32"/>
    </w:rPr>
  </w:style>
  <w:style w:type="table" w:customStyle="1" w:styleId="GridTable1Light1">
    <w:name w:val="Grid Table 1 Light1"/>
    <w:basedOn w:val="TableNormal"/>
    <w:uiPriority w:val="46"/>
    <w:rsid w:val="002417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caption">
    <w:name w:val="Figure caption"/>
    <w:basedOn w:val="Caption"/>
    <w:next w:val="Normal"/>
    <w:link w:val="FigurecaptionCharChar"/>
    <w:uiPriority w:val="10"/>
    <w:qFormat/>
    <w:rsid w:val="00491C07"/>
    <w:pPr>
      <w:keepNext/>
      <w:tabs>
        <w:tab w:val="left" w:pos="1021"/>
      </w:tabs>
      <w:spacing w:before="240" w:after="120"/>
      <w:ind w:left="1021" w:hanging="1021"/>
    </w:pPr>
    <w:rPr>
      <w:rFonts w:ascii="Calibri" w:eastAsia="Calibri" w:hAnsi="Calibri" w:cs="Times New Roman"/>
      <w:b/>
      <w:bCs/>
      <w:i w:val="0"/>
      <w:iCs w:val="0"/>
      <w:color w:val="808080" w:themeColor="background1" w:themeShade="80"/>
    </w:rPr>
  </w:style>
  <w:style w:type="character" w:customStyle="1" w:styleId="FigurecaptionCharChar">
    <w:name w:val="Figure caption Char Char"/>
    <w:link w:val="Figurecaption"/>
    <w:uiPriority w:val="10"/>
    <w:locked/>
    <w:rsid w:val="00491C07"/>
    <w:rPr>
      <w:rFonts w:ascii="Calibri" w:eastAsia="Calibri" w:hAnsi="Calibri" w:cs="Times New Roman"/>
      <w:b/>
      <w:bCs/>
      <w:color w:val="808080" w:themeColor="background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DBFC-5CFC-4DA8-8AE5-B7C9C2D6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2015-06-02T07:17:00Z</dcterms:created>
  <dcterms:modified xsi:type="dcterms:W3CDTF">2015-06-02T07:23:00Z</dcterms:modified>
</cp:coreProperties>
</file>