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9112E" w14:textId="77777777" w:rsidR="00DC2144" w:rsidRPr="00FA439F" w:rsidRDefault="00DC2144" w:rsidP="00CC4CBA">
      <w:pPr>
        <w:spacing w:after="1200"/>
        <w:jc w:val="center"/>
      </w:pPr>
      <w:r>
        <w:rPr>
          <w:caps/>
          <w:noProof/>
          <w:lang w:eastAsia="en-AU"/>
        </w:rPr>
        <w:drawing>
          <wp:inline distT="0" distB="0" distL="0" distR="0" wp14:anchorId="6C0E708A" wp14:editId="01004B28">
            <wp:extent cx="2465070" cy="1375410"/>
            <wp:effectExtent l="0" t="0" r="0" b="0"/>
            <wp:docPr id="3"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070" cy="1375410"/>
                    </a:xfrm>
                    <a:prstGeom prst="rect">
                      <a:avLst/>
                    </a:prstGeom>
                    <a:noFill/>
                    <a:ln>
                      <a:noFill/>
                    </a:ln>
                  </pic:spPr>
                </pic:pic>
              </a:graphicData>
            </a:graphic>
          </wp:inline>
        </w:drawing>
      </w:r>
    </w:p>
    <w:p w14:paraId="5E836582" w14:textId="77777777" w:rsidR="00DC2144" w:rsidRPr="001636AA" w:rsidRDefault="00DC2144" w:rsidP="00CC4CBA">
      <w:pPr>
        <w:pStyle w:val="Heading1"/>
      </w:pPr>
      <w:r w:rsidRPr="001636AA">
        <w:t xml:space="preserve">Australian </w:t>
      </w:r>
      <w:r w:rsidRPr="00CC4CBA">
        <w:t>Government</w:t>
      </w:r>
      <w:r w:rsidRPr="001636AA">
        <w:t xml:space="preserve"> response to the Regional Telecommunications Independent R</w:t>
      </w:r>
      <w:bookmarkStart w:id="0" w:name="_GoBack"/>
      <w:bookmarkEnd w:id="0"/>
      <w:r w:rsidRPr="001636AA">
        <w:t>eview Committee report:</w:t>
      </w:r>
    </w:p>
    <w:p w14:paraId="2D9A0859" w14:textId="77777777" w:rsidR="00DC2144" w:rsidRDefault="00DC2144" w:rsidP="00CC4CBA">
      <w:pPr>
        <w:tabs>
          <w:tab w:val="left" w:pos="7396"/>
        </w:tabs>
        <w:spacing w:after="6200"/>
        <w:jc w:val="center"/>
        <w:rPr>
          <w:rFonts w:ascii="Times New Roman" w:hAnsi="Times New Roman" w:cs="Times New Roman"/>
          <w:sz w:val="36"/>
          <w:szCs w:val="36"/>
        </w:rPr>
      </w:pPr>
      <w:r w:rsidRPr="001636AA">
        <w:rPr>
          <w:rFonts w:ascii="Times New Roman" w:hAnsi="Times New Roman" w:cs="Times New Roman"/>
          <w:sz w:val="36"/>
          <w:szCs w:val="36"/>
        </w:rPr>
        <w:t xml:space="preserve">Regional Telecommunications </w:t>
      </w:r>
      <w:r w:rsidRPr="00CC4CBA">
        <w:rPr>
          <w:rStyle w:val="SubtleReference"/>
        </w:rPr>
        <w:t>Review</w:t>
      </w:r>
      <w:r>
        <w:rPr>
          <w:rFonts w:ascii="Times New Roman" w:hAnsi="Times New Roman" w:cs="Times New Roman"/>
          <w:sz w:val="36"/>
          <w:szCs w:val="36"/>
        </w:rPr>
        <w:t xml:space="preserve"> 2015</w:t>
      </w:r>
    </w:p>
    <w:p w14:paraId="1CF69520" w14:textId="0FBA84C4" w:rsidR="006A5957" w:rsidRDefault="00DC2144" w:rsidP="00DC2144">
      <w:pPr>
        <w:tabs>
          <w:tab w:val="left" w:pos="7396"/>
        </w:tabs>
        <w:spacing w:after="0"/>
        <w:jc w:val="right"/>
        <w:rPr>
          <w:b/>
        </w:rPr>
      </w:pPr>
      <w:r w:rsidRPr="001636AA">
        <w:rPr>
          <w:rFonts w:ascii="Times New Roman" w:hAnsi="Times New Roman" w:cs="Times New Roman"/>
          <w:sz w:val="28"/>
          <w:szCs w:val="28"/>
        </w:rPr>
        <w:t>February 2016</w:t>
      </w:r>
    </w:p>
    <w:p w14:paraId="758E5D8F" w14:textId="77777777" w:rsidR="00CC4CBA" w:rsidRDefault="00CC4CBA">
      <w:pPr>
        <w:rPr>
          <w:b/>
        </w:rPr>
      </w:pPr>
      <w:r>
        <w:rPr>
          <w:b/>
        </w:rPr>
        <w:br w:type="page"/>
      </w:r>
    </w:p>
    <w:p w14:paraId="00C495E2" w14:textId="5E86D460" w:rsidR="00673C63" w:rsidRDefault="003D151F" w:rsidP="00CC4CBA">
      <w:pPr>
        <w:pStyle w:val="Heading2"/>
      </w:pPr>
      <w:r w:rsidRPr="00CC4CBA">
        <w:lastRenderedPageBreak/>
        <w:t>Introduction</w:t>
      </w:r>
    </w:p>
    <w:p w14:paraId="4E1E3038" w14:textId="52DE4615" w:rsidR="003D151F" w:rsidRDefault="00933AF3" w:rsidP="00CC4CBA">
      <w:r w:rsidRPr="00770076">
        <w:t xml:space="preserve">The Government recognises the important role that telecommunications </w:t>
      </w:r>
      <w:r w:rsidR="00673CF4" w:rsidRPr="00770076">
        <w:t>play</w:t>
      </w:r>
      <w:r w:rsidRPr="00770076">
        <w:t xml:space="preserve"> in the social and economic development of regional Australia and is committed to ensuring that </w:t>
      </w:r>
      <w:r w:rsidR="00206F2C" w:rsidRPr="00770076">
        <w:t>Australians living and working i</w:t>
      </w:r>
      <w:r w:rsidR="00FD1F56">
        <w:t xml:space="preserve">n these areas have access to </w:t>
      </w:r>
      <w:r w:rsidR="00206F2C" w:rsidRPr="00770076">
        <w:t>appropriate level</w:t>
      </w:r>
      <w:r w:rsidR="00FD1F56">
        <w:t>s</w:t>
      </w:r>
      <w:r w:rsidR="00CC4CBA">
        <w:t xml:space="preserve"> of service.</w:t>
      </w:r>
    </w:p>
    <w:p w14:paraId="0A18AC25" w14:textId="73F61300" w:rsidR="003D151F" w:rsidRDefault="00E10979" w:rsidP="00CC4CBA">
      <w:r>
        <w:t>A</w:t>
      </w:r>
      <w:r w:rsidR="00B24410">
        <w:t xml:space="preserve"> </w:t>
      </w:r>
      <w:r w:rsidR="00B02286">
        <w:t>R</w:t>
      </w:r>
      <w:r w:rsidR="00B24410">
        <w:t xml:space="preserve">egional </w:t>
      </w:r>
      <w:r w:rsidR="00B02286">
        <w:t>T</w:t>
      </w:r>
      <w:r w:rsidR="00B24410">
        <w:t xml:space="preserve">elecommunications </w:t>
      </w:r>
      <w:r w:rsidR="00B02286">
        <w:t>I</w:t>
      </w:r>
      <w:r w:rsidR="00136AB6">
        <w:t xml:space="preserve">ndependent </w:t>
      </w:r>
      <w:r w:rsidR="00B02286">
        <w:t>R</w:t>
      </w:r>
      <w:r w:rsidR="00FD1F56">
        <w:t xml:space="preserve">eview </w:t>
      </w:r>
      <w:r w:rsidR="00B02286">
        <w:t>C</w:t>
      </w:r>
      <w:r w:rsidR="00136AB6">
        <w:t xml:space="preserve">ommittee </w:t>
      </w:r>
      <w:r w:rsidR="00B02286">
        <w:t xml:space="preserve">(the Committee) </w:t>
      </w:r>
      <w:r w:rsidR="00B24410">
        <w:t xml:space="preserve">is </w:t>
      </w:r>
      <w:r w:rsidR="00176EA8">
        <w:t xml:space="preserve">appointed </w:t>
      </w:r>
      <w:r w:rsidR="00B24410">
        <w:t xml:space="preserve">every three years </w:t>
      </w:r>
      <w:r w:rsidR="00176EA8">
        <w:t xml:space="preserve">under </w:t>
      </w:r>
      <w:r w:rsidR="005F18BD" w:rsidRPr="00770076">
        <w:t xml:space="preserve">Part 9B of the </w:t>
      </w:r>
      <w:r w:rsidR="005F18BD" w:rsidRPr="00770076">
        <w:rPr>
          <w:i/>
        </w:rPr>
        <w:t>Telecommunications (Consumer Protection and Service Standards) Act 1999</w:t>
      </w:r>
      <w:r w:rsidR="00B24410" w:rsidRPr="00B24410">
        <w:t xml:space="preserve"> to</w:t>
      </w:r>
      <w:r w:rsidR="00B24410">
        <w:t xml:space="preserve"> review the adequacy of telecommunications </w:t>
      </w:r>
      <w:r w:rsidR="00025F6C">
        <w:t xml:space="preserve">services </w:t>
      </w:r>
      <w:r w:rsidR="00B24410">
        <w:t>in regio</w:t>
      </w:r>
      <w:r w:rsidR="00ED0D41">
        <w:t>nal, rural and remote Australia</w:t>
      </w:r>
      <w:r w:rsidR="00D55099">
        <w:t xml:space="preserve">. </w:t>
      </w:r>
      <w:r w:rsidR="000D7EC4">
        <w:t xml:space="preserve">The 2015 Regional Telecommunications Review </w:t>
      </w:r>
      <w:r w:rsidR="00B02286">
        <w:t xml:space="preserve">(the Review) </w:t>
      </w:r>
      <w:r w:rsidR="000D7EC4">
        <w:t xml:space="preserve">is the third such </w:t>
      </w:r>
      <w:r w:rsidR="002D6C97">
        <w:t>legislative review</w:t>
      </w:r>
      <w:r w:rsidR="006C573E">
        <w:t>.</w:t>
      </w:r>
    </w:p>
    <w:p w14:paraId="1F4590B3" w14:textId="4222AC6B" w:rsidR="003D151F" w:rsidRDefault="000D7EC4" w:rsidP="00CC4CBA">
      <w:r>
        <w:t>The</w:t>
      </w:r>
      <w:r w:rsidR="006D549D">
        <w:t xml:space="preserve"> </w:t>
      </w:r>
      <w:r w:rsidR="00B02286">
        <w:t>C</w:t>
      </w:r>
      <w:r w:rsidR="008B0A83">
        <w:t>ommittee</w:t>
      </w:r>
      <w:r w:rsidR="002D6C97">
        <w:t xml:space="preserve"> was appointed</w:t>
      </w:r>
      <w:r w:rsidR="002B1DBB">
        <w:t xml:space="preserve"> </w:t>
      </w:r>
      <w:r w:rsidR="00D17D99">
        <w:t xml:space="preserve">in </w:t>
      </w:r>
      <w:r w:rsidR="00FC5230">
        <w:t>May 2015</w:t>
      </w:r>
      <w:r w:rsidR="008B0A83">
        <w:t xml:space="preserve"> and comprised Ms Deena Shiff</w:t>
      </w:r>
      <w:r w:rsidR="00707537">
        <w:t xml:space="preserve"> (chair)</w:t>
      </w:r>
      <w:r w:rsidR="008B0A83">
        <w:t>, Mr Robin Eckermann,</w:t>
      </w:r>
      <w:r w:rsidR="0013769F">
        <w:t xml:space="preserve"> Ms Su McCluskey</w:t>
      </w:r>
      <w:r w:rsidR="008B0A83">
        <w:t xml:space="preserve"> and Ms Georgie Somerset. </w:t>
      </w:r>
      <w:r w:rsidR="002D6C97">
        <w:t>Consultation commenced with the release of a</w:t>
      </w:r>
      <w:r w:rsidR="002B1DBB">
        <w:t xml:space="preserve">n </w:t>
      </w:r>
      <w:r>
        <w:t>Issues Paper</w:t>
      </w:r>
      <w:r w:rsidR="002B1DBB">
        <w:t xml:space="preserve"> on 17 June 2015, followed by </w:t>
      </w:r>
      <w:r w:rsidR="002D6C97">
        <w:t>broad discussions</w:t>
      </w:r>
      <w:r w:rsidR="00FC3DAB">
        <w:t xml:space="preserve"> </w:t>
      </w:r>
      <w:r w:rsidR="00CA4CDE">
        <w:t>with</w:t>
      </w:r>
      <w:r w:rsidR="00FD1F56">
        <w:t xml:space="preserve"> industry, peak bodies, business, consume</w:t>
      </w:r>
      <w:r>
        <w:t>r grou</w:t>
      </w:r>
      <w:r w:rsidR="00385DE9">
        <w:t xml:space="preserve">ps and the general public. </w:t>
      </w:r>
      <w:r w:rsidR="00731001">
        <w:t xml:space="preserve">A total of </w:t>
      </w:r>
      <w:r w:rsidR="00CC0056">
        <w:t xml:space="preserve">426 submissions </w:t>
      </w:r>
      <w:r w:rsidR="00731001">
        <w:t xml:space="preserve">were </w:t>
      </w:r>
      <w:r w:rsidR="00CC0056">
        <w:t>received</w:t>
      </w:r>
      <w:r w:rsidR="006D549D">
        <w:t xml:space="preserve"> </w:t>
      </w:r>
      <w:r w:rsidR="002D6C97">
        <w:t>during the</w:t>
      </w:r>
      <w:r w:rsidR="002B1DBB">
        <w:t xml:space="preserve"> consultation</w:t>
      </w:r>
      <w:r w:rsidR="006D549D">
        <w:t xml:space="preserve"> </w:t>
      </w:r>
      <w:r w:rsidR="002D6C97">
        <w:t>phase</w:t>
      </w:r>
      <w:r w:rsidR="00731001">
        <w:t xml:space="preserve">. </w:t>
      </w:r>
      <w:r w:rsidR="00DD1278">
        <w:t>The C</w:t>
      </w:r>
      <w:r w:rsidR="002B3296">
        <w:t>ommittee’s final</w:t>
      </w:r>
      <w:r w:rsidR="002F64AF">
        <w:t xml:space="preserve"> report</w:t>
      </w:r>
      <w:r w:rsidR="007D7B48">
        <w:t>,</w:t>
      </w:r>
      <w:r w:rsidR="006D549D">
        <w:t xml:space="preserve"> </w:t>
      </w:r>
      <w:proofErr w:type="gramStart"/>
      <w:r w:rsidR="002F64AF" w:rsidRPr="00D25FE0">
        <w:rPr>
          <w:i/>
        </w:rPr>
        <w:t>Unlocking</w:t>
      </w:r>
      <w:proofErr w:type="gramEnd"/>
      <w:r w:rsidR="002F64AF" w:rsidRPr="00D25FE0">
        <w:rPr>
          <w:i/>
        </w:rPr>
        <w:t xml:space="preserve"> the potential in regional Australia</w:t>
      </w:r>
      <w:r w:rsidR="002F64AF">
        <w:t>, put</w:t>
      </w:r>
      <w:r w:rsidR="002B3296">
        <w:t>s</w:t>
      </w:r>
      <w:r w:rsidR="002F64AF">
        <w:t xml:space="preserve"> forward 12 recommendations</w:t>
      </w:r>
      <w:r w:rsidR="002F64AF" w:rsidRPr="002F64AF">
        <w:t xml:space="preserve"> </w:t>
      </w:r>
      <w:r w:rsidR="002F64AF">
        <w:t>for regional telecommunications</w:t>
      </w:r>
      <w:r w:rsidR="002D6C97">
        <w:t xml:space="preserve"> and</w:t>
      </w:r>
      <w:r w:rsidR="002E7738">
        <w:t xml:space="preserve"> was tabled in Parliament on 22 </w:t>
      </w:r>
      <w:r w:rsidR="002B1DBB">
        <w:t>October 2015.</w:t>
      </w:r>
    </w:p>
    <w:p w14:paraId="31984A27" w14:textId="77777777" w:rsidR="00FC3DAB" w:rsidRDefault="006D549D" w:rsidP="00CC4CBA">
      <w:r>
        <w:t>The legislation requires the</w:t>
      </w:r>
      <w:r w:rsidR="00C67009">
        <w:t xml:space="preserve"> Australian Government to </w:t>
      </w:r>
      <w:r w:rsidR="00F436CC">
        <w:t>prepare a statement of response</w:t>
      </w:r>
      <w:r w:rsidR="00C67009">
        <w:t xml:space="preserve"> to </w:t>
      </w:r>
      <w:r w:rsidR="00F436CC">
        <w:t xml:space="preserve">these </w:t>
      </w:r>
      <w:r w:rsidR="00C67009">
        <w:t xml:space="preserve">recommendations </w:t>
      </w:r>
      <w:r w:rsidR="00F436CC">
        <w:t xml:space="preserve">within six months of receipt. </w:t>
      </w:r>
      <w:r w:rsidR="00AE072C">
        <w:t>This statement satis</w:t>
      </w:r>
      <w:r w:rsidR="00F436CC">
        <w:t>fies th</w:t>
      </w:r>
      <w:r w:rsidR="00D25FE0">
        <w:t>at</w:t>
      </w:r>
      <w:r w:rsidR="00AE072C">
        <w:t xml:space="preserve"> </w:t>
      </w:r>
      <w:r w:rsidR="00F436CC">
        <w:t>requirement.</w:t>
      </w:r>
    </w:p>
    <w:p w14:paraId="4CE51D7C" w14:textId="77777777" w:rsidR="00284EF4" w:rsidRDefault="00284EF4" w:rsidP="00CC4CBA">
      <w:pPr>
        <w:pStyle w:val="Heading2"/>
      </w:pPr>
      <w:r>
        <w:t>K</w:t>
      </w:r>
      <w:r w:rsidRPr="00FD1F56">
        <w:t xml:space="preserve">ey </w:t>
      </w:r>
      <w:r>
        <w:t>themes</w:t>
      </w:r>
      <w:r w:rsidRPr="00FD1F56">
        <w:t xml:space="preserve"> </w:t>
      </w:r>
      <w:r>
        <w:t>of the Review</w:t>
      </w:r>
    </w:p>
    <w:p w14:paraId="26F39C0D" w14:textId="3E12D55D" w:rsidR="005A4E7F" w:rsidRDefault="005A4E7F" w:rsidP="00CC4CBA">
      <w:r>
        <w:t>Since the last review in 2012, the Australian telecommunications enviro</w:t>
      </w:r>
      <w:r w:rsidR="000F27C0">
        <w:t xml:space="preserve">nment has continued to evolve. </w:t>
      </w:r>
      <w:r>
        <w:t>For example, there has been significant ongoing investment by the Government in the National Broadband Network (NBN) rollout, investment by both the Government (via the Mobile Black Spot Programme) and the private sector in mobile infrastructure and the availability of a wide range of new telecommunications services. This continued evolution has led to communications devices becoming ubiquitous and embedded in</w:t>
      </w:r>
      <w:r w:rsidR="00CC4CBA">
        <w:t xml:space="preserve"> many aspects of modern life.</w:t>
      </w:r>
    </w:p>
    <w:p w14:paraId="48B09758" w14:textId="027FF7CC" w:rsidR="000D3BE5" w:rsidRDefault="00284EF4" w:rsidP="00CC4CBA">
      <w:r>
        <w:t>In reviewing the adequacy of telecommunications in regional</w:t>
      </w:r>
      <w:r w:rsidR="003F423F">
        <w:t xml:space="preserve"> </w:t>
      </w:r>
      <w:r>
        <w:t>Australia</w:t>
      </w:r>
      <w:r w:rsidR="003F423F">
        <w:rPr>
          <w:rStyle w:val="FootnoteReference"/>
        </w:rPr>
        <w:footnoteReference w:id="2"/>
      </w:r>
      <w:r>
        <w:t xml:space="preserve">, the Review was asked by the Minister for Communications to have particular regard for the NBN, the Mobile Black Spot Programme, and whether current consumer safeguards continue to be appropriate as the </w:t>
      </w:r>
      <w:r w:rsidR="00D25FE0">
        <w:t xml:space="preserve">NBN </w:t>
      </w:r>
      <w:r>
        <w:t>is rolled out</w:t>
      </w:r>
      <w:r w:rsidR="00CC4CBA">
        <w:t>.</w:t>
      </w:r>
    </w:p>
    <w:p w14:paraId="6CED614C" w14:textId="77777777" w:rsidR="00284EF4" w:rsidRDefault="00284EF4" w:rsidP="00CC4CBA">
      <w:r>
        <w:t>In line with this, the Review identified the following themes:</w:t>
      </w:r>
    </w:p>
    <w:p w14:paraId="69BAA24F" w14:textId="77777777" w:rsidR="00284EF4" w:rsidRPr="00CC4CBA" w:rsidRDefault="00D25FE0" w:rsidP="00CC4CBA">
      <w:pPr>
        <w:pStyle w:val="ListParagraph"/>
      </w:pPr>
      <w:r w:rsidRPr="00CC4CBA">
        <w:t>m</w:t>
      </w:r>
      <w:r w:rsidR="00284EF4" w:rsidRPr="00CC4CBA">
        <w:t>obile coverage continues to be important to Australians living and working in regional areas</w:t>
      </w:r>
      <w:r w:rsidRPr="00CC4CBA">
        <w:t>;</w:t>
      </w:r>
    </w:p>
    <w:p w14:paraId="37F19AB9" w14:textId="77777777" w:rsidR="00284EF4" w:rsidRPr="00CC4CBA" w:rsidRDefault="00D25FE0" w:rsidP="00CC4CBA">
      <w:pPr>
        <w:pStyle w:val="ListParagraph"/>
      </w:pPr>
      <w:r w:rsidRPr="00CC4CBA">
        <w:lastRenderedPageBreak/>
        <w:t>c</w:t>
      </w:r>
      <w:r w:rsidR="00284EF4" w:rsidRPr="00CC4CBA">
        <w:t xml:space="preserve">o-investment and leveraging </w:t>
      </w:r>
      <w:r w:rsidRPr="00CC4CBA">
        <w:t xml:space="preserve">of </w:t>
      </w:r>
      <w:r w:rsidR="00284EF4" w:rsidRPr="00CC4CBA">
        <w:t xml:space="preserve">existing and planned infrastructure could maximise opportunities </w:t>
      </w:r>
      <w:r w:rsidR="000F58E6" w:rsidRPr="00CC4CBA">
        <w:t xml:space="preserve">to </w:t>
      </w:r>
      <w:r w:rsidR="00284EF4" w:rsidRPr="00CC4CBA">
        <w:t>improve telecommunications</w:t>
      </w:r>
      <w:r w:rsidRPr="00CC4CBA">
        <w:t xml:space="preserve">; and </w:t>
      </w:r>
      <w:r w:rsidR="00284EF4" w:rsidRPr="00CC4CBA">
        <w:t xml:space="preserve"> </w:t>
      </w:r>
    </w:p>
    <w:p w14:paraId="4AC985DF" w14:textId="77777777" w:rsidR="00284EF4" w:rsidRPr="00C34D50" w:rsidRDefault="00D25FE0" w:rsidP="00CC4CBA">
      <w:pPr>
        <w:pStyle w:val="ListParagraph"/>
        <w:rPr>
          <w:b/>
        </w:rPr>
      </w:pPr>
      <w:proofErr w:type="gramStart"/>
      <w:r w:rsidRPr="00CC4CBA">
        <w:t>e</w:t>
      </w:r>
      <w:r w:rsidR="00284EF4" w:rsidRPr="00CC4CBA">
        <w:t>xisting</w:t>
      </w:r>
      <w:proofErr w:type="gramEnd"/>
      <w:r w:rsidR="00284EF4">
        <w:t xml:space="preserve"> consumer </w:t>
      </w:r>
      <w:r>
        <w:t xml:space="preserve">regulatory </w:t>
      </w:r>
      <w:r w:rsidR="00284EF4">
        <w:t xml:space="preserve">safeguards are of declining relevance in a post NBN environment and </w:t>
      </w:r>
      <w:r>
        <w:t xml:space="preserve">as </w:t>
      </w:r>
      <w:r w:rsidR="00284EF4">
        <w:t>consumer preferences and expectations</w:t>
      </w:r>
      <w:r>
        <w:t xml:space="preserve"> continue to change</w:t>
      </w:r>
      <w:r w:rsidR="00284EF4">
        <w:t>.</w:t>
      </w:r>
    </w:p>
    <w:p w14:paraId="12426C19" w14:textId="77777777" w:rsidR="00284EF4" w:rsidRPr="00316356" w:rsidRDefault="00284EF4" w:rsidP="00CC4CBA">
      <w:pPr>
        <w:pStyle w:val="Heading2"/>
      </w:pPr>
      <w:r w:rsidRPr="00316356">
        <w:t>Government response to the Review</w:t>
      </w:r>
    </w:p>
    <w:p w14:paraId="53CB028E" w14:textId="7680F0A9" w:rsidR="00203246" w:rsidRDefault="00203246" w:rsidP="00CC4CBA">
      <w:r>
        <w:t>The Review acknowledges that telecommu</w:t>
      </w:r>
      <w:r w:rsidR="009A72E8">
        <w:t xml:space="preserve">nications </w:t>
      </w:r>
      <w:r>
        <w:t>has and will continue to shape the lives and improve the economic opportunities of</w:t>
      </w:r>
      <w:r w:rsidR="00CC4CBA">
        <w:t xml:space="preserve"> people in regional Australia.</w:t>
      </w:r>
    </w:p>
    <w:p w14:paraId="32BA0112" w14:textId="4B9D7D87" w:rsidR="00911BA7" w:rsidRDefault="00D90AF5" w:rsidP="00CC4CBA">
      <w:r>
        <w:t xml:space="preserve">Importantly, </w:t>
      </w:r>
      <w:r w:rsidR="00203246">
        <w:t>this</w:t>
      </w:r>
      <w:r>
        <w:t xml:space="preserve"> current</w:t>
      </w:r>
      <w:r w:rsidR="00203246">
        <w:t xml:space="preserve"> </w:t>
      </w:r>
      <w:r w:rsidR="00F04F9C">
        <w:t xml:space="preserve">Review comes at a time when the Government is already delivering </w:t>
      </w:r>
      <w:r w:rsidR="00DA18CF">
        <w:t xml:space="preserve">very </w:t>
      </w:r>
      <w:r w:rsidR="00230383">
        <w:t>significant</w:t>
      </w:r>
      <w:r w:rsidR="00DA18CF">
        <w:t xml:space="preserve"> </w:t>
      </w:r>
      <w:r w:rsidR="00F04F9C">
        <w:t>improvements to telecommunications services in regional Australia through the rollout of the NBN and funding of the Mobile Black Spot Programme.</w:t>
      </w:r>
    </w:p>
    <w:p w14:paraId="107934C5" w14:textId="468E139A" w:rsidR="00712804" w:rsidRDefault="00D90AF5" w:rsidP="00CC4CBA">
      <w:r>
        <w:t xml:space="preserve">The full impacts of these decisions in regional areas is only just beginning to be realised, and the process of transformation will </w:t>
      </w:r>
      <w:r w:rsidR="00370DCF">
        <w:t>continue to gather momentum over the next few years.</w:t>
      </w:r>
    </w:p>
    <w:p w14:paraId="64C3B71B" w14:textId="4BBFF824" w:rsidR="00B70A36" w:rsidRDefault="00B70A36" w:rsidP="00CC4CBA">
      <w:r>
        <w:t xml:space="preserve">The Government acknowledges the strong support in the </w:t>
      </w:r>
      <w:r w:rsidR="00435232">
        <w:t>R</w:t>
      </w:r>
      <w:r>
        <w:t xml:space="preserve">eview </w:t>
      </w:r>
      <w:r w:rsidR="00FF5314">
        <w:t>for these investments</w:t>
      </w:r>
      <w:r>
        <w:t>.</w:t>
      </w:r>
      <w:r w:rsidR="004C7171" w:rsidRPr="004C7171">
        <w:t xml:space="preserve"> </w:t>
      </w:r>
      <w:r w:rsidR="00DA18CF">
        <w:t>The response to the Review inevitably reflects that the Review has come at a point in time</w:t>
      </w:r>
      <w:r w:rsidR="005A4E7F">
        <w:t xml:space="preserve"> which is only part way through </w:t>
      </w:r>
      <w:r w:rsidR="00DA18CF">
        <w:t>this transformation process.</w:t>
      </w:r>
    </w:p>
    <w:p w14:paraId="645A8FC9" w14:textId="77777777" w:rsidR="00284EF4" w:rsidRDefault="00284EF4" w:rsidP="00CC4CBA">
      <w:pPr>
        <w:pStyle w:val="Heading3"/>
      </w:pPr>
      <w:r w:rsidRPr="003F423F">
        <w:t>National Broadband Network</w:t>
      </w:r>
    </w:p>
    <w:p w14:paraId="566E2D62" w14:textId="2ABBB4D8" w:rsidR="00284EF4" w:rsidRDefault="00284EF4" w:rsidP="00CC4CBA">
      <w:r w:rsidRPr="008D6B94">
        <w:t xml:space="preserve">NBN Co </w:t>
      </w:r>
      <w:r>
        <w:t>Limited</w:t>
      </w:r>
      <w:r w:rsidR="00D17D99">
        <w:t xml:space="preserve"> </w:t>
      </w:r>
      <w:r w:rsidR="00D25FE0">
        <w:t xml:space="preserve">(NBN Co) </w:t>
      </w:r>
      <w:r>
        <w:t>was established as a Government Business Enterprise</w:t>
      </w:r>
      <w:r w:rsidRPr="008D6B94">
        <w:t xml:space="preserve"> </w:t>
      </w:r>
      <w:r>
        <w:t xml:space="preserve">and is building and operating the NBN on a commercial basis at arm’s length from the Government. </w:t>
      </w:r>
      <w:r w:rsidR="00D17D99">
        <w:t xml:space="preserve">The NBN </w:t>
      </w:r>
      <w:r w:rsidRPr="008D6B94">
        <w:t>will deliver</w:t>
      </w:r>
      <w:r w:rsidR="00A80A0B">
        <w:t xml:space="preserve"> very</w:t>
      </w:r>
      <w:r w:rsidRPr="008D6B94">
        <w:t xml:space="preserve"> fast broadband </w:t>
      </w:r>
      <w:r w:rsidR="00A80A0B">
        <w:t xml:space="preserve">to all Australian premises </w:t>
      </w:r>
      <w:r w:rsidR="00462E74">
        <w:t>using f</w:t>
      </w:r>
      <w:r w:rsidRPr="008D6B94">
        <w:t xml:space="preserve">ibre to the premises, </w:t>
      </w:r>
      <w:r w:rsidR="00D25FE0">
        <w:t>h</w:t>
      </w:r>
      <w:r w:rsidRPr="008D6B94">
        <w:t xml:space="preserve">ybrid </w:t>
      </w:r>
      <w:r w:rsidR="00D25FE0">
        <w:t>f</w:t>
      </w:r>
      <w:r w:rsidRPr="008D6B94">
        <w:t xml:space="preserve">ibre </w:t>
      </w:r>
      <w:r w:rsidR="00D25FE0">
        <w:t>c</w:t>
      </w:r>
      <w:r w:rsidRPr="008D6B94">
        <w:t xml:space="preserve">oaxial, </w:t>
      </w:r>
      <w:proofErr w:type="gramStart"/>
      <w:r w:rsidR="000F58E6" w:rsidRPr="008D6B94">
        <w:t>fibre</w:t>
      </w:r>
      <w:proofErr w:type="gramEnd"/>
      <w:r w:rsidRPr="008D6B94">
        <w:t xml:space="preserve"> to the node</w:t>
      </w:r>
      <w:r w:rsidR="007047AB">
        <w:t>/basement</w:t>
      </w:r>
      <w:r w:rsidRPr="008D6B94">
        <w:t xml:space="preserve">, fixed wireless and satellite technologies. </w:t>
      </w:r>
      <w:r w:rsidR="00462E74">
        <w:t xml:space="preserve">This mix of technologies should result in the </w:t>
      </w:r>
      <w:r w:rsidR="00D17D99">
        <w:t xml:space="preserve">NBN </w:t>
      </w:r>
      <w:r w:rsidR="00462E74">
        <w:t xml:space="preserve">being </w:t>
      </w:r>
      <w:r w:rsidR="001424E4">
        <w:t xml:space="preserve">fully </w:t>
      </w:r>
      <w:r w:rsidR="00D17D99">
        <w:t xml:space="preserve">completed </w:t>
      </w:r>
      <w:r w:rsidR="00CC4CBA">
        <w:t>by 2020.</w:t>
      </w:r>
    </w:p>
    <w:p w14:paraId="43796A2C" w14:textId="51B3F375" w:rsidR="00EE1861" w:rsidRDefault="00EE1861" w:rsidP="00CC4CBA">
      <w:r>
        <w:t xml:space="preserve">The Review found that regional Australians have the most to gain from the arrival of the NBN’s higher bandwidth and higher quality broadband services that will make significant improvements to lifestyle and business productivity. </w:t>
      </w:r>
    </w:p>
    <w:p w14:paraId="7560D3A7" w14:textId="251E25CA" w:rsidR="00712804" w:rsidRDefault="00284EF4" w:rsidP="00CC4CBA">
      <w:r w:rsidRPr="008D6B94">
        <w:t xml:space="preserve">The </w:t>
      </w:r>
      <w:r w:rsidR="00D17D99">
        <w:t xml:space="preserve">NBN </w:t>
      </w:r>
      <w:r w:rsidRPr="008D6B94">
        <w:t>fixed wireless and satellite broadband service</w:t>
      </w:r>
      <w:r>
        <w:t>s</w:t>
      </w:r>
      <w:r w:rsidRPr="008D6B94">
        <w:t xml:space="preserve"> will allow almost </w:t>
      </w:r>
      <w:r w:rsidR="00D25FE0">
        <w:t>one</w:t>
      </w:r>
      <w:r w:rsidRPr="008D6B94">
        <w:t xml:space="preserve"> million households and businesses</w:t>
      </w:r>
      <w:r w:rsidR="009A4713">
        <w:t xml:space="preserve"> in rural, remote and urban fringe areas of Australia to have</w:t>
      </w:r>
      <w:r w:rsidRPr="008D6B94">
        <w:t xml:space="preserve"> access to </w:t>
      </w:r>
      <w:r w:rsidR="00671E44">
        <w:t xml:space="preserve">download speeds of </w:t>
      </w:r>
      <w:r>
        <w:t xml:space="preserve">up to 50 megabits per second (Mbps) and </w:t>
      </w:r>
      <w:r w:rsidR="00671E44">
        <w:t xml:space="preserve">upload speeds of up to </w:t>
      </w:r>
      <w:r w:rsidRPr="008D6B94">
        <w:t>25</w:t>
      </w:r>
      <w:r>
        <w:t> Mbps</w:t>
      </w:r>
      <w:r w:rsidRPr="008D6B94">
        <w:t xml:space="preserve">, regardless of where they live. This </w:t>
      </w:r>
      <w:r w:rsidR="00537A8F">
        <w:t xml:space="preserve">is a substantial improvement on current broadband services </w:t>
      </w:r>
      <w:r w:rsidR="007F509D">
        <w:t>and</w:t>
      </w:r>
      <w:r w:rsidR="00537A8F">
        <w:t xml:space="preserve"> </w:t>
      </w:r>
      <w:r w:rsidRPr="008D6B94">
        <w:t>will allow regional</w:t>
      </w:r>
      <w:r w:rsidR="00322E15">
        <w:t>, rural</w:t>
      </w:r>
      <w:r w:rsidRPr="008D6B94">
        <w:t xml:space="preserve"> and remote communities to </w:t>
      </w:r>
      <w:r w:rsidR="00B02286">
        <w:t xml:space="preserve">better </w:t>
      </w:r>
      <w:r w:rsidRPr="008D6B94">
        <w:t>participate in the digital economy</w:t>
      </w:r>
      <w:r w:rsidR="00537A8F">
        <w:t>.</w:t>
      </w:r>
    </w:p>
    <w:p w14:paraId="29F86A03" w14:textId="44C0EC1C" w:rsidR="00284EF4" w:rsidRDefault="00284EF4" w:rsidP="00CC4CBA">
      <w:r w:rsidRPr="008D6B94">
        <w:t xml:space="preserve">Substantial progress has been made </w:t>
      </w:r>
      <w:r w:rsidR="00D06678">
        <w:t xml:space="preserve">over the past 12 months </w:t>
      </w:r>
      <w:r w:rsidRPr="008D6B94">
        <w:t xml:space="preserve">in rolling out </w:t>
      </w:r>
      <w:r>
        <w:t xml:space="preserve">the </w:t>
      </w:r>
      <w:r w:rsidRPr="008D6B94">
        <w:t>fixed wireless and satellite networks</w:t>
      </w:r>
      <w:r w:rsidR="00E63A9D">
        <w:t>,</w:t>
      </w:r>
      <w:r w:rsidR="00462E74">
        <w:t xml:space="preserve"> with these </w:t>
      </w:r>
      <w:r w:rsidRPr="008D6B94">
        <w:t xml:space="preserve">scheduled to be </w:t>
      </w:r>
      <w:r w:rsidRPr="008D6B94">
        <w:lastRenderedPageBreak/>
        <w:t>largely comp</w:t>
      </w:r>
      <w:r w:rsidR="0076108B">
        <w:t>l</w:t>
      </w:r>
      <w:r w:rsidRPr="008D6B94">
        <w:t>ete</w:t>
      </w:r>
      <w:r w:rsidR="0076108B">
        <w:t>d</w:t>
      </w:r>
      <w:r w:rsidRPr="008D6B94">
        <w:t xml:space="preserve"> by the end of 2017</w:t>
      </w:r>
      <w:r w:rsidR="00CC4CBA">
        <w:t>–</w:t>
      </w:r>
      <w:r w:rsidRPr="008D6B94">
        <w:t xml:space="preserve">18. Sky Muster, the first of two </w:t>
      </w:r>
      <w:r w:rsidR="0076108B">
        <w:t xml:space="preserve">NBN </w:t>
      </w:r>
      <w:r w:rsidRPr="008D6B94">
        <w:t>satellites</w:t>
      </w:r>
      <w:r w:rsidR="00E63A9D">
        <w:t>,</w:t>
      </w:r>
      <w:r w:rsidR="00537A8F">
        <w:t xml:space="preserve"> was launched </w:t>
      </w:r>
      <w:r w:rsidRPr="008D6B94">
        <w:t>on 1 October 2015</w:t>
      </w:r>
      <w:r w:rsidR="0076108B">
        <w:t xml:space="preserve"> and will </w:t>
      </w:r>
      <w:r w:rsidR="00DF7B21">
        <w:t xml:space="preserve">provide </w:t>
      </w:r>
      <w:r w:rsidR="00470316">
        <w:t xml:space="preserve">coverage </w:t>
      </w:r>
      <w:r w:rsidR="0076108B">
        <w:t>to over 400</w:t>
      </w:r>
      <w:r w:rsidR="00462E74">
        <w:t>,</w:t>
      </w:r>
      <w:r w:rsidR="0076108B">
        <w:t xml:space="preserve">000 premises </w:t>
      </w:r>
      <w:r w:rsidR="00DF7B21">
        <w:t>from</w:t>
      </w:r>
      <w:r w:rsidRPr="008D6B94">
        <w:t xml:space="preserve"> </w:t>
      </w:r>
      <w:r>
        <w:t>the second quarter of 2016</w:t>
      </w:r>
      <w:r w:rsidR="0076108B">
        <w:t>. The r</w:t>
      </w:r>
      <w:r w:rsidRPr="008D6B94">
        <w:t xml:space="preserve">ollout of the fixed wireless network </w:t>
      </w:r>
      <w:r w:rsidR="00537A8F">
        <w:t>continue</w:t>
      </w:r>
      <w:r w:rsidR="0076108B">
        <w:t>d</w:t>
      </w:r>
      <w:r w:rsidR="00537A8F">
        <w:t xml:space="preserve"> to </w:t>
      </w:r>
      <w:r w:rsidRPr="008D6B94">
        <w:t>accelerate</w:t>
      </w:r>
      <w:r w:rsidR="00D06678">
        <w:t>,</w:t>
      </w:r>
      <w:r w:rsidR="0076108B">
        <w:t xml:space="preserve"> reaching </w:t>
      </w:r>
      <w:r w:rsidRPr="008D6B94">
        <w:t>268,000 premises</w:t>
      </w:r>
      <w:r w:rsidR="00537A8F">
        <w:t xml:space="preserve"> </w:t>
      </w:r>
      <w:r w:rsidRPr="008D6B94">
        <w:t>in 2014</w:t>
      </w:r>
      <w:r w:rsidR="00CC4CBA">
        <w:t>–</w:t>
      </w:r>
      <w:r w:rsidRPr="008D6B94">
        <w:t>15</w:t>
      </w:r>
      <w:r w:rsidR="00D06678">
        <w:t>,</w:t>
      </w:r>
      <w:r w:rsidR="00537A8F">
        <w:t xml:space="preserve"> </w:t>
      </w:r>
      <w:r w:rsidR="00462E74">
        <w:t xml:space="preserve">and </w:t>
      </w:r>
      <w:r w:rsidR="0076108B">
        <w:t xml:space="preserve">will expand to reach </w:t>
      </w:r>
      <w:r w:rsidRPr="008D6B94">
        <w:t>535,000 premises by the end of 2017</w:t>
      </w:r>
      <w:r w:rsidR="00CC4CBA">
        <w:t>–</w:t>
      </w:r>
      <w:r w:rsidRPr="008D6B94">
        <w:t xml:space="preserve">18. </w:t>
      </w:r>
      <w:r w:rsidR="00322E15">
        <w:t>A</w:t>
      </w:r>
      <w:r w:rsidR="00537A8F">
        <w:t xml:space="preserve"> </w:t>
      </w:r>
      <w:r w:rsidR="00537A8F" w:rsidRPr="008D6B94">
        <w:t xml:space="preserve">50 </w:t>
      </w:r>
      <w:r w:rsidR="00537A8F">
        <w:t>M</w:t>
      </w:r>
      <w:r w:rsidR="00537A8F" w:rsidRPr="008D6B94">
        <w:t>bps download service</w:t>
      </w:r>
      <w:r w:rsidR="00537A8F">
        <w:t xml:space="preserve"> was launched over the </w:t>
      </w:r>
      <w:r w:rsidRPr="008D6B94">
        <w:t>fixed wireless network on 7</w:t>
      </w:r>
      <w:r w:rsidR="00CC4CBA">
        <w:t> </w:t>
      </w:r>
      <w:r w:rsidRPr="008D6B94">
        <w:t>December 2015</w:t>
      </w:r>
      <w:r w:rsidR="00537A8F">
        <w:t>.</w:t>
      </w:r>
    </w:p>
    <w:p w14:paraId="707365A4" w14:textId="19725026" w:rsidR="00712804" w:rsidRDefault="009A4713" w:rsidP="00CC4CBA">
      <w:r w:rsidRPr="008D6B94">
        <w:t xml:space="preserve">As acknowledged by the </w:t>
      </w:r>
      <w:r>
        <w:t>R</w:t>
      </w:r>
      <w:r w:rsidRPr="008D6B94">
        <w:t>eview, th</w:t>
      </w:r>
      <w:r>
        <w:t xml:space="preserve">e existing commitments of the Government to investment </w:t>
      </w:r>
      <w:r w:rsidRPr="008D6B94">
        <w:t xml:space="preserve">in </w:t>
      </w:r>
      <w:r>
        <w:t xml:space="preserve">rural and regional </w:t>
      </w:r>
      <w:r w:rsidRPr="008D6B94">
        <w:t xml:space="preserve">broadband services will see significant economic and social benefits </w:t>
      </w:r>
      <w:r>
        <w:t xml:space="preserve">in regional communities, including in </w:t>
      </w:r>
      <w:r w:rsidRPr="008D6B94">
        <w:t>education, health, business, and emergency services.</w:t>
      </w:r>
    </w:p>
    <w:p w14:paraId="63C8933A" w14:textId="16DFF457" w:rsidR="00F845B9" w:rsidRDefault="00F845B9" w:rsidP="00CC4CBA">
      <w:pPr>
        <w:pStyle w:val="Heading3"/>
      </w:pPr>
      <w:r w:rsidRPr="007E5486">
        <w:t>Mobile Black Spot Programme</w:t>
      </w:r>
    </w:p>
    <w:p w14:paraId="4BB9BF7D" w14:textId="2F62EFA0" w:rsidR="00712804" w:rsidRPr="00E41A0D" w:rsidRDefault="00F845B9" w:rsidP="00CC4CBA">
      <w:r w:rsidRPr="00E41A0D">
        <w:t xml:space="preserve">The Government is </w:t>
      </w:r>
      <w:r w:rsidR="000D0980">
        <w:t xml:space="preserve">also </w:t>
      </w:r>
      <w:r w:rsidRPr="00E41A0D">
        <w:t xml:space="preserve">improving mobile phone coverage in regional Australia through </w:t>
      </w:r>
      <w:r>
        <w:t xml:space="preserve">the </w:t>
      </w:r>
      <w:r w:rsidRPr="00E41A0D">
        <w:t>Mobile Black Spot Programme</w:t>
      </w:r>
      <w:r w:rsidRPr="00E41A0D">
        <w:rPr>
          <w:color w:val="12293A"/>
          <w:lang w:val="en"/>
        </w:rPr>
        <w:t>.</w:t>
      </w:r>
    </w:p>
    <w:p w14:paraId="2FF3EDC3" w14:textId="3E697C3D" w:rsidR="00F845B9" w:rsidRDefault="00F845B9" w:rsidP="00CC4CBA">
      <w:r w:rsidRPr="00080A77">
        <w:t xml:space="preserve">Round 1 of </w:t>
      </w:r>
      <w:r w:rsidR="0076108B">
        <w:t xml:space="preserve">the Mobile Black Spot Programme, a </w:t>
      </w:r>
      <w:r w:rsidRPr="00080A77">
        <w:t>$100</w:t>
      </w:r>
      <w:r w:rsidR="00D06D33" w:rsidRPr="00080A77">
        <w:t xml:space="preserve"> </w:t>
      </w:r>
      <w:r w:rsidRPr="00080A77">
        <w:t xml:space="preserve">million investment by the </w:t>
      </w:r>
      <w:r w:rsidR="009C678F" w:rsidRPr="00080A77">
        <w:t>Government</w:t>
      </w:r>
      <w:r w:rsidR="00042438">
        <w:t>,</w:t>
      </w:r>
      <w:r w:rsidR="009C678F" w:rsidRPr="00080A77">
        <w:t xml:space="preserve"> </w:t>
      </w:r>
      <w:r w:rsidRPr="00080A77">
        <w:t>will deliver 499 new and upgraded mobile base stations across regional Australia. The mobile base stations will provide new and upgraded handheld coverage to 68,600 square kilometres. In addition, over 150,000 square kilometres of regional Australia will receive new external antenna coverage and over 5,700 kilometres of major transport routes will receive either new external antenna or handheld coverage.</w:t>
      </w:r>
      <w:r w:rsidR="00914EA6" w:rsidRPr="00080A77">
        <w:t xml:space="preserve"> The total that will be invested under Round 1 of the Mobile Black Spot Programme is $385 million</w:t>
      </w:r>
      <w:r w:rsidR="00080A77">
        <w:t>, which includes</w:t>
      </w:r>
      <w:r w:rsidR="00914EA6" w:rsidRPr="00080A77">
        <w:t xml:space="preserve"> co-funding from five s</w:t>
      </w:r>
      <w:r w:rsidR="00AA33D4" w:rsidRPr="00080A77">
        <w:t>tate governments – NSW, VIC, QLD, WA and TAS</w:t>
      </w:r>
      <w:r w:rsidR="00914EA6" w:rsidRPr="00080A77">
        <w:t>. A number of local governments, businesses and community organisations have also agreed to c</w:t>
      </w:r>
      <w:r w:rsidR="00914EA6">
        <w:t xml:space="preserve">o-funding arrangements with </w:t>
      </w:r>
      <w:r w:rsidR="00914EA6" w:rsidRPr="00080A77">
        <w:t>successful applicants.</w:t>
      </w:r>
    </w:p>
    <w:p w14:paraId="43E7CE6E" w14:textId="5E7FDEE2" w:rsidR="00F845B9" w:rsidRDefault="00F845B9" w:rsidP="00CC4CBA">
      <w:r w:rsidRPr="00B17FC8">
        <w:t>The Government has</w:t>
      </w:r>
      <w:r>
        <w:t xml:space="preserve"> committed a further</w:t>
      </w:r>
      <w:r w:rsidRPr="00B17FC8">
        <w:t xml:space="preserve"> $60 million for Round 2 of the Mobile Black Spot Programme, with funding to be available over a </w:t>
      </w:r>
      <w:r w:rsidR="00914EA6">
        <w:t>two year period from July 2016.</w:t>
      </w:r>
      <w:r w:rsidRPr="00B17FC8">
        <w:t xml:space="preserve"> The Government will again seek to leverage additional funding from the mobile network operators and other levels of government, with a view to maximising the number of new or upgraded base stations </w:t>
      </w:r>
      <w:r w:rsidR="00042438">
        <w:t>to</w:t>
      </w:r>
      <w:r w:rsidRPr="00B17FC8">
        <w:t xml:space="preserve"> be delivered.</w:t>
      </w:r>
    </w:p>
    <w:p w14:paraId="776DF349" w14:textId="77777777" w:rsidR="000D0980" w:rsidRDefault="000D0980" w:rsidP="000A03BF">
      <w:pPr>
        <w:pStyle w:val="Heading3"/>
      </w:pPr>
      <w:r w:rsidRPr="007E5486">
        <w:t>Regulatory Reform</w:t>
      </w:r>
    </w:p>
    <w:p w14:paraId="3E413106" w14:textId="4D3C3D27" w:rsidR="004B7125" w:rsidRDefault="004B7125" w:rsidP="000A03BF">
      <w:r>
        <w:t xml:space="preserve">The NBN will provide for universal broadband infrastructure for all Australians. The </w:t>
      </w:r>
      <w:r w:rsidRPr="00972DEB">
        <w:t>Government</w:t>
      </w:r>
      <w:r>
        <w:t xml:space="preserve"> is developing legislation to introduce a statutory infrastructure provider of last resort regime. </w:t>
      </w:r>
      <w:r w:rsidRPr="00E5321F">
        <w:t>Under th</w:t>
      </w:r>
      <w:r>
        <w:t xml:space="preserve">is </w:t>
      </w:r>
      <w:r w:rsidRPr="00E5321F">
        <w:t xml:space="preserve">statutory </w:t>
      </w:r>
      <w:r>
        <w:t xml:space="preserve">regime, NBN Co (or in certain areas, potentially other infrastructure providers) </w:t>
      </w:r>
      <w:r w:rsidRPr="00E5321F">
        <w:t>will be required to connect premises to its network.</w:t>
      </w:r>
      <w:r>
        <w:t xml:space="preserve"> This means that consumers will have a guarantee of an infrastructure connection.</w:t>
      </w:r>
      <w:r w:rsidRPr="00E5321F">
        <w:t xml:space="preserve"> </w:t>
      </w:r>
      <w:r>
        <w:t xml:space="preserve">Retail service providers </w:t>
      </w:r>
      <w:r w:rsidR="00B94870">
        <w:t>(RSPs)</w:t>
      </w:r>
      <w:r>
        <w:t xml:space="preserve"> will be able to offer voice and data services to customers using that infrastructure</w:t>
      </w:r>
      <w:r w:rsidR="00895415">
        <w:t>.</w:t>
      </w:r>
    </w:p>
    <w:p w14:paraId="07EF0CC3" w14:textId="6E060B23" w:rsidR="009A72E8" w:rsidRDefault="0059350C" w:rsidP="000A03BF">
      <w:r>
        <w:t>As a result of these changes,</w:t>
      </w:r>
      <w:r w:rsidR="004B7125">
        <w:t xml:space="preserve"> </w:t>
      </w:r>
      <w:r w:rsidR="006D364C">
        <w:t xml:space="preserve">it is appropriate that </w:t>
      </w:r>
      <w:r w:rsidR="004B7125">
        <w:t xml:space="preserve">telecommunications </w:t>
      </w:r>
      <w:r w:rsidR="006D364C">
        <w:t xml:space="preserve">consumer protection regulation </w:t>
      </w:r>
      <w:r w:rsidR="004B7125">
        <w:t xml:space="preserve">is </w:t>
      </w:r>
      <w:r w:rsidR="006D364C">
        <w:t xml:space="preserve">examined. </w:t>
      </w:r>
      <w:r w:rsidR="009A72E8">
        <w:t xml:space="preserve">Much of the existing </w:t>
      </w:r>
      <w:r w:rsidR="006D364C">
        <w:t xml:space="preserve">regulation </w:t>
      </w:r>
      <w:r w:rsidR="009A72E8">
        <w:t xml:space="preserve">was predominantly designed for </w:t>
      </w:r>
      <w:r w:rsidR="00911BA7">
        <w:t xml:space="preserve">a </w:t>
      </w:r>
      <w:r w:rsidR="004B7125">
        <w:t>fixed-line voice environment</w:t>
      </w:r>
      <w:r w:rsidR="009A72E8">
        <w:t xml:space="preserve"> </w:t>
      </w:r>
      <w:r w:rsidR="009A72E8">
        <w:lastRenderedPageBreak/>
        <w:t xml:space="preserve">where Telstra was the major integrated provider of both wholesale and retail fixed line services. </w:t>
      </w:r>
      <w:r w:rsidR="004B7125">
        <w:t xml:space="preserve">The rollout of the NBN </w:t>
      </w:r>
      <w:r w:rsidR="006D364C">
        <w:t>which will result in a</w:t>
      </w:r>
      <w:r w:rsidR="009A72E8">
        <w:t xml:space="preserve">ll </w:t>
      </w:r>
      <w:r w:rsidR="004B7125">
        <w:t>Australian</w:t>
      </w:r>
      <w:r w:rsidR="009A72E8">
        <w:t xml:space="preserve"> premises </w:t>
      </w:r>
      <w:r w:rsidR="006D364C">
        <w:t xml:space="preserve">having </w:t>
      </w:r>
      <w:r w:rsidR="009A72E8">
        <w:t xml:space="preserve">access to a wholesale broadband network, with </w:t>
      </w:r>
      <w:r w:rsidR="00B94870">
        <w:t>RSP</w:t>
      </w:r>
      <w:r w:rsidR="009A72E8">
        <w:t>s able to compete on an equal footing, and offer a range of broadband, data and voice services (delivered over VOIP technology)</w:t>
      </w:r>
      <w:r w:rsidR="006D364C">
        <w:t>, together with more significant availability of mobile services, significantly changes the landscape in which regulation operates</w:t>
      </w:r>
      <w:r w:rsidR="009A72E8">
        <w:t>.</w:t>
      </w:r>
    </w:p>
    <w:p w14:paraId="7A0B5EB1" w14:textId="4E061F08" w:rsidR="00C67009" w:rsidRDefault="00C67009" w:rsidP="00834D91">
      <w:pPr>
        <w:spacing w:after="0"/>
      </w:pPr>
      <w:r>
        <w:br w:type="page"/>
      </w:r>
    </w:p>
    <w:p w14:paraId="213C9966" w14:textId="20410B54" w:rsidR="00C67009" w:rsidRDefault="0076715D" w:rsidP="000A03BF">
      <w:pPr>
        <w:pStyle w:val="Heading2"/>
      </w:pPr>
      <w:r>
        <w:lastRenderedPageBreak/>
        <w:t xml:space="preserve">Responses to individual recommendations of the </w:t>
      </w:r>
      <w:r w:rsidR="009474E3">
        <w:t>R</w:t>
      </w:r>
      <w:r>
        <w:t>eview</w:t>
      </w:r>
    </w:p>
    <w:p w14:paraId="1AEEC10B" w14:textId="33DF5253" w:rsidR="00E56437" w:rsidRDefault="000A03BF" w:rsidP="000A03BF">
      <w:pPr>
        <w:pStyle w:val="Heading3"/>
      </w:pPr>
      <w:r>
        <w:t>Satellite service optimisation</w:t>
      </w:r>
    </w:p>
    <w:p w14:paraId="6B5B34A3" w14:textId="77777777" w:rsidR="000A03BF" w:rsidRDefault="000A03BF" w:rsidP="000A03BF">
      <w:pPr>
        <w:pBdr>
          <w:top w:val="single" w:sz="4" w:space="1" w:color="auto"/>
          <w:left w:val="single" w:sz="4" w:space="4" w:color="auto"/>
          <w:bottom w:val="single" w:sz="4" w:space="1" w:color="auto"/>
          <w:right w:val="single" w:sz="4" w:space="4" w:color="auto"/>
        </w:pBdr>
        <w:rPr>
          <w:lang w:val="en-US"/>
        </w:rPr>
      </w:pPr>
      <w:r w:rsidRPr="00D22F94">
        <w:rPr>
          <w:b/>
          <w:lang w:val="en-US"/>
        </w:rPr>
        <w:t>Recommendation 1</w:t>
      </w:r>
      <w:r w:rsidRPr="00D22F94">
        <w:rPr>
          <w:lang w:val="en-US"/>
        </w:rPr>
        <w:t xml:space="preserve"> – To optimise finite LTSS capacity, NBN Co should actively manage demand, </w:t>
      </w:r>
      <w:proofErr w:type="spellStart"/>
      <w:r w:rsidRPr="00D22F94">
        <w:rPr>
          <w:lang w:val="en-US"/>
        </w:rPr>
        <w:t>prioritise</w:t>
      </w:r>
      <w:proofErr w:type="spellEnd"/>
      <w:r w:rsidRPr="00D22F94">
        <w:rPr>
          <w:lang w:val="en-US"/>
        </w:rPr>
        <w:t xml:space="preserve"> traffic and support the caching of content using satellite management best practice and innovative software. If restrictions on wholesale satellite operations preclude improvements to end user experience, those restrictions should be removed.</w:t>
      </w:r>
    </w:p>
    <w:p w14:paraId="718FEB71" w14:textId="77777777" w:rsidR="000A03BF" w:rsidRDefault="000A03BF" w:rsidP="000A03BF">
      <w:pPr>
        <w:pBdr>
          <w:top w:val="single" w:sz="4" w:space="1" w:color="auto"/>
          <w:left w:val="single" w:sz="4" w:space="4" w:color="auto"/>
          <w:bottom w:val="single" w:sz="4" w:space="1" w:color="auto"/>
          <w:right w:val="single" w:sz="4" w:space="4" w:color="auto"/>
        </w:pBdr>
        <w:rPr>
          <w:lang w:val="en-US"/>
        </w:rPr>
      </w:pPr>
      <w:r w:rsidRPr="00D22F94">
        <w:rPr>
          <w:b/>
          <w:lang w:val="en-US"/>
        </w:rPr>
        <w:t>Recommendation 2</w:t>
      </w:r>
      <w:r w:rsidRPr="00D22F94">
        <w:rPr>
          <w:lang w:val="en-US"/>
        </w:rPr>
        <w:t xml:space="preserve"> – NBN Co’s Fair Use Policy and wholesale tariffs should be structured to give RSPs sufficient price and product flexibility so that the detrimental impact of shaping and suspension of LTSS services can be minimised. Further, NBN Co will need to work closely with RSPs to improve their support of LTSS customers. Customers should be able to monitor their data consumption and be alerted before they reach their data limits.</w:t>
      </w:r>
    </w:p>
    <w:p w14:paraId="3DD1CAB6" w14:textId="77777777" w:rsidR="0092256C" w:rsidRDefault="00197CB5" w:rsidP="000A03BF">
      <w:pPr>
        <w:pStyle w:val="Heading4"/>
      </w:pPr>
      <w:r w:rsidRPr="000A03BF">
        <w:t>Response</w:t>
      </w:r>
      <w:r w:rsidRPr="00E022F1">
        <w:t>:</w:t>
      </w:r>
    </w:p>
    <w:p w14:paraId="10F031E4" w14:textId="77777777" w:rsidR="00F35DAB" w:rsidRDefault="00ED3C56" w:rsidP="000A03BF">
      <w:r w:rsidRPr="007E5486">
        <w:t xml:space="preserve">The Government </w:t>
      </w:r>
      <w:r w:rsidR="007E5486" w:rsidRPr="007E5486">
        <w:t xml:space="preserve">is </w:t>
      </w:r>
      <w:r w:rsidR="00322E15" w:rsidRPr="007E5486">
        <w:t>implementing changes to address the issues identified in these recommendations.</w:t>
      </w:r>
    </w:p>
    <w:p w14:paraId="23041C69" w14:textId="140638C6" w:rsidR="00ED3C56" w:rsidRDefault="00F35DAB" w:rsidP="000A03BF">
      <w:pPr>
        <w:rPr>
          <w:color w:val="000000"/>
        </w:rPr>
      </w:pPr>
      <w:r>
        <w:rPr>
          <w:color w:val="000000"/>
        </w:rPr>
        <w:t>The Government</w:t>
      </w:r>
      <w:r w:rsidR="00462E74">
        <w:rPr>
          <w:color w:val="000000"/>
        </w:rPr>
        <w:t xml:space="preserve"> </w:t>
      </w:r>
      <w:r w:rsidR="00ED3C56" w:rsidRPr="00346352">
        <w:rPr>
          <w:color w:val="000000"/>
        </w:rPr>
        <w:t xml:space="preserve">has committed to providing access to fast broadband to all households and businesses in Australia, regardless of where they are located. To meet this commitment, </w:t>
      </w:r>
      <w:r w:rsidR="003F1C76">
        <w:rPr>
          <w:color w:val="000000"/>
        </w:rPr>
        <w:t xml:space="preserve">the NBN </w:t>
      </w:r>
      <w:r w:rsidR="00ED3C56" w:rsidRPr="00346352">
        <w:rPr>
          <w:color w:val="000000"/>
        </w:rPr>
        <w:t>will us</w:t>
      </w:r>
      <w:r w:rsidR="00462E74">
        <w:rPr>
          <w:color w:val="000000"/>
        </w:rPr>
        <w:t>e</w:t>
      </w:r>
      <w:r w:rsidR="00ED3C56" w:rsidRPr="00346352">
        <w:rPr>
          <w:color w:val="000000"/>
        </w:rPr>
        <w:t xml:space="preserve"> next generation satellite technology to provide </w:t>
      </w:r>
      <w:r w:rsidR="0045607B">
        <w:rPr>
          <w:color w:val="000000"/>
        </w:rPr>
        <w:t>access</w:t>
      </w:r>
      <w:r w:rsidR="00ED3C56" w:rsidRPr="00346352">
        <w:rPr>
          <w:color w:val="000000"/>
        </w:rPr>
        <w:t xml:space="preserve"> to </w:t>
      </w:r>
      <w:r w:rsidR="00436758">
        <w:rPr>
          <w:color w:val="000000"/>
        </w:rPr>
        <w:t>over</w:t>
      </w:r>
      <w:r w:rsidR="00ED3C56" w:rsidRPr="00346352">
        <w:rPr>
          <w:color w:val="000000"/>
        </w:rPr>
        <w:t xml:space="preserve"> 400,000 premises in rural, regional and urban fringe areas. </w:t>
      </w:r>
      <w:r w:rsidR="00ED3C56">
        <w:rPr>
          <w:color w:val="000000"/>
        </w:rPr>
        <w:t>W</w:t>
      </w:r>
      <w:r w:rsidR="00ED3C56" w:rsidRPr="00346352">
        <w:rPr>
          <w:color w:val="000000"/>
        </w:rPr>
        <w:t xml:space="preserve">hen rolled out, </w:t>
      </w:r>
      <w:r w:rsidR="003F1C76">
        <w:rPr>
          <w:color w:val="000000"/>
        </w:rPr>
        <w:t xml:space="preserve">the NBN </w:t>
      </w:r>
      <w:r w:rsidR="00ED3C56" w:rsidRPr="00346352">
        <w:rPr>
          <w:color w:val="000000"/>
        </w:rPr>
        <w:t>satellite service will have a total capacity of 135 Gigabits per second (</w:t>
      </w:r>
      <w:proofErr w:type="spellStart"/>
      <w:r w:rsidR="00ED3C56" w:rsidRPr="00346352">
        <w:rPr>
          <w:color w:val="000000"/>
        </w:rPr>
        <w:t>Gbps</w:t>
      </w:r>
      <w:proofErr w:type="spellEnd"/>
      <w:r w:rsidR="00ED3C56" w:rsidRPr="00346352">
        <w:rPr>
          <w:color w:val="000000"/>
        </w:rPr>
        <w:t xml:space="preserve">) and will be able to offer individual end users with download speeds of up to 25 Mbps and uploads of 5 Mbps. By comparison, the Interim Satellite </w:t>
      </w:r>
      <w:r w:rsidR="00707537">
        <w:rPr>
          <w:color w:val="000000"/>
        </w:rPr>
        <w:t xml:space="preserve">Service </w:t>
      </w:r>
      <w:r w:rsidR="00ED3C56" w:rsidRPr="00346352">
        <w:rPr>
          <w:color w:val="000000"/>
        </w:rPr>
        <w:t>was only able to offer download speeds of up to 6 Mbps.</w:t>
      </w:r>
    </w:p>
    <w:p w14:paraId="1B3A2D82" w14:textId="4DBCCFAF" w:rsidR="00ED3C56" w:rsidRDefault="003F1C76" w:rsidP="000A03BF">
      <w:pPr>
        <w:rPr>
          <w:color w:val="000000"/>
        </w:rPr>
      </w:pPr>
      <w:r>
        <w:rPr>
          <w:color w:val="000000"/>
        </w:rPr>
        <w:t xml:space="preserve">At the request of Government, the new NBN </w:t>
      </w:r>
      <w:r w:rsidR="00ED3C56" w:rsidRPr="00346352">
        <w:rPr>
          <w:color w:val="000000"/>
        </w:rPr>
        <w:t>satellite service</w:t>
      </w:r>
      <w:r>
        <w:rPr>
          <w:color w:val="000000"/>
        </w:rPr>
        <w:t xml:space="preserve"> will include </w:t>
      </w:r>
      <w:r w:rsidR="00ED3C56" w:rsidRPr="00346352">
        <w:rPr>
          <w:color w:val="000000"/>
        </w:rPr>
        <w:t>measures to optimise the capacity available on the satellite and</w:t>
      </w:r>
      <w:r w:rsidR="00ED3C56">
        <w:rPr>
          <w:color w:val="000000"/>
        </w:rPr>
        <w:t xml:space="preserve"> to</w:t>
      </w:r>
      <w:r w:rsidR="00ED3C56" w:rsidRPr="00346352">
        <w:rPr>
          <w:color w:val="000000"/>
        </w:rPr>
        <w:t xml:space="preserve"> manage demand</w:t>
      </w:r>
      <w:r w:rsidR="0036252E">
        <w:rPr>
          <w:color w:val="000000"/>
        </w:rPr>
        <w:t>. NBN Co is</w:t>
      </w:r>
      <w:r w:rsidR="00ED3C56" w:rsidRPr="00346352">
        <w:rPr>
          <w:color w:val="000000"/>
        </w:rPr>
        <w:t>:</w:t>
      </w:r>
    </w:p>
    <w:p w14:paraId="21F0A0E1" w14:textId="22489F97" w:rsidR="00ED3C56" w:rsidRPr="00346352" w:rsidRDefault="00ED3C56" w:rsidP="000A03BF">
      <w:pPr>
        <w:pStyle w:val="ListParagraph"/>
      </w:pPr>
      <w:proofErr w:type="gramStart"/>
      <w:r w:rsidRPr="00346352">
        <w:rPr>
          <w:rFonts w:ascii="Calibri" w:eastAsia="Times New Roman" w:hAnsi="Calibri" w:cs="Times New Roman"/>
          <w:color w:val="000000"/>
        </w:rPr>
        <w:t>finalising</w:t>
      </w:r>
      <w:proofErr w:type="gramEnd"/>
      <w:r w:rsidRPr="00346352">
        <w:rPr>
          <w:rFonts w:ascii="Calibri" w:eastAsia="Times New Roman" w:hAnsi="Calibri" w:cs="Times New Roman"/>
          <w:color w:val="000000"/>
        </w:rPr>
        <w:t xml:space="preserve"> </w:t>
      </w:r>
      <w:r w:rsidR="0036252E">
        <w:rPr>
          <w:rFonts w:ascii="Calibri" w:eastAsia="Times New Roman" w:hAnsi="Calibri" w:cs="Times New Roman"/>
          <w:color w:val="000000"/>
        </w:rPr>
        <w:t xml:space="preserve">an </w:t>
      </w:r>
      <w:r w:rsidR="00C133F5">
        <w:rPr>
          <w:rFonts w:ascii="Calibri" w:eastAsia="Times New Roman" w:hAnsi="Calibri" w:cs="Times New Roman"/>
          <w:color w:val="000000"/>
        </w:rPr>
        <w:t>improved Fair</w:t>
      </w:r>
      <w:r w:rsidRPr="00346352">
        <w:rPr>
          <w:rFonts w:ascii="Calibri" w:eastAsia="Times New Roman" w:hAnsi="Calibri" w:cs="Times New Roman"/>
          <w:color w:val="000000"/>
        </w:rPr>
        <w:t xml:space="preserve"> Use Policy with </w:t>
      </w:r>
      <w:r w:rsidR="00B94870">
        <w:rPr>
          <w:rFonts w:ascii="Calibri" w:eastAsia="Times New Roman" w:hAnsi="Calibri" w:cs="Times New Roman"/>
          <w:color w:val="000000"/>
        </w:rPr>
        <w:t>RSP</w:t>
      </w:r>
      <w:r w:rsidR="003F1C76">
        <w:rPr>
          <w:rFonts w:ascii="Calibri" w:eastAsia="Times New Roman" w:hAnsi="Calibri" w:cs="Times New Roman"/>
          <w:color w:val="000000"/>
        </w:rPr>
        <w:t>s</w:t>
      </w:r>
      <w:r w:rsidR="003B5C1A">
        <w:rPr>
          <w:rFonts w:ascii="Calibri" w:eastAsia="Times New Roman" w:hAnsi="Calibri" w:cs="Times New Roman"/>
          <w:color w:val="000000"/>
        </w:rPr>
        <w:t xml:space="preserve"> which will require</w:t>
      </w:r>
      <w:r w:rsidRPr="00346352">
        <w:rPr>
          <w:rFonts w:ascii="Calibri" w:eastAsia="Times New Roman" w:hAnsi="Calibri" w:cs="Times New Roman"/>
          <w:color w:val="000000"/>
        </w:rPr>
        <w:t xml:space="preserve"> </w:t>
      </w:r>
      <w:r w:rsidR="003F1C76">
        <w:rPr>
          <w:rFonts w:ascii="Calibri" w:eastAsia="Times New Roman" w:hAnsi="Calibri" w:cs="Times New Roman"/>
          <w:color w:val="000000"/>
        </w:rPr>
        <w:t>the</w:t>
      </w:r>
      <w:r w:rsidR="003B5C1A">
        <w:rPr>
          <w:rFonts w:ascii="Calibri" w:eastAsia="Times New Roman" w:hAnsi="Calibri" w:cs="Times New Roman"/>
          <w:color w:val="000000"/>
        </w:rPr>
        <w:t>m</w:t>
      </w:r>
      <w:r w:rsidR="00C133F5">
        <w:rPr>
          <w:rFonts w:ascii="Calibri" w:eastAsia="Times New Roman" w:hAnsi="Calibri" w:cs="Times New Roman"/>
          <w:color w:val="000000"/>
        </w:rPr>
        <w:t xml:space="preserve"> to</w:t>
      </w:r>
      <w:r w:rsidRPr="00346352">
        <w:rPr>
          <w:rFonts w:ascii="Calibri" w:eastAsia="Times New Roman" w:hAnsi="Calibri" w:cs="Times New Roman"/>
          <w:color w:val="000000"/>
        </w:rPr>
        <w:t xml:space="preserve"> </w:t>
      </w:r>
      <w:r w:rsidRPr="00346352">
        <w:t xml:space="preserve">ensure </w:t>
      </w:r>
      <w:r w:rsidR="003B5C1A">
        <w:t xml:space="preserve">their </w:t>
      </w:r>
      <w:r w:rsidRPr="00346352">
        <w:t xml:space="preserve">customers do not use </w:t>
      </w:r>
      <w:r w:rsidR="003F1C76">
        <w:t xml:space="preserve">NBN Co </w:t>
      </w:r>
      <w:r w:rsidRPr="00346352">
        <w:t xml:space="preserve">products or services in an excessive or unreasonable manner. </w:t>
      </w:r>
      <w:r w:rsidR="0036252E">
        <w:t xml:space="preserve">Consultation with retail service providers </w:t>
      </w:r>
      <w:r w:rsidR="00C133F5">
        <w:t>occurred in</w:t>
      </w:r>
      <w:r>
        <w:t xml:space="preserve"> December 2015 on potential changes to the Fair Use Policy</w:t>
      </w:r>
      <w:r w:rsidR="00C133F5">
        <w:t xml:space="preserve"> </w:t>
      </w:r>
      <w:r>
        <w:t xml:space="preserve">and </w:t>
      </w:r>
      <w:r w:rsidR="0036252E">
        <w:t xml:space="preserve">an updated </w:t>
      </w:r>
      <w:r>
        <w:t xml:space="preserve">policy </w:t>
      </w:r>
      <w:r w:rsidR="0036252E">
        <w:t xml:space="preserve">will be released </w:t>
      </w:r>
      <w:r>
        <w:t>shortly</w:t>
      </w:r>
      <w:r w:rsidR="00F35DAB">
        <w:t>;</w:t>
      </w:r>
    </w:p>
    <w:p w14:paraId="0F95F878" w14:textId="2FD1BF89" w:rsidR="00ED3C56" w:rsidRPr="00346352" w:rsidRDefault="0036252E" w:rsidP="000A03BF">
      <w:pPr>
        <w:pStyle w:val="ListParagraph"/>
        <w:rPr>
          <w:rFonts w:ascii="Calibri" w:eastAsia="Times New Roman" w:hAnsi="Calibri" w:cs="Times New Roman"/>
          <w:color w:val="000000"/>
        </w:rPr>
      </w:pPr>
      <w:r>
        <w:t xml:space="preserve">committed to </w:t>
      </w:r>
      <w:r w:rsidR="00F204EB">
        <w:t xml:space="preserve">working with </w:t>
      </w:r>
      <w:r w:rsidR="00ED3C56" w:rsidRPr="00346352">
        <w:t xml:space="preserve">industry </w:t>
      </w:r>
      <w:r w:rsidR="00F204EB">
        <w:t xml:space="preserve">to examine </w:t>
      </w:r>
      <w:r>
        <w:t xml:space="preserve">solutions to </w:t>
      </w:r>
      <w:r w:rsidR="00C133F5">
        <w:t>manage caching</w:t>
      </w:r>
      <w:r w:rsidR="00ED3C56" w:rsidRPr="00346352">
        <w:t xml:space="preserve"> of content</w:t>
      </w:r>
      <w:r w:rsidR="00F35DAB">
        <w:t>; and</w:t>
      </w:r>
    </w:p>
    <w:p w14:paraId="7FE730A1" w14:textId="4F433BFF" w:rsidR="00ED3C56" w:rsidRPr="00346352" w:rsidRDefault="0036252E" w:rsidP="000A03BF">
      <w:pPr>
        <w:pStyle w:val="ListParagraph"/>
      </w:pPr>
      <w:proofErr w:type="gramStart"/>
      <w:r>
        <w:t>in</w:t>
      </w:r>
      <w:proofErr w:type="gramEnd"/>
      <w:r>
        <w:t xml:space="preserve"> active </w:t>
      </w:r>
      <w:r w:rsidR="00ED3C56" w:rsidRPr="00346352">
        <w:t xml:space="preserve">discussions with industry </w:t>
      </w:r>
      <w:r w:rsidR="00F35DAB">
        <w:t>regarding the availability of a</w:t>
      </w:r>
      <w:r w:rsidR="00F35DAB" w:rsidRPr="00346352">
        <w:t xml:space="preserve"> </w:t>
      </w:r>
      <w:r w:rsidR="00ED3C56" w:rsidRPr="00346352">
        <w:t>distance education product over the satellite service. The proposed product</w:t>
      </w:r>
      <w:r w:rsidR="00657F85">
        <w:t xml:space="preserve">, to be delivered by RSPs, </w:t>
      </w:r>
      <w:r w:rsidR="00ED3C56" w:rsidRPr="00346352">
        <w:t xml:space="preserve">will </w:t>
      </w:r>
      <w:r w:rsidR="00ED3C56">
        <w:t>allow end users to use</w:t>
      </w:r>
      <w:r w:rsidR="00ED3C56" w:rsidRPr="00346352">
        <w:t xml:space="preserve"> a sec</w:t>
      </w:r>
      <w:r w:rsidR="00ED3C56" w:rsidRPr="00346352">
        <w:lastRenderedPageBreak/>
        <w:t>ond port with a separate data allowance for remote students</w:t>
      </w:r>
      <w:r>
        <w:t xml:space="preserve"> resulting in </w:t>
      </w:r>
      <w:r w:rsidR="00ED3C56" w:rsidRPr="00346352">
        <w:t xml:space="preserve">more generous data limits for remote schools and priority options for education services. </w:t>
      </w:r>
    </w:p>
    <w:p w14:paraId="08DE6C7C" w14:textId="221E5A1B" w:rsidR="00ED3C56" w:rsidRDefault="0036252E" w:rsidP="000A03BF">
      <w:r>
        <w:t>NBN Co</w:t>
      </w:r>
      <w:r w:rsidR="00ED3C56">
        <w:t xml:space="preserve"> has already been able to further</w:t>
      </w:r>
      <w:r w:rsidR="00C133F5">
        <w:t xml:space="preserve"> optimise its satellite product</w:t>
      </w:r>
      <w:r w:rsidR="00F35DAB">
        <w:t>s</w:t>
      </w:r>
      <w:r w:rsidR="00ED3C56">
        <w:t xml:space="preserve"> and will be able to offer wholesale plans with significantly more capacity than originally </w:t>
      </w:r>
      <w:r w:rsidR="00C133F5">
        <w:t>expected</w:t>
      </w:r>
      <w:r w:rsidR="00ED3C56">
        <w:t xml:space="preserve">. As part of these optimisations, </w:t>
      </w:r>
      <w:r w:rsidR="00F35DAB">
        <w:t xml:space="preserve">NBN Co </w:t>
      </w:r>
      <w:r>
        <w:t xml:space="preserve">will be in a position to </w:t>
      </w:r>
      <w:r w:rsidR="00ED3C56">
        <w:t>offer wholesale data allowances of</w:t>
      </w:r>
      <w:r w:rsidR="000A03BF">
        <w:t xml:space="preserve"> up to 150 gigabytes per month.</w:t>
      </w:r>
    </w:p>
    <w:p w14:paraId="58A15077" w14:textId="49C17629" w:rsidR="00ED3C56" w:rsidRDefault="00657F85" w:rsidP="000A03BF">
      <w:r>
        <w:t>The Committee also commented</w:t>
      </w:r>
      <w:r w:rsidR="00ED3C56">
        <w:t xml:space="preserve"> about restrictions on</w:t>
      </w:r>
      <w:r w:rsidR="0036252E">
        <w:t xml:space="preserve"> the NBN </w:t>
      </w:r>
      <w:r w:rsidR="00ED3C56">
        <w:t>network operations</w:t>
      </w:r>
      <w:r>
        <w:t>.</w:t>
      </w:r>
      <w:r w:rsidR="00ED3C56">
        <w:t xml:space="preserve"> </w:t>
      </w:r>
      <w:r>
        <w:t>T</w:t>
      </w:r>
      <w:r w:rsidR="00ED3C56">
        <w:t xml:space="preserve">he Government’s stated </w:t>
      </w:r>
      <w:r w:rsidR="00F35DAB">
        <w:t xml:space="preserve">policy </w:t>
      </w:r>
      <w:r w:rsidR="00ED3C56">
        <w:t xml:space="preserve">is that </w:t>
      </w:r>
      <w:r w:rsidR="0036252E">
        <w:t>NBN Co</w:t>
      </w:r>
      <w:r w:rsidR="00ED3C56">
        <w:t xml:space="preserve"> should operate at the lowest practical level in the network stack. This already provides flexibility to operate at a higher level if needed </w:t>
      </w:r>
      <w:r w:rsidR="0036252E">
        <w:t xml:space="preserve">and </w:t>
      </w:r>
      <w:r w:rsidR="00ED3C56">
        <w:t xml:space="preserve">to provide additional functionality for </w:t>
      </w:r>
      <w:r w:rsidR="0036252E">
        <w:t xml:space="preserve">the </w:t>
      </w:r>
      <w:r w:rsidR="000A03BF">
        <w:t>satellite service.</w:t>
      </w:r>
    </w:p>
    <w:p w14:paraId="462312D0" w14:textId="0E3BC324" w:rsidR="00C1332C" w:rsidRDefault="003F4BEC" w:rsidP="000A03BF">
      <w:r w:rsidRPr="00970BCC">
        <w:t>There may be instances on the satellite service where NBN (as the satellite operator) needs to implement certain technical solutions such as new caching techniques, necessitating NBN to operate at higher levels of the network stack. In other instances, for example, the provision of necessary operational and business support systems (OSS/BSS), there may be efficiencies in NBN providing these services.</w:t>
      </w:r>
    </w:p>
    <w:p w14:paraId="63F4EF8B" w14:textId="0790AEEA" w:rsidR="00ED3C56" w:rsidRDefault="00ED3C56" w:rsidP="000A03BF">
      <w:pPr>
        <w:rPr>
          <w:rFonts w:ascii="Calibri" w:eastAsia="Times New Roman" w:hAnsi="Calibri" w:cs="Times New Roman"/>
          <w:color w:val="000000"/>
        </w:rPr>
      </w:pPr>
      <w:r w:rsidRPr="0015782E">
        <w:rPr>
          <w:rFonts w:ascii="Calibri" w:eastAsia="Times New Roman" w:hAnsi="Calibri" w:cs="Times New Roman"/>
          <w:color w:val="000000"/>
        </w:rPr>
        <w:t xml:space="preserve">The Government supports customers being able to effectively manage their data consumption and encourages all </w:t>
      </w:r>
      <w:r w:rsidR="00181D50">
        <w:rPr>
          <w:rFonts w:ascii="Calibri" w:eastAsia="Times New Roman" w:hAnsi="Calibri" w:cs="Times New Roman"/>
          <w:color w:val="000000"/>
        </w:rPr>
        <w:t>RSP</w:t>
      </w:r>
      <w:r w:rsidR="0036252E">
        <w:rPr>
          <w:rFonts w:ascii="Calibri" w:eastAsia="Times New Roman" w:hAnsi="Calibri" w:cs="Times New Roman"/>
          <w:color w:val="000000"/>
        </w:rPr>
        <w:t xml:space="preserve">s </w:t>
      </w:r>
      <w:r w:rsidRPr="0015782E">
        <w:rPr>
          <w:rFonts w:ascii="Calibri" w:eastAsia="Times New Roman" w:hAnsi="Calibri" w:cs="Times New Roman"/>
          <w:color w:val="000000"/>
        </w:rPr>
        <w:t xml:space="preserve">to make available data monitoring tools and </w:t>
      </w:r>
      <w:r w:rsidR="003B5C1A">
        <w:rPr>
          <w:rFonts w:ascii="Calibri" w:eastAsia="Times New Roman" w:hAnsi="Calibri" w:cs="Times New Roman"/>
          <w:color w:val="000000"/>
        </w:rPr>
        <w:t xml:space="preserve">provide </w:t>
      </w:r>
      <w:r w:rsidRPr="0015782E">
        <w:rPr>
          <w:rFonts w:ascii="Calibri" w:eastAsia="Times New Roman" w:hAnsi="Calibri" w:cs="Times New Roman"/>
          <w:color w:val="000000"/>
        </w:rPr>
        <w:t xml:space="preserve">timely alerts to their customers. </w:t>
      </w:r>
      <w:r w:rsidR="00D02545" w:rsidRPr="0015782E">
        <w:rPr>
          <w:rFonts w:ascii="Calibri" w:eastAsia="Times New Roman" w:hAnsi="Calibri" w:cs="Times New Roman"/>
          <w:color w:val="000000"/>
        </w:rPr>
        <w:t>Under the Telecommunications Consumer Protection</w:t>
      </w:r>
      <w:r w:rsidR="00D02545">
        <w:rPr>
          <w:rFonts w:ascii="Calibri" w:eastAsia="Times New Roman" w:hAnsi="Calibri" w:cs="Times New Roman"/>
          <w:color w:val="000000"/>
        </w:rPr>
        <w:t xml:space="preserve">s </w:t>
      </w:r>
      <w:r w:rsidR="00D02545" w:rsidRPr="0015782E">
        <w:rPr>
          <w:rFonts w:ascii="Calibri" w:eastAsia="Times New Roman" w:hAnsi="Calibri" w:cs="Times New Roman"/>
          <w:color w:val="000000"/>
        </w:rPr>
        <w:t>Code, an industry code registered with the Australia</w:t>
      </w:r>
      <w:r w:rsidR="00D02545">
        <w:rPr>
          <w:rFonts w:ascii="Calibri" w:eastAsia="Times New Roman" w:hAnsi="Calibri" w:cs="Times New Roman"/>
          <w:color w:val="000000"/>
        </w:rPr>
        <w:t>n</w:t>
      </w:r>
      <w:r w:rsidR="00D02545" w:rsidRPr="0015782E">
        <w:rPr>
          <w:rFonts w:ascii="Calibri" w:eastAsia="Times New Roman" w:hAnsi="Calibri" w:cs="Times New Roman"/>
          <w:color w:val="000000"/>
        </w:rPr>
        <w:t xml:space="preserve"> Communication</w:t>
      </w:r>
      <w:r w:rsidR="00D02545">
        <w:rPr>
          <w:rFonts w:ascii="Calibri" w:eastAsia="Times New Roman" w:hAnsi="Calibri" w:cs="Times New Roman"/>
          <w:color w:val="000000"/>
        </w:rPr>
        <w:t>s</w:t>
      </w:r>
      <w:r w:rsidR="00D02545" w:rsidRPr="0015782E">
        <w:rPr>
          <w:rFonts w:ascii="Calibri" w:eastAsia="Times New Roman" w:hAnsi="Calibri" w:cs="Times New Roman"/>
          <w:color w:val="000000"/>
        </w:rPr>
        <w:t xml:space="preserve"> </w:t>
      </w:r>
      <w:r w:rsidR="00D02545">
        <w:rPr>
          <w:rFonts w:ascii="Calibri" w:eastAsia="Times New Roman" w:hAnsi="Calibri" w:cs="Times New Roman"/>
          <w:color w:val="000000"/>
        </w:rPr>
        <w:t>and Media Authority (ACMA),</w:t>
      </w:r>
      <w:r w:rsidR="00D02545" w:rsidRPr="0015782E">
        <w:rPr>
          <w:rFonts w:ascii="Calibri" w:eastAsia="Times New Roman" w:hAnsi="Calibri" w:cs="Times New Roman"/>
          <w:color w:val="000000"/>
        </w:rPr>
        <w:t xml:space="preserve"> carriage service providers are</w:t>
      </w:r>
      <w:r w:rsidR="00D02545">
        <w:rPr>
          <w:rFonts w:ascii="Calibri" w:eastAsia="Times New Roman" w:hAnsi="Calibri" w:cs="Times New Roman"/>
          <w:color w:val="000000"/>
        </w:rPr>
        <w:t xml:space="preserve"> already </w:t>
      </w:r>
      <w:r w:rsidR="00D02545" w:rsidRPr="0015782E">
        <w:rPr>
          <w:rFonts w:ascii="Calibri" w:eastAsia="Times New Roman" w:hAnsi="Calibri" w:cs="Times New Roman"/>
          <w:color w:val="000000"/>
        </w:rPr>
        <w:t>required to provide spend management tools and usage notifications.</w:t>
      </w:r>
      <w:r w:rsidR="00D02545">
        <w:rPr>
          <w:rFonts w:ascii="Calibri" w:eastAsia="Times New Roman" w:hAnsi="Calibri" w:cs="Times New Roman"/>
          <w:color w:val="000000"/>
        </w:rPr>
        <w:t xml:space="preserve"> </w:t>
      </w:r>
      <w:r w:rsidR="00F16103">
        <w:rPr>
          <w:rFonts w:ascii="Calibri" w:eastAsia="Times New Roman" w:hAnsi="Calibri" w:cs="Times New Roman"/>
          <w:color w:val="000000"/>
        </w:rPr>
        <w:t>In combination with improved Fair Use Policy controls, th</w:t>
      </w:r>
      <w:r w:rsidR="004F179D">
        <w:rPr>
          <w:rFonts w:ascii="Calibri" w:eastAsia="Times New Roman" w:hAnsi="Calibri" w:cs="Times New Roman"/>
          <w:color w:val="000000"/>
        </w:rPr>
        <w:t>ese</w:t>
      </w:r>
      <w:r w:rsidR="00F16103">
        <w:rPr>
          <w:rFonts w:ascii="Calibri" w:eastAsia="Times New Roman" w:hAnsi="Calibri" w:cs="Times New Roman"/>
          <w:color w:val="000000"/>
        </w:rPr>
        <w:t xml:space="preserve"> </w:t>
      </w:r>
      <w:r w:rsidR="004F179D">
        <w:rPr>
          <w:rFonts w:ascii="Calibri" w:eastAsia="Times New Roman" w:hAnsi="Calibri" w:cs="Times New Roman"/>
          <w:color w:val="000000"/>
        </w:rPr>
        <w:t>arrangements</w:t>
      </w:r>
      <w:r w:rsidR="00F16103">
        <w:rPr>
          <w:rFonts w:ascii="Calibri" w:eastAsia="Times New Roman" w:hAnsi="Calibri" w:cs="Times New Roman"/>
          <w:color w:val="000000"/>
        </w:rPr>
        <w:t xml:space="preserve"> </w:t>
      </w:r>
      <w:r w:rsidR="004F179D">
        <w:rPr>
          <w:rFonts w:ascii="Calibri" w:eastAsia="Times New Roman" w:hAnsi="Calibri" w:cs="Times New Roman"/>
          <w:color w:val="000000"/>
        </w:rPr>
        <w:t xml:space="preserve">are </w:t>
      </w:r>
      <w:r w:rsidR="00F16103">
        <w:rPr>
          <w:rFonts w:ascii="Calibri" w:eastAsia="Times New Roman" w:hAnsi="Calibri" w:cs="Times New Roman"/>
          <w:color w:val="000000"/>
        </w:rPr>
        <w:t xml:space="preserve">expected to </w:t>
      </w:r>
      <w:r w:rsidR="004F179D">
        <w:rPr>
          <w:rFonts w:ascii="Calibri" w:eastAsia="Times New Roman" w:hAnsi="Calibri" w:cs="Times New Roman"/>
          <w:color w:val="000000"/>
        </w:rPr>
        <w:t xml:space="preserve">help RSPs </w:t>
      </w:r>
      <w:r w:rsidR="00F16103">
        <w:rPr>
          <w:rFonts w:ascii="Calibri" w:eastAsia="Times New Roman" w:hAnsi="Calibri" w:cs="Times New Roman"/>
          <w:color w:val="000000"/>
        </w:rPr>
        <w:t>reduce the impact of shaping or servic</w:t>
      </w:r>
      <w:r w:rsidR="000A03BF">
        <w:rPr>
          <w:rFonts w:ascii="Calibri" w:eastAsia="Times New Roman" w:hAnsi="Calibri" w:cs="Times New Roman"/>
          <w:color w:val="000000"/>
        </w:rPr>
        <w:t>e suspension on LTSS end-users.</w:t>
      </w:r>
    </w:p>
    <w:p w14:paraId="18D25C10" w14:textId="77777777" w:rsidR="00712804" w:rsidRPr="00834D91" w:rsidRDefault="00712804" w:rsidP="000A03BF">
      <w:pPr>
        <w:pStyle w:val="Heading3"/>
      </w:pPr>
      <w:r w:rsidRPr="00834D91">
        <w:t>Fixed Wireless footprint</w:t>
      </w:r>
    </w:p>
    <w:p w14:paraId="226C5B84" w14:textId="77777777" w:rsidR="000A03BF" w:rsidRDefault="000A03BF" w:rsidP="000A03BF">
      <w:pPr>
        <w:pBdr>
          <w:top w:val="single" w:sz="4" w:space="1" w:color="auto"/>
          <w:left w:val="single" w:sz="4" w:space="4" w:color="auto"/>
          <w:bottom w:val="single" w:sz="4" w:space="1" w:color="auto"/>
          <w:right w:val="single" w:sz="4" w:space="4" w:color="auto"/>
        </w:pBdr>
        <w:rPr>
          <w:rFonts w:eastAsia="Arial Unicode MS" w:cs="Arial Unicode MS"/>
          <w:b/>
          <w:w w:val="95"/>
        </w:rPr>
      </w:pPr>
      <w:r w:rsidRPr="00D22F94">
        <w:rPr>
          <w:b/>
          <w:lang w:val="en-US"/>
        </w:rPr>
        <w:t>Recommendation 3</w:t>
      </w:r>
      <w:r w:rsidRPr="00D22F94">
        <w:rPr>
          <w:lang w:val="en-US"/>
        </w:rPr>
        <w:t xml:space="preserve"> – To give the best possible outcome for regional users, NBN Co</w:t>
      </w:r>
      <w:r>
        <w:rPr>
          <w:lang w:val="en-US"/>
        </w:rPr>
        <w:t xml:space="preserve"> </w:t>
      </w:r>
      <w:r w:rsidRPr="00D22F94">
        <w:t>should where practicable extend the boundaries of its Fixed Wireless footprint as a substitute for satellite.</w:t>
      </w:r>
    </w:p>
    <w:p w14:paraId="148B7B78" w14:textId="77777777" w:rsidR="00FA439F" w:rsidRPr="00D6759D" w:rsidRDefault="00E760D3" w:rsidP="000A03BF">
      <w:pPr>
        <w:pStyle w:val="Heading4"/>
      </w:pPr>
      <w:r w:rsidRPr="00D6759D">
        <w:t>R</w:t>
      </w:r>
      <w:r w:rsidR="00197CB5" w:rsidRPr="00D6759D">
        <w:t>esponse:</w:t>
      </w:r>
    </w:p>
    <w:p w14:paraId="5318BB26" w14:textId="35C174DD" w:rsidR="0015782E" w:rsidRPr="00BA7AD3" w:rsidRDefault="005726E7" w:rsidP="000A03BF">
      <w:pPr>
        <w:rPr>
          <w:lang w:val="en-US"/>
        </w:rPr>
      </w:pPr>
      <w:r w:rsidRPr="00E760D3">
        <w:t xml:space="preserve">The Government </w:t>
      </w:r>
      <w:r w:rsidR="00C4275D">
        <w:t>n</w:t>
      </w:r>
      <w:r w:rsidR="00322E15" w:rsidRPr="00E760D3">
        <w:t>otes that existing policy already allows NBN Co to match the right technology to the right location.</w:t>
      </w:r>
      <w:r w:rsidR="0015782E" w:rsidRPr="00BA7AD3">
        <w:t xml:space="preserve"> This approach will see the network finished </w:t>
      </w:r>
      <w:r w:rsidR="009F5D02">
        <w:t xml:space="preserve">as soon as possible </w:t>
      </w:r>
      <w:r w:rsidR="0015782E" w:rsidRPr="00BA7AD3">
        <w:t>at</w:t>
      </w:r>
      <w:r w:rsidR="009F5D02">
        <w:t xml:space="preserve"> the</w:t>
      </w:r>
      <w:r w:rsidR="0015782E" w:rsidRPr="00BA7AD3">
        <w:t xml:space="preserve"> le</w:t>
      </w:r>
      <w:r w:rsidR="009F5D02">
        <w:t>ast</w:t>
      </w:r>
      <w:r w:rsidR="0015782E" w:rsidRPr="00BA7AD3">
        <w:t xml:space="preserve"> cost to taxpayers.</w:t>
      </w:r>
    </w:p>
    <w:p w14:paraId="76D07565" w14:textId="77777777" w:rsidR="0015782E" w:rsidRPr="00BA7AD3" w:rsidRDefault="00155477" w:rsidP="000A03BF">
      <w:r>
        <w:rPr>
          <w:lang w:val="en-US"/>
        </w:rPr>
        <w:t>I</w:t>
      </w:r>
      <w:r w:rsidR="0037442F" w:rsidRPr="00E5321F">
        <w:rPr>
          <w:lang w:val="en-US"/>
        </w:rPr>
        <w:t>n December 2015</w:t>
      </w:r>
      <w:r w:rsidR="00707537">
        <w:rPr>
          <w:lang w:val="en-US"/>
        </w:rPr>
        <w:t>,</w:t>
      </w:r>
      <w:r w:rsidR="0037442F" w:rsidRPr="00E5321F">
        <w:rPr>
          <w:lang w:val="en-US"/>
        </w:rPr>
        <w:t xml:space="preserve"> </w:t>
      </w:r>
      <w:r w:rsidR="0036252E">
        <w:rPr>
          <w:lang w:val="en-US"/>
        </w:rPr>
        <w:t xml:space="preserve">NBN Co </w:t>
      </w:r>
      <w:r w:rsidR="0037442F" w:rsidRPr="00E5321F">
        <w:rPr>
          <w:lang w:val="en-US"/>
        </w:rPr>
        <w:t xml:space="preserve">announced that it had decided to expand </w:t>
      </w:r>
      <w:r w:rsidR="00B2785F">
        <w:rPr>
          <w:lang w:val="en-US"/>
        </w:rPr>
        <w:t>its</w:t>
      </w:r>
      <w:r w:rsidR="00B2785F" w:rsidRPr="00E5321F">
        <w:rPr>
          <w:lang w:val="en-US"/>
        </w:rPr>
        <w:t xml:space="preserve"> </w:t>
      </w:r>
      <w:r w:rsidR="0037442F" w:rsidRPr="00E5321F">
        <w:rPr>
          <w:lang w:val="en-US"/>
        </w:rPr>
        <w:t>fixed wireless and fixed line networks by</w:t>
      </w:r>
      <w:r w:rsidR="00C37BCD">
        <w:rPr>
          <w:lang w:val="en-US"/>
        </w:rPr>
        <w:t xml:space="preserve"> a further</w:t>
      </w:r>
      <w:r w:rsidR="0037442F" w:rsidRPr="00E5321F">
        <w:rPr>
          <w:lang w:val="en-US"/>
        </w:rPr>
        <w:t xml:space="preserve"> 40,0</w:t>
      </w:r>
      <w:r w:rsidR="00ED3C56">
        <w:rPr>
          <w:lang w:val="en-US"/>
        </w:rPr>
        <w:t xml:space="preserve">00 premises to reduce </w:t>
      </w:r>
      <w:r w:rsidR="000F58E6">
        <w:rPr>
          <w:lang w:val="en-US"/>
        </w:rPr>
        <w:t>demand</w:t>
      </w:r>
      <w:r w:rsidR="00ED3C56">
        <w:rPr>
          <w:lang w:val="en-US"/>
        </w:rPr>
        <w:t xml:space="preserve"> o</w:t>
      </w:r>
      <w:r w:rsidR="0037442F" w:rsidRPr="00E5321F">
        <w:rPr>
          <w:lang w:val="en-US"/>
        </w:rPr>
        <w:t xml:space="preserve">n </w:t>
      </w:r>
      <w:r w:rsidR="00B2785F">
        <w:rPr>
          <w:lang w:val="en-US"/>
        </w:rPr>
        <w:t>its</w:t>
      </w:r>
      <w:r w:rsidR="00B2785F" w:rsidRPr="00E5321F">
        <w:rPr>
          <w:lang w:val="en-US"/>
        </w:rPr>
        <w:t xml:space="preserve"> </w:t>
      </w:r>
      <w:r w:rsidR="0037442F" w:rsidRPr="00E5321F">
        <w:rPr>
          <w:lang w:val="en-US"/>
        </w:rPr>
        <w:t xml:space="preserve">satellite network. </w:t>
      </w:r>
      <w:r w:rsidR="0015782E" w:rsidRPr="00BA7AD3">
        <w:t xml:space="preserve">This extension of </w:t>
      </w:r>
      <w:r w:rsidR="00B2785F">
        <w:t>its</w:t>
      </w:r>
      <w:r w:rsidR="00B2785F" w:rsidRPr="00BA7AD3">
        <w:t xml:space="preserve"> </w:t>
      </w:r>
      <w:r w:rsidR="0015782E" w:rsidRPr="00BA7AD3">
        <w:t xml:space="preserve">fixed wireless network has contributed to broader efforts to optimise </w:t>
      </w:r>
      <w:r w:rsidR="00B2785F">
        <w:t>its</w:t>
      </w:r>
      <w:r w:rsidR="00B2785F" w:rsidRPr="00BA7AD3">
        <w:t xml:space="preserve"> </w:t>
      </w:r>
      <w:r w:rsidR="0015782E" w:rsidRPr="00BA7AD3">
        <w:t xml:space="preserve">satellite service for end users. As a result </w:t>
      </w:r>
      <w:r w:rsidR="0036252E">
        <w:t xml:space="preserve">NBN Co </w:t>
      </w:r>
      <w:r w:rsidR="00B2785F">
        <w:t>has</w:t>
      </w:r>
      <w:r w:rsidR="0015782E" w:rsidRPr="00BA7AD3">
        <w:t xml:space="preserve"> release</w:t>
      </w:r>
      <w:r w:rsidR="00B2785F">
        <w:t>d</w:t>
      </w:r>
      <w:r w:rsidR="0015782E" w:rsidRPr="00BA7AD3">
        <w:t xml:space="preserve"> a revised wholesale satellite service product </w:t>
      </w:r>
      <w:r w:rsidR="00E0332D">
        <w:t>which includes</w:t>
      </w:r>
      <w:r w:rsidR="0015782E" w:rsidRPr="00BA7AD3">
        <w:t xml:space="preserve"> increased peak download allow</w:t>
      </w:r>
      <w:r w:rsidR="0015782E" w:rsidRPr="00BA7AD3">
        <w:lastRenderedPageBreak/>
        <w:t>ances</w:t>
      </w:r>
      <w:r w:rsidR="00E0332D">
        <w:t xml:space="preserve"> from those originally planned</w:t>
      </w:r>
      <w:r w:rsidR="0015782E" w:rsidRPr="00BA7AD3">
        <w:t xml:space="preserve">. This will allow </w:t>
      </w:r>
      <w:r w:rsidR="0036252E">
        <w:t xml:space="preserve">retail service providers </w:t>
      </w:r>
      <w:r w:rsidR="0015782E" w:rsidRPr="00BA7AD3">
        <w:t xml:space="preserve">to offer </w:t>
      </w:r>
      <w:r w:rsidR="0036252E">
        <w:t xml:space="preserve">more consumer choice with a </w:t>
      </w:r>
      <w:r w:rsidR="0015782E" w:rsidRPr="00BA7AD3">
        <w:t>wider range of retail products at different price points.</w:t>
      </w:r>
    </w:p>
    <w:p w14:paraId="1CEAB515" w14:textId="77777777" w:rsidR="00712804" w:rsidRPr="00834D91" w:rsidRDefault="00712804" w:rsidP="000A03BF">
      <w:pPr>
        <w:pStyle w:val="Heading3"/>
      </w:pPr>
      <w:r w:rsidRPr="00834D91">
        <w:t>Upgrades to state-based networks</w:t>
      </w:r>
    </w:p>
    <w:p w14:paraId="0253649A" w14:textId="77777777" w:rsidR="000A03BF" w:rsidRDefault="000A03BF" w:rsidP="000A03BF">
      <w:pPr>
        <w:pBdr>
          <w:top w:val="single" w:sz="4" w:space="1" w:color="auto"/>
          <w:left w:val="single" w:sz="4" w:space="4" w:color="auto"/>
          <w:bottom w:val="single" w:sz="4" w:space="1" w:color="auto"/>
          <w:right w:val="single" w:sz="4" w:space="4" w:color="auto"/>
        </w:pBdr>
        <w:rPr>
          <w:b/>
        </w:rPr>
      </w:pPr>
      <w:r w:rsidRPr="00D22F94">
        <w:rPr>
          <w:b/>
        </w:rPr>
        <w:t>Recommendation 4</w:t>
      </w:r>
      <w:r w:rsidRPr="00D22F94">
        <w:t xml:space="preserve"> – The Australian Government should consider co-investing with state governments and carriers to support upgrades to regional state-based public safety wireless networks that could also deliver mobile coverage improvements</w:t>
      </w:r>
      <w:r>
        <w:t xml:space="preserve">. </w:t>
      </w:r>
    </w:p>
    <w:p w14:paraId="51E423FD" w14:textId="77777777" w:rsidR="00FA439F" w:rsidRPr="00D6759D" w:rsidRDefault="00197CB5" w:rsidP="000A03BF">
      <w:pPr>
        <w:pStyle w:val="Heading4"/>
      </w:pPr>
      <w:r w:rsidRPr="00D6759D">
        <w:t>Response:</w:t>
      </w:r>
    </w:p>
    <w:p w14:paraId="5D51E01C" w14:textId="2B3777B6" w:rsidR="00B2785F" w:rsidRDefault="00481F72" w:rsidP="000A03BF">
      <w:r>
        <w:t xml:space="preserve">The Government </w:t>
      </w:r>
      <w:r w:rsidR="006D364C">
        <w:t xml:space="preserve">notes </w:t>
      </w:r>
      <w:r w:rsidR="00712804">
        <w:t>this recommendation</w:t>
      </w:r>
      <w:r>
        <w:t>.</w:t>
      </w:r>
    </w:p>
    <w:p w14:paraId="307194EC" w14:textId="77777777" w:rsidR="00970BCC" w:rsidRDefault="006D364C" w:rsidP="000A03BF">
      <w:r>
        <w:t>T</w:t>
      </w:r>
      <w:r w:rsidR="00ED3C56" w:rsidRPr="00A60D42">
        <w:t>he Government</w:t>
      </w:r>
      <w:r w:rsidR="00487182">
        <w:t xml:space="preserve"> </w:t>
      </w:r>
      <w:r w:rsidR="004F179D">
        <w:t>is considering</w:t>
      </w:r>
      <w:r w:rsidR="00ED3C56" w:rsidRPr="00A60D42">
        <w:t xml:space="preserve"> the findings of the Productivity Commission’s study into the best way to secure a mobile broadband capability to meet the long term needs of Australia's public safety agencie</w:t>
      </w:r>
      <w:r w:rsidR="00487182">
        <w:t>s as they relate to state</w:t>
      </w:r>
      <w:r w:rsidR="00ED3C56" w:rsidRPr="00A60D42">
        <w:t xml:space="preserve"> police, fire, ambulance and emergency services</w:t>
      </w:r>
      <w:r w:rsidR="00ED3C56">
        <w:t xml:space="preserve">. </w:t>
      </w:r>
      <w:r w:rsidR="00322E15">
        <w:t>Th</w:t>
      </w:r>
      <w:r w:rsidR="003D4F76">
        <w:t>is report was released on 12 January 2016 and has analysed</w:t>
      </w:r>
      <w:r w:rsidR="00ED3C56" w:rsidRPr="00A60D42">
        <w:t xml:space="preserve"> the most cost-effective combination of private and public inputs, services and expertise to deliver capability.</w:t>
      </w:r>
    </w:p>
    <w:p w14:paraId="01EE101F" w14:textId="0BD1F406" w:rsidR="0006171B" w:rsidRPr="00834D91" w:rsidRDefault="0006171B" w:rsidP="000A03BF">
      <w:pPr>
        <w:pStyle w:val="Heading3"/>
      </w:pPr>
      <w:r w:rsidRPr="00834D91">
        <w:t xml:space="preserve">Preconditions for </w:t>
      </w:r>
      <w:r w:rsidR="00C4275D" w:rsidRPr="00834D91">
        <w:t xml:space="preserve">public </w:t>
      </w:r>
      <w:r w:rsidR="00C44563">
        <w:t>funding of infrastructure</w:t>
      </w:r>
    </w:p>
    <w:p w14:paraId="5A87CEA4" w14:textId="77777777" w:rsidR="000A03BF" w:rsidRPr="00D22F94" w:rsidRDefault="000A03BF" w:rsidP="000A03BF">
      <w:pPr>
        <w:pBdr>
          <w:top w:val="single" w:sz="4" w:space="1" w:color="auto"/>
          <w:left w:val="single" w:sz="4" w:space="4" w:color="auto"/>
          <w:bottom w:val="single" w:sz="4" w:space="1" w:color="auto"/>
          <w:right w:val="single" w:sz="4" w:space="4" w:color="auto"/>
        </w:pBdr>
        <w:rPr>
          <w:lang w:val="en-US"/>
        </w:rPr>
      </w:pPr>
      <w:r w:rsidRPr="00D22F94">
        <w:rPr>
          <w:b/>
          <w:lang w:val="en-US"/>
        </w:rPr>
        <w:t>Recommendation 5</w:t>
      </w:r>
      <w:r w:rsidRPr="00D22F94">
        <w:rPr>
          <w:lang w:val="en-US"/>
        </w:rPr>
        <w:t xml:space="preserve"> – To make the most efficient use of Australian Government funding of major public infrastructure in regional Australia (such as transport corridors and utility facilities), there should be a requirement to incorporate a telecommunications deployment or upgrade plan as a precondition of that funding.</w:t>
      </w:r>
    </w:p>
    <w:p w14:paraId="2273776D" w14:textId="33ACAF2C" w:rsidR="00834D91" w:rsidRPr="00D6759D" w:rsidRDefault="00197CB5" w:rsidP="000A03BF">
      <w:pPr>
        <w:pStyle w:val="Heading4"/>
      </w:pPr>
      <w:r w:rsidRPr="00D6759D">
        <w:t>Response:</w:t>
      </w:r>
    </w:p>
    <w:p w14:paraId="286E4D50" w14:textId="5D4C68BE" w:rsidR="00DC08CC" w:rsidRPr="00DC08CC" w:rsidRDefault="00DC08CC" w:rsidP="000A03BF">
      <w:pPr>
        <w:rPr>
          <w:lang w:val="en"/>
        </w:rPr>
      </w:pPr>
      <w:r w:rsidRPr="00DC08CC">
        <w:rPr>
          <w:lang w:val="en"/>
        </w:rPr>
        <w:t>The Australian Government is broadly supportive of initiatives to integrate infrastructure and land use planning to ensure taxpayers money is spent efficiently and the incremental costs of additional infrastructure is reduced.</w:t>
      </w:r>
    </w:p>
    <w:p w14:paraId="41F6F367" w14:textId="61B72D31" w:rsidR="00DC08CC" w:rsidRPr="00DC08CC" w:rsidRDefault="00DC08CC" w:rsidP="000A03BF">
      <w:r w:rsidRPr="00DC08CC">
        <w:t>The Government considers that incorporation of a telecommunications deployment or upgrade plan in major public infrastructure project proposals should be encouraged, but not required as a mandated precondition of funding. Such a requirement would not be of benefit in all instances, for example where there is already sufficient telecommunications infrastructure in place, or where the costs of including new telecommunications infrastructu</w:t>
      </w:r>
      <w:r w:rsidR="000A03BF">
        <w:t>re would outweigh the benefits.</w:t>
      </w:r>
    </w:p>
    <w:p w14:paraId="6E9E1600" w14:textId="4B4D90C9" w:rsidR="009C6998" w:rsidRPr="00487182" w:rsidRDefault="009C6998" w:rsidP="000A03BF">
      <w:r w:rsidRPr="00DC08CC">
        <w:t xml:space="preserve">Improvement to infrastructure planning is a key priority for the Government. Infrastructure Australia </w:t>
      </w:r>
      <w:r>
        <w:t>has developed</w:t>
      </w:r>
      <w:r w:rsidRPr="00DC08CC">
        <w:t xml:space="preserve"> a 15 year </w:t>
      </w:r>
      <w:r w:rsidRPr="00DC08CC">
        <w:rPr>
          <w:i/>
        </w:rPr>
        <w:t xml:space="preserve">Australian Infrastructure Plan </w:t>
      </w:r>
      <w:r w:rsidRPr="00DC08CC">
        <w:t>(the Plan).</w:t>
      </w:r>
      <w:r w:rsidRPr="00DC08CC">
        <w:rPr>
          <w:i/>
        </w:rPr>
        <w:t xml:space="preserve"> </w:t>
      </w:r>
      <w:r w:rsidR="00755DFC">
        <w:t>This plan</w:t>
      </w:r>
      <w:r w:rsidRPr="00DC08CC">
        <w:t xml:space="preserve"> </w:t>
      </w:r>
      <w:r w:rsidR="00755DFC">
        <w:t>was recently released and</w:t>
      </w:r>
      <w:r w:rsidRPr="00DC08CC">
        <w:t xml:space="preserve"> outline</w:t>
      </w:r>
      <w:r>
        <w:t>s</w:t>
      </w:r>
      <w:r w:rsidRPr="00DC08CC">
        <w:t xml:space="preserve"> Infrastructure Australia’s views on priorities in infrastructure, including priorities for planning reform. It builds on the evidence-base of the </w:t>
      </w:r>
      <w:r w:rsidRPr="00DC08CC">
        <w:rPr>
          <w:i/>
        </w:rPr>
        <w:t>Australian Infrastructure Audit</w:t>
      </w:r>
      <w:r w:rsidRPr="00DC08CC">
        <w:t xml:space="preserve"> which confirmed existing and emerging gaps in </w:t>
      </w:r>
      <w:r w:rsidRPr="00DC08CC">
        <w:lastRenderedPageBreak/>
        <w:t>Australia’s nationally significant infrastructure and identified key drivers of demand for infrastructure such as population growth. The Government will consider the plan’s recommendations and will develop a response in 2016. The response is likely to consider issues such as the integration of land use and infrastructure planning, as raised in the Audit.</w:t>
      </w:r>
    </w:p>
    <w:p w14:paraId="63B40D41" w14:textId="2BFB66AD" w:rsidR="0006171B" w:rsidRDefault="000A03BF" w:rsidP="000A03BF">
      <w:pPr>
        <w:pStyle w:val="Heading3"/>
      </w:pPr>
      <w:r>
        <w:t>Use of existing infrastructure</w:t>
      </w:r>
    </w:p>
    <w:p w14:paraId="1CBE43CC" w14:textId="77777777" w:rsidR="000A03BF" w:rsidRPr="0006171B" w:rsidRDefault="000A03BF" w:rsidP="000A03BF">
      <w:pPr>
        <w:pBdr>
          <w:top w:val="single" w:sz="4" w:space="1" w:color="auto"/>
          <w:left w:val="single" w:sz="4" w:space="4" w:color="auto"/>
          <w:bottom w:val="single" w:sz="4" w:space="1" w:color="auto"/>
          <w:right w:val="single" w:sz="4" w:space="4" w:color="auto"/>
        </w:pBdr>
        <w:rPr>
          <w:b/>
        </w:rPr>
      </w:pPr>
      <w:r w:rsidRPr="00D22F94">
        <w:rPr>
          <w:b/>
          <w:lang w:val="en-US"/>
        </w:rPr>
        <w:t>Recommendation 6</w:t>
      </w:r>
      <w:r w:rsidRPr="00D22F94">
        <w:rPr>
          <w:lang w:val="en-US"/>
        </w:rPr>
        <w:t xml:space="preserve"> – Given the lack of information on </w:t>
      </w:r>
      <w:proofErr w:type="spellStart"/>
      <w:r w:rsidRPr="00D22F94">
        <w:rPr>
          <w:lang w:val="en-US"/>
        </w:rPr>
        <w:t>underutilised</w:t>
      </w:r>
      <w:proofErr w:type="spellEnd"/>
      <w:r w:rsidRPr="00D22F94">
        <w:rPr>
          <w:lang w:val="en-US"/>
        </w:rPr>
        <w:t xml:space="preserve"> regional assets, Infrastructure Australia is encouraged to collect and make available public data and information about any infrastructure that might be of assistance to investors in telecommunications. This might include dark </w:t>
      </w:r>
      <w:proofErr w:type="spellStart"/>
      <w:r w:rsidRPr="00D22F94">
        <w:rPr>
          <w:lang w:val="en-US"/>
        </w:rPr>
        <w:t>fibre</w:t>
      </w:r>
      <w:proofErr w:type="spellEnd"/>
      <w:r w:rsidRPr="00D22F94">
        <w:rPr>
          <w:lang w:val="en-US"/>
        </w:rPr>
        <w:t xml:space="preserve"> or towers with a power source in other sectors such as gas and electricity</w:t>
      </w:r>
      <w:r>
        <w:rPr>
          <w:lang w:val="en-US"/>
        </w:rPr>
        <w:t>.</w:t>
      </w:r>
    </w:p>
    <w:p w14:paraId="5FD9DB3E" w14:textId="77777777" w:rsidR="003D7F7D" w:rsidRPr="00D6759D" w:rsidRDefault="00197CB5" w:rsidP="000A03BF">
      <w:pPr>
        <w:pStyle w:val="Heading4"/>
      </w:pPr>
      <w:r w:rsidRPr="00D6759D">
        <w:t>Response:</w:t>
      </w:r>
    </w:p>
    <w:p w14:paraId="3B814E34" w14:textId="6C20F618" w:rsidR="004B5BB2" w:rsidRDefault="003D4F76" w:rsidP="000A03BF">
      <w:r w:rsidRPr="0006171B">
        <w:t>The Government considers that the</w:t>
      </w:r>
      <w:r w:rsidR="00B15BAC" w:rsidRPr="004B5BB2">
        <w:t xml:space="preserve"> role of Infrastructure Australia </w:t>
      </w:r>
      <w:r w:rsidR="008A4EFA" w:rsidRPr="004B5BB2">
        <w:t>is to provide robust, independent advice on Australia’s current and future infrastructure needs to all levels of government. The Government’s key priority for Infrastructure Australia is to focus on strategic long-term planning to improve project selection, thereby assisting governments in the prioritisation and timely delivery of projects that will deliver economic growth across Australia</w:t>
      </w:r>
      <w:r w:rsidR="000A03BF">
        <w:t>.</w:t>
      </w:r>
    </w:p>
    <w:p w14:paraId="6427FD94" w14:textId="3B090BE1" w:rsidR="00B15BAC" w:rsidRDefault="003D4F76" w:rsidP="000A03BF">
      <w:r>
        <w:t xml:space="preserve">The </w:t>
      </w:r>
      <w:r w:rsidR="00B15BAC" w:rsidRPr="004B5BB2">
        <w:t xml:space="preserve">Government </w:t>
      </w:r>
      <w:r w:rsidR="00DC1068">
        <w:t>(through other relevant agencies</w:t>
      </w:r>
      <w:r w:rsidR="00487EB9">
        <w:t xml:space="preserve"> such as the Department of Communications and the </w:t>
      </w:r>
      <w:r w:rsidR="0089320D">
        <w:t xml:space="preserve">Arts </w:t>
      </w:r>
      <w:r w:rsidR="00487EB9">
        <w:t xml:space="preserve">and the </w:t>
      </w:r>
      <w:r w:rsidR="00DD1278">
        <w:rPr>
          <w:caps/>
        </w:rPr>
        <w:t>ACMA</w:t>
      </w:r>
      <w:r w:rsidR="00DC1068">
        <w:t xml:space="preserve">) </w:t>
      </w:r>
      <w:r w:rsidR="00B15BAC" w:rsidRPr="004B5BB2">
        <w:t>will conti</w:t>
      </w:r>
      <w:r w:rsidR="004B5BB2">
        <w:t xml:space="preserve">nue to collect telecommunications </w:t>
      </w:r>
      <w:r w:rsidR="00B15BAC" w:rsidRPr="004B5BB2">
        <w:t xml:space="preserve">data and </w:t>
      </w:r>
      <w:r w:rsidR="004B5BB2">
        <w:t xml:space="preserve">where possible </w:t>
      </w:r>
      <w:r w:rsidR="00B15BAC" w:rsidRPr="004B5BB2">
        <w:t xml:space="preserve">make it </w:t>
      </w:r>
      <w:r w:rsidR="004B5BB2">
        <w:t xml:space="preserve">publicly </w:t>
      </w:r>
      <w:r w:rsidR="00B15BAC" w:rsidRPr="004B5BB2">
        <w:t>available</w:t>
      </w:r>
      <w:r w:rsidR="004B3C57">
        <w:t xml:space="preserve"> </w:t>
      </w:r>
      <w:r w:rsidR="00DC1068">
        <w:t xml:space="preserve">under the </w:t>
      </w:r>
      <w:r w:rsidR="00D44B2D" w:rsidRPr="004B5BB2">
        <w:t xml:space="preserve">Government’s </w:t>
      </w:r>
      <w:r w:rsidR="00EB38D7" w:rsidRPr="004B5BB2">
        <w:t>public</w:t>
      </w:r>
      <w:r w:rsidR="00D44B2D" w:rsidRPr="004B5BB2">
        <w:t xml:space="preserve"> data policy</w:t>
      </w:r>
      <w:r w:rsidR="008339D8">
        <w:t>. S</w:t>
      </w:r>
      <w:r w:rsidR="005B7924" w:rsidRPr="004B5BB2">
        <w:t xml:space="preserve">ome </w:t>
      </w:r>
      <w:r w:rsidR="00D44B2D" w:rsidRPr="004B5BB2">
        <w:t xml:space="preserve">data </w:t>
      </w:r>
      <w:r w:rsidR="004B5BB2">
        <w:t>will be not be</w:t>
      </w:r>
      <w:r w:rsidR="008339D8">
        <w:t xml:space="preserve"> able to be</w:t>
      </w:r>
      <w:r w:rsidR="004B5BB2">
        <w:t xml:space="preserve"> made available due to </w:t>
      </w:r>
      <w:r w:rsidR="00D44B2D">
        <w:t xml:space="preserve">security issues associated with the disclosure of </w:t>
      </w:r>
      <w:r w:rsidR="00DC1068">
        <w:t xml:space="preserve">information regarding critical </w:t>
      </w:r>
      <w:r w:rsidR="00D44B2D">
        <w:t>infrastructure assets.</w:t>
      </w:r>
    </w:p>
    <w:p w14:paraId="6D37F087" w14:textId="71658591" w:rsidR="00834D91" w:rsidRDefault="00430B2F" w:rsidP="000A03BF">
      <w:pPr>
        <w:rPr>
          <w:b/>
        </w:rPr>
      </w:pPr>
      <w:r>
        <w:t>There are also private sector data providers which provide commercial access to telecommunications network data. Further, operators of telecommunications networks are also able to engage on a commercial basis with other utility providers to identify opportunities for co-location</w:t>
      </w:r>
      <w:r w:rsidR="00C1332C">
        <w:t xml:space="preserve"> </w:t>
      </w:r>
      <w:r>
        <w:t>of infrastructure.</w:t>
      </w:r>
    </w:p>
    <w:p w14:paraId="16135C1D" w14:textId="2CD8312F" w:rsidR="0006171B" w:rsidRPr="00325ECC" w:rsidRDefault="00C4275D" w:rsidP="000A03BF">
      <w:pPr>
        <w:pStyle w:val="Heading3"/>
      </w:pPr>
      <w:r w:rsidRPr="00834D91">
        <w:t>Leveraging NBN infrastructure</w:t>
      </w:r>
    </w:p>
    <w:p w14:paraId="52016E82" w14:textId="77777777" w:rsidR="000A03BF" w:rsidRPr="0006171B" w:rsidRDefault="000A03BF" w:rsidP="000A03BF">
      <w:pPr>
        <w:pBdr>
          <w:top w:val="single" w:sz="4" w:space="1" w:color="auto"/>
          <w:left w:val="single" w:sz="4" w:space="4" w:color="auto"/>
          <w:bottom w:val="single" w:sz="4" w:space="1" w:color="auto"/>
          <w:right w:val="single" w:sz="4" w:space="4" w:color="auto"/>
        </w:pBdr>
        <w:rPr>
          <w:b/>
        </w:rPr>
      </w:pPr>
      <w:r w:rsidRPr="00D22F94">
        <w:rPr>
          <w:b/>
          <w:lang w:val="en-US"/>
        </w:rPr>
        <w:t>Recommendation 7</w:t>
      </w:r>
      <w:r w:rsidRPr="00D22F94">
        <w:rPr>
          <w:lang w:val="en-US"/>
        </w:rPr>
        <w:t xml:space="preserve"> – The Australian Government should leverage its investment in the NBN by enabling NBN Co to make better use of its infrastructure in regional Australia. NBN Co should be permitted, and resourced, to provide carrier-to-carrier products that could include satellite backhaul, terrestrial backhaul for mobile carriers, and options to support new and niche infrastructure providers</w:t>
      </w:r>
      <w:r>
        <w:rPr>
          <w:lang w:val="en-US"/>
        </w:rPr>
        <w:t>.</w:t>
      </w:r>
    </w:p>
    <w:p w14:paraId="59DA8E98" w14:textId="7ABC821B" w:rsidR="00316BD9" w:rsidRDefault="00197CB5" w:rsidP="000A03BF">
      <w:pPr>
        <w:pStyle w:val="Heading4"/>
        <w:rPr>
          <w:rFonts w:ascii="Calibri" w:eastAsia="Times New Roman" w:hAnsi="Calibri" w:cs="Times New Roman"/>
          <w:color w:val="000000"/>
        </w:rPr>
      </w:pPr>
      <w:r w:rsidRPr="00197CB5">
        <w:t>Response:</w:t>
      </w:r>
    </w:p>
    <w:p w14:paraId="0EA65F1B" w14:textId="2C57AFD9" w:rsidR="008857A0" w:rsidRPr="008857A0" w:rsidRDefault="008857A0" w:rsidP="000A03BF">
      <w:r w:rsidRPr="008857A0">
        <w:t xml:space="preserve">The Government considers that the NBN has been established to deliver high-speed broadband across Australia and to provide a wholesale-only, open access platform that facilitates a competitive retail environment. </w:t>
      </w:r>
      <w:r w:rsidRPr="008857A0">
        <w:lastRenderedPageBreak/>
        <w:t>The Government has set a Commonwealth funding equity limit to assist NBN Co to meet its Statement of Exp</w:t>
      </w:r>
      <w:r>
        <w:t>ectations.</w:t>
      </w:r>
    </w:p>
    <w:p w14:paraId="257DF756" w14:textId="29AED78F" w:rsidR="008857A0" w:rsidRPr="008857A0" w:rsidRDefault="008857A0" w:rsidP="000A03BF">
      <w:r w:rsidRPr="008857A0">
        <w:t>There are already a number of areas where the Government’s investment in the NBN is being leveraged by private sector operators to deliver additional telecommunications services in regional Australia.  For example, it is the Government’s policy under the Mobile Black Spot Programme to encourage carriers to consider co-location of infrastructure on NBN fixed wireless towers. The cost of delivering improved mobile coverage can be reduced by co-locating mobile antenna equipment on existing NBN infrastructure, and mobile network operators have proposed a number of co-location sites for the rollout of Round 1 of the P</w:t>
      </w:r>
      <w:r w:rsidR="00DD1278">
        <w:t>rogramme. Under Round 2 of the P</w:t>
      </w:r>
      <w:r w:rsidRPr="008857A0">
        <w:t>rogramme the Government will continue to encourage applicants to consult with NBN Co to identify all possible opportunities to achieve mutually beneficial outcomes via the use of NBN facilities.</w:t>
      </w:r>
    </w:p>
    <w:p w14:paraId="7A1ED8D0" w14:textId="44BAF3B8" w:rsidR="008857A0" w:rsidRPr="008857A0" w:rsidRDefault="008857A0" w:rsidP="000A03BF">
      <w:r w:rsidRPr="008857A0">
        <w:t xml:space="preserve">NBN Co is also developing a Cell Site Access Product. This product is designed to operate wherever the NBN has a fibre footprint using a dedicated fibre link taking mobile (voice and data) traffic from the mobile operator’s tower back to the related NBN Point of Interconnect where it can connect with the mobile operators’ backhaul services. While the Cell Site Access Product will enable NBN Co to leverage the Government’s investment to improve telecommunications services in regional areas, the Government also considers that the broader provision of terrestrial backhaul services can be left to commercial forces. More broadly, a regulated pricing regime for the provision of terrestrial backhaul is overseen by the </w:t>
      </w:r>
      <w:r w:rsidR="00C1332C" w:rsidRPr="001C65F9">
        <w:t>A</w:t>
      </w:r>
      <w:r w:rsidR="001E3A6A">
        <w:t xml:space="preserve">ustralian </w:t>
      </w:r>
      <w:r w:rsidR="00C1332C" w:rsidRPr="001C65F9">
        <w:t>C</w:t>
      </w:r>
      <w:r w:rsidR="001E3A6A">
        <w:t xml:space="preserve">ompetition and </w:t>
      </w:r>
      <w:r w:rsidR="00C1332C" w:rsidRPr="001C65F9">
        <w:t>C</w:t>
      </w:r>
      <w:r w:rsidR="001E3A6A">
        <w:t xml:space="preserve">onsumer </w:t>
      </w:r>
      <w:r w:rsidR="00C1332C" w:rsidRPr="001C65F9">
        <w:t>C</w:t>
      </w:r>
      <w:r w:rsidR="001E3A6A">
        <w:t>ommission</w:t>
      </w:r>
      <w:r w:rsidR="00C1332C" w:rsidRPr="001C65F9">
        <w:t>.</w:t>
      </w:r>
    </w:p>
    <w:p w14:paraId="553F4ADE" w14:textId="77777777" w:rsidR="008857A0" w:rsidRPr="008857A0" w:rsidRDefault="008857A0" w:rsidP="000A03BF">
      <w:r w:rsidRPr="008857A0">
        <w:t xml:space="preserve">The Government’s current policy settings permit NBN Co to offer satellite backhaul of terrestrial mobile services on a commercial basis where unmet demand is evident. However NBN Co will have regard to the commercial viability of such options as well as its primary responsibility of putting its two </w:t>
      </w:r>
      <w:proofErr w:type="spellStart"/>
      <w:r w:rsidRPr="008857A0">
        <w:t>Ka</w:t>
      </w:r>
      <w:proofErr w:type="spellEnd"/>
      <w:r w:rsidRPr="008857A0">
        <w:t>-band satellites to their highest value use, and in so doing ensure reliable, high-speed broadband is available to Australia’s most under-served and remote areas.</w:t>
      </w:r>
    </w:p>
    <w:p w14:paraId="63C3A127" w14:textId="58572A13" w:rsidR="00E56437" w:rsidRPr="000A03BF" w:rsidRDefault="00E56437" w:rsidP="00C44563">
      <w:pPr>
        <w:pStyle w:val="Heading3"/>
        <w:keepLines/>
      </w:pPr>
      <w:r w:rsidRPr="00834D91">
        <w:lastRenderedPageBreak/>
        <w:t>Consumer safeguard reform</w:t>
      </w:r>
    </w:p>
    <w:p w14:paraId="5A8603CC" w14:textId="77777777" w:rsidR="000A03BF" w:rsidRDefault="000A03BF" w:rsidP="00C44563">
      <w:pPr>
        <w:keepNext/>
        <w:keepLines/>
        <w:pBdr>
          <w:top w:val="single" w:sz="4" w:space="1" w:color="auto"/>
          <w:left w:val="single" w:sz="4" w:space="4" w:color="auto"/>
          <w:bottom w:val="single" w:sz="4" w:space="1" w:color="auto"/>
          <w:right w:val="single" w:sz="4" w:space="4" w:color="auto"/>
        </w:pBdr>
        <w:rPr>
          <w:lang w:val="en-US"/>
        </w:rPr>
      </w:pPr>
      <w:r w:rsidRPr="00D22F94">
        <w:rPr>
          <w:b/>
          <w:lang w:val="en-US"/>
        </w:rPr>
        <w:t>Recommendation 8</w:t>
      </w:r>
      <w:r w:rsidRPr="00D22F94">
        <w:rPr>
          <w:lang w:val="en-US"/>
        </w:rPr>
        <w:t xml:space="preserve"> – Current consumer safeguards as they relate to the STS are increasingly irrelevant. The Australian Government, in consultation with industry and consumer groups, should develop a new Consumer Communication Standard for voice and data which sets technology neutral standards in terms of availability, accessibility, affordability, performance</w:t>
      </w:r>
      <w:r>
        <w:rPr>
          <w:lang w:val="en-US"/>
        </w:rPr>
        <w:t xml:space="preserve"> </w:t>
      </w:r>
      <w:r w:rsidRPr="00D22F94">
        <w:rPr>
          <w:lang w:val="en-US"/>
        </w:rPr>
        <w:t>and reliability.</w:t>
      </w:r>
    </w:p>
    <w:p w14:paraId="309B3B2A" w14:textId="22F5F771" w:rsidR="000A03BF" w:rsidRDefault="000A03BF" w:rsidP="00C44563">
      <w:pPr>
        <w:keepNext/>
        <w:keepLines/>
        <w:pBdr>
          <w:top w:val="single" w:sz="4" w:space="1" w:color="auto"/>
          <w:left w:val="single" w:sz="4" w:space="4" w:color="auto"/>
          <w:bottom w:val="single" w:sz="4" w:space="1" w:color="auto"/>
          <w:right w:val="single" w:sz="4" w:space="4" w:color="auto"/>
        </w:pBdr>
      </w:pPr>
      <w:r w:rsidRPr="00D22F94">
        <w:rPr>
          <w:b/>
        </w:rPr>
        <w:t>Recommendation 9</w:t>
      </w:r>
      <w:r w:rsidRPr="00D22F94">
        <w:t xml:space="preserve"> – The Australian Government should establish, in consultation with industry and consumer groups, a new funding mechanism, the Consumer Communication Fund. The Fund would replace the current levy and support loss-making regional infrastructure and services with scope to include subsidy arrangements for the non-commercial NBN services (Satellite and Fixed Wireless) as well as social equity elements that merit funding under the proposed Consumer Communication Standard. The design of the Fund should reflect the following principles</w:t>
      </w:r>
      <w:r>
        <w:t>:</w:t>
      </w:r>
    </w:p>
    <w:p w14:paraId="4E397CDE" w14:textId="77777777" w:rsidR="000A03BF" w:rsidRDefault="000A03BF" w:rsidP="00C44563">
      <w:pPr>
        <w:pStyle w:val="ListParagraph"/>
        <w:keepNext/>
        <w:keepLines/>
        <w:pBdr>
          <w:top w:val="single" w:sz="4" w:space="1" w:color="auto"/>
          <w:left w:val="single" w:sz="4" w:space="4" w:color="auto"/>
          <w:bottom w:val="single" w:sz="4" w:space="1" w:color="auto"/>
          <w:right w:val="single" w:sz="4" w:space="4" w:color="auto"/>
        </w:pBdr>
      </w:pPr>
      <w:r>
        <w:t>Technology neutrality</w:t>
      </w:r>
    </w:p>
    <w:p w14:paraId="0E783CD9" w14:textId="77777777" w:rsidR="000A03BF" w:rsidRDefault="000A03BF" w:rsidP="00C44563">
      <w:pPr>
        <w:pStyle w:val="ListParagraph"/>
        <w:keepNext/>
        <w:keepLines/>
        <w:pBdr>
          <w:top w:val="single" w:sz="4" w:space="1" w:color="auto"/>
          <w:left w:val="single" w:sz="4" w:space="4" w:color="auto"/>
          <w:bottom w:val="single" w:sz="4" w:space="1" w:color="auto"/>
          <w:right w:val="single" w:sz="4" w:space="4" w:color="auto"/>
        </w:pBdr>
      </w:pPr>
      <w:r>
        <w:t>Contestability</w:t>
      </w:r>
    </w:p>
    <w:p w14:paraId="35C30F66" w14:textId="77777777" w:rsidR="000A03BF" w:rsidRDefault="000A03BF" w:rsidP="00C44563">
      <w:pPr>
        <w:pStyle w:val="ListParagraph"/>
        <w:keepNext/>
        <w:keepLines/>
        <w:pBdr>
          <w:top w:val="single" w:sz="4" w:space="1" w:color="auto"/>
          <w:left w:val="single" w:sz="4" w:space="4" w:color="auto"/>
          <w:bottom w:val="single" w:sz="4" w:space="1" w:color="auto"/>
          <w:right w:val="single" w:sz="4" w:space="4" w:color="auto"/>
        </w:pBdr>
      </w:pPr>
      <w:r>
        <w:t>Transparency</w:t>
      </w:r>
    </w:p>
    <w:p w14:paraId="1732893C" w14:textId="77777777" w:rsidR="000A03BF" w:rsidRDefault="000A03BF" w:rsidP="00C44563">
      <w:pPr>
        <w:pStyle w:val="ListParagraph"/>
        <w:keepNext/>
        <w:keepLines/>
        <w:pBdr>
          <w:top w:val="single" w:sz="4" w:space="1" w:color="auto"/>
          <w:left w:val="single" w:sz="4" w:space="4" w:color="auto"/>
          <w:bottom w:val="single" w:sz="4" w:space="1" w:color="auto"/>
          <w:right w:val="single" w:sz="4" w:space="4" w:color="auto"/>
        </w:pBdr>
      </w:pPr>
      <w:r>
        <w:t>Economic efficiency</w:t>
      </w:r>
    </w:p>
    <w:p w14:paraId="08C779B9" w14:textId="77777777" w:rsidR="000A03BF" w:rsidRPr="00F14281" w:rsidRDefault="000A03BF" w:rsidP="00C44563">
      <w:pPr>
        <w:pStyle w:val="ListParagraph"/>
        <w:keepNext/>
        <w:keepLines/>
        <w:pBdr>
          <w:top w:val="single" w:sz="4" w:space="1" w:color="auto"/>
          <w:left w:val="single" w:sz="4" w:space="4" w:color="auto"/>
          <w:bottom w:val="single" w:sz="4" w:space="1" w:color="auto"/>
          <w:right w:val="single" w:sz="4" w:space="4" w:color="auto"/>
        </w:pBdr>
        <w:rPr>
          <w:lang w:val="en-US"/>
        </w:rPr>
      </w:pPr>
      <w:r>
        <w:t>Sustainability</w:t>
      </w:r>
    </w:p>
    <w:p w14:paraId="44C924A0" w14:textId="77777777" w:rsidR="00E75E11" w:rsidRDefault="00E75E11" w:rsidP="00720452">
      <w:pPr>
        <w:pStyle w:val="Heading4"/>
      </w:pPr>
      <w:r w:rsidRPr="00197CB5">
        <w:t>Response:</w:t>
      </w:r>
    </w:p>
    <w:p w14:paraId="738EE4D0" w14:textId="304AE01E" w:rsidR="00E75E11" w:rsidRDefault="00E75E11" w:rsidP="00720452">
      <w:r>
        <w:t>The Government agrees that there are arguments that the current consumer safeguard regime is increasingly outdated, given the evolution of the telecommunications markets, including the rollout of the NBN. Current concepts and interventions reflect a fixed line voice telephony environment delivered through a vertically integrated Telstra which provides access to its wholes</w:t>
      </w:r>
      <w:r w:rsidR="00720452">
        <w:t>ale networks to other carriers.</w:t>
      </w:r>
    </w:p>
    <w:p w14:paraId="5F05A966" w14:textId="7300CF9D" w:rsidR="00E75E11" w:rsidRDefault="00E75E11" w:rsidP="00720452">
      <w:r>
        <w:t xml:space="preserve">The Universal Service Obligation (USO) and the Customer Service Guarantee (CSG), although stated to regulate service delivery, actually regulate both infrastructure provision and service delivery. This has not impeded the effectiveness of the regulation in an environment where Telstra is the USO provider and also the owner of the fixed line infrastructure, though is likely to create issues in a post-NBN environment where </w:t>
      </w:r>
      <w:r w:rsidR="00181D50">
        <w:t>RSP</w:t>
      </w:r>
      <w:r>
        <w:t xml:space="preserve">s, including Telstra as the USO provider, will largely be providing services over the ubiquitous NBN wholesale network. In that environment, fixed line connections and availability required under the USO and CSG will rely on </w:t>
      </w:r>
      <w:r w:rsidR="00181D50">
        <w:t>RSP</w:t>
      </w:r>
      <w:r w:rsidR="006D364C">
        <w:t xml:space="preserve"> </w:t>
      </w:r>
      <w:r>
        <w:t>and NBN co-operation, processes and systems. There is also a question of whether a service delivery obligation is required at all if a regulatory obligation is imposed on NBN to provide the infrastructure required for service delivery.</w:t>
      </w:r>
    </w:p>
    <w:p w14:paraId="0350BADB" w14:textId="77777777" w:rsidR="00E75E11" w:rsidRDefault="00E75E11" w:rsidP="00720452">
      <w:r>
        <w:t xml:space="preserve">Communications products and services are becoming increasingly diverse and varied and are not necessarily delivered via fixed line infrastructure. Barriers to entry for service providers have also diminished. Increased competition alone may, as a consequence, address consumer expectations. If not, a review of current regulatory arrangements will need to </w:t>
      </w:r>
      <w:r>
        <w:lastRenderedPageBreak/>
        <w:t>look at both what remains relevant in the future from the existing regime but also what new issues consumers may face and whether, and how, regulation needs to be applied to mitigate them.</w:t>
      </w:r>
    </w:p>
    <w:p w14:paraId="16728FCB" w14:textId="2050798A" w:rsidR="00E75E11" w:rsidRDefault="00E75E11" w:rsidP="00720452">
      <w:r>
        <w:t>Currently, major consumer safeguards are funded through a mix of industry levy and direct government funding. This is in addition to the Government’s significant investments in building the NBN and, with industry and other levels of government, addressing mobile black spots.</w:t>
      </w:r>
    </w:p>
    <w:p w14:paraId="440323C1" w14:textId="72DDBB3D" w:rsidR="00E75E11" w:rsidRDefault="00E75E11" w:rsidP="00720452">
      <w:pPr>
        <w:rPr>
          <w:lang w:val="en-US"/>
        </w:rPr>
      </w:pPr>
      <w:r>
        <w:t xml:space="preserve">The Review has proposed a model that could be pursued in the resetting of the regulatory framework involving a single standard covering </w:t>
      </w:r>
      <w:r w:rsidRPr="00D22F94">
        <w:rPr>
          <w:lang w:val="en-US"/>
        </w:rPr>
        <w:t>availability, accessibility, affordability, performance</w:t>
      </w:r>
      <w:r>
        <w:rPr>
          <w:lang w:val="en-US"/>
        </w:rPr>
        <w:t xml:space="preserve"> </w:t>
      </w:r>
      <w:r w:rsidRPr="00D22F94">
        <w:rPr>
          <w:lang w:val="en-US"/>
        </w:rPr>
        <w:t>and reliability</w:t>
      </w:r>
      <w:r>
        <w:rPr>
          <w:lang w:val="en-US"/>
        </w:rPr>
        <w:t>. The Review also proposes that industry levy and direct f</w:t>
      </w:r>
      <w:r w:rsidR="005470C5">
        <w:rPr>
          <w:lang w:val="en-US"/>
        </w:rPr>
        <w:t>u</w:t>
      </w:r>
      <w:r>
        <w:rPr>
          <w:lang w:val="en-US"/>
        </w:rPr>
        <w:t>nding arrangements be combined into a single Communications Fund.</w:t>
      </w:r>
    </w:p>
    <w:p w14:paraId="0295BB0C" w14:textId="4A53545C" w:rsidR="00E75E11" w:rsidRDefault="00E75E11" w:rsidP="00720452">
      <w:pPr>
        <w:rPr>
          <w:lang w:val="en-US"/>
        </w:rPr>
      </w:pPr>
      <w:r>
        <w:rPr>
          <w:lang w:val="en-US"/>
        </w:rPr>
        <w:t xml:space="preserve">The Government considers it premature to determine the appropriate model for both the future regulatory arrangements for the telecommunications retail sector and its funding arrangements. </w:t>
      </w:r>
      <w:r w:rsidR="00EE355F">
        <w:rPr>
          <w:lang w:val="en-US"/>
        </w:rPr>
        <w:t>That said, the Government agrees that adjustments to the current regime are warranted given changes to available broadband technologies and consumer expectations.</w:t>
      </w:r>
    </w:p>
    <w:p w14:paraId="1ECCEEE3" w14:textId="765850A3" w:rsidR="00E75E11" w:rsidRDefault="00E75E11" w:rsidP="00720452">
      <w:r>
        <w:t>To assist in a developing a reform model, the Government has requested the Productivity Commission undertake a review into the future requirements for universal services regulation in an evolving telecommunications market with the Terms of Reference to be issued early in 2016.</w:t>
      </w:r>
    </w:p>
    <w:p w14:paraId="79154F85" w14:textId="351A66A4" w:rsidR="00E75E11" w:rsidRDefault="00E75E11" w:rsidP="00720452">
      <w:r>
        <w:t>The Government also proposes, in parallel to the Productivity Commission review, to consider further during 2016 the overall framework for consumer safeguards, including what future retail level safeguards are necessary (if any) and how these are best structured, delivered and funded as well as transitional arrangements.</w:t>
      </w:r>
    </w:p>
    <w:p w14:paraId="146E400A" w14:textId="50E06AEF" w:rsidR="00E75E11" w:rsidRDefault="00E75E11" w:rsidP="00720452">
      <w:r>
        <w:t xml:space="preserve">In addition, the Government is considering the Bureau of Communications Research’s advice on </w:t>
      </w:r>
      <w:r w:rsidRPr="00736AC7">
        <w:rPr>
          <w:lang w:val="en"/>
        </w:rPr>
        <w:t>the non-commercial losses expected from building and operating</w:t>
      </w:r>
      <w:r>
        <w:rPr>
          <w:lang w:val="en"/>
        </w:rPr>
        <w:t xml:space="preserve"> NBN</w:t>
      </w:r>
      <w:r w:rsidRPr="00736AC7">
        <w:rPr>
          <w:lang w:val="en"/>
        </w:rPr>
        <w:t xml:space="preserve"> satellite and fixed wireless services and options for funding these losses via contributions from owners of high-speed broadband access networks</w:t>
      </w:r>
      <w:r>
        <w:rPr>
          <w:lang w:val="en"/>
        </w:rPr>
        <w:t>.</w:t>
      </w:r>
    </w:p>
    <w:p w14:paraId="649B76EE" w14:textId="747015B0" w:rsidR="00E75E11" w:rsidRPr="004517CC" w:rsidRDefault="00E75E11" w:rsidP="00720452">
      <w:r>
        <w:t xml:space="preserve">This work, along with the work undertaken in this Review, will allow the </w:t>
      </w:r>
      <w:r w:rsidR="00EB45C6">
        <w:t>G</w:t>
      </w:r>
      <w:r>
        <w:t>overnment to determine the appropriate regime to apply in future.</w:t>
      </w:r>
    </w:p>
    <w:p w14:paraId="4ECDA100" w14:textId="77777777" w:rsidR="00231FAE" w:rsidRPr="00D6759D" w:rsidRDefault="006805FB" w:rsidP="00720452">
      <w:pPr>
        <w:pStyle w:val="Heading3"/>
      </w:pPr>
      <w:r w:rsidRPr="00D6759D">
        <w:t>Consumer representation</w:t>
      </w:r>
    </w:p>
    <w:p w14:paraId="71E808DF" w14:textId="77777777" w:rsidR="00720452" w:rsidRPr="00736AC7" w:rsidRDefault="00720452" w:rsidP="00720452">
      <w:pPr>
        <w:pBdr>
          <w:top w:val="single" w:sz="4" w:space="1" w:color="auto"/>
          <w:left w:val="single" w:sz="4" w:space="4" w:color="auto"/>
          <w:bottom w:val="single" w:sz="4" w:space="1" w:color="auto"/>
          <w:right w:val="single" w:sz="4" w:space="4" w:color="auto"/>
        </w:pBdr>
        <w:rPr>
          <w:rFonts w:eastAsia="Arial Unicode MS" w:cs="Arial Unicode MS"/>
          <w:b/>
          <w:w w:val="95"/>
        </w:rPr>
      </w:pPr>
      <w:r w:rsidRPr="00834D91">
        <w:rPr>
          <w:b/>
        </w:rPr>
        <w:t>Recommendation 10</w:t>
      </w:r>
      <w:r w:rsidRPr="00834D91">
        <w:t xml:space="preserve"> – Recognising the significant changes in the regional telecommunications market, the Australian Communications Consumer Action Network should continue to make representations on the affordability and accessibility of services, including the promotion of tools to help consumers make more informed decisions regarding their services</w:t>
      </w:r>
      <w:r>
        <w:t>.</w:t>
      </w:r>
    </w:p>
    <w:p w14:paraId="42BE9E80" w14:textId="77777777" w:rsidR="00FA439F" w:rsidRPr="00D6759D" w:rsidRDefault="00197CB5" w:rsidP="00720452">
      <w:pPr>
        <w:pStyle w:val="Heading4"/>
      </w:pPr>
      <w:r w:rsidRPr="00D6759D">
        <w:lastRenderedPageBreak/>
        <w:t>Response:</w:t>
      </w:r>
    </w:p>
    <w:p w14:paraId="5E682DAE" w14:textId="4B84A3C6" w:rsidR="002E6D71" w:rsidRDefault="003D4F76" w:rsidP="00720452">
      <w:r w:rsidRPr="00834D91">
        <w:t xml:space="preserve">The Government </w:t>
      </w:r>
      <w:r w:rsidR="00F16103">
        <w:t xml:space="preserve">continues to provide funding to support </w:t>
      </w:r>
      <w:r w:rsidRPr="00834D91">
        <w:t>the Austr</w:t>
      </w:r>
      <w:r w:rsidRPr="00D6759D">
        <w:t>alian Communications Consumer Action Network (ACCAN)</w:t>
      </w:r>
      <w:r w:rsidR="001E7C9F">
        <w:t xml:space="preserve"> within the terms of the current deed of agreement</w:t>
      </w:r>
      <w:r w:rsidRPr="00D6759D">
        <w:t>.</w:t>
      </w:r>
      <w:r w:rsidR="00CE7022">
        <w:t xml:space="preserve"> ACCAN is funded u</w:t>
      </w:r>
      <w:r w:rsidR="00CF3EF7">
        <w:t>nder</w:t>
      </w:r>
      <w:r w:rsidR="0035613D" w:rsidRPr="0035613D">
        <w:t xml:space="preserve"> </w:t>
      </w:r>
      <w:r w:rsidR="0035613D">
        <w:t xml:space="preserve">section 593 of the </w:t>
      </w:r>
      <w:r w:rsidR="0035613D" w:rsidRPr="0035613D">
        <w:rPr>
          <w:i/>
        </w:rPr>
        <w:t>Telecommunications Act 1997</w:t>
      </w:r>
      <w:r w:rsidR="00CE7022">
        <w:rPr>
          <w:i/>
        </w:rPr>
        <w:t xml:space="preserve"> </w:t>
      </w:r>
      <w:r w:rsidR="00BC1D45">
        <w:t>and</w:t>
      </w:r>
      <w:r w:rsidR="00615848">
        <w:t xml:space="preserve"> meets its obligations under the </w:t>
      </w:r>
      <w:r w:rsidR="00BC1D45">
        <w:t>Act</w:t>
      </w:r>
      <w:r w:rsidR="00615848">
        <w:t xml:space="preserve"> by</w:t>
      </w:r>
      <w:r w:rsidR="001756F9">
        <w:t xml:space="preserve"> r</w:t>
      </w:r>
      <w:r w:rsidR="00615848" w:rsidRPr="00273342">
        <w:t>epresent</w:t>
      </w:r>
      <w:r w:rsidR="00615848">
        <w:t>ing</w:t>
      </w:r>
      <w:r w:rsidR="00615848" w:rsidRPr="00273342">
        <w:t xml:space="preserve"> the views and interests of telecommunications</w:t>
      </w:r>
      <w:r w:rsidR="00615848">
        <w:t xml:space="preserve"> consumers</w:t>
      </w:r>
      <w:r w:rsidR="001756F9">
        <w:t xml:space="preserve"> and e</w:t>
      </w:r>
      <w:r w:rsidR="002E6D71">
        <w:t>ducating</w:t>
      </w:r>
      <w:r w:rsidR="002E6D71" w:rsidRPr="00273342">
        <w:t xml:space="preserve"> consumers and organisations on telecommunications issues.</w:t>
      </w:r>
    </w:p>
    <w:p w14:paraId="02A342E7" w14:textId="5D69E61E" w:rsidR="00F14281" w:rsidRPr="00D6759D" w:rsidRDefault="006805FB" w:rsidP="00BD3CA9">
      <w:pPr>
        <w:pStyle w:val="Heading3"/>
      </w:pPr>
      <w:r w:rsidRPr="00D6759D">
        <w:t>Consumer information provision</w:t>
      </w:r>
    </w:p>
    <w:p w14:paraId="2B207011" w14:textId="77777777" w:rsidR="00BD3CA9" w:rsidRPr="00D22F94" w:rsidRDefault="00BD3CA9" w:rsidP="00BD3CA9">
      <w:pPr>
        <w:pBdr>
          <w:top w:val="single" w:sz="4" w:space="1" w:color="auto"/>
          <w:left w:val="single" w:sz="4" w:space="4" w:color="auto"/>
          <w:bottom w:val="single" w:sz="4" w:space="1" w:color="auto"/>
          <w:right w:val="single" w:sz="4" w:space="4" w:color="auto"/>
        </w:pBdr>
      </w:pPr>
      <w:r w:rsidRPr="00E31557">
        <w:rPr>
          <w:b/>
        </w:rPr>
        <w:t>Recommendation 11</w:t>
      </w:r>
      <w:r w:rsidRPr="00E31557">
        <w:t xml:space="preserve"> – NBN Co and the Department of Communications should examine ways of providing better information on the timing and the range of technologies being rolled out across Australia</w:t>
      </w:r>
      <w:r>
        <w:rPr>
          <w:rFonts w:eastAsia="Arial Unicode MS" w:cs="Arial Unicode MS"/>
          <w:b/>
          <w:noProof/>
          <w:w w:val="95"/>
          <w:lang w:eastAsia="en-AU"/>
        </w:rPr>
        <w:t>.</w:t>
      </w:r>
    </w:p>
    <w:p w14:paraId="2669EA89" w14:textId="77777777" w:rsidR="00FA439F" w:rsidRPr="00D6759D" w:rsidRDefault="00197CB5" w:rsidP="00BD3CA9">
      <w:pPr>
        <w:pStyle w:val="Heading4"/>
      </w:pPr>
      <w:r w:rsidRPr="00D6759D">
        <w:t>Response:</w:t>
      </w:r>
    </w:p>
    <w:p w14:paraId="595C02F3" w14:textId="77777777" w:rsidR="00736AC7" w:rsidRDefault="003D4F76" w:rsidP="00BD3CA9">
      <w:r w:rsidRPr="006805FB">
        <w:t xml:space="preserve">The Government </w:t>
      </w:r>
      <w:r w:rsidR="00F91EE0" w:rsidRPr="006805FB">
        <w:t xml:space="preserve">has already implemented </w:t>
      </w:r>
      <w:r w:rsidRPr="006805FB">
        <w:t>changes to address the issues raised.</w:t>
      </w:r>
      <w:r w:rsidR="00695C24">
        <w:t xml:space="preserve"> It is </w:t>
      </w:r>
      <w:r w:rsidR="00F479E8">
        <w:t xml:space="preserve">the </w:t>
      </w:r>
      <w:r w:rsidR="00ED3C56" w:rsidRPr="00E5321F">
        <w:t>Government</w:t>
      </w:r>
      <w:r w:rsidR="00F479E8">
        <w:t>’s</w:t>
      </w:r>
      <w:r w:rsidR="00ED3C56" w:rsidRPr="00E5321F">
        <w:t xml:space="preserve"> policy</w:t>
      </w:r>
      <w:r w:rsidR="00F479E8">
        <w:t>,</w:t>
      </w:r>
      <w:r w:rsidR="001756F9">
        <w:t xml:space="preserve"> </w:t>
      </w:r>
      <w:r w:rsidR="00F40FC2">
        <w:t>as reflected in</w:t>
      </w:r>
      <w:r w:rsidR="00695C24">
        <w:t xml:space="preserve"> its </w:t>
      </w:r>
      <w:r w:rsidR="001756F9">
        <w:t>Statement of Expectations</w:t>
      </w:r>
      <w:r w:rsidR="00ED3C56" w:rsidRPr="00E5321F">
        <w:t xml:space="preserve"> </w:t>
      </w:r>
      <w:r w:rsidR="007F6996">
        <w:t>for NBN Co</w:t>
      </w:r>
      <w:r w:rsidR="00F479E8">
        <w:t>,</w:t>
      </w:r>
      <w:r w:rsidR="007F6996">
        <w:t xml:space="preserve"> </w:t>
      </w:r>
      <w:r w:rsidR="003F078A">
        <w:t>that a high degree of transparency will be provided by NBN Co in its communication with the public and with Parliament</w:t>
      </w:r>
      <w:r w:rsidR="00ED3C56" w:rsidRPr="00E5321F">
        <w:t>.</w:t>
      </w:r>
    </w:p>
    <w:p w14:paraId="19D9D200" w14:textId="74C21BB5" w:rsidR="00ED3C56" w:rsidRDefault="00ED3C56" w:rsidP="00BD3CA9">
      <w:r w:rsidRPr="00E5321F">
        <w:t xml:space="preserve">In mid-2015 </w:t>
      </w:r>
      <w:r w:rsidR="00695C24">
        <w:t xml:space="preserve">NBN Co </w:t>
      </w:r>
      <w:r w:rsidRPr="00E5321F">
        <w:t xml:space="preserve">released a comprehensive Corporate Plan, outlining the company’s progress in rolling out the </w:t>
      </w:r>
      <w:r>
        <w:t>NBN</w:t>
      </w:r>
      <w:r w:rsidR="00695C24">
        <w:t>.</w:t>
      </w:r>
      <w:r w:rsidRPr="00E5321F">
        <w:t xml:space="preserve"> Th</w:t>
      </w:r>
      <w:r w:rsidR="00695C24">
        <w:t xml:space="preserve">at </w:t>
      </w:r>
      <w:r w:rsidRPr="00E5321F">
        <w:t xml:space="preserve">plan showed that the </w:t>
      </w:r>
      <w:r w:rsidR="00695C24">
        <w:t xml:space="preserve">NBN </w:t>
      </w:r>
      <w:r w:rsidRPr="00E5321F">
        <w:t>remains on track to meet its target to complete the rollout of the network by 2020, but that substantial risks remain</w:t>
      </w:r>
      <w:r w:rsidR="004212B1">
        <w:t xml:space="preserve"> and will need to be managed</w:t>
      </w:r>
      <w:r w:rsidRPr="00E5321F">
        <w:t>.</w:t>
      </w:r>
      <w:r w:rsidR="009F599A">
        <w:t xml:space="preserve"> </w:t>
      </w:r>
      <w:r w:rsidR="00695C24">
        <w:t xml:space="preserve">NBN Co also </w:t>
      </w:r>
      <w:r w:rsidRPr="003510DD">
        <w:t>released a three-year construction plan</w:t>
      </w:r>
      <w:r>
        <w:t xml:space="preserve"> on 16 October 2015</w:t>
      </w:r>
      <w:r w:rsidRPr="003510DD">
        <w:t>. The</w:t>
      </w:r>
      <w:r w:rsidR="00003694" w:rsidRPr="003510DD">
        <w:t xml:space="preserve"> </w:t>
      </w:r>
      <w:r w:rsidRPr="003510DD" w:rsidDel="002A79D7">
        <w:t xml:space="preserve">three-year construction </w:t>
      </w:r>
      <w:r w:rsidRPr="003510DD">
        <w:t xml:space="preserve">plan outlines </w:t>
      </w:r>
      <w:r>
        <w:t>the</w:t>
      </w:r>
      <w:r w:rsidRPr="003510DD">
        <w:t xml:space="preserve"> construction commencement date </w:t>
      </w:r>
      <w:r>
        <w:t>for premises in the plan</w:t>
      </w:r>
      <w:r w:rsidR="00F93052">
        <w:t xml:space="preserve"> </w:t>
      </w:r>
      <w:r>
        <w:t xml:space="preserve">by month and </w:t>
      </w:r>
      <w:r w:rsidRPr="003510DD">
        <w:t xml:space="preserve">by technology, for the first six months. It also provides quarterly information for the subsequent 12 months and by half-year for the next 18 months. </w:t>
      </w:r>
      <w:r w:rsidR="00695C24">
        <w:t xml:space="preserve">This </w:t>
      </w:r>
      <w:r w:rsidRPr="003510DD">
        <w:t xml:space="preserve">three-year construction plan </w:t>
      </w:r>
      <w:r w:rsidR="00695C24">
        <w:t xml:space="preserve">will be updated </w:t>
      </w:r>
      <w:r w:rsidRPr="003510DD">
        <w:t xml:space="preserve">quarterly to include new areas and any variations as </w:t>
      </w:r>
      <w:r w:rsidR="00D04990">
        <w:t>a result of planning processes.</w:t>
      </w:r>
    </w:p>
    <w:p w14:paraId="71F51AA9" w14:textId="56A1E1B8" w:rsidR="00834D91" w:rsidRDefault="00ED3C56" w:rsidP="00BD3CA9">
      <w:r w:rsidRPr="003510DD">
        <w:t xml:space="preserve">To </w:t>
      </w:r>
      <w:r w:rsidR="00695C24">
        <w:t xml:space="preserve">improve information to all Australians, NBN Co has </w:t>
      </w:r>
      <w:r w:rsidRPr="003510DD">
        <w:t xml:space="preserve">added an </w:t>
      </w:r>
      <w:r>
        <w:t>o</w:t>
      </w:r>
      <w:r w:rsidRPr="003510DD">
        <w:t xml:space="preserve">nline </w:t>
      </w:r>
      <w:r>
        <w:t>r</w:t>
      </w:r>
      <w:r w:rsidRPr="003510DD">
        <w:t xml:space="preserve">egistration function </w:t>
      </w:r>
      <w:r w:rsidR="00695C24">
        <w:t xml:space="preserve">on its website to allow </w:t>
      </w:r>
      <w:r w:rsidRPr="003510DD">
        <w:t xml:space="preserve">people </w:t>
      </w:r>
      <w:r w:rsidR="00695C24">
        <w:t xml:space="preserve">to </w:t>
      </w:r>
      <w:r w:rsidRPr="003510DD">
        <w:t xml:space="preserve">register to receive </w:t>
      </w:r>
      <w:r w:rsidR="00695C24">
        <w:t xml:space="preserve">tailored </w:t>
      </w:r>
      <w:r w:rsidRPr="003510DD">
        <w:t xml:space="preserve">email notifications when the rollout is starting in their area. </w:t>
      </w:r>
      <w:r w:rsidR="00695C24">
        <w:t xml:space="preserve">NBN Co has planned further </w:t>
      </w:r>
      <w:r w:rsidRPr="003510DD">
        <w:t xml:space="preserve">enhancements </w:t>
      </w:r>
      <w:r w:rsidR="00695C24" w:rsidRPr="003510DD">
        <w:t xml:space="preserve">to improve </w:t>
      </w:r>
      <w:r w:rsidR="00695C24">
        <w:t>the accuracy of map and address features</w:t>
      </w:r>
      <w:r w:rsidR="003F078A">
        <w:t>,</w:t>
      </w:r>
      <w:r w:rsidR="00695C24">
        <w:t xml:space="preserve"> particularly for rural users who have issues </w:t>
      </w:r>
      <w:r w:rsidR="00695C24" w:rsidRPr="003510DD">
        <w:t>with address matching and premise location</w:t>
      </w:r>
      <w:r w:rsidR="00695C24">
        <w:t xml:space="preserve">. The more user friendly site will go live in the </w:t>
      </w:r>
      <w:r w:rsidRPr="003510DD">
        <w:t>first half of 2016</w:t>
      </w:r>
      <w:r w:rsidR="00695C24">
        <w:t>.</w:t>
      </w:r>
    </w:p>
    <w:p w14:paraId="566E4D90" w14:textId="16EBD4E5" w:rsidR="006805FB" w:rsidRPr="00D6759D" w:rsidRDefault="006805FB" w:rsidP="00BD3CA9">
      <w:pPr>
        <w:pStyle w:val="Heading3"/>
      </w:pPr>
      <w:r w:rsidRPr="00D6759D">
        <w:t>Data collection</w:t>
      </w:r>
    </w:p>
    <w:p w14:paraId="5FFB1169" w14:textId="77777777" w:rsidR="00D04990" w:rsidRDefault="00D04990" w:rsidP="00D04990">
      <w:pPr>
        <w:pBdr>
          <w:top w:val="single" w:sz="4" w:space="1" w:color="auto"/>
          <w:left w:val="single" w:sz="4" w:space="4" w:color="auto"/>
          <w:bottom w:val="single" w:sz="4" w:space="1" w:color="auto"/>
          <w:right w:val="single" w:sz="4" w:space="4" w:color="auto"/>
        </w:pBdr>
        <w:rPr>
          <w:b/>
        </w:rPr>
      </w:pPr>
      <w:r w:rsidRPr="00D22F94">
        <w:rPr>
          <w:b/>
          <w:lang w:val="en-US"/>
        </w:rPr>
        <w:t>Recommendation 12</w:t>
      </w:r>
      <w:r w:rsidRPr="00D22F94">
        <w:rPr>
          <w:lang w:val="en-US"/>
        </w:rPr>
        <w:t xml:space="preserve"> – In order to improve the understanding of the changing circumstances of regional telecommunications, benchmark data on availability and affordability of broadband data and voice services (including mobile services) should be collected and reported annually. This may also enable future reviews to be undertaken less frequently, but on a more informed basis</w:t>
      </w:r>
      <w:r>
        <w:rPr>
          <w:lang w:val="en-US"/>
        </w:rPr>
        <w:t>.</w:t>
      </w:r>
    </w:p>
    <w:p w14:paraId="47693428" w14:textId="77777777" w:rsidR="00FA439F" w:rsidRPr="00D6759D" w:rsidRDefault="00197CB5" w:rsidP="00D04990">
      <w:pPr>
        <w:pStyle w:val="Heading4"/>
      </w:pPr>
      <w:r w:rsidRPr="00D6759D">
        <w:lastRenderedPageBreak/>
        <w:t>Response:</w:t>
      </w:r>
    </w:p>
    <w:p w14:paraId="43B6F491" w14:textId="35862D03" w:rsidR="006805FB" w:rsidRDefault="00B96D51" w:rsidP="00D04990">
      <w:r w:rsidRPr="00FA1441">
        <w:t>The Government</w:t>
      </w:r>
      <w:r w:rsidR="00631CCC">
        <w:t xml:space="preserve"> </w:t>
      </w:r>
      <w:r w:rsidR="006805FB">
        <w:t xml:space="preserve">has established </w:t>
      </w:r>
      <w:r w:rsidR="00D9306B">
        <w:t>t</w:t>
      </w:r>
      <w:r w:rsidRPr="00FA1441">
        <w:t>he</w:t>
      </w:r>
      <w:r w:rsidR="009D58DC">
        <w:t xml:space="preserve"> </w:t>
      </w:r>
      <w:r w:rsidRPr="00FA1441">
        <w:t xml:space="preserve">Bureau of Communications Research </w:t>
      </w:r>
      <w:r w:rsidR="009C24C5">
        <w:t>as</w:t>
      </w:r>
      <w:r w:rsidR="009D58DC">
        <w:t xml:space="preserve"> </w:t>
      </w:r>
      <w:r w:rsidRPr="00FA1441">
        <w:t xml:space="preserve">an independent economic and statistical research unit </w:t>
      </w:r>
      <w:r w:rsidR="00914553">
        <w:t xml:space="preserve">within the </w:t>
      </w:r>
      <w:r w:rsidR="00914553" w:rsidRPr="00FA1441">
        <w:t xml:space="preserve">Department of Communications </w:t>
      </w:r>
      <w:r w:rsidR="00914553">
        <w:t>and the Arts</w:t>
      </w:r>
      <w:r w:rsidR="00A64F6C">
        <w:t xml:space="preserve"> </w:t>
      </w:r>
      <w:r w:rsidR="008339D8">
        <w:t xml:space="preserve">to </w:t>
      </w:r>
      <w:r w:rsidRPr="00FA1441">
        <w:t>support</w:t>
      </w:r>
      <w:r w:rsidR="00FD1BE7">
        <w:t xml:space="preserve"> </w:t>
      </w:r>
      <w:r w:rsidR="00703C4B" w:rsidRPr="00FA1441">
        <w:t>evidence-based policy making</w:t>
      </w:r>
      <w:r w:rsidR="00A64F6C">
        <w:t xml:space="preserve"> in the communications sector</w:t>
      </w:r>
      <w:r w:rsidR="00703C4B" w:rsidRPr="00FA1441">
        <w:t>.</w:t>
      </w:r>
    </w:p>
    <w:p w14:paraId="60E23817" w14:textId="12D8A382" w:rsidR="00675000" w:rsidRDefault="00805CE5" w:rsidP="00D04990">
      <w:r w:rsidRPr="00FA1441">
        <w:t>The B</w:t>
      </w:r>
      <w:r w:rsidR="00671E44">
        <w:t xml:space="preserve">ureau of </w:t>
      </w:r>
      <w:r w:rsidRPr="00FA1441">
        <w:t>C</w:t>
      </w:r>
      <w:r w:rsidR="00671E44">
        <w:t xml:space="preserve">ommunications </w:t>
      </w:r>
      <w:r w:rsidRPr="00FA1441">
        <w:t>R</w:t>
      </w:r>
      <w:r w:rsidR="00671E44">
        <w:t>esearch</w:t>
      </w:r>
      <w:r w:rsidR="00393407">
        <w:t>, which has dedicated spatial data competence,</w:t>
      </w:r>
      <w:r w:rsidRPr="00FA1441">
        <w:t xml:space="preserve"> </w:t>
      </w:r>
      <w:r w:rsidR="004C2911" w:rsidRPr="00FA1441">
        <w:t xml:space="preserve">is well placed to analyse regional telecommunications within the context of the broader Australian telecommunications market and </w:t>
      </w:r>
      <w:r w:rsidRPr="00FA1441">
        <w:t xml:space="preserve">will </w:t>
      </w:r>
      <w:r w:rsidR="00DB17DD">
        <w:t>investigate options to add to existing Government data sources for</w:t>
      </w:r>
      <w:r w:rsidR="00AA05E8">
        <w:t xml:space="preserve"> </w:t>
      </w:r>
      <w:r w:rsidR="00DB17DD">
        <w:t>the benefit of any future review.</w:t>
      </w:r>
    </w:p>
    <w:p w14:paraId="63F98BCD" w14:textId="02DB9BF1" w:rsidR="00393407" w:rsidRPr="00393407" w:rsidRDefault="00DB17DD" w:rsidP="00D04990">
      <w:r>
        <w:t>Considerable</w:t>
      </w:r>
      <w:r w:rsidR="00393407" w:rsidRPr="00393407">
        <w:t xml:space="preserve"> data </w:t>
      </w:r>
      <w:r>
        <w:t>is already available, collected by a number of agencies including:</w:t>
      </w:r>
    </w:p>
    <w:p w14:paraId="62DAE813" w14:textId="64E38CB3" w:rsidR="00393407" w:rsidRPr="00393407" w:rsidRDefault="00393407" w:rsidP="00D04990">
      <w:pPr>
        <w:pStyle w:val="ListParagraph"/>
      </w:pPr>
      <w:r>
        <w:t>t</w:t>
      </w:r>
      <w:r w:rsidRPr="00393407">
        <w:t>he A</w:t>
      </w:r>
      <w:r w:rsidR="00791EE6">
        <w:t xml:space="preserve">ustralian </w:t>
      </w:r>
      <w:r w:rsidRPr="00393407">
        <w:t>B</w:t>
      </w:r>
      <w:r w:rsidR="00791EE6">
        <w:t xml:space="preserve">ureau of </w:t>
      </w:r>
      <w:r w:rsidRPr="00393407">
        <w:t>S</w:t>
      </w:r>
      <w:r w:rsidR="00791EE6">
        <w:t>tatistics</w:t>
      </w:r>
      <w:r w:rsidRPr="00393407">
        <w:t xml:space="preserve"> on a range of indicators such as socio</w:t>
      </w:r>
      <w:r w:rsidRPr="00393407">
        <w:noBreakHyphen/>
        <w:t>economic disadvantage (by local government area), consumption, population, and regional statistics</w:t>
      </w:r>
      <w:r w:rsidR="00E65697">
        <w:t>;</w:t>
      </w:r>
    </w:p>
    <w:p w14:paraId="03061439" w14:textId="3B98BD49" w:rsidR="00393407" w:rsidRPr="00393407" w:rsidRDefault="00393407" w:rsidP="00D04990">
      <w:pPr>
        <w:pStyle w:val="ListParagraph"/>
      </w:pPr>
      <w:r>
        <w:t>t</w:t>
      </w:r>
      <w:r w:rsidRPr="00393407">
        <w:t>he Telecommunications Industry Ombudsman on consumer complaints</w:t>
      </w:r>
      <w:r w:rsidR="00E65697">
        <w:t>; and</w:t>
      </w:r>
    </w:p>
    <w:p w14:paraId="3F6ECE4E" w14:textId="2722F642" w:rsidR="00393407" w:rsidRPr="00393407" w:rsidRDefault="00393407" w:rsidP="00D04990">
      <w:pPr>
        <w:pStyle w:val="ListParagraph"/>
      </w:pPr>
      <w:proofErr w:type="gramStart"/>
      <w:r>
        <w:t>t</w:t>
      </w:r>
      <w:r w:rsidRPr="00393407">
        <w:t>he</w:t>
      </w:r>
      <w:proofErr w:type="gramEnd"/>
      <w:r w:rsidRPr="00393407">
        <w:t xml:space="preserve"> </w:t>
      </w:r>
      <w:r w:rsidR="00EF5523">
        <w:t>ACMA</w:t>
      </w:r>
      <w:r w:rsidRPr="00393407">
        <w:t>, from annual reports and research</w:t>
      </w:r>
      <w:r>
        <w:t>.</w:t>
      </w:r>
    </w:p>
    <w:p w14:paraId="3A4D25E3" w14:textId="14E138CC" w:rsidR="003F423F" w:rsidRPr="00FA1441" w:rsidRDefault="00A60D42" w:rsidP="00D04990">
      <w:r>
        <w:t>Based on the outcome of this work</w:t>
      </w:r>
      <w:r w:rsidR="00D77995">
        <w:t>, t</w:t>
      </w:r>
      <w:r w:rsidR="00675000">
        <w:t xml:space="preserve">he Government </w:t>
      </w:r>
      <w:r w:rsidR="00D77995">
        <w:t>will give consideration as to whether future reviews may</w:t>
      </w:r>
      <w:r w:rsidR="00C44563">
        <w:t xml:space="preserve"> be undertaken less frequently.</w:t>
      </w:r>
    </w:p>
    <w:sectPr w:rsidR="003F423F" w:rsidRPr="00FA1441" w:rsidSect="00E5321F">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32BDE" w14:textId="77777777" w:rsidR="00791EE6" w:rsidRDefault="00791EE6" w:rsidP="00197CB5">
      <w:pPr>
        <w:spacing w:after="0"/>
      </w:pPr>
      <w:r>
        <w:separator/>
      </w:r>
    </w:p>
  </w:endnote>
  <w:endnote w:type="continuationSeparator" w:id="0">
    <w:p w14:paraId="2847EBAB" w14:textId="77777777" w:rsidR="00791EE6" w:rsidRDefault="00791EE6" w:rsidP="00197CB5">
      <w:pPr>
        <w:spacing w:after="0"/>
      </w:pPr>
      <w:r>
        <w:continuationSeparator/>
      </w:r>
    </w:p>
  </w:endnote>
  <w:endnote w:type="continuationNotice" w:id="1">
    <w:p w14:paraId="380D5599" w14:textId="77777777" w:rsidR="00791EE6" w:rsidRDefault="00791E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7455"/>
      <w:docPartObj>
        <w:docPartGallery w:val="Page Numbers (Bottom of Page)"/>
        <w:docPartUnique/>
      </w:docPartObj>
    </w:sdtPr>
    <w:sdtEndPr>
      <w:rPr>
        <w:noProof/>
      </w:rPr>
    </w:sdtEndPr>
    <w:sdtContent>
      <w:p w14:paraId="51243518" w14:textId="5DE3B79E" w:rsidR="00484340" w:rsidRDefault="00484340">
        <w:pPr>
          <w:pStyle w:val="Footer"/>
        </w:pPr>
        <w:r>
          <w:fldChar w:fldCharType="begin"/>
        </w:r>
        <w:r>
          <w:instrText xml:space="preserve"> PAGE   \* MERGEFORMAT </w:instrText>
        </w:r>
        <w:r>
          <w:fldChar w:fldCharType="separate"/>
        </w:r>
        <w:r w:rsidR="004C63F1">
          <w:rPr>
            <w:noProof/>
          </w:rPr>
          <w:t>2</w:t>
        </w:r>
        <w:r>
          <w:rPr>
            <w:noProof/>
          </w:rPr>
          <w:fldChar w:fldCharType="end"/>
        </w:r>
      </w:p>
    </w:sdtContent>
  </w:sdt>
  <w:p w14:paraId="3BBEDE5E" w14:textId="77777777" w:rsidR="00791EE6" w:rsidRPr="00484340" w:rsidRDefault="00791EE6" w:rsidP="00484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83795" w14:textId="77777777" w:rsidR="00791EE6" w:rsidRDefault="00791EE6" w:rsidP="00197CB5">
      <w:pPr>
        <w:spacing w:after="0"/>
      </w:pPr>
      <w:r>
        <w:separator/>
      </w:r>
    </w:p>
  </w:footnote>
  <w:footnote w:type="continuationSeparator" w:id="0">
    <w:p w14:paraId="5B355E68" w14:textId="77777777" w:rsidR="00791EE6" w:rsidRDefault="00791EE6" w:rsidP="00197CB5">
      <w:pPr>
        <w:spacing w:after="0"/>
      </w:pPr>
      <w:r>
        <w:continuationSeparator/>
      </w:r>
    </w:p>
  </w:footnote>
  <w:footnote w:type="continuationNotice" w:id="1">
    <w:p w14:paraId="52EC3EAC" w14:textId="77777777" w:rsidR="00791EE6" w:rsidRDefault="00791EE6">
      <w:pPr>
        <w:spacing w:after="0"/>
      </w:pPr>
    </w:p>
  </w:footnote>
  <w:footnote w:id="2">
    <w:p w14:paraId="0F1DAC46" w14:textId="77777777" w:rsidR="00791EE6" w:rsidRDefault="00791EE6" w:rsidP="003F423F">
      <w:pPr>
        <w:pStyle w:val="FootnoteText"/>
      </w:pPr>
      <w:r>
        <w:rPr>
          <w:rStyle w:val="FootnoteReference"/>
        </w:rPr>
        <w:footnoteRef/>
      </w:r>
      <w:r>
        <w:t xml:space="preserve"> Reference to </w:t>
      </w:r>
      <w:r w:rsidRPr="003F423F">
        <w:rPr>
          <w:i/>
        </w:rPr>
        <w:t>regional Australia</w:t>
      </w:r>
      <w:r>
        <w:t xml:space="preserve"> includes regional, rural and remote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430"/>
    <w:multiLevelType w:val="hybridMultilevel"/>
    <w:tmpl w:val="3704F2D0"/>
    <w:lvl w:ilvl="0" w:tplc="141A9DFE">
      <w:start w:val="1"/>
      <w:numFmt w:val="bullet"/>
      <w:lvlText w:val="•"/>
      <w:lvlJc w:val="left"/>
      <w:pPr>
        <w:ind w:left="720" w:hanging="360"/>
      </w:pPr>
      <w:rPr>
        <w:rFonts w:ascii="Arial" w:eastAsia="Arial" w:hAnsi="Arial" w:hint="default"/>
        <w:w w:val="142"/>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82273"/>
    <w:multiLevelType w:val="hybridMultilevel"/>
    <w:tmpl w:val="8430BC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236772"/>
    <w:multiLevelType w:val="hybridMultilevel"/>
    <w:tmpl w:val="2B2EDE00"/>
    <w:lvl w:ilvl="0" w:tplc="63E829A6">
      <w:start w:val="1"/>
      <w:numFmt w:val="bullet"/>
      <w:lvlText w:val="•"/>
      <w:lvlJc w:val="left"/>
      <w:pPr>
        <w:ind w:hanging="227"/>
      </w:pPr>
      <w:rPr>
        <w:rFonts w:ascii="Arial" w:eastAsia="Arial" w:hAnsi="Arial" w:hint="default"/>
        <w:w w:val="142"/>
        <w:sz w:val="18"/>
        <w:szCs w:val="18"/>
      </w:rPr>
    </w:lvl>
    <w:lvl w:ilvl="1" w:tplc="141A9DFE">
      <w:start w:val="1"/>
      <w:numFmt w:val="bullet"/>
      <w:lvlText w:val="•"/>
      <w:lvlJc w:val="left"/>
      <w:pPr>
        <w:ind w:hanging="227"/>
      </w:pPr>
      <w:rPr>
        <w:rFonts w:ascii="Arial" w:eastAsia="Arial" w:hAnsi="Arial" w:hint="default"/>
        <w:w w:val="142"/>
        <w:sz w:val="18"/>
        <w:szCs w:val="18"/>
      </w:rPr>
    </w:lvl>
    <w:lvl w:ilvl="2" w:tplc="8F92768C">
      <w:start w:val="1"/>
      <w:numFmt w:val="bullet"/>
      <w:lvlText w:val="•"/>
      <w:lvlJc w:val="left"/>
      <w:rPr>
        <w:rFonts w:hint="default"/>
      </w:rPr>
    </w:lvl>
    <w:lvl w:ilvl="3" w:tplc="5596DD64">
      <w:start w:val="1"/>
      <w:numFmt w:val="bullet"/>
      <w:lvlText w:val="•"/>
      <w:lvlJc w:val="left"/>
      <w:rPr>
        <w:rFonts w:hint="default"/>
      </w:rPr>
    </w:lvl>
    <w:lvl w:ilvl="4" w:tplc="C13EEF00">
      <w:start w:val="1"/>
      <w:numFmt w:val="bullet"/>
      <w:lvlText w:val="•"/>
      <w:lvlJc w:val="left"/>
      <w:rPr>
        <w:rFonts w:hint="default"/>
      </w:rPr>
    </w:lvl>
    <w:lvl w:ilvl="5" w:tplc="58C2953E">
      <w:start w:val="1"/>
      <w:numFmt w:val="bullet"/>
      <w:lvlText w:val="•"/>
      <w:lvlJc w:val="left"/>
      <w:rPr>
        <w:rFonts w:hint="default"/>
      </w:rPr>
    </w:lvl>
    <w:lvl w:ilvl="6" w:tplc="080AD342">
      <w:start w:val="1"/>
      <w:numFmt w:val="bullet"/>
      <w:lvlText w:val="•"/>
      <w:lvlJc w:val="left"/>
      <w:rPr>
        <w:rFonts w:hint="default"/>
      </w:rPr>
    </w:lvl>
    <w:lvl w:ilvl="7" w:tplc="0AD0497E">
      <w:start w:val="1"/>
      <w:numFmt w:val="bullet"/>
      <w:lvlText w:val="•"/>
      <w:lvlJc w:val="left"/>
      <w:rPr>
        <w:rFonts w:hint="default"/>
      </w:rPr>
    </w:lvl>
    <w:lvl w:ilvl="8" w:tplc="C12C52AA">
      <w:start w:val="1"/>
      <w:numFmt w:val="bullet"/>
      <w:lvlText w:val="•"/>
      <w:lvlJc w:val="left"/>
      <w:rPr>
        <w:rFonts w:hint="default"/>
      </w:rPr>
    </w:lvl>
  </w:abstractNum>
  <w:abstractNum w:abstractNumId="3" w15:restartNumberingAfterBreak="0">
    <w:nsid w:val="0FAA10E2"/>
    <w:multiLevelType w:val="hybridMultilevel"/>
    <w:tmpl w:val="E6666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65374"/>
    <w:multiLevelType w:val="hybridMultilevel"/>
    <w:tmpl w:val="B9CC5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C171A"/>
    <w:multiLevelType w:val="hybridMultilevel"/>
    <w:tmpl w:val="F962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90C70"/>
    <w:multiLevelType w:val="hybridMultilevel"/>
    <w:tmpl w:val="98DA63E2"/>
    <w:lvl w:ilvl="0" w:tplc="141A9DFE">
      <w:start w:val="1"/>
      <w:numFmt w:val="bullet"/>
      <w:lvlText w:val="•"/>
      <w:lvlJc w:val="left"/>
      <w:pPr>
        <w:ind w:hanging="227"/>
      </w:pPr>
      <w:rPr>
        <w:rFonts w:ascii="Arial" w:eastAsia="Arial" w:hAnsi="Arial" w:hint="default"/>
        <w:w w:val="142"/>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D2436"/>
    <w:multiLevelType w:val="hybridMultilevel"/>
    <w:tmpl w:val="6BD0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143A4"/>
    <w:multiLevelType w:val="hybridMultilevel"/>
    <w:tmpl w:val="61F0BF3A"/>
    <w:lvl w:ilvl="0" w:tplc="0C090001">
      <w:start w:val="1"/>
      <w:numFmt w:val="bullet"/>
      <w:lvlText w:val=""/>
      <w:lvlJc w:val="left"/>
      <w:pPr>
        <w:ind w:left="493" w:hanging="360"/>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9" w15:restartNumberingAfterBreak="0">
    <w:nsid w:val="193B2BAE"/>
    <w:multiLevelType w:val="hybridMultilevel"/>
    <w:tmpl w:val="DE482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A0D89"/>
    <w:multiLevelType w:val="hybridMultilevel"/>
    <w:tmpl w:val="D8EA0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C0E2E"/>
    <w:multiLevelType w:val="hybridMultilevel"/>
    <w:tmpl w:val="4E3CD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F01AB0"/>
    <w:multiLevelType w:val="hybridMultilevel"/>
    <w:tmpl w:val="F512653A"/>
    <w:lvl w:ilvl="0" w:tplc="141A9DFE">
      <w:start w:val="1"/>
      <w:numFmt w:val="bullet"/>
      <w:lvlText w:val="•"/>
      <w:lvlJc w:val="left"/>
      <w:pPr>
        <w:ind w:hanging="227"/>
      </w:pPr>
      <w:rPr>
        <w:rFonts w:ascii="Arial" w:eastAsia="Arial" w:hAnsi="Arial" w:hint="default"/>
        <w:w w:val="142"/>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CB12F9"/>
    <w:multiLevelType w:val="hybridMultilevel"/>
    <w:tmpl w:val="35B4A4E8"/>
    <w:lvl w:ilvl="0" w:tplc="9E324B3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8F4446A"/>
    <w:multiLevelType w:val="hybridMultilevel"/>
    <w:tmpl w:val="65B66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400B5D"/>
    <w:multiLevelType w:val="hybridMultilevel"/>
    <w:tmpl w:val="5ADADE4A"/>
    <w:lvl w:ilvl="0" w:tplc="141A9DFE">
      <w:start w:val="1"/>
      <w:numFmt w:val="bullet"/>
      <w:lvlText w:val="•"/>
      <w:lvlJc w:val="left"/>
      <w:pPr>
        <w:ind w:hanging="227"/>
      </w:pPr>
      <w:rPr>
        <w:rFonts w:ascii="Arial" w:eastAsia="Arial" w:hAnsi="Arial" w:hint="default"/>
        <w:w w:val="142"/>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A732B"/>
    <w:multiLevelType w:val="hybridMultilevel"/>
    <w:tmpl w:val="340C2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E23AEA"/>
    <w:multiLevelType w:val="hybridMultilevel"/>
    <w:tmpl w:val="CE960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C7F62"/>
    <w:multiLevelType w:val="hybridMultilevel"/>
    <w:tmpl w:val="2EE2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55B66"/>
    <w:multiLevelType w:val="hybridMultilevel"/>
    <w:tmpl w:val="64987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56638"/>
    <w:multiLevelType w:val="hybridMultilevel"/>
    <w:tmpl w:val="A2760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95403A"/>
    <w:multiLevelType w:val="hybridMultilevel"/>
    <w:tmpl w:val="4DE84CE8"/>
    <w:lvl w:ilvl="0" w:tplc="8946AB2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241A2"/>
    <w:multiLevelType w:val="hybridMultilevel"/>
    <w:tmpl w:val="4F3C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6560BE"/>
    <w:multiLevelType w:val="hybridMultilevel"/>
    <w:tmpl w:val="43B4BFE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4B3F7884"/>
    <w:multiLevelType w:val="hybridMultilevel"/>
    <w:tmpl w:val="2D0C8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D074D49"/>
    <w:multiLevelType w:val="hybridMultilevel"/>
    <w:tmpl w:val="4968A1C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51114EB9"/>
    <w:multiLevelType w:val="hybridMultilevel"/>
    <w:tmpl w:val="9D207D4A"/>
    <w:lvl w:ilvl="0" w:tplc="BF6048DC">
      <w:start w:val="1"/>
      <w:numFmt w:val="decimal"/>
      <w:lvlText w:val="%1)"/>
      <w:lvlJc w:val="left"/>
      <w:pPr>
        <w:ind w:left="1080" w:hanging="360"/>
      </w:pPr>
      <w:rPr>
        <w:rFonts w:ascii="Calibri" w:eastAsia="Times New Roman" w:hAnsi="Calibri" w:cs="Times New Roman"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40A42D9"/>
    <w:multiLevelType w:val="hybridMultilevel"/>
    <w:tmpl w:val="7EB0B53C"/>
    <w:lvl w:ilvl="0" w:tplc="0C090001">
      <w:start w:val="1"/>
      <w:numFmt w:val="bullet"/>
      <w:lvlText w:val=""/>
      <w:lvlJc w:val="left"/>
      <w:pPr>
        <w:ind w:left="720" w:hanging="360"/>
      </w:pPr>
      <w:rPr>
        <w:rFonts w:ascii="Symbol" w:hAnsi="Symbol" w:hint="default"/>
        <w:w w:val="142"/>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9772BB"/>
    <w:multiLevelType w:val="hybridMultilevel"/>
    <w:tmpl w:val="5EFC497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9" w15:restartNumberingAfterBreak="0">
    <w:nsid w:val="55724580"/>
    <w:multiLevelType w:val="hybridMultilevel"/>
    <w:tmpl w:val="24565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EA191C"/>
    <w:multiLevelType w:val="hybridMultilevel"/>
    <w:tmpl w:val="E378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EC5748"/>
    <w:multiLevelType w:val="hybridMultilevel"/>
    <w:tmpl w:val="5A829EAA"/>
    <w:lvl w:ilvl="0" w:tplc="8F92768C">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FA0005"/>
    <w:multiLevelType w:val="hybridMultilevel"/>
    <w:tmpl w:val="BDF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225E23"/>
    <w:multiLevelType w:val="hybridMultilevel"/>
    <w:tmpl w:val="5C128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5612DA"/>
    <w:multiLevelType w:val="hybridMultilevel"/>
    <w:tmpl w:val="11264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E6811"/>
    <w:multiLevelType w:val="hybridMultilevel"/>
    <w:tmpl w:val="65B666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4B179C"/>
    <w:multiLevelType w:val="hybridMultilevel"/>
    <w:tmpl w:val="D764A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4D567C"/>
    <w:multiLevelType w:val="hybridMultilevel"/>
    <w:tmpl w:val="9E14E6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3522B4"/>
    <w:multiLevelType w:val="hybridMultilevel"/>
    <w:tmpl w:val="10A8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72215"/>
    <w:multiLevelType w:val="hybridMultilevel"/>
    <w:tmpl w:val="7BCE12CA"/>
    <w:lvl w:ilvl="0" w:tplc="8F92768C">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2B16D4"/>
    <w:multiLevelType w:val="hybridMultilevel"/>
    <w:tmpl w:val="DA8CC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9322D4"/>
    <w:multiLevelType w:val="hybridMultilevel"/>
    <w:tmpl w:val="914CA17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2" w15:restartNumberingAfterBreak="0">
    <w:nsid w:val="7FEA1901"/>
    <w:multiLevelType w:val="hybridMultilevel"/>
    <w:tmpl w:val="E752D102"/>
    <w:lvl w:ilvl="0" w:tplc="8F92768C">
      <w:start w:val="1"/>
      <w:numFmt w:val="bullet"/>
      <w:lvlText w:val="•"/>
      <w:lvlJc w:val="left"/>
      <w:pPr>
        <w:ind w:left="720" w:hanging="360"/>
      </w:pPr>
      <w:rPr>
        <w:rFonts w:hint="default"/>
        <w:w w:val="142"/>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5"/>
  </w:num>
  <w:num w:numId="4">
    <w:abstractNumId w:val="17"/>
  </w:num>
  <w:num w:numId="5">
    <w:abstractNumId w:val="23"/>
  </w:num>
  <w:num w:numId="6">
    <w:abstractNumId w:val="28"/>
  </w:num>
  <w:num w:numId="7">
    <w:abstractNumId w:val="19"/>
  </w:num>
  <w:num w:numId="8">
    <w:abstractNumId w:val="16"/>
  </w:num>
  <w:num w:numId="9">
    <w:abstractNumId w:val="41"/>
  </w:num>
  <w:num w:numId="10">
    <w:abstractNumId w:val="7"/>
  </w:num>
  <w:num w:numId="11">
    <w:abstractNumId w:val="4"/>
  </w:num>
  <w:num w:numId="12">
    <w:abstractNumId w:val="30"/>
  </w:num>
  <w:num w:numId="13">
    <w:abstractNumId w:val="5"/>
  </w:num>
  <w:num w:numId="14">
    <w:abstractNumId w:val="22"/>
  </w:num>
  <w:num w:numId="15">
    <w:abstractNumId w:val="3"/>
  </w:num>
  <w:num w:numId="16">
    <w:abstractNumId w:val="32"/>
  </w:num>
  <w:num w:numId="17">
    <w:abstractNumId w:val="18"/>
  </w:num>
  <w:num w:numId="18">
    <w:abstractNumId w:val="34"/>
  </w:num>
  <w:num w:numId="19">
    <w:abstractNumId w:val="37"/>
  </w:num>
  <w:num w:numId="20">
    <w:abstractNumId w:val="24"/>
  </w:num>
  <w:num w:numId="21">
    <w:abstractNumId w:val="24"/>
  </w:num>
  <w:num w:numId="22">
    <w:abstractNumId w:val="14"/>
  </w:num>
  <w:num w:numId="23">
    <w:abstractNumId w:val="21"/>
  </w:num>
  <w:num w:numId="24">
    <w:abstractNumId w:val="26"/>
  </w:num>
  <w:num w:numId="25">
    <w:abstractNumId w:val="11"/>
  </w:num>
  <w:num w:numId="26">
    <w:abstractNumId w:val="33"/>
  </w:num>
  <w:num w:numId="27">
    <w:abstractNumId w:val="35"/>
  </w:num>
  <w:num w:numId="28">
    <w:abstractNumId w:val="1"/>
  </w:num>
  <w:num w:numId="29">
    <w:abstractNumId w:val="20"/>
  </w:num>
  <w:num w:numId="30">
    <w:abstractNumId w:val="29"/>
  </w:num>
  <w:num w:numId="31">
    <w:abstractNumId w:val="10"/>
  </w:num>
  <w:num w:numId="32">
    <w:abstractNumId w:val="9"/>
  </w:num>
  <w:num w:numId="33">
    <w:abstractNumId w:val="40"/>
  </w:num>
  <w:num w:numId="34">
    <w:abstractNumId w:val="36"/>
  </w:num>
  <w:num w:numId="35">
    <w:abstractNumId w:val="15"/>
  </w:num>
  <w:num w:numId="36">
    <w:abstractNumId w:val="6"/>
  </w:num>
  <w:num w:numId="37">
    <w:abstractNumId w:val="12"/>
  </w:num>
  <w:num w:numId="38">
    <w:abstractNumId w:val="0"/>
  </w:num>
  <w:num w:numId="39">
    <w:abstractNumId w:val="27"/>
  </w:num>
  <w:num w:numId="40">
    <w:abstractNumId w:val="42"/>
  </w:num>
  <w:num w:numId="41">
    <w:abstractNumId w:val="31"/>
  </w:num>
  <w:num w:numId="42">
    <w:abstractNumId w:val="39"/>
  </w:num>
  <w:num w:numId="43">
    <w:abstractNumId w:val="3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9F"/>
    <w:rsid w:val="000005EC"/>
    <w:rsid w:val="0000098C"/>
    <w:rsid w:val="00002178"/>
    <w:rsid w:val="00003694"/>
    <w:rsid w:val="00003CCB"/>
    <w:rsid w:val="0000516C"/>
    <w:rsid w:val="000076B5"/>
    <w:rsid w:val="00007A44"/>
    <w:rsid w:val="00007ED8"/>
    <w:rsid w:val="00010357"/>
    <w:rsid w:val="000106BF"/>
    <w:rsid w:val="00010EAF"/>
    <w:rsid w:val="00014DF1"/>
    <w:rsid w:val="000175D1"/>
    <w:rsid w:val="00017BE1"/>
    <w:rsid w:val="00022003"/>
    <w:rsid w:val="00022CF7"/>
    <w:rsid w:val="000250DC"/>
    <w:rsid w:val="00025F6C"/>
    <w:rsid w:val="00026B20"/>
    <w:rsid w:val="0003046F"/>
    <w:rsid w:val="0003081D"/>
    <w:rsid w:val="00030FC0"/>
    <w:rsid w:val="0003188F"/>
    <w:rsid w:val="0003230B"/>
    <w:rsid w:val="00034097"/>
    <w:rsid w:val="00034523"/>
    <w:rsid w:val="00034B3E"/>
    <w:rsid w:val="00034D93"/>
    <w:rsid w:val="0003529D"/>
    <w:rsid w:val="000353AF"/>
    <w:rsid w:val="0003726D"/>
    <w:rsid w:val="000409DE"/>
    <w:rsid w:val="00042438"/>
    <w:rsid w:val="000428E8"/>
    <w:rsid w:val="000444F8"/>
    <w:rsid w:val="00044764"/>
    <w:rsid w:val="00045215"/>
    <w:rsid w:val="00047403"/>
    <w:rsid w:val="00050369"/>
    <w:rsid w:val="0005236B"/>
    <w:rsid w:val="000613FD"/>
    <w:rsid w:val="0006171B"/>
    <w:rsid w:val="000624A6"/>
    <w:rsid w:val="000711DC"/>
    <w:rsid w:val="00071278"/>
    <w:rsid w:val="00080A77"/>
    <w:rsid w:val="00080FDC"/>
    <w:rsid w:val="00081DB0"/>
    <w:rsid w:val="00081E52"/>
    <w:rsid w:val="000824FB"/>
    <w:rsid w:val="00083460"/>
    <w:rsid w:val="00084BF3"/>
    <w:rsid w:val="00085AA1"/>
    <w:rsid w:val="00085C65"/>
    <w:rsid w:val="0008622C"/>
    <w:rsid w:val="00086DFB"/>
    <w:rsid w:val="000908F9"/>
    <w:rsid w:val="00091E13"/>
    <w:rsid w:val="00095E03"/>
    <w:rsid w:val="000A03BF"/>
    <w:rsid w:val="000A1F7A"/>
    <w:rsid w:val="000A26EC"/>
    <w:rsid w:val="000A3F5B"/>
    <w:rsid w:val="000A7354"/>
    <w:rsid w:val="000B1401"/>
    <w:rsid w:val="000B1BE9"/>
    <w:rsid w:val="000B3F5D"/>
    <w:rsid w:val="000B48B1"/>
    <w:rsid w:val="000B5E58"/>
    <w:rsid w:val="000B5F5B"/>
    <w:rsid w:val="000B6939"/>
    <w:rsid w:val="000C16EC"/>
    <w:rsid w:val="000C16F5"/>
    <w:rsid w:val="000C484F"/>
    <w:rsid w:val="000C4EB7"/>
    <w:rsid w:val="000D075C"/>
    <w:rsid w:val="000D0980"/>
    <w:rsid w:val="000D24EA"/>
    <w:rsid w:val="000D30A5"/>
    <w:rsid w:val="000D3BE5"/>
    <w:rsid w:val="000D621E"/>
    <w:rsid w:val="000D7EC4"/>
    <w:rsid w:val="000E08C9"/>
    <w:rsid w:val="000E610A"/>
    <w:rsid w:val="000E6607"/>
    <w:rsid w:val="000F1F33"/>
    <w:rsid w:val="000F27C0"/>
    <w:rsid w:val="000F2EE0"/>
    <w:rsid w:val="000F3D3E"/>
    <w:rsid w:val="000F43BE"/>
    <w:rsid w:val="000F58E6"/>
    <w:rsid w:val="000F75B1"/>
    <w:rsid w:val="000F789F"/>
    <w:rsid w:val="000F7C6A"/>
    <w:rsid w:val="001048BD"/>
    <w:rsid w:val="0010494E"/>
    <w:rsid w:val="0010524E"/>
    <w:rsid w:val="00113251"/>
    <w:rsid w:val="00116D40"/>
    <w:rsid w:val="00116ECB"/>
    <w:rsid w:val="00117DBB"/>
    <w:rsid w:val="0012235E"/>
    <w:rsid w:val="00124587"/>
    <w:rsid w:val="00131B41"/>
    <w:rsid w:val="00132C65"/>
    <w:rsid w:val="00136230"/>
    <w:rsid w:val="001362BE"/>
    <w:rsid w:val="00136AB6"/>
    <w:rsid w:val="0013769F"/>
    <w:rsid w:val="001424E4"/>
    <w:rsid w:val="00143A12"/>
    <w:rsid w:val="00145DAA"/>
    <w:rsid w:val="0014699F"/>
    <w:rsid w:val="00147999"/>
    <w:rsid w:val="00150064"/>
    <w:rsid w:val="00150EC1"/>
    <w:rsid w:val="0015154A"/>
    <w:rsid w:val="00155477"/>
    <w:rsid w:val="001570E1"/>
    <w:rsid w:val="0015782E"/>
    <w:rsid w:val="001610EC"/>
    <w:rsid w:val="00164C6D"/>
    <w:rsid w:val="001704F3"/>
    <w:rsid w:val="00173C21"/>
    <w:rsid w:val="001756F9"/>
    <w:rsid w:val="001766D3"/>
    <w:rsid w:val="00176EA8"/>
    <w:rsid w:val="00177946"/>
    <w:rsid w:val="00181D50"/>
    <w:rsid w:val="00183098"/>
    <w:rsid w:val="001863C9"/>
    <w:rsid w:val="00191423"/>
    <w:rsid w:val="00193638"/>
    <w:rsid w:val="00193691"/>
    <w:rsid w:val="00193874"/>
    <w:rsid w:val="00193D81"/>
    <w:rsid w:val="001968EA"/>
    <w:rsid w:val="00197CB5"/>
    <w:rsid w:val="001A5D66"/>
    <w:rsid w:val="001A7350"/>
    <w:rsid w:val="001A7756"/>
    <w:rsid w:val="001A7CFC"/>
    <w:rsid w:val="001B2A54"/>
    <w:rsid w:val="001B4A5A"/>
    <w:rsid w:val="001B5588"/>
    <w:rsid w:val="001B779F"/>
    <w:rsid w:val="001C1449"/>
    <w:rsid w:val="001C1EE0"/>
    <w:rsid w:val="001C2663"/>
    <w:rsid w:val="001C547A"/>
    <w:rsid w:val="001C65F9"/>
    <w:rsid w:val="001D1A96"/>
    <w:rsid w:val="001D1E7A"/>
    <w:rsid w:val="001D2459"/>
    <w:rsid w:val="001D2F71"/>
    <w:rsid w:val="001D3808"/>
    <w:rsid w:val="001D38E4"/>
    <w:rsid w:val="001D6128"/>
    <w:rsid w:val="001D6AE3"/>
    <w:rsid w:val="001E0CF4"/>
    <w:rsid w:val="001E3922"/>
    <w:rsid w:val="001E3A6A"/>
    <w:rsid w:val="001E479D"/>
    <w:rsid w:val="001E7C9F"/>
    <w:rsid w:val="001F2D40"/>
    <w:rsid w:val="001F305C"/>
    <w:rsid w:val="001F3FC8"/>
    <w:rsid w:val="001F4305"/>
    <w:rsid w:val="0020218F"/>
    <w:rsid w:val="002021F7"/>
    <w:rsid w:val="00203246"/>
    <w:rsid w:val="00205B42"/>
    <w:rsid w:val="00206F2C"/>
    <w:rsid w:val="00211128"/>
    <w:rsid w:val="002118D5"/>
    <w:rsid w:val="00216073"/>
    <w:rsid w:val="0022045E"/>
    <w:rsid w:val="00224B89"/>
    <w:rsid w:val="00225CDF"/>
    <w:rsid w:val="00225E3D"/>
    <w:rsid w:val="00226815"/>
    <w:rsid w:val="00230383"/>
    <w:rsid w:val="00231FAE"/>
    <w:rsid w:val="00233FEC"/>
    <w:rsid w:val="00234A10"/>
    <w:rsid w:val="00234A12"/>
    <w:rsid w:val="002350C5"/>
    <w:rsid w:val="00241EFE"/>
    <w:rsid w:val="00242863"/>
    <w:rsid w:val="00243A17"/>
    <w:rsid w:val="00243FD5"/>
    <w:rsid w:val="00247027"/>
    <w:rsid w:val="00251C54"/>
    <w:rsid w:val="00253E97"/>
    <w:rsid w:val="00255314"/>
    <w:rsid w:val="00257621"/>
    <w:rsid w:val="00260FE5"/>
    <w:rsid w:val="00261479"/>
    <w:rsid w:val="002630E2"/>
    <w:rsid w:val="00266510"/>
    <w:rsid w:val="00267158"/>
    <w:rsid w:val="00267DAA"/>
    <w:rsid w:val="00272CBF"/>
    <w:rsid w:val="00273F22"/>
    <w:rsid w:val="00274DF8"/>
    <w:rsid w:val="002752BE"/>
    <w:rsid w:val="00282789"/>
    <w:rsid w:val="00282C79"/>
    <w:rsid w:val="00284EF4"/>
    <w:rsid w:val="00290FEE"/>
    <w:rsid w:val="00291572"/>
    <w:rsid w:val="00292B99"/>
    <w:rsid w:val="00292EBA"/>
    <w:rsid w:val="00292ED6"/>
    <w:rsid w:val="002941D9"/>
    <w:rsid w:val="002972E1"/>
    <w:rsid w:val="0029733B"/>
    <w:rsid w:val="002A35CA"/>
    <w:rsid w:val="002A4A75"/>
    <w:rsid w:val="002A6D58"/>
    <w:rsid w:val="002A79D7"/>
    <w:rsid w:val="002B00D8"/>
    <w:rsid w:val="002B1DBB"/>
    <w:rsid w:val="002B207E"/>
    <w:rsid w:val="002B3264"/>
    <w:rsid w:val="002B3296"/>
    <w:rsid w:val="002B7884"/>
    <w:rsid w:val="002C1EA8"/>
    <w:rsid w:val="002C2438"/>
    <w:rsid w:val="002C4D50"/>
    <w:rsid w:val="002C5220"/>
    <w:rsid w:val="002C607A"/>
    <w:rsid w:val="002C798D"/>
    <w:rsid w:val="002D5B6F"/>
    <w:rsid w:val="002D621F"/>
    <w:rsid w:val="002D6C97"/>
    <w:rsid w:val="002E08F7"/>
    <w:rsid w:val="002E41F6"/>
    <w:rsid w:val="002E5B58"/>
    <w:rsid w:val="002E6D71"/>
    <w:rsid w:val="002E7738"/>
    <w:rsid w:val="002E7786"/>
    <w:rsid w:val="002E7A26"/>
    <w:rsid w:val="002F160F"/>
    <w:rsid w:val="002F4A60"/>
    <w:rsid w:val="002F4D7B"/>
    <w:rsid w:val="002F5229"/>
    <w:rsid w:val="002F580E"/>
    <w:rsid w:val="002F62BE"/>
    <w:rsid w:val="002F64AF"/>
    <w:rsid w:val="0030115E"/>
    <w:rsid w:val="00304701"/>
    <w:rsid w:val="00305BDC"/>
    <w:rsid w:val="003067CE"/>
    <w:rsid w:val="00310D8F"/>
    <w:rsid w:val="003126A9"/>
    <w:rsid w:val="00314A31"/>
    <w:rsid w:val="00315019"/>
    <w:rsid w:val="00316356"/>
    <w:rsid w:val="00316BD9"/>
    <w:rsid w:val="00316D19"/>
    <w:rsid w:val="00321115"/>
    <w:rsid w:val="00321E34"/>
    <w:rsid w:val="00322E15"/>
    <w:rsid w:val="00323065"/>
    <w:rsid w:val="00324CC9"/>
    <w:rsid w:val="00325ECC"/>
    <w:rsid w:val="003268D6"/>
    <w:rsid w:val="00326DBF"/>
    <w:rsid w:val="00337C42"/>
    <w:rsid w:val="00341E37"/>
    <w:rsid w:val="00341EE5"/>
    <w:rsid w:val="00344DBD"/>
    <w:rsid w:val="00345C87"/>
    <w:rsid w:val="003510DD"/>
    <w:rsid w:val="00352809"/>
    <w:rsid w:val="00352B95"/>
    <w:rsid w:val="00353323"/>
    <w:rsid w:val="0035461B"/>
    <w:rsid w:val="003552CA"/>
    <w:rsid w:val="00355DC7"/>
    <w:rsid w:val="0035613D"/>
    <w:rsid w:val="00357498"/>
    <w:rsid w:val="0036252E"/>
    <w:rsid w:val="00370DCF"/>
    <w:rsid w:val="00372AC0"/>
    <w:rsid w:val="0037442F"/>
    <w:rsid w:val="00385DE9"/>
    <w:rsid w:val="00385EE6"/>
    <w:rsid w:val="003871E9"/>
    <w:rsid w:val="00390694"/>
    <w:rsid w:val="00392D85"/>
    <w:rsid w:val="00392E97"/>
    <w:rsid w:val="00393407"/>
    <w:rsid w:val="003940F2"/>
    <w:rsid w:val="00394191"/>
    <w:rsid w:val="003A1094"/>
    <w:rsid w:val="003A2926"/>
    <w:rsid w:val="003A45B0"/>
    <w:rsid w:val="003A511D"/>
    <w:rsid w:val="003A5540"/>
    <w:rsid w:val="003A5EA2"/>
    <w:rsid w:val="003A641D"/>
    <w:rsid w:val="003B01A8"/>
    <w:rsid w:val="003B0766"/>
    <w:rsid w:val="003B274D"/>
    <w:rsid w:val="003B5327"/>
    <w:rsid w:val="003B5C1A"/>
    <w:rsid w:val="003B6078"/>
    <w:rsid w:val="003B6FB6"/>
    <w:rsid w:val="003B7204"/>
    <w:rsid w:val="003B7CE3"/>
    <w:rsid w:val="003C2DA5"/>
    <w:rsid w:val="003C5116"/>
    <w:rsid w:val="003D07B4"/>
    <w:rsid w:val="003D081E"/>
    <w:rsid w:val="003D151F"/>
    <w:rsid w:val="003D446F"/>
    <w:rsid w:val="003D4F76"/>
    <w:rsid w:val="003D711B"/>
    <w:rsid w:val="003D78B1"/>
    <w:rsid w:val="003D7F7D"/>
    <w:rsid w:val="003E2086"/>
    <w:rsid w:val="003E7504"/>
    <w:rsid w:val="003E7CF1"/>
    <w:rsid w:val="003F078A"/>
    <w:rsid w:val="003F1C76"/>
    <w:rsid w:val="003F2DFE"/>
    <w:rsid w:val="003F2E39"/>
    <w:rsid w:val="003F33C7"/>
    <w:rsid w:val="003F423F"/>
    <w:rsid w:val="003F4BEC"/>
    <w:rsid w:val="003F5E18"/>
    <w:rsid w:val="003F6AE6"/>
    <w:rsid w:val="003F6BA8"/>
    <w:rsid w:val="003F7242"/>
    <w:rsid w:val="004004AE"/>
    <w:rsid w:val="00400729"/>
    <w:rsid w:val="00403C62"/>
    <w:rsid w:val="00404105"/>
    <w:rsid w:val="00405518"/>
    <w:rsid w:val="004057E1"/>
    <w:rsid w:val="00410347"/>
    <w:rsid w:val="00411082"/>
    <w:rsid w:val="004110D0"/>
    <w:rsid w:val="0041279C"/>
    <w:rsid w:val="00413F04"/>
    <w:rsid w:val="0041426C"/>
    <w:rsid w:val="00416054"/>
    <w:rsid w:val="00420B8C"/>
    <w:rsid w:val="004212B1"/>
    <w:rsid w:val="00421482"/>
    <w:rsid w:val="0042230F"/>
    <w:rsid w:val="00423A21"/>
    <w:rsid w:val="00424CF9"/>
    <w:rsid w:val="00425959"/>
    <w:rsid w:val="00430B2F"/>
    <w:rsid w:val="00431470"/>
    <w:rsid w:val="00434E55"/>
    <w:rsid w:val="00435232"/>
    <w:rsid w:val="00436758"/>
    <w:rsid w:val="00436863"/>
    <w:rsid w:val="00436C77"/>
    <w:rsid w:val="00440F7D"/>
    <w:rsid w:val="004473CD"/>
    <w:rsid w:val="004517CC"/>
    <w:rsid w:val="0045607B"/>
    <w:rsid w:val="00462E74"/>
    <w:rsid w:val="00462FFF"/>
    <w:rsid w:val="00463167"/>
    <w:rsid w:val="004633D5"/>
    <w:rsid w:val="00463BA5"/>
    <w:rsid w:val="00466F0D"/>
    <w:rsid w:val="004670FE"/>
    <w:rsid w:val="00467AFE"/>
    <w:rsid w:val="00470316"/>
    <w:rsid w:val="0047272A"/>
    <w:rsid w:val="00473ADA"/>
    <w:rsid w:val="00481DF0"/>
    <w:rsid w:val="00481EBF"/>
    <w:rsid w:val="00481F72"/>
    <w:rsid w:val="00484340"/>
    <w:rsid w:val="004846FD"/>
    <w:rsid w:val="00485C74"/>
    <w:rsid w:val="00487182"/>
    <w:rsid w:val="00487EB9"/>
    <w:rsid w:val="0049046B"/>
    <w:rsid w:val="004908F8"/>
    <w:rsid w:val="0049295B"/>
    <w:rsid w:val="00492E85"/>
    <w:rsid w:val="00493212"/>
    <w:rsid w:val="00494EFC"/>
    <w:rsid w:val="004954EB"/>
    <w:rsid w:val="004958B2"/>
    <w:rsid w:val="00497297"/>
    <w:rsid w:val="004A1B80"/>
    <w:rsid w:val="004A41AE"/>
    <w:rsid w:val="004A6196"/>
    <w:rsid w:val="004A6587"/>
    <w:rsid w:val="004A6BC7"/>
    <w:rsid w:val="004B0E13"/>
    <w:rsid w:val="004B25C6"/>
    <w:rsid w:val="004B389B"/>
    <w:rsid w:val="004B3C57"/>
    <w:rsid w:val="004B5BB2"/>
    <w:rsid w:val="004B7125"/>
    <w:rsid w:val="004B7A3C"/>
    <w:rsid w:val="004C15E7"/>
    <w:rsid w:val="004C2911"/>
    <w:rsid w:val="004C2E26"/>
    <w:rsid w:val="004C45B9"/>
    <w:rsid w:val="004C63F1"/>
    <w:rsid w:val="004C6C96"/>
    <w:rsid w:val="004C7171"/>
    <w:rsid w:val="004C77FD"/>
    <w:rsid w:val="004D33BD"/>
    <w:rsid w:val="004D3A40"/>
    <w:rsid w:val="004D64AF"/>
    <w:rsid w:val="004D7B48"/>
    <w:rsid w:val="004D7BEA"/>
    <w:rsid w:val="004E1831"/>
    <w:rsid w:val="004E1ABD"/>
    <w:rsid w:val="004E3965"/>
    <w:rsid w:val="004E7415"/>
    <w:rsid w:val="004E7515"/>
    <w:rsid w:val="004F1478"/>
    <w:rsid w:val="004F179D"/>
    <w:rsid w:val="004F2D39"/>
    <w:rsid w:val="004F32A1"/>
    <w:rsid w:val="004F3BF2"/>
    <w:rsid w:val="004F4BA3"/>
    <w:rsid w:val="0050040D"/>
    <w:rsid w:val="00501E2E"/>
    <w:rsid w:val="00504D7A"/>
    <w:rsid w:val="00505844"/>
    <w:rsid w:val="00505FFF"/>
    <w:rsid w:val="00507231"/>
    <w:rsid w:val="00512C70"/>
    <w:rsid w:val="00513935"/>
    <w:rsid w:val="005166C2"/>
    <w:rsid w:val="00516B4E"/>
    <w:rsid w:val="00522053"/>
    <w:rsid w:val="00522893"/>
    <w:rsid w:val="00523448"/>
    <w:rsid w:val="00524794"/>
    <w:rsid w:val="00535CF2"/>
    <w:rsid w:val="00536841"/>
    <w:rsid w:val="005376A8"/>
    <w:rsid w:val="00537A8F"/>
    <w:rsid w:val="00541849"/>
    <w:rsid w:val="0054248F"/>
    <w:rsid w:val="005452CE"/>
    <w:rsid w:val="00545B52"/>
    <w:rsid w:val="005470C5"/>
    <w:rsid w:val="005474B2"/>
    <w:rsid w:val="00547CAC"/>
    <w:rsid w:val="00551039"/>
    <w:rsid w:val="005510B4"/>
    <w:rsid w:val="00552B7E"/>
    <w:rsid w:val="00554161"/>
    <w:rsid w:val="0055566D"/>
    <w:rsid w:val="005614BA"/>
    <w:rsid w:val="005615FE"/>
    <w:rsid w:val="0056311F"/>
    <w:rsid w:val="0056382B"/>
    <w:rsid w:val="00564A54"/>
    <w:rsid w:val="00565260"/>
    <w:rsid w:val="00567CA4"/>
    <w:rsid w:val="005726E7"/>
    <w:rsid w:val="0057354C"/>
    <w:rsid w:val="005766B9"/>
    <w:rsid w:val="00580B03"/>
    <w:rsid w:val="00580E90"/>
    <w:rsid w:val="00581DBC"/>
    <w:rsid w:val="00582442"/>
    <w:rsid w:val="005828A9"/>
    <w:rsid w:val="00582E36"/>
    <w:rsid w:val="00585C32"/>
    <w:rsid w:val="00587879"/>
    <w:rsid w:val="0059350C"/>
    <w:rsid w:val="005949B3"/>
    <w:rsid w:val="005954D1"/>
    <w:rsid w:val="00595E28"/>
    <w:rsid w:val="00595E49"/>
    <w:rsid w:val="00595F3D"/>
    <w:rsid w:val="00596B83"/>
    <w:rsid w:val="00596FE0"/>
    <w:rsid w:val="00597188"/>
    <w:rsid w:val="005A13EA"/>
    <w:rsid w:val="005A1533"/>
    <w:rsid w:val="005A181D"/>
    <w:rsid w:val="005A4C10"/>
    <w:rsid w:val="005A4E7F"/>
    <w:rsid w:val="005A5132"/>
    <w:rsid w:val="005A716D"/>
    <w:rsid w:val="005A7E5A"/>
    <w:rsid w:val="005B1E50"/>
    <w:rsid w:val="005B3373"/>
    <w:rsid w:val="005B365F"/>
    <w:rsid w:val="005B6DC2"/>
    <w:rsid w:val="005B72D4"/>
    <w:rsid w:val="005B78C2"/>
    <w:rsid w:val="005B7924"/>
    <w:rsid w:val="005C38F5"/>
    <w:rsid w:val="005C6661"/>
    <w:rsid w:val="005C7966"/>
    <w:rsid w:val="005D00FD"/>
    <w:rsid w:val="005D30E1"/>
    <w:rsid w:val="005D3990"/>
    <w:rsid w:val="005E268B"/>
    <w:rsid w:val="005E3365"/>
    <w:rsid w:val="005E48F1"/>
    <w:rsid w:val="005E53A4"/>
    <w:rsid w:val="005E543B"/>
    <w:rsid w:val="005E62F8"/>
    <w:rsid w:val="005F0DDC"/>
    <w:rsid w:val="005F16FD"/>
    <w:rsid w:val="005F18BD"/>
    <w:rsid w:val="005F2436"/>
    <w:rsid w:val="005F42A0"/>
    <w:rsid w:val="006013D9"/>
    <w:rsid w:val="00603986"/>
    <w:rsid w:val="00604991"/>
    <w:rsid w:val="00605A97"/>
    <w:rsid w:val="00611F3F"/>
    <w:rsid w:val="00612772"/>
    <w:rsid w:val="006141AD"/>
    <w:rsid w:val="0061488A"/>
    <w:rsid w:val="00615848"/>
    <w:rsid w:val="00617010"/>
    <w:rsid w:val="00617624"/>
    <w:rsid w:val="00617AB8"/>
    <w:rsid w:val="006261E7"/>
    <w:rsid w:val="00630287"/>
    <w:rsid w:val="0063040C"/>
    <w:rsid w:val="006306D9"/>
    <w:rsid w:val="00631CCC"/>
    <w:rsid w:val="00633B41"/>
    <w:rsid w:val="006340C7"/>
    <w:rsid w:val="00634529"/>
    <w:rsid w:val="006347F9"/>
    <w:rsid w:val="0063525D"/>
    <w:rsid w:val="00636AE6"/>
    <w:rsid w:val="00637372"/>
    <w:rsid w:val="00641F6B"/>
    <w:rsid w:val="006433A9"/>
    <w:rsid w:val="00643580"/>
    <w:rsid w:val="00643E22"/>
    <w:rsid w:val="00645DDB"/>
    <w:rsid w:val="00650B82"/>
    <w:rsid w:val="00652300"/>
    <w:rsid w:val="00652980"/>
    <w:rsid w:val="00654035"/>
    <w:rsid w:val="0065562A"/>
    <w:rsid w:val="00657F85"/>
    <w:rsid w:val="006632B8"/>
    <w:rsid w:val="00663B0F"/>
    <w:rsid w:val="00666720"/>
    <w:rsid w:val="006677DF"/>
    <w:rsid w:val="00671E44"/>
    <w:rsid w:val="00673C63"/>
    <w:rsid w:val="00673CF4"/>
    <w:rsid w:val="006748B7"/>
    <w:rsid w:val="00675000"/>
    <w:rsid w:val="00676101"/>
    <w:rsid w:val="006805FB"/>
    <w:rsid w:val="00681232"/>
    <w:rsid w:val="0068178D"/>
    <w:rsid w:val="00681BFE"/>
    <w:rsid w:val="00682A1F"/>
    <w:rsid w:val="00684BB5"/>
    <w:rsid w:val="00684E66"/>
    <w:rsid w:val="006873E5"/>
    <w:rsid w:val="00690FF3"/>
    <w:rsid w:val="0069247E"/>
    <w:rsid w:val="00695C24"/>
    <w:rsid w:val="006979E2"/>
    <w:rsid w:val="00697D8D"/>
    <w:rsid w:val="00697FC3"/>
    <w:rsid w:val="006A34DC"/>
    <w:rsid w:val="006A5957"/>
    <w:rsid w:val="006B00AC"/>
    <w:rsid w:val="006B2120"/>
    <w:rsid w:val="006B2AE8"/>
    <w:rsid w:val="006B4831"/>
    <w:rsid w:val="006B4BBD"/>
    <w:rsid w:val="006B5C51"/>
    <w:rsid w:val="006B62FE"/>
    <w:rsid w:val="006C1053"/>
    <w:rsid w:val="006C4F57"/>
    <w:rsid w:val="006C573E"/>
    <w:rsid w:val="006C5AA5"/>
    <w:rsid w:val="006C61FD"/>
    <w:rsid w:val="006C7F0D"/>
    <w:rsid w:val="006D23E1"/>
    <w:rsid w:val="006D2751"/>
    <w:rsid w:val="006D364C"/>
    <w:rsid w:val="006D549D"/>
    <w:rsid w:val="006D56AF"/>
    <w:rsid w:val="006D7414"/>
    <w:rsid w:val="006E0014"/>
    <w:rsid w:val="006E0DA2"/>
    <w:rsid w:val="006E205F"/>
    <w:rsid w:val="006E2681"/>
    <w:rsid w:val="006E4854"/>
    <w:rsid w:val="006E5CC0"/>
    <w:rsid w:val="006E7E7A"/>
    <w:rsid w:val="006F1218"/>
    <w:rsid w:val="006F7F84"/>
    <w:rsid w:val="0070045E"/>
    <w:rsid w:val="00702E61"/>
    <w:rsid w:val="00703C4B"/>
    <w:rsid w:val="00704662"/>
    <w:rsid w:val="007047AB"/>
    <w:rsid w:val="00705210"/>
    <w:rsid w:val="0070599F"/>
    <w:rsid w:val="007071B0"/>
    <w:rsid w:val="00707537"/>
    <w:rsid w:val="00712804"/>
    <w:rsid w:val="0071346A"/>
    <w:rsid w:val="00713686"/>
    <w:rsid w:val="00714D56"/>
    <w:rsid w:val="007165A4"/>
    <w:rsid w:val="00716AAD"/>
    <w:rsid w:val="00720452"/>
    <w:rsid w:val="00721425"/>
    <w:rsid w:val="00724726"/>
    <w:rsid w:val="00725E2A"/>
    <w:rsid w:val="0072621A"/>
    <w:rsid w:val="00726AE8"/>
    <w:rsid w:val="00727772"/>
    <w:rsid w:val="00731001"/>
    <w:rsid w:val="00731A1C"/>
    <w:rsid w:val="00732961"/>
    <w:rsid w:val="00733E16"/>
    <w:rsid w:val="00735E5B"/>
    <w:rsid w:val="00736AC7"/>
    <w:rsid w:val="00740E64"/>
    <w:rsid w:val="007420A1"/>
    <w:rsid w:val="0074298A"/>
    <w:rsid w:val="00745D9C"/>
    <w:rsid w:val="00746D06"/>
    <w:rsid w:val="00750EC8"/>
    <w:rsid w:val="0075163E"/>
    <w:rsid w:val="00754B0B"/>
    <w:rsid w:val="00754CDE"/>
    <w:rsid w:val="00755718"/>
    <w:rsid w:val="00755DFC"/>
    <w:rsid w:val="007604C1"/>
    <w:rsid w:val="00760C26"/>
    <w:rsid w:val="0076108B"/>
    <w:rsid w:val="007611AC"/>
    <w:rsid w:val="00761776"/>
    <w:rsid w:val="00761BC3"/>
    <w:rsid w:val="00762E09"/>
    <w:rsid w:val="00763A86"/>
    <w:rsid w:val="00765E2E"/>
    <w:rsid w:val="0076715D"/>
    <w:rsid w:val="00770076"/>
    <w:rsid w:val="00770BC0"/>
    <w:rsid w:val="0077153D"/>
    <w:rsid w:val="007732FC"/>
    <w:rsid w:val="00773CD5"/>
    <w:rsid w:val="007748CD"/>
    <w:rsid w:val="00775E4B"/>
    <w:rsid w:val="00776589"/>
    <w:rsid w:val="007774E4"/>
    <w:rsid w:val="00777D5E"/>
    <w:rsid w:val="00781381"/>
    <w:rsid w:val="0078528D"/>
    <w:rsid w:val="00790DF5"/>
    <w:rsid w:val="00791EE6"/>
    <w:rsid w:val="0079360A"/>
    <w:rsid w:val="00794282"/>
    <w:rsid w:val="007958CD"/>
    <w:rsid w:val="00796B32"/>
    <w:rsid w:val="00797C52"/>
    <w:rsid w:val="007A1D53"/>
    <w:rsid w:val="007A43FD"/>
    <w:rsid w:val="007A52F9"/>
    <w:rsid w:val="007B31DA"/>
    <w:rsid w:val="007B41D0"/>
    <w:rsid w:val="007C0381"/>
    <w:rsid w:val="007C056E"/>
    <w:rsid w:val="007C1DD6"/>
    <w:rsid w:val="007C3103"/>
    <w:rsid w:val="007C4477"/>
    <w:rsid w:val="007C5DDC"/>
    <w:rsid w:val="007C74E3"/>
    <w:rsid w:val="007D0A25"/>
    <w:rsid w:val="007D0AA3"/>
    <w:rsid w:val="007D388B"/>
    <w:rsid w:val="007D5B95"/>
    <w:rsid w:val="007D6D3C"/>
    <w:rsid w:val="007D7B48"/>
    <w:rsid w:val="007E1B45"/>
    <w:rsid w:val="007E3397"/>
    <w:rsid w:val="007E4EEB"/>
    <w:rsid w:val="007E5486"/>
    <w:rsid w:val="007E639B"/>
    <w:rsid w:val="007E687B"/>
    <w:rsid w:val="007F24FB"/>
    <w:rsid w:val="007F2B91"/>
    <w:rsid w:val="007F509D"/>
    <w:rsid w:val="007F65DE"/>
    <w:rsid w:val="007F6996"/>
    <w:rsid w:val="007F7DD4"/>
    <w:rsid w:val="0080382A"/>
    <w:rsid w:val="00805253"/>
    <w:rsid w:val="00805898"/>
    <w:rsid w:val="00805CE5"/>
    <w:rsid w:val="00807B0B"/>
    <w:rsid w:val="0081088A"/>
    <w:rsid w:val="00811D82"/>
    <w:rsid w:val="00812D8A"/>
    <w:rsid w:val="00813748"/>
    <w:rsid w:val="00814621"/>
    <w:rsid w:val="0081572C"/>
    <w:rsid w:val="00816C62"/>
    <w:rsid w:val="008205C3"/>
    <w:rsid w:val="00822D75"/>
    <w:rsid w:val="0082525C"/>
    <w:rsid w:val="00826665"/>
    <w:rsid w:val="0082695B"/>
    <w:rsid w:val="00832AB1"/>
    <w:rsid w:val="008332A7"/>
    <w:rsid w:val="008339D8"/>
    <w:rsid w:val="00834D91"/>
    <w:rsid w:val="008352DA"/>
    <w:rsid w:val="008355ED"/>
    <w:rsid w:val="00835C75"/>
    <w:rsid w:val="00836AFD"/>
    <w:rsid w:val="008431D2"/>
    <w:rsid w:val="008437D2"/>
    <w:rsid w:val="00851EFC"/>
    <w:rsid w:val="00853070"/>
    <w:rsid w:val="00853CD5"/>
    <w:rsid w:val="00854D77"/>
    <w:rsid w:val="00855DDA"/>
    <w:rsid w:val="00856E13"/>
    <w:rsid w:val="008577EF"/>
    <w:rsid w:val="0086590A"/>
    <w:rsid w:val="0087220B"/>
    <w:rsid w:val="008737CD"/>
    <w:rsid w:val="00880698"/>
    <w:rsid w:val="00881073"/>
    <w:rsid w:val="00881DC2"/>
    <w:rsid w:val="00882110"/>
    <w:rsid w:val="0088284B"/>
    <w:rsid w:val="00884D7E"/>
    <w:rsid w:val="008857A0"/>
    <w:rsid w:val="00886178"/>
    <w:rsid w:val="008913CD"/>
    <w:rsid w:val="00891B69"/>
    <w:rsid w:val="0089320D"/>
    <w:rsid w:val="00895415"/>
    <w:rsid w:val="00896473"/>
    <w:rsid w:val="008A04A5"/>
    <w:rsid w:val="008A0531"/>
    <w:rsid w:val="008A292D"/>
    <w:rsid w:val="008A4EFA"/>
    <w:rsid w:val="008B00CB"/>
    <w:rsid w:val="008B0A83"/>
    <w:rsid w:val="008B20D8"/>
    <w:rsid w:val="008B3B9F"/>
    <w:rsid w:val="008B513A"/>
    <w:rsid w:val="008C0BB7"/>
    <w:rsid w:val="008C3F40"/>
    <w:rsid w:val="008C5268"/>
    <w:rsid w:val="008C6843"/>
    <w:rsid w:val="008D0714"/>
    <w:rsid w:val="008D0785"/>
    <w:rsid w:val="008D0FC1"/>
    <w:rsid w:val="008D100B"/>
    <w:rsid w:val="008D1E71"/>
    <w:rsid w:val="008D4BE9"/>
    <w:rsid w:val="008D79ED"/>
    <w:rsid w:val="008E2DE4"/>
    <w:rsid w:val="008E4E31"/>
    <w:rsid w:val="008F15CC"/>
    <w:rsid w:val="008F1E36"/>
    <w:rsid w:val="008F3DF1"/>
    <w:rsid w:val="008F7129"/>
    <w:rsid w:val="009007D4"/>
    <w:rsid w:val="00905046"/>
    <w:rsid w:val="0090711F"/>
    <w:rsid w:val="00911BA7"/>
    <w:rsid w:val="00911C0F"/>
    <w:rsid w:val="00912BAF"/>
    <w:rsid w:val="00912BD4"/>
    <w:rsid w:val="00914553"/>
    <w:rsid w:val="00914EA6"/>
    <w:rsid w:val="009159A5"/>
    <w:rsid w:val="00916A1B"/>
    <w:rsid w:val="0092256C"/>
    <w:rsid w:val="009238AB"/>
    <w:rsid w:val="00923B29"/>
    <w:rsid w:val="00931011"/>
    <w:rsid w:val="00933166"/>
    <w:rsid w:val="00933AF3"/>
    <w:rsid w:val="00941348"/>
    <w:rsid w:val="00941AD1"/>
    <w:rsid w:val="00942039"/>
    <w:rsid w:val="00943CE9"/>
    <w:rsid w:val="00945066"/>
    <w:rsid w:val="00946EE5"/>
    <w:rsid w:val="00946FD3"/>
    <w:rsid w:val="00947483"/>
    <w:rsid w:val="009474E3"/>
    <w:rsid w:val="00947B65"/>
    <w:rsid w:val="00950613"/>
    <w:rsid w:val="00951F6E"/>
    <w:rsid w:val="00955975"/>
    <w:rsid w:val="009600A6"/>
    <w:rsid w:val="009617B0"/>
    <w:rsid w:val="00963E57"/>
    <w:rsid w:val="00965C96"/>
    <w:rsid w:val="00966738"/>
    <w:rsid w:val="00966B9C"/>
    <w:rsid w:val="00970BCC"/>
    <w:rsid w:val="00972073"/>
    <w:rsid w:val="0097362E"/>
    <w:rsid w:val="009736E9"/>
    <w:rsid w:val="00980177"/>
    <w:rsid w:val="0098384C"/>
    <w:rsid w:val="009868DC"/>
    <w:rsid w:val="009904C7"/>
    <w:rsid w:val="0099477B"/>
    <w:rsid w:val="009966BE"/>
    <w:rsid w:val="009A253E"/>
    <w:rsid w:val="009A3EC1"/>
    <w:rsid w:val="009A4713"/>
    <w:rsid w:val="009A6771"/>
    <w:rsid w:val="009A72E8"/>
    <w:rsid w:val="009B3AC4"/>
    <w:rsid w:val="009B405A"/>
    <w:rsid w:val="009B4965"/>
    <w:rsid w:val="009B53E0"/>
    <w:rsid w:val="009C07A0"/>
    <w:rsid w:val="009C24C5"/>
    <w:rsid w:val="009C41B0"/>
    <w:rsid w:val="009C678F"/>
    <w:rsid w:val="009C6998"/>
    <w:rsid w:val="009D08A6"/>
    <w:rsid w:val="009D1409"/>
    <w:rsid w:val="009D2AE5"/>
    <w:rsid w:val="009D5335"/>
    <w:rsid w:val="009D58DC"/>
    <w:rsid w:val="009D7F33"/>
    <w:rsid w:val="009E2B06"/>
    <w:rsid w:val="009E3C84"/>
    <w:rsid w:val="009E5C09"/>
    <w:rsid w:val="009E5ECC"/>
    <w:rsid w:val="009E6F04"/>
    <w:rsid w:val="009F4852"/>
    <w:rsid w:val="009F4B4F"/>
    <w:rsid w:val="009F4BE0"/>
    <w:rsid w:val="009F599A"/>
    <w:rsid w:val="009F5D02"/>
    <w:rsid w:val="00A02C95"/>
    <w:rsid w:val="00A02D39"/>
    <w:rsid w:val="00A06CD6"/>
    <w:rsid w:val="00A0719B"/>
    <w:rsid w:val="00A10E64"/>
    <w:rsid w:val="00A1297E"/>
    <w:rsid w:val="00A12A0A"/>
    <w:rsid w:val="00A13ED6"/>
    <w:rsid w:val="00A16F50"/>
    <w:rsid w:val="00A21847"/>
    <w:rsid w:val="00A22659"/>
    <w:rsid w:val="00A23DDF"/>
    <w:rsid w:val="00A24E2C"/>
    <w:rsid w:val="00A2550B"/>
    <w:rsid w:val="00A2594D"/>
    <w:rsid w:val="00A30021"/>
    <w:rsid w:val="00A32049"/>
    <w:rsid w:val="00A3274A"/>
    <w:rsid w:val="00A33B9E"/>
    <w:rsid w:val="00A4048C"/>
    <w:rsid w:val="00A41DFC"/>
    <w:rsid w:val="00A4301B"/>
    <w:rsid w:val="00A43A6F"/>
    <w:rsid w:val="00A516D1"/>
    <w:rsid w:val="00A54939"/>
    <w:rsid w:val="00A56DE2"/>
    <w:rsid w:val="00A570AB"/>
    <w:rsid w:val="00A60D42"/>
    <w:rsid w:val="00A622C1"/>
    <w:rsid w:val="00A6419C"/>
    <w:rsid w:val="00A64E3B"/>
    <w:rsid w:val="00A64F6C"/>
    <w:rsid w:val="00A65385"/>
    <w:rsid w:val="00A653C5"/>
    <w:rsid w:val="00A71437"/>
    <w:rsid w:val="00A71C6F"/>
    <w:rsid w:val="00A725F1"/>
    <w:rsid w:val="00A73E89"/>
    <w:rsid w:val="00A77E17"/>
    <w:rsid w:val="00A80A0B"/>
    <w:rsid w:val="00A83378"/>
    <w:rsid w:val="00A9099E"/>
    <w:rsid w:val="00A97224"/>
    <w:rsid w:val="00A9730F"/>
    <w:rsid w:val="00A976A3"/>
    <w:rsid w:val="00AA05E8"/>
    <w:rsid w:val="00AA1103"/>
    <w:rsid w:val="00AA33D4"/>
    <w:rsid w:val="00AA39EE"/>
    <w:rsid w:val="00AA3E91"/>
    <w:rsid w:val="00AA68D5"/>
    <w:rsid w:val="00AA7530"/>
    <w:rsid w:val="00AB493E"/>
    <w:rsid w:val="00AB4BB2"/>
    <w:rsid w:val="00AB6C85"/>
    <w:rsid w:val="00AC2843"/>
    <w:rsid w:val="00AC34D5"/>
    <w:rsid w:val="00AC58A2"/>
    <w:rsid w:val="00AD54FD"/>
    <w:rsid w:val="00AD75A6"/>
    <w:rsid w:val="00AE072C"/>
    <w:rsid w:val="00AE201A"/>
    <w:rsid w:val="00AE30DD"/>
    <w:rsid w:val="00AE4D0C"/>
    <w:rsid w:val="00AE4ECD"/>
    <w:rsid w:val="00AF0022"/>
    <w:rsid w:val="00AF3F97"/>
    <w:rsid w:val="00AF4C45"/>
    <w:rsid w:val="00AF6352"/>
    <w:rsid w:val="00B00775"/>
    <w:rsid w:val="00B01501"/>
    <w:rsid w:val="00B02286"/>
    <w:rsid w:val="00B058B6"/>
    <w:rsid w:val="00B069F3"/>
    <w:rsid w:val="00B11781"/>
    <w:rsid w:val="00B13E36"/>
    <w:rsid w:val="00B15BAC"/>
    <w:rsid w:val="00B164B5"/>
    <w:rsid w:val="00B1653B"/>
    <w:rsid w:val="00B17743"/>
    <w:rsid w:val="00B24410"/>
    <w:rsid w:val="00B277F8"/>
    <w:rsid w:val="00B2785F"/>
    <w:rsid w:val="00B27E5A"/>
    <w:rsid w:val="00B31813"/>
    <w:rsid w:val="00B33B81"/>
    <w:rsid w:val="00B33C16"/>
    <w:rsid w:val="00B346CD"/>
    <w:rsid w:val="00B37696"/>
    <w:rsid w:val="00B3785E"/>
    <w:rsid w:val="00B40CB6"/>
    <w:rsid w:val="00B41BB3"/>
    <w:rsid w:val="00B43829"/>
    <w:rsid w:val="00B43FB3"/>
    <w:rsid w:val="00B44D8A"/>
    <w:rsid w:val="00B45C2B"/>
    <w:rsid w:val="00B4635A"/>
    <w:rsid w:val="00B54F4E"/>
    <w:rsid w:val="00B5579B"/>
    <w:rsid w:val="00B557A2"/>
    <w:rsid w:val="00B614C6"/>
    <w:rsid w:val="00B62942"/>
    <w:rsid w:val="00B64E73"/>
    <w:rsid w:val="00B65229"/>
    <w:rsid w:val="00B66083"/>
    <w:rsid w:val="00B67703"/>
    <w:rsid w:val="00B702CE"/>
    <w:rsid w:val="00B70A36"/>
    <w:rsid w:val="00B71CC9"/>
    <w:rsid w:val="00B73094"/>
    <w:rsid w:val="00B73300"/>
    <w:rsid w:val="00B7350C"/>
    <w:rsid w:val="00B736A1"/>
    <w:rsid w:val="00B77CFB"/>
    <w:rsid w:val="00B77DE4"/>
    <w:rsid w:val="00B8006E"/>
    <w:rsid w:val="00B806CD"/>
    <w:rsid w:val="00B818DF"/>
    <w:rsid w:val="00B81A7D"/>
    <w:rsid w:val="00B84000"/>
    <w:rsid w:val="00B866C9"/>
    <w:rsid w:val="00B9001D"/>
    <w:rsid w:val="00B94741"/>
    <w:rsid w:val="00B94870"/>
    <w:rsid w:val="00B96D51"/>
    <w:rsid w:val="00B97626"/>
    <w:rsid w:val="00BA1DA5"/>
    <w:rsid w:val="00BA2140"/>
    <w:rsid w:val="00BA2CA4"/>
    <w:rsid w:val="00BA7B2C"/>
    <w:rsid w:val="00BB096F"/>
    <w:rsid w:val="00BB16C7"/>
    <w:rsid w:val="00BB30EA"/>
    <w:rsid w:val="00BB4411"/>
    <w:rsid w:val="00BB6F70"/>
    <w:rsid w:val="00BB79A7"/>
    <w:rsid w:val="00BC0D9F"/>
    <w:rsid w:val="00BC1D45"/>
    <w:rsid w:val="00BC2CA8"/>
    <w:rsid w:val="00BD0C5D"/>
    <w:rsid w:val="00BD3CA9"/>
    <w:rsid w:val="00BD4C6F"/>
    <w:rsid w:val="00BE029F"/>
    <w:rsid w:val="00BE048D"/>
    <w:rsid w:val="00BF070E"/>
    <w:rsid w:val="00BF0A0C"/>
    <w:rsid w:val="00BF0EE1"/>
    <w:rsid w:val="00BF25C7"/>
    <w:rsid w:val="00BF37F0"/>
    <w:rsid w:val="00BF3E18"/>
    <w:rsid w:val="00BF51C4"/>
    <w:rsid w:val="00BF5315"/>
    <w:rsid w:val="00BF59C7"/>
    <w:rsid w:val="00BF723D"/>
    <w:rsid w:val="00C01F34"/>
    <w:rsid w:val="00C02C48"/>
    <w:rsid w:val="00C02CDB"/>
    <w:rsid w:val="00C05F91"/>
    <w:rsid w:val="00C0662C"/>
    <w:rsid w:val="00C10512"/>
    <w:rsid w:val="00C123A2"/>
    <w:rsid w:val="00C12A50"/>
    <w:rsid w:val="00C1332C"/>
    <w:rsid w:val="00C133F5"/>
    <w:rsid w:val="00C1737B"/>
    <w:rsid w:val="00C21A97"/>
    <w:rsid w:val="00C23D41"/>
    <w:rsid w:val="00C24C34"/>
    <w:rsid w:val="00C24DAC"/>
    <w:rsid w:val="00C25991"/>
    <w:rsid w:val="00C275FA"/>
    <w:rsid w:val="00C27E75"/>
    <w:rsid w:val="00C30790"/>
    <w:rsid w:val="00C3250D"/>
    <w:rsid w:val="00C33652"/>
    <w:rsid w:val="00C34D50"/>
    <w:rsid w:val="00C35309"/>
    <w:rsid w:val="00C35A72"/>
    <w:rsid w:val="00C37BCD"/>
    <w:rsid w:val="00C37BFC"/>
    <w:rsid w:val="00C4002E"/>
    <w:rsid w:val="00C41419"/>
    <w:rsid w:val="00C4275D"/>
    <w:rsid w:val="00C4445D"/>
    <w:rsid w:val="00C44563"/>
    <w:rsid w:val="00C505C7"/>
    <w:rsid w:val="00C506FE"/>
    <w:rsid w:val="00C52948"/>
    <w:rsid w:val="00C57573"/>
    <w:rsid w:val="00C57FA1"/>
    <w:rsid w:val="00C61CB0"/>
    <w:rsid w:val="00C653A2"/>
    <w:rsid w:val="00C66F40"/>
    <w:rsid w:val="00C67009"/>
    <w:rsid w:val="00C70E27"/>
    <w:rsid w:val="00C72519"/>
    <w:rsid w:val="00C731C6"/>
    <w:rsid w:val="00C735D8"/>
    <w:rsid w:val="00C73810"/>
    <w:rsid w:val="00C7459F"/>
    <w:rsid w:val="00C75AB8"/>
    <w:rsid w:val="00C83D82"/>
    <w:rsid w:val="00C84225"/>
    <w:rsid w:val="00C842D0"/>
    <w:rsid w:val="00C84F6C"/>
    <w:rsid w:val="00C85B59"/>
    <w:rsid w:val="00C86AC2"/>
    <w:rsid w:val="00C86D2D"/>
    <w:rsid w:val="00C87103"/>
    <w:rsid w:val="00C90E5D"/>
    <w:rsid w:val="00C9172E"/>
    <w:rsid w:val="00C9284E"/>
    <w:rsid w:val="00C93771"/>
    <w:rsid w:val="00C93CF9"/>
    <w:rsid w:val="00C944CC"/>
    <w:rsid w:val="00C9514A"/>
    <w:rsid w:val="00CA14C4"/>
    <w:rsid w:val="00CA1675"/>
    <w:rsid w:val="00CA3B95"/>
    <w:rsid w:val="00CA43A0"/>
    <w:rsid w:val="00CA4CDE"/>
    <w:rsid w:val="00CA5A06"/>
    <w:rsid w:val="00CA7990"/>
    <w:rsid w:val="00CB242D"/>
    <w:rsid w:val="00CB2D38"/>
    <w:rsid w:val="00CB331D"/>
    <w:rsid w:val="00CB718A"/>
    <w:rsid w:val="00CC0056"/>
    <w:rsid w:val="00CC14DC"/>
    <w:rsid w:val="00CC4153"/>
    <w:rsid w:val="00CC4844"/>
    <w:rsid w:val="00CC4CBA"/>
    <w:rsid w:val="00CC5402"/>
    <w:rsid w:val="00CC78A6"/>
    <w:rsid w:val="00CD1107"/>
    <w:rsid w:val="00CD356B"/>
    <w:rsid w:val="00CD4CE8"/>
    <w:rsid w:val="00CE1321"/>
    <w:rsid w:val="00CE1C42"/>
    <w:rsid w:val="00CE245A"/>
    <w:rsid w:val="00CE2650"/>
    <w:rsid w:val="00CE27C7"/>
    <w:rsid w:val="00CE7022"/>
    <w:rsid w:val="00CF3EF7"/>
    <w:rsid w:val="00CF7BC3"/>
    <w:rsid w:val="00D01899"/>
    <w:rsid w:val="00D02545"/>
    <w:rsid w:val="00D0355E"/>
    <w:rsid w:val="00D04990"/>
    <w:rsid w:val="00D05B52"/>
    <w:rsid w:val="00D06678"/>
    <w:rsid w:val="00D06D33"/>
    <w:rsid w:val="00D07919"/>
    <w:rsid w:val="00D139FD"/>
    <w:rsid w:val="00D147DF"/>
    <w:rsid w:val="00D16A3F"/>
    <w:rsid w:val="00D17D99"/>
    <w:rsid w:val="00D22F94"/>
    <w:rsid w:val="00D250FE"/>
    <w:rsid w:val="00D25FE0"/>
    <w:rsid w:val="00D26375"/>
    <w:rsid w:val="00D263B9"/>
    <w:rsid w:val="00D2670A"/>
    <w:rsid w:val="00D30F32"/>
    <w:rsid w:val="00D327FF"/>
    <w:rsid w:val="00D3621D"/>
    <w:rsid w:val="00D44B2D"/>
    <w:rsid w:val="00D5048A"/>
    <w:rsid w:val="00D50CFF"/>
    <w:rsid w:val="00D54E66"/>
    <w:rsid w:val="00D55099"/>
    <w:rsid w:val="00D552C4"/>
    <w:rsid w:val="00D61C2F"/>
    <w:rsid w:val="00D632EE"/>
    <w:rsid w:val="00D63F6E"/>
    <w:rsid w:val="00D64460"/>
    <w:rsid w:val="00D64C42"/>
    <w:rsid w:val="00D6759D"/>
    <w:rsid w:val="00D71931"/>
    <w:rsid w:val="00D72D42"/>
    <w:rsid w:val="00D72F69"/>
    <w:rsid w:val="00D74376"/>
    <w:rsid w:val="00D74408"/>
    <w:rsid w:val="00D75128"/>
    <w:rsid w:val="00D75C08"/>
    <w:rsid w:val="00D76653"/>
    <w:rsid w:val="00D76B4F"/>
    <w:rsid w:val="00D7754F"/>
    <w:rsid w:val="00D77887"/>
    <w:rsid w:val="00D77995"/>
    <w:rsid w:val="00D77A82"/>
    <w:rsid w:val="00D80D93"/>
    <w:rsid w:val="00D85CE5"/>
    <w:rsid w:val="00D90AF5"/>
    <w:rsid w:val="00D91AA4"/>
    <w:rsid w:val="00D91FB6"/>
    <w:rsid w:val="00D9306B"/>
    <w:rsid w:val="00D95179"/>
    <w:rsid w:val="00D96E86"/>
    <w:rsid w:val="00D9751D"/>
    <w:rsid w:val="00D97F70"/>
    <w:rsid w:val="00DA1247"/>
    <w:rsid w:val="00DA14CC"/>
    <w:rsid w:val="00DA1861"/>
    <w:rsid w:val="00DA18CF"/>
    <w:rsid w:val="00DA4796"/>
    <w:rsid w:val="00DA591E"/>
    <w:rsid w:val="00DA6BF3"/>
    <w:rsid w:val="00DA6D2D"/>
    <w:rsid w:val="00DB17DD"/>
    <w:rsid w:val="00DB355E"/>
    <w:rsid w:val="00DB3ED0"/>
    <w:rsid w:val="00DB4C16"/>
    <w:rsid w:val="00DB4DE2"/>
    <w:rsid w:val="00DB5EA7"/>
    <w:rsid w:val="00DB5F92"/>
    <w:rsid w:val="00DB60DA"/>
    <w:rsid w:val="00DB7806"/>
    <w:rsid w:val="00DC08CC"/>
    <w:rsid w:val="00DC1068"/>
    <w:rsid w:val="00DC1256"/>
    <w:rsid w:val="00DC1A81"/>
    <w:rsid w:val="00DC2144"/>
    <w:rsid w:val="00DC244E"/>
    <w:rsid w:val="00DC297A"/>
    <w:rsid w:val="00DC2B94"/>
    <w:rsid w:val="00DC53C1"/>
    <w:rsid w:val="00DC5571"/>
    <w:rsid w:val="00DD1278"/>
    <w:rsid w:val="00DE01CB"/>
    <w:rsid w:val="00DE1FE2"/>
    <w:rsid w:val="00DE3C16"/>
    <w:rsid w:val="00DF0AD1"/>
    <w:rsid w:val="00DF2589"/>
    <w:rsid w:val="00DF2BD3"/>
    <w:rsid w:val="00DF355E"/>
    <w:rsid w:val="00DF3AF9"/>
    <w:rsid w:val="00DF6EDD"/>
    <w:rsid w:val="00DF7B21"/>
    <w:rsid w:val="00E022F1"/>
    <w:rsid w:val="00E0332D"/>
    <w:rsid w:val="00E06E65"/>
    <w:rsid w:val="00E10979"/>
    <w:rsid w:val="00E12095"/>
    <w:rsid w:val="00E13DCE"/>
    <w:rsid w:val="00E1679A"/>
    <w:rsid w:val="00E2617E"/>
    <w:rsid w:val="00E315BB"/>
    <w:rsid w:val="00E340E8"/>
    <w:rsid w:val="00E350E6"/>
    <w:rsid w:val="00E35780"/>
    <w:rsid w:val="00E43460"/>
    <w:rsid w:val="00E44E98"/>
    <w:rsid w:val="00E45ED3"/>
    <w:rsid w:val="00E5321F"/>
    <w:rsid w:val="00E54C7D"/>
    <w:rsid w:val="00E54DA3"/>
    <w:rsid w:val="00E54F41"/>
    <w:rsid w:val="00E5624E"/>
    <w:rsid w:val="00E56437"/>
    <w:rsid w:val="00E60679"/>
    <w:rsid w:val="00E62948"/>
    <w:rsid w:val="00E63A9D"/>
    <w:rsid w:val="00E64425"/>
    <w:rsid w:val="00E65697"/>
    <w:rsid w:val="00E67A2E"/>
    <w:rsid w:val="00E71963"/>
    <w:rsid w:val="00E75E11"/>
    <w:rsid w:val="00E760D3"/>
    <w:rsid w:val="00E778AD"/>
    <w:rsid w:val="00E844DA"/>
    <w:rsid w:val="00E86F28"/>
    <w:rsid w:val="00E87463"/>
    <w:rsid w:val="00E90FFF"/>
    <w:rsid w:val="00E9147D"/>
    <w:rsid w:val="00E9240B"/>
    <w:rsid w:val="00E92B0A"/>
    <w:rsid w:val="00E93705"/>
    <w:rsid w:val="00E94E50"/>
    <w:rsid w:val="00E951A0"/>
    <w:rsid w:val="00E960DA"/>
    <w:rsid w:val="00E96454"/>
    <w:rsid w:val="00EA2977"/>
    <w:rsid w:val="00EA3A33"/>
    <w:rsid w:val="00EA4462"/>
    <w:rsid w:val="00EA514C"/>
    <w:rsid w:val="00EA5368"/>
    <w:rsid w:val="00EA5C27"/>
    <w:rsid w:val="00EA67A0"/>
    <w:rsid w:val="00EA7E87"/>
    <w:rsid w:val="00EB0008"/>
    <w:rsid w:val="00EB1C5B"/>
    <w:rsid w:val="00EB38D7"/>
    <w:rsid w:val="00EB45C6"/>
    <w:rsid w:val="00EB4BAC"/>
    <w:rsid w:val="00EC5A49"/>
    <w:rsid w:val="00EC7D59"/>
    <w:rsid w:val="00ED0376"/>
    <w:rsid w:val="00ED0D41"/>
    <w:rsid w:val="00ED1619"/>
    <w:rsid w:val="00ED3715"/>
    <w:rsid w:val="00ED3C56"/>
    <w:rsid w:val="00ED439D"/>
    <w:rsid w:val="00ED5946"/>
    <w:rsid w:val="00ED6CD7"/>
    <w:rsid w:val="00ED7AEB"/>
    <w:rsid w:val="00EE07DC"/>
    <w:rsid w:val="00EE1675"/>
    <w:rsid w:val="00EE1861"/>
    <w:rsid w:val="00EE355F"/>
    <w:rsid w:val="00EE641C"/>
    <w:rsid w:val="00EE661F"/>
    <w:rsid w:val="00EE7714"/>
    <w:rsid w:val="00EF088D"/>
    <w:rsid w:val="00EF1A66"/>
    <w:rsid w:val="00EF3264"/>
    <w:rsid w:val="00EF3EAD"/>
    <w:rsid w:val="00EF4139"/>
    <w:rsid w:val="00EF4A72"/>
    <w:rsid w:val="00EF5523"/>
    <w:rsid w:val="00EF5E2A"/>
    <w:rsid w:val="00EF733E"/>
    <w:rsid w:val="00F00E2A"/>
    <w:rsid w:val="00F04F9C"/>
    <w:rsid w:val="00F06D52"/>
    <w:rsid w:val="00F07F4B"/>
    <w:rsid w:val="00F11058"/>
    <w:rsid w:val="00F114F3"/>
    <w:rsid w:val="00F140CE"/>
    <w:rsid w:val="00F14281"/>
    <w:rsid w:val="00F16103"/>
    <w:rsid w:val="00F20349"/>
    <w:rsid w:val="00F204EB"/>
    <w:rsid w:val="00F21BDD"/>
    <w:rsid w:val="00F21E4B"/>
    <w:rsid w:val="00F22382"/>
    <w:rsid w:val="00F23659"/>
    <w:rsid w:val="00F31467"/>
    <w:rsid w:val="00F31C2C"/>
    <w:rsid w:val="00F32247"/>
    <w:rsid w:val="00F35DAB"/>
    <w:rsid w:val="00F35FC4"/>
    <w:rsid w:val="00F40FC2"/>
    <w:rsid w:val="00F43195"/>
    <w:rsid w:val="00F436CC"/>
    <w:rsid w:val="00F479E8"/>
    <w:rsid w:val="00F502A1"/>
    <w:rsid w:val="00F5051D"/>
    <w:rsid w:val="00F52062"/>
    <w:rsid w:val="00F53BFA"/>
    <w:rsid w:val="00F5440C"/>
    <w:rsid w:val="00F56730"/>
    <w:rsid w:val="00F56913"/>
    <w:rsid w:val="00F56E51"/>
    <w:rsid w:val="00F714B2"/>
    <w:rsid w:val="00F7291F"/>
    <w:rsid w:val="00F738D8"/>
    <w:rsid w:val="00F743EA"/>
    <w:rsid w:val="00F770E9"/>
    <w:rsid w:val="00F77E21"/>
    <w:rsid w:val="00F83F89"/>
    <w:rsid w:val="00F845B9"/>
    <w:rsid w:val="00F84B30"/>
    <w:rsid w:val="00F86AAA"/>
    <w:rsid w:val="00F90178"/>
    <w:rsid w:val="00F91AA6"/>
    <w:rsid w:val="00F91CB2"/>
    <w:rsid w:val="00F91EE0"/>
    <w:rsid w:val="00F93052"/>
    <w:rsid w:val="00F94B2D"/>
    <w:rsid w:val="00F94E82"/>
    <w:rsid w:val="00F9534E"/>
    <w:rsid w:val="00F9557D"/>
    <w:rsid w:val="00F960E9"/>
    <w:rsid w:val="00F9773C"/>
    <w:rsid w:val="00FA1441"/>
    <w:rsid w:val="00FA439F"/>
    <w:rsid w:val="00FA4F11"/>
    <w:rsid w:val="00FA6302"/>
    <w:rsid w:val="00FB04C0"/>
    <w:rsid w:val="00FB0EA6"/>
    <w:rsid w:val="00FB7317"/>
    <w:rsid w:val="00FC1A06"/>
    <w:rsid w:val="00FC2758"/>
    <w:rsid w:val="00FC3DAB"/>
    <w:rsid w:val="00FC5230"/>
    <w:rsid w:val="00FC5CD6"/>
    <w:rsid w:val="00FC6087"/>
    <w:rsid w:val="00FC6B2D"/>
    <w:rsid w:val="00FC709C"/>
    <w:rsid w:val="00FC7409"/>
    <w:rsid w:val="00FC7A3F"/>
    <w:rsid w:val="00FD1BE7"/>
    <w:rsid w:val="00FD1F56"/>
    <w:rsid w:val="00FD4E00"/>
    <w:rsid w:val="00FD6224"/>
    <w:rsid w:val="00FE14B8"/>
    <w:rsid w:val="00FE1C1E"/>
    <w:rsid w:val="00FE42D7"/>
    <w:rsid w:val="00FE486B"/>
    <w:rsid w:val="00FE5497"/>
    <w:rsid w:val="00FF000D"/>
    <w:rsid w:val="00FF5314"/>
    <w:rsid w:val="00FF5346"/>
    <w:rsid w:val="00FF5CC6"/>
    <w:rsid w:val="00FF5DFA"/>
    <w:rsid w:val="00FF7252"/>
    <w:rsid w:val="00FF72EB"/>
    <w:rsid w:val="00FF76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2A3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CBA"/>
    <w:pPr>
      <w:spacing w:after="240" w:line="240" w:lineRule="auto"/>
    </w:pPr>
  </w:style>
  <w:style w:type="paragraph" w:styleId="Heading1">
    <w:name w:val="heading 1"/>
    <w:basedOn w:val="Normal"/>
    <w:next w:val="Normal"/>
    <w:link w:val="Heading1Char"/>
    <w:uiPriority w:val="9"/>
    <w:qFormat/>
    <w:rsid w:val="00CC4CBA"/>
    <w:pPr>
      <w:tabs>
        <w:tab w:val="left" w:pos="7396"/>
      </w:tabs>
      <w:spacing w:after="1200"/>
      <w:jc w:val="center"/>
      <w:outlineLvl w:val="0"/>
    </w:pPr>
    <w:rPr>
      <w:rFonts w:ascii="Times New Roman" w:hAnsi="Times New Roman" w:cs="Times New Roman"/>
      <w:sz w:val="36"/>
      <w:szCs w:val="36"/>
    </w:rPr>
  </w:style>
  <w:style w:type="paragraph" w:styleId="Heading2">
    <w:name w:val="heading 2"/>
    <w:basedOn w:val="Normal"/>
    <w:next w:val="Normal"/>
    <w:link w:val="Heading2Char"/>
    <w:uiPriority w:val="9"/>
    <w:unhideWhenUsed/>
    <w:qFormat/>
    <w:rsid w:val="00CC4CBA"/>
    <w:pPr>
      <w:keepNext/>
      <w:tabs>
        <w:tab w:val="left" w:pos="7396"/>
      </w:tabs>
      <w:outlineLvl w:val="1"/>
    </w:pPr>
    <w:rPr>
      <w:b/>
      <w:sz w:val="28"/>
    </w:rPr>
  </w:style>
  <w:style w:type="paragraph" w:styleId="Heading3">
    <w:name w:val="heading 3"/>
    <w:basedOn w:val="Normal"/>
    <w:next w:val="Normal"/>
    <w:link w:val="Heading3Char"/>
    <w:uiPriority w:val="9"/>
    <w:unhideWhenUsed/>
    <w:qFormat/>
    <w:rsid w:val="00CC4CBA"/>
    <w:pPr>
      <w:keepNext/>
      <w:outlineLvl w:val="2"/>
    </w:pPr>
    <w:rPr>
      <w:i/>
      <w:sz w:val="24"/>
    </w:rPr>
  </w:style>
  <w:style w:type="paragraph" w:styleId="Heading4">
    <w:name w:val="heading 4"/>
    <w:basedOn w:val="Normal"/>
    <w:next w:val="Normal"/>
    <w:link w:val="Heading4Char"/>
    <w:uiPriority w:val="9"/>
    <w:unhideWhenUsed/>
    <w:qFormat/>
    <w:rsid w:val="00C44563"/>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39F"/>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A439F"/>
    <w:pPr>
      <w:widowControl w:val="0"/>
      <w:spacing w:after="0"/>
      <w:ind w:left="117"/>
    </w:pPr>
    <w:rPr>
      <w:rFonts w:ascii="Arial" w:eastAsia="Arial" w:hAnsi="Arial"/>
      <w:sz w:val="18"/>
      <w:szCs w:val="18"/>
      <w:lang w:val="en-US" w:eastAsia="en-US"/>
    </w:rPr>
  </w:style>
  <w:style w:type="character" w:customStyle="1" w:styleId="BodyTextChar">
    <w:name w:val="Body Text Char"/>
    <w:basedOn w:val="DefaultParagraphFont"/>
    <w:link w:val="BodyText"/>
    <w:uiPriority w:val="1"/>
    <w:rsid w:val="00FA439F"/>
    <w:rPr>
      <w:rFonts w:ascii="Arial" w:eastAsia="Arial" w:hAnsi="Arial"/>
      <w:sz w:val="18"/>
      <w:szCs w:val="18"/>
      <w:lang w:val="en-US" w:eastAsia="en-US"/>
    </w:rPr>
  </w:style>
  <w:style w:type="paragraph" w:styleId="ListParagraph">
    <w:name w:val="List Paragraph"/>
    <w:basedOn w:val="Normal"/>
    <w:link w:val="ListParagraphChar"/>
    <w:uiPriority w:val="34"/>
    <w:qFormat/>
    <w:rsid w:val="00CC4CBA"/>
    <w:pPr>
      <w:numPr>
        <w:numId w:val="44"/>
      </w:numPr>
      <w:ind w:left="567" w:hanging="567"/>
      <w:contextualSpacing/>
    </w:pPr>
  </w:style>
  <w:style w:type="paragraph" w:styleId="Header">
    <w:name w:val="header"/>
    <w:basedOn w:val="Normal"/>
    <w:link w:val="HeaderChar"/>
    <w:uiPriority w:val="99"/>
    <w:unhideWhenUsed/>
    <w:rsid w:val="00197CB5"/>
    <w:pPr>
      <w:tabs>
        <w:tab w:val="center" w:pos="4513"/>
        <w:tab w:val="right" w:pos="9026"/>
      </w:tabs>
      <w:spacing w:after="0"/>
    </w:pPr>
  </w:style>
  <w:style w:type="character" w:customStyle="1" w:styleId="HeaderChar">
    <w:name w:val="Header Char"/>
    <w:basedOn w:val="DefaultParagraphFont"/>
    <w:link w:val="Header"/>
    <w:uiPriority w:val="99"/>
    <w:rsid w:val="00197CB5"/>
  </w:style>
  <w:style w:type="paragraph" w:styleId="Footer">
    <w:name w:val="footer"/>
    <w:basedOn w:val="Normal"/>
    <w:link w:val="FooterChar"/>
    <w:uiPriority w:val="99"/>
    <w:unhideWhenUsed/>
    <w:rsid w:val="00197CB5"/>
    <w:pPr>
      <w:tabs>
        <w:tab w:val="center" w:pos="4513"/>
        <w:tab w:val="right" w:pos="9026"/>
      </w:tabs>
      <w:spacing w:after="0"/>
    </w:pPr>
  </w:style>
  <w:style w:type="character" w:customStyle="1" w:styleId="FooterChar">
    <w:name w:val="Footer Char"/>
    <w:basedOn w:val="DefaultParagraphFont"/>
    <w:link w:val="Footer"/>
    <w:uiPriority w:val="99"/>
    <w:rsid w:val="00197CB5"/>
  </w:style>
  <w:style w:type="paragraph" w:styleId="Revision">
    <w:name w:val="Revision"/>
    <w:hidden/>
    <w:uiPriority w:val="99"/>
    <w:semiHidden/>
    <w:rsid w:val="009B4965"/>
    <w:pPr>
      <w:spacing w:after="0" w:line="240" w:lineRule="auto"/>
    </w:pPr>
  </w:style>
  <w:style w:type="paragraph" w:styleId="BalloonText">
    <w:name w:val="Balloon Text"/>
    <w:basedOn w:val="Normal"/>
    <w:link w:val="BalloonTextChar"/>
    <w:uiPriority w:val="99"/>
    <w:semiHidden/>
    <w:unhideWhenUsed/>
    <w:rsid w:val="009B49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965"/>
    <w:rPr>
      <w:rFonts w:ascii="Segoe UI" w:hAnsi="Segoe UI" w:cs="Segoe UI"/>
      <w:sz w:val="18"/>
      <w:szCs w:val="18"/>
    </w:rPr>
  </w:style>
  <w:style w:type="paragraph" w:styleId="NormalWeb">
    <w:name w:val="Normal (Web)"/>
    <w:basedOn w:val="Normal"/>
    <w:uiPriority w:val="99"/>
    <w:semiHidden/>
    <w:unhideWhenUsed/>
    <w:rsid w:val="00C8710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785E"/>
    <w:rPr>
      <w:sz w:val="16"/>
      <w:szCs w:val="16"/>
    </w:rPr>
  </w:style>
  <w:style w:type="paragraph" w:styleId="CommentText">
    <w:name w:val="annotation text"/>
    <w:basedOn w:val="Normal"/>
    <w:link w:val="CommentTextChar"/>
    <w:uiPriority w:val="99"/>
    <w:semiHidden/>
    <w:unhideWhenUsed/>
    <w:rsid w:val="00B3785E"/>
    <w:rPr>
      <w:sz w:val="20"/>
      <w:szCs w:val="20"/>
    </w:rPr>
  </w:style>
  <w:style w:type="character" w:customStyle="1" w:styleId="CommentTextChar">
    <w:name w:val="Comment Text Char"/>
    <w:basedOn w:val="DefaultParagraphFont"/>
    <w:link w:val="CommentText"/>
    <w:uiPriority w:val="99"/>
    <w:semiHidden/>
    <w:rsid w:val="00B3785E"/>
    <w:rPr>
      <w:sz w:val="20"/>
      <w:szCs w:val="20"/>
    </w:rPr>
  </w:style>
  <w:style w:type="paragraph" w:styleId="CommentSubject">
    <w:name w:val="annotation subject"/>
    <w:basedOn w:val="CommentText"/>
    <w:next w:val="CommentText"/>
    <w:link w:val="CommentSubjectChar"/>
    <w:uiPriority w:val="99"/>
    <w:semiHidden/>
    <w:unhideWhenUsed/>
    <w:rsid w:val="00B3785E"/>
    <w:rPr>
      <w:b/>
      <w:bCs/>
    </w:rPr>
  </w:style>
  <w:style w:type="character" w:customStyle="1" w:styleId="CommentSubjectChar">
    <w:name w:val="Comment Subject Char"/>
    <w:basedOn w:val="CommentTextChar"/>
    <w:link w:val="CommentSubject"/>
    <w:uiPriority w:val="99"/>
    <w:semiHidden/>
    <w:rsid w:val="00B3785E"/>
    <w:rPr>
      <w:b/>
      <w:bCs/>
      <w:sz w:val="20"/>
      <w:szCs w:val="20"/>
    </w:rPr>
  </w:style>
  <w:style w:type="character" w:customStyle="1" w:styleId="ListParagraphChar">
    <w:name w:val="List Paragraph Char"/>
    <w:basedOn w:val="DefaultParagraphFont"/>
    <w:link w:val="ListParagraph"/>
    <w:uiPriority w:val="34"/>
    <w:rsid w:val="00CC4CBA"/>
  </w:style>
  <w:style w:type="paragraph" w:styleId="FootnoteText">
    <w:name w:val="footnote text"/>
    <w:basedOn w:val="Normal"/>
    <w:link w:val="FootnoteTextChar"/>
    <w:uiPriority w:val="99"/>
    <w:semiHidden/>
    <w:unhideWhenUsed/>
    <w:rsid w:val="00BF59C7"/>
    <w:pPr>
      <w:spacing w:after="0"/>
    </w:pPr>
    <w:rPr>
      <w:sz w:val="20"/>
      <w:szCs w:val="20"/>
    </w:rPr>
  </w:style>
  <w:style w:type="character" w:customStyle="1" w:styleId="FootnoteTextChar">
    <w:name w:val="Footnote Text Char"/>
    <w:basedOn w:val="DefaultParagraphFont"/>
    <w:link w:val="FootnoteText"/>
    <w:uiPriority w:val="99"/>
    <w:semiHidden/>
    <w:rsid w:val="00BF59C7"/>
    <w:rPr>
      <w:sz w:val="20"/>
      <w:szCs w:val="20"/>
    </w:rPr>
  </w:style>
  <w:style w:type="character" w:styleId="FootnoteReference">
    <w:name w:val="footnote reference"/>
    <w:basedOn w:val="DefaultParagraphFont"/>
    <w:uiPriority w:val="99"/>
    <w:semiHidden/>
    <w:unhideWhenUsed/>
    <w:rsid w:val="00BF59C7"/>
    <w:rPr>
      <w:vertAlign w:val="superscript"/>
    </w:rPr>
  </w:style>
  <w:style w:type="character" w:styleId="Hyperlink">
    <w:name w:val="Hyperlink"/>
    <w:basedOn w:val="DefaultParagraphFont"/>
    <w:uiPriority w:val="99"/>
    <w:unhideWhenUsed/>
    <w:rsid w:val="00BF59C7"/>
    <w:rPr>
      <w:color w:val="0563C1" w:themeColor="hyperlink"/>
      <w:u w:val="single"/>
    </w:rPr>
  </w:style>
  <w:style w:type="paragraph" w:styleId="Quote">
    <w:name w:val="Quote"/>
    <w:basedOn w:val="Normal"/>
    <w:next w:val="Normal"/>
    <w:link w:val="QuoteChar"/>
    <w:uiPriority w:val="29"/>
    <w:qFormat/>
    <w:rsid w:val="005424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4248F"/>
    <w:rPr>
      <w:i/>
      <w:iCs/>
      <w:color w:val="404040" w:themeColor="text1" w:themeTint="BF"/>
    </w:rPr>
  </w:style>
  <w:style w:type="character" w:customStyle="1" w:styleId="Heading1Char">
    <w:name w:val="Heading 1 Char"/>
    <w:basedOn w:val="DefaultParagraphFont"/>
    <w:link w:val="Heading1"/>
    <w:uiPriority w:val="9"/>
    <w:rsid w:val="00CC4CBA"/>
    <w:rPr>
      <w:rFonts w:ascii="Times New Roman" w:hAnsi="Times New Roman" w:cs="Times New Roman"/>
      <w:sz w:val="36"/>
      <w:szCs w:val="36"/>
    </w:rPr>
  </w:style>
  <w:style w:type="character" w:styleId="SubtleReference">
    <w:name w:val="Subtle Reference"/>
    <w:uiPriority w:val="31"/>
    <w:qFormat/>
    <w:rsid w:val="00CC4CBA"/>
    <w:rPr>
      <w:rFonts w:ascii="Times New Roman" w:hAnsi="Times New Roman" w:cs="Times New Roman"/>
      <w:sz w:val="36"/>
      <w:szCs w:val="36"/>
    </w:rPr>
  </w:style>
  <w:style w:type="character" w:customStyle="1" w:styleId="Heading2Char">
    <w:name w:val="Heading 2 Char"/>
    <w:basedOn w:val="DefaultParagraphFont"/>
    <w:link w:val="Heading2"/>
    <w:uiPriority w:val="9"/>
    <w:rsid w:val="00CC4CBA"/>
    <w:rPr>
      <w:b/>
      <w:sz w:val="28"/>
    </w:rPr>
  </w:style>
  <w:style w:type="character" w:customStyle="1" w:styleId="Heading3Char">
    <w:name w:val="Heading 3 Char"/>
    <w:basedOn w:val="DefaultParagraphFont"/>
    <w:link w:val="Heading3"/>
    <w:uiPriority w:val="9"/>
    <w:rsid w:val="00CC4CBA"/>
    <w:rPr>
      <w:i/>
      <w:sz w:val="24"/>
    </w:rPr>
  </w:style>
  <w:style w:type="character" w:customStyle="1" w:styleId="Heading4Char">
    <w:name w:val="Heading 4 Char"/>
    <w:basedOn w:val="DefaultParagraphFont"/>
    <w:link w:val="Heading4"/>
    <w:uiPriority w:val="9"/>
    <w:rsid w:val="00C4456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2176">
      <w:bodyDiv w:val="1"/>
      <w:marLeft w:val="0"/>
      <w:marRight w:val="0"/>
      <w:marTop w:val="0"/>
      <w:marBottom w:val="0"/>
      <w:divBdr>
        <w:top w:val="none" w:sz="0" w:space="0" w:color="auto"/>
        <w:left w:val="none" w:sz="0" w:space="0" w:color="auto"/>
        <w:bottom w:val="none" w:sz="0" w:space="0" w:color="auto"/>
        <w:right w:val="none" w:sz="0" w:space="0" w:color="auto"/>
      </w:divBdr>
    </w:div>
    <w:div w:id="226107747">
      <w:bodyDiv w:val="1"/>
      <w:marLeft w:val="0"/>
      <w:marRight w:val="0"/>
      <w:marTop w:val="0"/>
      <w:marBottom w:val="0"/>
      <w:divBdr>
        <w:top w:val="none" w:sz="0" w:space="0" w:color="auto"/>
        <w:left w:val="none" w:sz="0" w:space="0" w:color="auto"/>
        <w:bottom w:val="none" w:sz="0" w:space="0" w:color="auto"/>
        <w:right w:val="none" w:sz="0" w:space="0" w:color="auto"/>
      </w:divBdr>
    </w:div>
    <w:div w:id="238289073">
      <w:bodyDiv w:val="1"/>
      <w:marLeft w:val="0"/>
      <w:marRight w:val="0"/>
      <w:marTop w:val="0"/>
      <w:marBottom w:val="0"/>
      <w:divBdr>
        <w:top w:val="none" w:sz="0" w:space="0" w:color="auto"/>
        <w:left w:val="none" w:sz="0" w:space="0" w:color="auto"/>
        <w:bottom w:val="none" w:sz="0" w:space="0" w:color="auto"/>
        <w:right w:val="none" w:sz="0" w:space="0" w:color="auto"/>
      </w:divBdr>
    </w:div>
    <w:div w:id="290481913">
      <w:bodyDiv w:val="1"/>
      <w:marLeft w:val="0"/>
      <w:marRight w:val="0"/>
      <w:marTop w:val="0"/>
      <w:marBottom w:val="0"/>
      <w:divBdr>
        <w:top w:val="none" w:sz="0" w:space="0" w:color="auto"/>
        <w:left w:val="none" w:sz="0" w:space="0" w:color="auto"/>
        <w:bottom w:val="none" w:sz="0" w:space="0" w:color="auto"/>
        <w:right w:val="none" w:sz="0" w:space="0" w:color="auto"/>
      </w:divBdr>
    </w:div>
    <w:div w:id="367221362">
      <w:bodyDiv w:val="1"/>
      <w:marLeft w:val="0"/>
      <w:marRight w:val="0"/>
      <w:marTop w:val="0"/>
      <w:marBottom w:val="0"/>
      <w:divBdr>
        <w:top w:val="none" w:sz="0" w:space="0" w:color="auto"/>
        <w:left w:val="none" w:sz="0" w:space="0" w:color="auto"/>
        <w:bottom w:val="none" w:sz="0" w:space="0" w:color="auto"/>
        <w:right w:val="none" w:sz="0" w:space="0" w:color="auto"/>
      </w:divBdr>
    </w:div>
    <w:div w:id="375543641">
      <w:bodyDiv w:val="1"/>
      <w:marLeft w:val="0"/>
      <w:marRight w:val="0"/>
      <w:marTop w:val="0"/>
      <w:marBottom w:val="0"/>
      <w:divBdr>
        <w:top w:val="none" w:sz="0" w:space="0" w:color="auto"/>
        <w:left w:val="none" w:sz="0" w:space="0" w:color="auto"/>
        <w:bottom w:val="none" w:sz="0" w:space="0" w:color="auto"/>
        <w:right w:val="none" w:sz="0" w:space="0" w:color="auto"/>
      </w:divBdr>
    </w:div>
    <w:div w:id="387150920">
      <w:bodyDiv w:val="1"/>
      <w:marLeft w:val="0"/>
      <w:marRight w:val="0"/>
      <w:marTop w:val="0"/>
      <w:marBottom w:val="0"/>
      <w:divBdr>
        <w:top w:val="none" w:sz="0" w:space="0" w:color="auto"/>
        <w:left w:val="none" w:sz="0" w:space="0" w:color="auto"/>
        <w:bottom w:val="none" w:sz="0" w:space="0" w:color="auto"/>
        <w:right w:val="none" w:sz="0" w:space="0" w:color="auto"/>
      </w:divBdr>
    </w:div>
    <w:div w:id="816145494">
      <w:bodyDiv w:val="1"/>
      <w:marLeft w:val="0"/>
      <w:marRight w:val="0"/>
      <w:marTop w:val="0"/>
      <w:marBottom w:val="0"/>
      <w:divBdr>
        <w:top w:val="none" w:sz="0" w:space="0" w:color="auto"/>
        <w:left w:val="none" w:sz="0" w:space="0" w:color="auto"/>
        <w:bottom w:val="none" w:sz="0" w:space="0" w:color="auto"/>
        <w:right w:val="none" w:sz="0" w:space="0" w:color="auto"/>
      </w:divBdr>
    </w:div>
    <w:div w:id="882211632">
      <w:bodyDiv w:val="1"/>
      <w:marLeft w:val="0"/>
      <w:marRight w:val="0"/>
      <w:marTop w:val="0"/>
      <w:marBottom w:val="0"/>
      <w:divBdr>
        <w:top w:val="none" w:sz="0" w:space="0" w:color="auto"/>
        <w:left w:val="none" w:sz="0" w:space="0" w:color="auto"/>
        <w:bottom w:val="none" w:sz="0" w:space="0" w:color="auto"/>
        <w:right w:val="none" w:sz="0" w:space="0" w:color="auto"/>
      </w:divBdr>
    </w:div>
    <w:div w:id="1038242993">
      <w:bodyDiv w:val="1"/>
      <w:marLeft w:val="0"/>
      <w:marRight w:val="0"/>
      <w:marTop w:val="0"/>
      <w:marBottom w:val="0"/>
      <w:divBdr>
        <w:top w:val="none" w:sz="0" w:space="0" w:color="auto"/>
        <w:left w:val="none" w:sz="0" w:space="0" w:color="auto"/>
        <w:bottom w:val="none" w:sz="0" w:space="0" w:color="auto"/>
        <w:right w:val="none" w:sz="0" w:space="0" w:color="auto"/>
      </w:divBdr>
    </w:div>
    <w:div w:id="1110665493">
      <w:bodyDiv w:val="1"/>
      <w:marLeft w:val="0"/>
      <w:marRight w:val="0"/>
      <w:marTop w:val="0"/>
      <w:marBottom w:val="0"/>
      <w:divBdr>
        <w:top w:val="none" w:sz="0" w:space="0" w:color="auto"/>
        <w:left w:val="none" w:sz="0" w:space="0" w:color="auto"/>
        <w:bottom w:val="none" w:sz="0" w:space="0" w:color="auto"/>
        <w:right w:val="none" w:sz="0" w:space="0" w:color="auto"/>
      </w:divBdr>
    </w:div>
    <w:div w:id="1139957477">
      <w:bodyDiv w:val="1"/>
      <w:marLeft w:val="0"/>
      <w:marRight w:val="0"/>
      <w:marTop w:val="0"/>
      <w:marBottom w:val="0"/>
      <w:divBdr>
        <w:top w:val="none" w:sz="0" w:space="0" w:color="auto"/>
        <w:left w:val="none" w:sz="0" w:space="0" w:color="auto"/>
        <w:bottom w:val="none" w:sz="0" w:space="0" w:color="auto"/>
        <w:right w:val="none" w:sz="0" w:space="0" w:color="auto"/>
      </w:divBdr>
    </w:div>
    <w:div w:id="1272860495">
      <w:bodyDiv w:val="1"/>
      <w:marLeft w:val="0"/>
      <w:marRight w:val="0"/>
      <w:marTop w:val="0"/>
      <w:marBottom w:val="0"/>
      <w:divBdr>
        <w:top w:val="none" w:sz="0" w:space="0" w:color="auto"/>
        <w:left w:val="none" w:sz="0" w:space="0" w:color="auto"/>
        <w:bottom w:val="none" w:sz="0" w:space="0" w:color="auto"/>
        <w:right w:val="none" w:sz="0" w:space="0" w:color="auto"/>
      </w:divBdr>
      <w:divsChild>
        <w:div w:id="1159469093">
          <w:marLeft w:val="0"/>
          <w:marRight w:val="0"/>
          <w:marTop w:val="0"/>
          <w:marBottom w:val="0"/>
          <w:divBdr>
            <w:top w:val="none" w:sz="0" w:space="0" w:color="auto"/>
            <w:left w:val="none" w:sz="0" w:space="0" w:color="auto"/>
            <w:bottom w:val="none" w:sz="0" w:space="0" w:color="auto"/>
            <w:right w:val="none" w:sz="0" w:space="0" w:color="auto"/>
          </w:divBdr>
          <w:divsChild>
            <w:div w:id="2059668983">
              <w:marLeft w:val="0"/>
              <w:marRight w:val="0"/>
              <w:marTop w:val="0"/>
              <w:marBottom w:val="0"/>
              <w:divBdr>
                <w:top w:val="none" w:sz="0" w:space="0" w:color="auto"/>
                <w:left w:val="none" w:sz="0" w:space="0" w:color="auto"/>
                <w:bottom w:val="none" w:sz="0" w:space="0" w:color="auto"/>
                <w:right w:val="none" w:sz="0" w:space="0" w:color="auto"/>
              </w:divBdr>
              <w:divsChild>
                <w:div w:id="158812322">
                  <w:marLeft w:val="0"/>
                  <w:marRight w:val="0"/>
                  <w:marTop w:val="0"/>
                  <w:marBottom w:val="0"/>
                  <w:divBdr>
                    <w:top w:val="none" w:sz="0" w:space="0" w:color="auto"/>
                    <w:left w:val="none" w:sz="0" w:space="0" w:color="auto"/>
                    <w:bottom w:val="none" w:sz="0" w:space="0" w:color="auto"/>
                    <w:right w:val="none" w:sz="0" w:space="0" w:color="auto"/>
                  </w:divBdr>
                  <w:divsChild>
                    <w:div w:id="864253757">
                      <w:marLeft w:val="0"/>
                      <w:marRight w:val="0"/>
                      <w:marTop w:val="0"/>
                      <w:marBottom w:val="0"/>
                      <w:divBdr>
                        <w:top w:val="none" w:sz="0" w:space="0" w:color="auto"/>
                        <w:left w:val="none" w:sz="0" w:space="0" w:color="auto"/>
                        <w:bottom w:val="none" w:sz="0" w:space="0" w:color="auto"/>
                        <w:right w:val="none" w:sz="0" w:space="0" w:color="auto"/>
                      </w:divBdr>
                      <w:divsChild>
                        <w:div w:id="2028826506">
                          <w:marLeft w:val="0"/>
                          <w:marRight w:val="0"/>
                          <w:marTop w:val="0"/>
                          <w:marBottom w:val="0"/>
                          <w:divBdr>
                            <w:top w:val="none" w:sz="0" w:space="0" w:color="auto"/>
                            <w:left w:val="none" w:sz="0" w:space="0" w:color="auto"/>
                            <w:bottom w:val="none" w:sz="0" w:space="0" w:color="auto"/>
                            <w:right w:val="none" w:sz="0" w:space="0" w:color="auto"/>
                          </w:divBdr>
                          <w:divsChild>
                            <w:div w:id="847134441">
                              <w:marLeft w:val="0"/>
                              <w:marRight w:val="0"/>
                              <w:marTop w:val="0"/>
                              <w:marBottom w:val="0"/>
                              <w:divBdr>
                                <w:top w:val="none" w:sz="0" w:space="0" w:color="auto"/>
                                <w:left w:val="none" w:sz="0" w:space="0" w:color="auto"/>
                                <w:bottom w:val="none" w:sz="0" w:space="0" w:color="auto"/>
                                <w:right w:val="none" w:sz="0" w:space="0" w:color="auto"/>
                              </w:divBdr>
                              <w:divsChild>
                                <w:div w:id="865025680">
                                  <w:marLeft w:val="0"/>
                                  <w:marRight w:val="0"/>
                                  <w:marTop w:val="0"/>
                                  <w:marBottom w:val="0"/>
                                  <w:divBdr>
                                    <w:top w:val="none" w:sz="0" w:space="0" w:color="auto"/>
                                    <w:left w:val="none" w:sz="0" w:space="0" w:color="auto"/>
                                    <w:bottom w:val="none" w:sz="0" w:space="0" w:color="auto"/>
                                    <w:right w:val="none" w:sz="0" w:space="0" w:color="auto"/>
                                  </w:divBdr>
                                  <w:divsChild>
                                    <w:div w:id="1337343822">
                                      <w:marLeft w:val="0"/>
                                      <w:marRight w:val="0"/>
                                      <w:marTop w:val="0"/>
                                      <w:marBottom w:val="0"/>
                                      <w:divBdr>
                                        <w:top w:val="none" w:sz="0" w:space="0" w:color="auto"/>
                                        <w:left w:val="none" w:sz="0" w:space="0" w:color="auto"/>
                                        <w:bottom w:val="none" w:sz="0" w:space="0" w:color="auto"/>
                                        <w:right w:val="none" w:sz="0" w:space="0" w:color="auto"/>
                                      </w:divBdr>
                                      <w:divsChild>
                                        <w:div w:id="419646925">
                                          <w:marLeft w:val="0"/>
                                          <w:marRight w:val="0"/>
                                          <w:marTop w:val="0"/>
                                          <w:marBottom w:val="0"/>
                                          <w:divBdr>
                                            <w:top w:val="none" w:sz="0" w:space="0" w:color="auto"/>
                                            <w:left w:val="none" w:sz="0" w:space="0" w:color="auto"/>
                                            <w:bottom w:val="none" w:sz="0" w:space="0" w:color="auto"/>
                                            <w:right w:val="none" w:sz="0" w:space="0" w:color="auto"/>
                                          </w:divBdr>
                                          <w:divsChild>
                                            <w:div w:id="1063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428093">
      <w:bodyDiv w:val="1"/>
      <w:marLeft w:val="0"/>
      <w:marRight w:val="0"/>
      <w:marTop w:val="0"/>
      <w:marBottom w:val="0"/>
      <w:divBdr>
        <w:top w:val="none" w:sz="0" w:space="0" w:color="auto"/>
        <w:left w:val="none" w:sz="0" w:space="0" w:color="auto"/>
        <w:bottom w:val="none" w:sz="0" w:space="0" w:color="auto"/>
        <w:right w:val="none" w:sz="0" w:space="0" w:color="auto"/>
      </w:divBdr>
    </w:div>
    <w:div w:id="1375619553">
      <w:bodyDiv w:val="1"/>
      <w:marLeft w:val="0"/>
      <w:marRight w:val="0"/>
      <w:marTop w:val="0"/>
      <w:marBottom w:val="0"/>
      <w:divBdr>
        <w:top w:val="none" w:sz="0" w:space="0" w:color="auto"/>
        <w:left w:val="none" w:sz="0" w:space="0" w:color="auto"/>
        <w:bottom w:val="none" w:sz="0" w:space="0" w:color="auto"/>
        <w:right w:val="none" w:sz="0" w:space="0" w:color="auto"/>
      </w:divBdr>
    </w:div>
    <w:div w:id="1450198777">
      <w:bodyDiv w:val="1"/>
      <w:marLeft w:val="0"/>
      <w:marRight w:val="0"/>
      <w:marTop w:val="0"/>
      <w:marBottom w:val="0"/>
      <w:divBdr>
        <w:top w:val="none" w:sz="0" w:space="0" w:color="auto"/>
        <w:left w:val="none" w:sz="0" w:space="0" w:color="auto"/>
        <w:bottom w:val="none" w:sz="0" w:space="0" w:color="auto"/>
        <w:right w:val="none" w:sz="0" w:space="0" w:color="auto"/>
      </w:divBdr>
    </w:div>
    <w:div w:id="1609121493">
      <w:bodyDiv w:val="1"/>
      <w:marLeft w:val="0"/>
      <w:marRight w:val="0"/>
      <w:marTop w:val="0"/>
      <w:marBottom w:val="0"/>
      <w:divBdr>
        <w:top w:val="none" w:sz="0" w:space="0" w:color="auto"/>
        <w:left w:val="none" w:sz="0" w:space="0" w:color="auto"/>
        <w:bottom w:val="none" w:sz="0" w:space="0" w:color="auto"/>
        <w:right w:val="none" w:sz="0" w:space="0" w:color="auto"/>
      </w:divBdr>
    </w:div>
    <w:div w:id="1682510577">
      <w:bodyDiv w:val="1"/>
      <w:marLeft w:val="0"/>
      <w:marRight w:val="0"/>
      <w:marTop w:val="0"/>
      <w:marBottom w:val="0"/>
      <w:divBdr>
        <w:top w:val="none" w:sz="0" w:space="0" w:color="auto"/>
        <w:left w:val="none" w:sz="0" w:space="0" w:color="auto"/>
        <w:bottom w:val="none" w:sz="0" w:space="0" w:color="auto"/>
        <w:right w:val="none" w:sz="0" w:space="0" w:color="auto"/>
      </w:divBdr>
    </w:div>
    <w:div w:id="1759670514">
      <w:bodyDiv w:val="1"/>
      <w:marLeft w:val="0"/>
      <w:marRight w:val="0"/>
      <w:marTop w:val="0"/>
      <w:marBottom w:val="0"/>
      <w:divBdr>
        <w:top w:val="none" w:sz="0" w:space="0" w:color="auto"/>
        <w:left w:val="none" w:sz="0" w:space="0" w:color="auto"/>
        <w:bottom w:val="none" w:sz="0" w:space="0" w:color="auto"/>
        <w:right w:val="none" w:sz="0" w:space="0" w:color="auto"/>
      </w:divBdr>
    </w:div>
    <w:div w:id="1786919841">
      <w:bodyDiv w:val="1"/>
      <w:marLeft w:val="0"/>
      <w:marRight w:val="0"/>
      <w:marTop w:val="0"/>
      <w:marBottom w:val="0"/>
      <w:divBdr>
        <w:top w:val="none" w:sz="0" w:space="0" w:color="auto"/>
        <w:left w:val="none" w:sz="0" w:space="0" w:color="auto"/>
        <w:bottom w:val="none" w:sz="0" w:space="0" w:color="auto"/>
        <w:right w:val="none" w:sz="0" w:space="0" w:color="auto"/>
      </w:divBdr>
    </w:div>
    <w:div w:id="1807355344">
      <w:bodyDiv w:val="1"/>
      <w:marLeft w:val="0"/>
      <w:marRight w:val="0"/>
      <w:marTop w:val="0"/>
      <w:marBottom w:val="0"/>
      <w:divBdr>
        <w:top w:val="none" w:sz="0" w:space="0" w:color="auto"/>
        <w:left w:val="none" w:sz="0" w:space="0" w:color="auto"/>
        <w:bottom w:val="none" w:sz="0" w:space="0" w:color="auto"/>
        <w:right w:val="none" w:sz="0" w:space="0" w:color="auto"/>
      </w:divBdr>
    </w:div>
    <w:div w:id="1807427924">
      <w:bodyDiv w:val="1"/>
      <w:marLeft w:val="0"/>
      <w:marRight w:val="0"/>
      <w:marTop w:val="0"/>
      <w:marBottom w:val="0"/>
      <w:divBdr>
        <w:top w:val="none" w:sz="0" w:space="0" w:color="auto"/>
        <w:left w:val="none" w:sz="0" w:space="0" w:color="auto"/>
        <w:bottom w:val="none" w:sz="0" w:space="0" w:color="auto"/>
        <w:right w:val="none" w:sz="0" w:space="0" w:color="auto"/>
      </w:divBdr>
    </w:div>
    <w:div w:id="2021464870">
      <w:bodyDiv w:val="1"/>
      <w:marLeft w:val="0"/>
      <w:marRight w:val="0"/>
      <w:marTop w:val="0"/>
      <w:marBottom w:val="0"/>
      <w:divBdr>
        <w:top w:val="none" w:sz="0" w:space="0" w:color="auto"/>
        <w:left w:val="none" w:sz="0" w:space="0" w:color="auto"/>
        <w:bottom w:val="none" w:sz="0" w:space="0" w:color="auto"/>
        <w:right w:val="none" w:sz="0" w:space="0" w:color="auto"/>
      </w:divBdr>
    </w:div>
    <w:div w:id="20499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3FD2-77D8-4893-904C-9A69BB8A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4438</Words>
  <Characters>25300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Australian Government response to the Regional Telecommunications Independent Review Committee report: Regional Telecommunications Review 2015</vt:lpstr>
    </vt:vector>
  </TitlesOfParts>
  <Company/>
  <LinksUpToDate>false</LinksUpToDate>
  <CharactersWithSpaces>29679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Regional Telecommunications Independent Review Committee report: Regional Telecommunications Review 2015</dc:title>
  <dc:subject/>
  <dc:creator/>
  <cp:keywords/>
  <dc:description/>
  <cp:lastModifiedBy/>
  <cp:revision>1</cp:revision>
  <dcterms:created xsi:type="dcterms:W3CDTF">2016-02-19T04:16:00Z</dcterms:created>
  <dcterms:modified xsi:type="dcterms:W3CDTF">2016-02-19T04:24:00Z</dcterms:modified>
</cp:coreProperties>
</file>