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A8E0B1" w14:textId="77777777" w:rsidR="0094124E" w:rsidRDefault="0094124E" w:rsidP="0094124E">
      <w:pPr>
        <w:ind w:left="-1418"/>
        <w:sectPr w:rsidR="0094124E" w:rsidSect="0094124E">
          <w:headerReference w:type="default" r:id="rId8"/>
          <w:footerReference w:type="default" r:id="rId9"/>
          <w:footerReference w:type="first" r:id="rId10"/>
          <w:type w:val="continuous"/>
          <w:pgSz w:w="11906" w:h="16838"/>
          <w:pgMar w:top="0" w:right="1440" w:bottom="1440" w:left="1440" w:header="0" w:footer="346" w:gutter="0"/>
          <w:cols w:space="708"/>
          <w:titlePg/>
          <w:docGrid w:linePitch="360"/>
        </w:sectPr>
      </w:pPr>
      <w:r>
        <w:rPr>
          <w:noProof/>
          <w:lang w:eastAsia="en-AU"/>
        </w:rPr>
        <w:drawing>
          <wp:inline distT="0" distB="0" distL="0" distR="0" wp14:anchorId="3AB00241" wp14:editId="0D5343BE">
            <wp:extent cx="7613014" cy="1378324"/>
            <wp:effectExtent l="0" t="0" r="7620" b="0"/>
            <wp:docPr id="2" name="Picture 2" descr="Logo: Australian Government, Department of Communications and the Art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pt comms &amp; Arts header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3014" cy="1378324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</wp:inline>
        </w:drawing>
      </w:r>
    </w:p>
    <w:p w14:paraId="26C0D6EB" w14:textId="77777777" w:rsidR="000D5016" w:rsidRPr="000D5016" w:rsidRDefault="000D5016" w:rsidP="000D5016">
      <w:pPr>
        <w:pStyle w:val="Heading1"/>
        <w:ind w:right="-164"/>
        <w:rPr>
          <w:szCs w:val="48"/>
        </w:rPr>
      </w:pPr>
      <w:bookmarkStart w:id="0" w:name="_Toc500396902"/>
      <w:r w:rsidRPr="000D5016">
        <w:rPr>
          <w:szCs w:val="48"/>
        </w:rPr>
        <w:t>Rehabilitation and Injury Management Policy</w:t>
      </w:r>
      <w:bookmarkEnd w:id="0"/>
    </w:p>
    <w:p w14:paraId="4F01CF6F" w14:textId="77777777" w:rsidR="000D5016" w:rsidRPr="000D5016" w:rsidRDefault="000D5016" w:rsidP="000D5016">
      <w:pPr>
        <w:ind w:right="-22"/>
        <w:rPr>
          <w:rFonts w:ascii="Calibri" w:hAnsi="Calibri"/>
          <w:i/>
        </w:rPr>
      </w:pPr>
      <w:r w:rsidRPr="000D5016">
        <w:rPr>
          <w:rFonts w:ascii="Calibri" w:hAnsi="Calibri"/>
        </w:rPr>
        <w:t xml:space="preserve">The Department of Communications and the Arts (the Department) is committed to preventing work related injury and illness by creating a safe and healthy working environment and ensuring compliance with the </w:t>
      </w:r>
      <w:r w:rsidRPr="000D5016">
        <w:rPr>
          <w:rFonts w:ascii="Calibri" w:hAnsi="Calibri"/>
          <w:i/>
        </w:rPr>
        <w:t>Work Health and Safety Act 2011 (</w:t>
      </w:r>
      <w:proofErr w:type="spellStart"/>
      <w:r w:rsidRPr="000D5016">
        <w:rPr>
          <w:rFonts w:ascii="Calibri" w:hAnsi="Calibri"/>
          <w:i/>
        </w:rPr>
        <w:t>Cth</w:t>
      </w:r>
      <w:proofErr w:type="spellEnd"/>
      <w:r w:rsidRPr="000D5016">
        <w:rPr>
          <w:rFonts w:ascii="Calibri" w:hAnsi="Calibri"/>
          <w:i/>
        </w:rPr>
        <w:t>).</w:t>
      </w:r>
    </w:p>
    <w:p w14:paraId="137FBBE7" w14:textId="77777777" w:rsidR="000D5016" w:rsidRPr="000D5016" w:rsidRDefault="000D5016" w:rsidP="000D5016">
      <w:pPr>
        <w:ind w:right="-22"/>
        <w:rPr>
          <w:rFonts w:ascii="Calibri" w:hAnsi="Calibri"/>
        </w:rPr>
      </w:pPr>
      <w:r w:rsidRPr="000D5016">
        <w:rPr>
          <w:rFonts w:ascii="Calibri" w:hAnsi="Calibri"/>
        </w:rPr>
        <w:t>In the event of a work-related injury or illness, the Department will assist employees to achieve a safe return to work, in a way that will facilitate their best possible recovery. In keeping with best practice injury management, the Department will focus on early intervention, active case management and outcomes-based rehabilitation to enable optimal return to work.</w:t>
      </w:r>
    </w:p>
    <w:p w14:paraId="265859F2" w14:textId="77777777" w:rsidR="000D5016" w:rsidRPr="000D5016" w:rsidRDefault="000D5016" w:rsidP="000D5016">
      <w:pPr>
        <w:spacing w:after="120"/>
        <w:ind w:right="-22"/>
        <w:rPr>
          <w:rFonts w:ascii="Calibri" w:hAnsi="Calibri"/>
        </w:rPr>
      </w:pPr>
      <w:r w:rsidRPr="000D5016">
        <w:rPr>
          <w:rFonts w:ascii="Calibri" w:hAnsi="Calibri"/>
        </w:rPr>
        <w:t xml:space="preserve">The primary goal of the </w:t>
      </w:r>
      <w:r w:rsidRPr="000D5016">
        <w:rPr>
          <w:rFonts w:ascii="Calibri" w:hAnsi="Calibri"/>
          <w:i/>
        </w:rPr>
        <w:t>Safety, Rehabilitation and Compensation Act 1988 (SRC Act)</w:t>
      </w:r>
      <w:r w:rsidRPr="000D5016">
        <w:rPr>
          <w:rFonts w:ascii="Univers LT Std 45 Light" w:hAnsi="Univers LT Std 45 Light"/>
        </w:rPr>
        <w:t xml:space="preserve"> </w:t>
      </w:r>
      <w:r w:rsidRPr="000D5016">
        <w:rPr>
          <w:rFonts w:ascii="Calibri" w:hAnsi="Calibri"/>
        </w:rPr>
        <w:t>is to minimise both the incidence and impact of injury and illness on the Department and its employees.  In achieving this goal, the Department will:</w:t>
      </w:r>
    </w:p>
    <w:p w14:paraId="267F6844" w14:textId="77777777" w:rsidR="000D5016" w:rsidRPr="000D5016" w:rsidRDefault="000D5016" w:rsidP="000D5016">
      <w:pPr>
        <w:pStyle w:val="Bullet1"/>
      </w:pPr>
      <w:r w:rsidRPr="000D5016">
        <w:t xml:space="preserve">Develop, communicate and maintain Rehabilitation and Injury Management Guidelines which meet the standards set by the Safety, Rehabilitation and Compensation Commission. </w:t>
      </w:r>
    </w:p>
    <w:p w14:paraId="00CFB9E5" w14:textId="77777777" w:rsidR="000D5016" w:rsidRPr="000D5016" w:rsidRDefault="000D5016" w:rsidP="000D5016">
      <w:pPr>
        <w:pStyle w:val="Bullet1"/>
      </w:pPr>
      <w:r w:rsidRPr="000D5016">
        <w:t>Facilitate a return to work for employees who are injured or ill at work as soon as possible and to provide information to assist an injured and/or ill employee to return to work.</w:t>
      </w:r>
    </w:p>
    <w:p w14:paraId="3C1B3AB7" w14:textId="77777777" w:rsidR="000D5016" w:rsidRPr="000D5016" w:rsidRDefault="000D5016" w:rsidP="000D5016">
      <w:pPr>
        <w:pStyle w:val="Bullet1"/>
      </w:pPr>
      <w:r w:rsidRPr="000D5016">
        <w:t>Determine the needs of the injured and/or ill employee by liaising with the employee, the nominated treating doctor, our workers’ compensation insurance provider and other relevant team members.</w:t>
      </w:r>
    </w:p>
    <w:p w14:paraId="7BA864FB" w14:textId="77777777" w:rsidR="000D5016" w:rsidRPr="000D5016" w:rsidRDefault="000D5016" w:rsidP="000D5016">
      <w:pPr>
        <w:pStyle w:val="Bullet1"/>
      </w:pPr>
      <w:r w:rsidRPr="000D5016">
        <w:t>Provide early access to rehabilitation services, for example accredited workplace rehabilitation providers where required.</w:t>
      </w:r>
    </w:p>
    <w:p w14:paraId="0636E913" w14:textId="77777777" w:rsidR="000D5016" w:rsidRPr="000D5016" w:rsidRDefault="000D5016" w:rsidP="000D5016">
      <w:pPr>
        <w:pStyle w:val="Bullet1"/>
      </w:pPr>
      <w:r w:rsidRPr="000D5016">
        <w:t>Develop and implement the injured and/or ill employees return to work plan in conjunction with the employee, our workers’ compensation insurance provider, the nominated treating doctor and the workplace rehabilitation provider.</w:t>
      </w:r>
    </w:p>
    <w:p w14:paraId="039822FF" w14:textId="77777777" w:rsidR="000D5016" w:rsidRPr="000D5016" w:rsidRDefault="000D5016" w:rsidP="000D5016">
      <w:pPr>
        <w:pStyle w:val="Bullet1"/>
      </w:pPr>
      <w:r w:rsidRPr="000D5016">
        <w:t>Provide suitable alternative duties for an injured and/or ill employee as an integral part of the rehabilitation and return to work process.</w:t>
      </w:r>
    </w:p>
    <w:p w14:paraId="7E8340BD" w14:textId="77777777" w:rsidR="000D5016" w:rsidRPr="000D5016" w:rsidRDefault="000D5016" w:rsidP="000D5016">
      <w:pPr>
        <w:pStyle w:val="Bullet1"/>
      </w:pPr>
      <w:r w:rsidRPr="000D5016">
        <w:t>Consult with employees and where applicable any employee representatives, to assist the rehabilitation and return to work process to operate effectively.</w:t>
      </w:r>
    </w:p>
    <w:p w14:paraId="0C578408" w14:textId="77777777" w:rsidR="000D5016" w:rsidRPr="000D5016" w:rsidRDefault="000D5016" w:rsidP="000D5016">
      <w:pPr>
        <w:pStyle w:val="Bullet1"/>
      </w:pPr>
      <w:r w:rsidRPr="000D5016">
        <w:t>Provide employees with information about workers compensation claims including choice of nominated treating doctor and accredited workplace rehabilitation provider.</w:t>
      </w:r>
    </w:p>
    <w:p w14:paraId="1470D3A4" w14:textId="77777777" w:rsidR="000D5016" w:rsidRPr="000D5016" w:rsidRDefault="000D5016" w:rsidP="000D5016">
      <w:pPr>
        <w:pStyle w:val="Bullet1"/>
      </w:pPr>
      <w:r w:rsidRPr="000D5016">
        <w:t>Maintain records of injury management and return to work statistics and develop responses to continually improve the Department’s Work Health and Safety Management System and return to work processes.</w:t>
      </w:r>
    </w:p>
    <w:p w14:paraId="4773FEEA" w14:textId="77777777" w:rsidR="000D5016" w:rsidRPr="000D5016" w:rsidRDefault="000D5016" w:rsidP="000D5016">
      <w:pPr>
        <w:pStyle w:val="Bullet1"/>
      </w:pPr>
      <w:proofErr w:type="gramStart"/>
      <w:r w:rsidRPr="000D5016">
        <w:t>Advise</w:t>
      </w:r>
      <w:proofErr w:type="gramEnd"/>
      <w:r w:rsidRPr="000D5016">
        <w:t xml:space="preserve"> injured and/or ill employees that participation in rehabilitation and return to work plans is voluntary, however non-participation may result in reduced benefits.</w:t>
      </w:r>
    </w:p>
    <w:p w14:paraId="480723A9" w14:textId="77777777" w:rsidR="000D5016" w:rsidRPr="000D5016" w:rsidRDefault="000D5016" w:rsidP="000D5016">
      <w:pPr>
        <w:pStyle w:val="Bullet1"/>
      </w:pPr>
      <w:r w:rsidRPr="000D5016">
        <w:t>Monitor the Department</w:t>
      </w:r>
      <w:r>
        <w:t>’</w:t>
      </w:r>
      <w:bookmarkStart w:id="1" w:name="_GoBack"/>
      <w:bookmarkEnd w:id="1"/>
      <w:r w:rsidRPr="000D5016">
        <w:t>s Rehabilitation and Injury Management practices and report on performance annually.</w:t>
      </w:r>
    </w:p>
    <w:p w14:paraId="54EFDD44" w14:textId="77777777" w:rsidR="000D5016" w:rsidRPr="000D5016" w:rsidRDefault="000D5016" w:rsidP="000D5016">
      <w:pPr>
        <w:pStyle w:val="Bullet1"/>
        <w:numPr>
          <w:ilvl w:val="0"/>
          <w:numId w:val="0"/>
        </w:numPr>
        <w:spacing w:after="120"/>
        <w:ind w:right="-22"/>
      </w:pPr>
      <w:r w:rsidRPr="000D5016">
        <w:lastRenderedPageBreak/>
        <w:t xml:space="preserve">Please contact your Manager or the </w:t>
      </w:r>
      <w:r w:rsidRPr="000D5016">
        <w:t>Employment and Environment</w:t>
      </w:r>
      <w:r w:rsidRPr="000D5016">
        <w:t xml:space="preserve"> Team if you require additional information in relation to this policy.</w:t>
      </w:r>
    </w:p>
    <w:p w14:paraId="11084F80" w14:textId="77777777" w:rsidR="000D5016" w:rsidRPr="000D5016" w:rsidRDefault="000D5016" w:rsidP="000D5016">
      <w:pPr>
        <w:pStyle w:val="Bullet1"/>
        <w:numPr>
          <w:ilvl w:val="0"/>
          <w:numId w:val="0"/>
        </w:numPr>
        <w:spacing w:after="120"/>
        <w:ind w:right="-22"/>
      </w:pPr>
      <w:r w:rsidRPr="000D5016">
        <w:t xml:space="preserve"> If you become aware of any actual or possible non-compliance with this policy you should immediately report it to your manager or supervisor.</w:t>
      </w:r>
    </w:p>
    <w:p w14:paraId="06DE9428" w14:textId="77777777" w:rsidR="000D5016" w:rsidRDefault="000D5016" w:rsidP="000D5016">
      <w:pPr>
        <w:ind w:right="-22"/>
      </w:pPr>
      <w:r w:rsidRPr="000D5016">
        <w:t>This Rehabilitation and Injury Management Policy will be reviewed periodically to ensure it remains relevant and suitable.</w:t>
      </w:r>
      <w:r w:rsidRPr="000D5016">
        <w:br/>
      </w:r>
    </w:p>
    <w:p w14:paraId="23E66DEB" w14:textId="77777777" w:rsidR="000D5016" w:rsidRPr="000D5016" w:rsidRDefault="000D5016" w:rsidP="000D5016">
      <w:pPr>
        <w:ind w:right="-22"/>
      </w:pPr>
      <w:r w:rsidRPr="000D5016">
        <w:br/>
      </w:r>
      <w:r w:rsidRPr="000D5016">
        <w:br/>
      </w:r>
      <w:r w:rsidRPr="000D5016">
        <w:br/>
        <w:t xml:space="preserve">Mike </w:t>
      </w:r>
      <w:proofErr w:type="spellStart"/>
      <w:r w:rsidRPr="000D5016">
        <w:t>Mrdak</w:t>
      </w:r>
      <w:proofErr w:type="spellEnd"/>
      <w:r w:rsidRPr="000D5016">
        <w:t xml:space="preserve"> AO</w:t>
      </w:r>
      <w:r w:rsidRPr="000D5016">
        <w:br/>
        <w:t>Secretary</w:t>
      </w:r>
    </w:p>
    <w:p w14:paraId="5A138A5D" w14:textId="77777777" w:rsidR="000D5016" w:rsidRPr="000D5016" w:rsidRDefault="000D5016" w:rsidP="000D5016">
      <w:pPr>
        <w:ind w:right="-22"/>
      </w:pPr>
      <w:r w:rsidRPr="000D5016">
        <w:t xml:space="preserve">   March 2018</w:t>
      </w:r>
    </w:p>
    <w:sectPr w:rsidR="000D5016" w:rsidRPr="000D5016" w:rsidSect="005932D0">
      <w:type w:val="continuous"/>
      <w:pgSz w:w="11906" w:h="16838"/>
      <w:pgMar w:top="1418" w:right="1274" w:bottom="1440" w:left="1440" w:header="510" w:footer="3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28FD54" w14:textId="77777777" w:rsidR="000D5016" w:rsidRDefault="000D5016" w:rsidP="002117E6">
      <w:pPr>
        <w:spacing w:after="0"/>
      </w:pPr>
      <w:r>
        <w:separator/>
      </w:r>
    </w:p>
  </w:endnote>
  <w:endnote w:type="continuationSeparator" w:id="0">
    <w:p w14:paraId="0F069D30" w14:textId="77777777" w:rsidR="000D5016" w:rsidRDefault="000D5016" w:rsidP="002117E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Univers LT Std 45 Light">
    <w:altName w:val="Malgun Gothic"/>
    <w:charset w:val="00"/>
    <w:family w:val="auto"/>
    <w:pitch w:val="variable"/>
    <w:sig w:usb0="00000003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95DC2D" w14:textId="77777777" w:rsidR="006A2F0E" w:rsidRDefault="001D7905" w:rsidP="001D7905">
    <w:pPr>
      <w:pStyle w:val="Footer"/>
      <w:tabs>
        <w:tab w:val="center" w:pos="4536"/>
        <w:tab w:val="right" w:pos="9498"/>
      </w:tabs>
      <w:ind w:left="-1440" w:right="-613"/>
    </w:pPr>
    <w:r>
      <w:rPr>
        <w:noProof/>
        <w:lang w:eastAsia="en-AU"/>
      </w:rPr>
      <w:drawing>
        <wp:inline distT="0" distB="0" distL="0" distR="0" wp14:anchorId="47A5D159" wp14:editId="3F5D1827">
          <wp:extent cx="7596000" cy="400588"/>
          <wp:effectExtent l="0" t="0" r="0" b="6350"/>
          <wp:docPr id="68" name="Picture 68" descr="Decorative banner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oCA Template Elements v3-0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6000" cy="4005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22C811D" w14:textId="77777777" w:rsidR="002117E6" w:rsidRPr="0037566A" w:rsidRDefault="009313D2" w:rsidP="006A2F0E">
    <w:pPr>
      <w:pStyle w:val="Footer"/>
      <w:tabs>
        <w:tab w:val="center" w:pos="4536"/>
        <w:tab w:val="right" w:pos="9498"/>
      </w:tabs>
      <w:ind w:right="-613"/>
      <w:rPr>
        <w:szCs w:val="18"/>
      </w:rPr>
    </w:pPr>
    <w:r>
      <w:tab/>
    </w:r>
    <w:hyperlink r:id="rId2" w:history="1">
      <w:r w:rsidR="002117E6" w:rsidRPr="0037566A">
        <w:rPr>
          <w:rStyle w:val="Hyperlink"/>
          <w:szCs w:val="18"/>
        </w:rPr>
        <w:t>www.communications.gov.au</w:t>
      </w:r>
    </w:hyperlink>
  </w:p>
  <w:p w14:paraId="40621C69" w14:textId="77777777" w:rsidR="002117E6" w:rsidRPr="001D7905" w:rsidRDefault="000D5016" w:rsidP="001D7905">
    <w:pPr>
      <w:pStyle w:val="Footer"/>
      <w:tabs>
        <w:tab w:val="center" w:pos="4536"/>
        <w:tab w:val="right" w:pos="9498"/>
      </w:tabs>
      <w:ind w:right="-46"/>
      <w:rPr>
        <w:rStyle w:val="Hyperlink"/>
        <w:color w:val="001C40" w:themeColor="text2"/>
        <w:szCs w:val="18"/>
      </w:rPr>
    </w:pPr>
    <w:r>
      <w:rPr>
        <w:szCs w:val="18"/>
      </w:rPr>
      <w:t>Rehabilitation and Injury Management Policy</w:t>
    </w:r>
    <w:r w:rsidR="0064138E" w:rsidRPr="001D7905">
      <w:rPr>
        <w:color w:val="001C40" w:themeColor="text2"/>
        <w:szCs w:val="18"/>
      </w:rPr>
      <w:tab/>
    </w:r>
    <w:hyperlink r:id="rId3" w:history="1">
      <w:r w:rsidR="002117E6" w:rsidRPr="001D7905">
        <w:rPr>
          <w:rStyle w:val="Hyperlink"/>
          <w:szCs w:val="18"/>
        </w:rPr>
        <w:t>www.arts.gov.au</w:t>
      </w:r>
    </w:hyperlink>
    <w:r w:rsidR="002117E6" w:rsidRPr="001D7905">
      <w:rPr>
        <w:color w:val="001C40" w:themeColor="text2"/>
        <w:szCs w:val="18"/>
      </w:rPr>
      <w:tab/>
    </w:r>
    <w:sdt>
      <w:sdtPr>
        <w:rPr>
          <w:color w:val="001C40" w:themeColor="text2"/>
          <w:szCs w:val="18"/>
        </w:rPr>
        <w:id w:val="38782915"/>
        <w:docPartObj>
          <w:docPartGallery w:val="Page Numbers (Top of Page)"/>
          <w:docPartUnique/>
        </w:docPartObj>
      </w:sdtPr>
      <w:sdtEndPr/>
      <w:sdtContent>
        <w:r w:rsidR="002117E6" w:rsidRPr="001D7905">
          <w:rPr>
            <w:color w:val="001C40" w:themeColor="text2"/>
            <w:szCs w:val="18"/>
          </w:rPr>
          <w:t xml:space="preserve">Page </w:t>
        </w:r>
        <w:r w:rsidR="002117E6" w:rsidRPr="001D7905">
          <w:rPr>
            <w:bCs/>
            <w:color w:val="001C40" w:themeColor="text2"/>
            <w:szCs w:val="18"/>
          </w:rPr>
          <w:fldChar w:fldCharType="begin"/>
        </w:r>
        <w:r w:rsidR="002117E6" w:rsidRPr="001D7905">
          <w:rPr>
            <w:bCs/>
            <w:color w:val="001C40" w:themeColor="text2"/>
            <w:szCs w:val="18"/>
          </w:rPr>
          <w:instrText xml:space="preserve"> PAGE </w:instrText>
        </w:r>
        <w:r w:rsidR="002117E6" w:rsidRPr="001D7905">
          <w:rPr>
            <w:bCs/>
            <w:color w:val="001C40" w:themeColor="text2"/>
            <w:szCs w:val="18"/>
          </w:rPr>
          <w:fldChar w:fldCharType="separate"/>
        </w:r>
        <w:r>
          <w:rPr>
            <w:bCs/>
            <w:noProof/>
            <w:color w:val="001C40" w:themeColor="text2"/>
            <w:szCs w:val="18"/>
          </w:rPr>
          <w:t>2</w:t>
        </w:r>
        <w:r w:rsidR="002117E6" w:rsidRPr="001D7905">
          <w:rPr>
            <w:bCs/>
            <w:color w:val="001C40" w:themeColor="text2"/>
            <w:szCs w:val="18"/>
          </w:rPr>
          <w:fldChar w:fldCharType="end"/>
        </w:r>
        <w:r w:rsidR="002117E6" w:rsidRPr="001D7905">
          <w:rPr>
            <w:color w:val="001C40" w:themeColor="text2"/>
            <w:szCs w:val="18"/>
          </w:rPr>
          <w:t xml:space="preserve"> of </w:t>
        </w:r>
        <w:r w:rsidR="002117E6" w:rsidRPr="001D7905">
          <w:rPr>
            <w:bCs/>
            <w:color w:val="001C40" w:themeColor="text2"/>
            <w:szCs w:val="18"/>
          </w:rPr>
          <w:fldChar w:fldCharType="begin"/>
        </w:r>
        <w:r w:rsidR="002117E6" w:rsidRPr="001D7905">
          <w:rPr>
            <w:bCs/>
            <w:color w:val="001C40" w:themeColor="text2"/>
            <w:szCs w:val="18"/>
          </w:rPr>
          <w:instrText xml:space="preserve"> NUMPAGES  </w:instrText>
        </w:r>
        <w:r w:rsidR="002117E6" w:rsidRPr="001D7905">
          <w:rPr>
            <w:bCs/>
            <w:color w:val="001C40" w:themeColor="text2"/>
            <w:szCs w:val="18"/>
          </w:rPr>
          <w:fldChar w:fldCharType="separate"/>
        </w:r>
        <w:r>
          <w:rPr>
            <w:bCs/>
            <w:noProof/>
            <w:color w:val="001C40" w:themeColor="text2"/>
            <w:szCs w:val="18"/>
          </w:rPr>
          <w:t>2</w:t>
        </w:r>
        <w:r w:rsidR="002117E6" w:rsidRPr="001D7905">
          <w:rPr>
            <w:bCs/>
            <w:color w:val="001C40" w:themeColor="text2"/>
            <w:szCs w:val="18"/>
          </w:rPr>
          <w:fldChar w:fldCharType="end"/>
        </w:r>
      </w:sdtContent>
    </w:sdt>
  </w:p>
  <w:p w14:paraId="0EE8D10C" w14:textId="77777777" w:rsidR="002117E6" w:rsidRPr="002117E6" w:rsidRDefault="009313D2" w:rsidP="006A2F0E">
    <w:pPr>
      <w:pStyle w:val="Footer"/>
      <w:tabs>
        <w:tab w:val="center" w:pos="4536"/>
        <w:tab w:val="right" w:pos="9498"/>
      </w:tabs>
      <w:ind w:right="-613"/>
      <w:rPr>
        <w:rStyle w:val="Hyperlink"/>
        <w:color w:val="auto"/>
        <w:szCs w:val="18"/>
      </w:rPr>
    </w:pPr>
    <w:r>
      <w:tab/>
    </w:r>
    <w:hyperlink r:id="rId4" w:history="1">
      <w:r w:rsidR="002117E6" w:rsidRPr="0037566A">
        <w:rPr>
          <w:rStyle w:val="Hyperlink"/>
          <w:szCs w:val="18"/>
        </w:rPr>
        <w:t>www.classification.gov.au</w:t>
      </w:r>
    </w:hyperlink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190BC2" w14:textId="77777777" w:rsidR="0094124E" w:rsidRDefault="009B7EF0" w:rsidP="009B7EF0">
    <w:pPr>
      <w:pStyle w:val="Footer"/>
      <w:tabs>
        <w:tab w:val="center" w:pos="4536"/>
        <w:tab w:val="right" w:pos="9498"/>
      </w:tabs>
      <w:ind w:left="-1440" w:right="-613"/>
    </w:pPr>
    <w:r>
      <w:rPr>
        <w:noProof/>
        <w:lang w:eastAsia="en-AU"/>
      </w:rPr>
      <w:drawing>
        <wp:inline distT="0" distB="0" distL="0" distR="0" wp14:anchorId="71745B51" wp14:editId="17E039C0">
          <wp:extent cx="7596000" cy="400057"/>
          <wp:effectExtent l="0" t="0" r="0" b="6350"/>
          <wp:docPr id="69" name="Picture 69" descr="Decorative banner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oCA Template Elements v3-0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6000" cy="4000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1E4DE47" w14:textId="77777777" w:rsidR="009313D2" w:rsidRPr="0037566A" w:rsidRDefault="009313D2" w:rsidP="0094124E">
    <w:pPr>
      <w:pStyle w:val="Footer"/>
      <w:tabs>
        <w:tab w:val="center" w:pos="4536"/>
        <w:tab w:val="right" w:pos="9498"/>
      </w:tabs>
      <w:ind w:right="-613"/>
      <w:rPr>
        <w:szCs w:val="18"/>
      </w:rPr>
    </w:pPr>
    <w:r>
      <w:tab/>
    </w:r>
    <w:hyperlink r:id="rId2" w:history="1">
      <w:r w:rsidR="0094124E" w:rsidRPr="002725BE">
        <w:rPr>
          <w:rStyle w:val="Hyperlink"/>
          <w:szCs w:val="18"/>
        </w:rPr>
        <w:t>www.communications.gov.au</w:t>
      </w:r>
    </w:hyperlink>
  </w:p>
  <w:p w14:paraId="04302A9B" w14:textId="77777777" w:rsidR="009313D2" w:rsidRPr="002117E6" w:rsidRDefault="000D5016" w:rsidP="009B7EF0">
    <w:pPr>
      <w:pStyle w:val="Footer"/>
      <w:tabs>
        <w:tab w:val="center" w:pos="4536"/>
        <w:tab w:val="right" w:pos="9498"/>
      </w:tabs>
      <w:ind w:right="-46"/>
      <w:rPr>
        <w:rStyle w:val="Hyperlink"/>
        <w:color w:val="auto"/>
        <w:szCs w:val="18"/>
      </w:rPr>
    </w:pPr>
    <w:r>
      <w:rPr>
        <w:szCs w:val="18"/>
      </w:rPr>
      <w:t>Rehabilitation and Injury Management Policy</w:t>
    </w:r>
    <w:r w:rsidR="009313D2">
      <w:rPr>
        <w:szCs w:val="18"/>
      </w:rPr>
      <w:tab/>
    </w:r>
    <w:hyperlink r:id="rId3" w:history="1">
      <w:r w:rsidR="009313D2" w:rsidRPr="0037566A">
        <w:rPr>
          <w:rStyle w:val="Hyperlink"/>
          <w:szCs w:val="18"/>
        </w:rPr>
        <w:t>www.arts.gov.au</w:t>
      </w:r>
    </w:hyperlink>
    <w:r w:rsidR="009313D2" w:rsidRPr="0037566A">
      <w:rPr>
        <w:szCs w:val="18"/>
      </w:rPr>
      <w:tab/>
    </w:r>
    <w:sdt>
      <w:sdtPr>
        <w:rPr>
          <w:szCs w:val="18"/>
        </w:rPr>
        <w:id w:val="-287442349"/>
        <w:docPartObj>
          <w:docPartGallery w:val="Page Numbers (Top of Page)"/>
          <w:docPartUnique/>
        </w:docPartObj>
      </w:sdtPr>
      <w:sdtEndPr/>
      <w:sdtContent>
        <w:r w:rsidR="009313D2" w:rsidRPr="0037566A">
          <w:rPr>
            <w:szCs w:val="18"/>
          </w:rPr>
          <w:t xml:space="preserve">Page </w:t>
        </w:r>
        <w:r w:rsidR="009313D2" w:rsidRPr="0037566A">
          <w:rPr>
            <w:bCs/>
            <w:szCs w:val="18"/>
          </w:rPr>
          <w:fldChar w:fldCharType="begin"/>
        </w:r>
        <w:r w:rsidR="009313D2" w:rsidRPr="0037566A">
          <w:rPr>
            <w:bCs/>
            <w:szCs w:val="18"/>
          </w:rPr>
          <w:instrText xml:space="preserve"> PAGE </w:instrText>
        </w:r>
        <w:r w:rsidR="009313D2" w:rsidRPr="0037566A">
          <w:rPr>
            <w:bCs/>
            <w:szCs w:val="18"/>
          </w:rPr>
          <w:fldChar w:fldCharType="separate"/>
        </w:r>
        <w:r>
          <w:rPr>
            <w:bCs/>
            <w:noProof/>
            <w:szCs w:val="18"/>
          </w:rPr>
          <w:t>1</w:t>
        </w:r>
        <w:r w:rsidR="009313D2" w:rsidRPr="0037566A">
          <w:rPr>
            <w:bCs/>
            <w:szCs w:val="18"/>
          </w:rPr>
          <w:fldChar w:fldCharType="end"/>
        </w:r>
        <w:r w:rsidR="009313D2" w:rsidRPr="0037566A">
          <w:rPr>
            <w:szCs w:val="18"/>
          </w:rPr>
          <w:t xml:space="preserve"> of </w:t>
        </w:r>
        <w:r w:rsidR="009313D2" w:rsidRPr="0037566A">
          <w:rPr>
            <w:bCs/>
            <w:szCs w:val="18"/>
          </w:rPr>
          <w:fldChar w:fldCharType="begin"/>
        </w:r>
        <w:r w:rsidR="009313D2" w:rsidRPr="0037566A">
          <w:rPr>
            <w:bCs/>
            <w:szCs w:val="18"/>
          </w:rPr>
          <w:instrText xml:space="preserve"> NUMPAGES  </w:instrText>
        </w:r>
        <w:r w:rsidR="009313D2" w:rsidRPr="0037566A">
          <w:rPr>
            <w:bCs/>
            <w:szCs w:val="18"/>
          </w:rPr>
          <w:fldChar w:fldCharType="separate"/>
        </w:r>
        <w:r>
          <w:rPr>
            <w:bCs/>
            <w:noProof/>
            <w:szCs w:val="18"/>
          </w:rPr>
          <w:t>2</w:t>
        </w:r>
        <w:r w:rsidR="009313D2" w:rsidRPr="0037566A">
          <w:rPr>
            <w:bCs/>
            <w:szCs w:val="18"/>
          </w:rPr>
          <w:fldChar w:fldCharType="end"/>
        </w:r>
      </w:sdtContent>
    </w:sdt>
  </w:p>
  <w:p w14:paraId="46DF237F" w14:textId="77777777" w:rsidR="009313D2" w:rsidRPr="002117E6" w:rsidRDefault="009313D2" w:rsidP="0094124E">
    <w:pPr>
      <w:pStyle w:val="Footer"/>
      <w:tabs>
        <w:tab w:val="center" w:pos="4536"/>
        <w:tab w:val="right" w:pos="9498"/>
      </w:tabs>
      <w:ind w:right="-613"/>
      <w:rPr>
        <w:rStyle w:val="Hyperlink"/>
        <w:color w:val="auto"/>
        <w:szCs w:val="18"/>
      </w:rPr>
    </w:pPr>
    <w:r>
      <w:tab/>
    </w:r>
    <w:hyperlink r:id="rId4" w:history="1">
      <w:r w:rsidRPr="0037566A">
        <w:rPr>
          <w:rStyle w:val="Hyperlink"/>
          <w:szCs w:val="18"/>
        </w:rPr>
        <w:t>www.classification.gov.au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144FAA" w14:textId="77777777" w:rsidR="000D5016" w:rsidRDefault="000D5016" w:rsidP="002117E6">
      <w:pPr>
        <w:spacing w:after="0"/>
      </w:pPr>
      <w:r>
        <w:separator/>
      </w:r>
    </w:p>
  </w:footnote>
  <w:footnote w:type="continuationSeparator" w:id="0">
    <w:p w14:paraId="415B5737" w14:textId="77777777" w:rsidR="000D5016" w:rsidRDefault="000D5016" w:rsidP="002117E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A0760C" w14:textId="77777777" w:rsidR="002117E6" w:rsidRPr="001D7905" w:rsidRDefault="002117E6" w:rsidP="001D7905">
    <w:pPr>
      <w:pStyle w:val="Header"/>
      <w:tabs>
        <w:tab w:val="right" w:pos="9333"/>
      </w:tabs>
      <w:ind w:right="-46"/>
      <w:rPr>
        <w:color w:val="001C40" w:themeColor="text2"/>
      </w:rPr>
    </w:pPr>
    <w:r w:rsidRPr="001D7905">
      <w:rPr>
        <w:color w:val="001C40" w:themeColor="text2"/>
      </w:rPr>
      <w:t>Department of Communications and the Arts</w:t>
    </w:r>
    <w:r w:rsidRPr="001D7905">
      <w:rPr>
        <w:color w:val="001C40" w:themeColor="text2"/>
      </w:rPr>
      <w:tab/>
    </w:r>
    <w:r w:rsidRPr="001D7905">
      <w:rPr>
        <w:color w:val="001C40" w:themeColor="text2"/>
      </w:rPr>
      <w:tab/>
    </w:r>
    <w:r w:rsidR="000D5016">
      <w:rPr>
        <w:color w:val="001C40" w:themeColor="text2"/>
      </w:rPr>
      <w:t>March 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2F2D20"/>
    <w:multiLevelType w:val="hybridMultilevel"/>
    <w:tmpl w:val="1AC69F2C"/>
    <w:lvl w:ilvl="0" w:tplc="8DEAB1F2">
      <w:start w:val="1"/>
      <w:numFmt w:val="bullet"/>
      <w:pStyle w:val="Bulletlevel1"/>
      <w:lvlText w:val=""/>
      <w:lvlJc w:val="left"/>
      <w:pPr>
        <w:ind w:left="360" w:hanging="360"/>
      </w:pPr>
      <w:rPr>
        <w:rFonts w:ascii="Symbol" w:hAnsi="Symbol" w:cs="Calibri" w:hint="default"/>
        <w:bCs w:val="0"/>
        <w:iCs w:val="0"/>
        <w:caps w:val="0"/>
        <w:strike w:val="0"/>
        <w:dstrike w:val="0"/>
        <w:vanish w:val="0"/>
        <w:color w:val="0F293A"/>
        <w:sz w:val="22"/>
        <w:szCs w:val="22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8F0704"/>
    <w:multiLevelType w:val="hybridMultilevel"/>
    <w:tmpl w:val="BA14497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3107305"/>
    <w:multiLevelType w:val="multilevel"/>
    <w:tmpl w:val="ABB013D0"/>
    <w:styleLink w:val="BulletsList"/>
    <w:lvl w:ilvl="0">
      <w:start w:val="1"/>
      <w:numFmt w:val="bullet"/>
      <w:pStyle w:val="Bullet1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pStyle w:val="Bullet2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Arial" w:hAnsi="Arial"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3" w15:restartNumberingAfterBreak="0">
    <w:nsid w:val="75B504F0"/>
    <w:multiLevelType w:val="hybridMultilevel"/>
    <w:tmpl w:val="AC4ED6F8"/>
    <w:lvl w:ilvl="0" w:tplc="91E8E848">
      <w:start w:val="1"/>
      <w:numFmt w:val="bullet"/>
      <w:pStyle w:val="Checkboxemptybulletpoint"/>
      <w:lvlText w:val=""/>
      <w:lvlJc w:val="left"/>
      <w:pPr>
        <w:ind w:left="360" w:hanging="360"/>
      </w:pPr>
      <w:rPr>
        <w:rFonts w:ascii="Wingdings" w:hAnsi="Wingdings" w:hint="default"/>
        <w:caps w:val="0"/>
        <w:strike w:val="0"/>
        <w:dstrike w:val="0"/>
        <w:vanish w:val="0"/>
        <w:webHidden w:val="0"/>
        <w:color w:val="0F293A"/>
        <w:sz w:val="22"/>
        <w:u w:val="none"/>
        <w:effect w:val="none"/>
        <w:vertAlign w:val="baseline"/>
        <w:specVanish w:val="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>
      <w:lvl w:ilvl="0">
        <w:start w:val="1"/>
        <w:numFmt w:val="bullet"/>
        <w:pStyle w:val="Bullet1"/>
        <w:lvlText w:val=""/>
        <w:lvlJc w:val="left"/>
        <w:pPr>
          <w:ind w:left="284" w:hanging="284"/>
        </w:pPr>
        <w:rPr>
          <w:rFonts w:ascii="Symbol" w:hAnsi="Symbol" w:hint="default"/>
          <w:color w:val="auto"/>
        </w:rPr>
      </w:lvl>
    </w:lvlOverride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016"/>
    <w:rsid w:val="000D5016"/>
    <w:rsid w:val="001471EA"/>
    <w:rsid w:val="001472FC"/>
    <w:rsid w:val="00185E9F"/>
    <w:rsid w:val="0019701B"/>
    <w:rsid w:val="001D7905"/>
    <w:rsid w:val="002117E6"/>
    <w:rsid w:val="00293DD6"/>
    <w:rsid w:val="00335334"/>
    <w:rsid w:val="00381364"/>
    <w:rsid w:val="003F495D"/>
    <w:rsid w:val="00450D6E"/>
    <w:rsid w:val="00544465"/>
    <w:rsid w:val="005563F2"/>
    <w:rsid w:val="00556993"/>
    <w:rsid w:val="00565B47"/>
    <w:rsid w:val="00575A5A"/>
    <w:rsid w:val="005932D0"/>
    <w:rsid w:val="0061446D"/>
    <w:rsid w:val="0064138E"/>
    <w:rsid w:val="006A2F0E"/>
    <w:rsid w:val="006B1D67"/>
    <w:rsid w:val="006F06FD"/>
    <w:rsid w:val="00704033"/>
    <w:rsid w:val="00753BB6"/>
    <w:rsid w:val="008A4B1F"/>
    <w:rsid w:val="009313D2"/>
    <w:rsid w:val="0094124E"/>
    <w:rsid w:val="009616F2"/>
    <w:rsid w:val="009B7EF0"/>
    <w:rsid w:val="009E12E4"/>
    <w:rsid w:val="00A241FE"/>
    <w:rsid w:val="00A548F7"/>
    <w:rsid w:val="00AE4F02"/>
    <w:rsid w:val="00B049A4"/>
    <w:rsid w:val="00B55747"/>
    <w:rsid w:val="00BC329E"/>
    <w:rsid w:val="00BE7E66"/>
    <w:rsid w:val="00DD5D52"/>
    <w:rsid w:val="00EA6D34"/>
    <w:rsid w:val="00F408EE"/>
    <w:rsid w:val="00F7051B"/>
    <w:rsid w:val="00F93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AD97CA"/>
  <w15:chartTrackingRefBased/>
  <w15:docId w15:val="{7515CA9C-9DD1-46D2-A767-8D008475C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124E"/>
    <w:pPr>
      <w:spacing w:after="20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3F495D"/>
    <w:pPr>
      <w:keepNext/>
      <w:spacing w:before="400"/>
      <w:outlineLvl w:val="0"/>
    </w:pPr>
    <w:rPr>
      <w:rFonts w:asciiTheme="majorHAnsi" w:eastAsiaTheme="majorEastAsia" w:hAnsiTheme="majorHAnsi" w:cstheme="majorBidi"/>
      <w:b/>
      <w:color w:val="001C40" w:themeColor="text2"/>
      <w:sz w:val="48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F495D"/>
    <w:pPr>
      <w:keepNext/>
      <w:outlineLvl w:val="1"/>
    </w:pPr>
    <w:rPr>
      <w:rFonts w:asciiTheme="majorHAnsi" w:eastAsiaTheme="majorEastAsia" w:hAnsiTheme="majorHAnsi" w:cstheme="majorBidi"/>
      <w:b/>
      <w:color w:val="001C40" w:themeColor="text2"/>
      <w:sz w:val="36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F495D"/>
    <w:pPr>
      <w:keepNext/>
      <w:spacing w:after="120"/>
      <w:outlineLvl w:val="2"/>
    </w:pPr>
    <w:rPr>
      <w:rFonts w:asciiTheme="majorHAnsi" w:eastAsiaTheme="majorEastAsia" w:hAnsiTheme="majorHAnsi" w:cstheme="majorBidi"/>
      <w:b/>
      <w:color w:val="001C40" w:themeColor="text2"/>
      <w:sz w:val="30"/>
      <w:szCs w:val="24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F495D"/>
    <w:pPr>
      <w:keepNext/>
      <w:keepLines/>
      <w:spacing w:after="120"/>
      <w:outlineLvl w:val="3"/>
    </w:pPr>
    <w:rPr>
      <w:rFonts w:asciiTheme="majorHAnsi" w:eastAsiaTheme="majorEastAsia" w:hAnsiTheme="majorHAnsi" w:cstheme="majorBidi"/>
      <w:b/>
      <w:bCs/>
      <w:color w:val="001C40" w:themeColor="text2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F495D"/>
    <w:pPr>
      <w:keepNext/>
      <w:keepLines/>
      <w:spacing w:after="60"/>
      <w:outlineLvl w:val="4"/>
    </w:pPr>
    <w:rPr>
      <w:rFonts w:asciiTheme="majorHAnsi" w:eastAsiaTheme="majorEastAsia" w:hAnsiTheme="majorHAnsi" w:cstheme="majorBidi"/>
      <w:color w:val="001C40" w:themeColor="text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F495D"/>
    <w:pPr>
      <w:keepNext/>
      <w:keepLines/>
      <w:spacing w:after="60"/>
      <w:outlineLvl w:val="5"/>
    </w:pPr>
    <w:rPr>
      <w:rFonts w:asciiTheme="majorHAnsi" w:eastAsiaTheme="majorEastAsia" w:hAnsiTheme="majorHAnsi" w:cstheme="majorBidi"/>
      <w:i/>
      <w:iCs/>
      <w:color w:val="001C40" w:themeColor="text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3F495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1C40" w:themeColor="text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3F495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1177AD" w:themeColor="accent4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55699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495D"/>
    <w:rPr>
      <w:rFonts w:asciiTheme="majorHAnsi" w:eastAsiaTheme="majorEastAsia" w:hAnsiTheme="majorHAnsi" w:cstheme="majorBidi"/>
      <w:b/>
      <w:color w:val="001C40" w:themeColor="text2"/>
      <w:sz w:val="48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3F495D"/>
    <w:rPr>
      <w:rFonts w:asciiTheme="majorHAnsi" w:eastAsiaTheme="majorEastAsia" w:hAnsiTheme="majorHAnsi" w:cstheme="majorBidi"/>
      <w:b/>
      <w:color w:val="001C40" w:themeColor="text2"/>
      <w:sz w:val="36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3F495D"/>
    <w:rPr>
      <w:rFonts w:asciiTheme="majorHAnsi" w:eastAsiaTheme="majorEastAsia" w:hAnsiTheme="majorHAnsi" w:cstheme="majorBidi"/>
      <w:b/>
      <w:color w:val="001C40" w:themeColor="text2"/>
      <w:sz w:val="30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3F495D"/>
    <w:rPr>
      <w:color w:val="1177AD" w:themeColor="accent4"/>
      <w:u w:val="single"/>
    </w:rPr>
  </w:style>
  <w:style w:type="paragraph" w:customStyle="1" w:styleId="Bulletlevel1">
    <w:name w:val="Bullet level 1"/>
    <w:basedOn w:val="Normal"/>
    <w:qFormat/>
    <w:rsid w:val="002117E6"/>
    <w:pPr>
      <w:numPr>
        <w:numId w:val="1"/>
      </w:numPr>
      <w:ind w:left="567" w:hanging="567"/>
      <w:contextualSpacing/>
    </w:pPr>
    <w:rPr>
      <w:rFonts w:eastAsiaTheme="minorHAnsi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3F495D"/>
    <w:pPr>
      <w:ind w:left="567"/>
    </w:pPr>
    <w:rPr>
      <w:rFonts w:eastAsiaTheme="minorHAnsi"/>
      <w:i/>
      <w:iCs/>
      <w:color w:val="1177AD" w:themeColor="accent4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3F495D"/>
    <w:rPr>
      <w:rFonts w:eastAsiaTheme="minorHAnsi"/>
      <w:i/>
      <w:iCs/>
      <w:color w:val="1177AD" w:themeColor="accent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6B1D67"/>
    <w:pPr>
      <w:tabs>
        <w:tab w:val="center" w:pos="4678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B1D67"/>
  </w:style>
  <w:style w:type="paragraph" w:styleId="Footer">
    <w:name w:val="footer"/>
    <w:basedOn w:val="Normal"/>
    <w:link w:val="FooterChar"/>
    <w:uiPriority w:val="99"/>
    <w:unhideWhenUsed/>
    <w:rsid w:val="006B1D67"/>
    <w:pPr>
      <w:tabs>
        <w:tab w:val="center" w:pos="4678"/>
        <w:tab w:val="right" w:pos="9072"/>
      </w:tabs>
      <w:spacing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6B1D67"/>
    <w:rPr>
      <w:sz w:val="18"/>
    </w:rPr>
  </w:style>
  <w:style w:type="character" w:customStyle="1" w:styleId="Heading4Char">
    <w:name w:val="Heading 4 Char"/>
    <w:basedOn w:val="DefaultParagraphFont"/>
    <w:link w:val="Heading4"/>
    <w:uiPriority w:val="9"/>
    <w:rsid w:val="003F495D"/>
    <w:rPr>
      <w:rFonts w:asciiTheme="majorHAnsi" w:eastAsiaTheme="majorEastAsia" w:hAnsiTheme="majorHAnsi" w:cstheme="majorBidi"/>
      <w:b/>
      <w:bCs/>
      <w:color w:val="001C40" w:themeColor="text2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3F495D"/>
    <w:rPr>
      <w:rFonts w:asciiTheme="majorHAnsi" w:eastAsiaTheme="majorEastAsia" w:hAnsiTheme="majorHAnsi" w:cstheme="majorBidi"/>
      <w:color w:val="001C40" w:themeColor="text2"/>
    </w:rPr>
  </w:style>
  <w:style w:type="table" w:styleId="TableGrid">
    <w:name w:val="Table Grid"/>
    <w:basedOn w:val="TableNormal"/>
    <w:uiPriority w:val="39"/>
    <w:rsid w:val="002117E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gureheading">
    <w:name w:val="Table/figure heading"/>
    <w:basedOn w:val="Normal"/>
    <w:next w:val="Normal"/>
    <w:qFormat/>
    <w:rsid w:val="003F495D"/>
    <w:pPr>
      <w:keepNext/>
      <w:spacing w:after="0"/>
    </w:pPr>
    <w:rPr>
      <w:rFonts w:asciiTheme="majorHAnsi" w:eastAsiaTheme="minorHAnsi" w:hAnsiTheme="majorHAnsi"/>
      <w:b/>
      <w:color w:val="1177AD" w:themeColor="accent4"/>
      <w:lang w:eastAsia="en-US"/>
    </w:rPr>
  </w:style>
  <w:style w:type="paragraph" w:customStyle="1" w:styleId="Tabletextcentred">
    <w:name w:val="Table text centred"/>
    <w:basedOn w:val="Normal"/>
    <w:next w:val="NoSpacing"/>
    <w:rsid w:val="002117E6"/>
    <w:pPr>
      <w:spacing w:after="0"/>
      <w:jc w:val="center"/>
    </w:pPr>
    <w:rPr>
      <w:rFonts w:eastAsia="Times New Roman" w:cs="Times New Roman"/>
      <w:szCs w:val="20"/>
      <w:lang w:eastAsia="en-US"/>
    </w:rPr>
  </w:style>
  <w:style w:type="paragraph" w:customStyle="1" w:styleId="Tableheading">
    <w:name w:val="Table heading"/>
    <w:basedOn w:val="Normal"/>
    <w:next w:val="Normal"/>
    <w:rsid w:val="002117E6"/>
    <w:pPr>
      <w:spacing w:after="0"/>
    </w:pPr>
    <w:rPr>
      <w:rFonts w:eastAsia="Times New Roman" w:cs="Times New Roman"/>
      <w:b/>
      <w:bCs/>
      <w:szCs w:val="20"/>
      <w:lang w:eastAsia="en-US"/>
    </w:rPr>
  </w:style>
  <w:style w:type="paragraph" w:customStyle="1" w:styleId="Tablerowcolumnheadingcentred">
    <w:name w:val="Table row/column heading centred"/>
    <w:basedOn w:val="Normal"/>
    <w:next w:val="Normal"/>
    <w:rsid w:val="002117E6"/>
    <w:pPr>
      <w:spacing w:after="0"/>
      <w:jc w:val="center"/>
    </w:pPr>
    <w:rPr>
      <w:rFonts w:eastAsia="Times New Roman" w:cs="Times New Roman"/>
      <w:b/>
      <w:bCs/>
      <w:szCs w:val="20"/>
      <w:lang w:eastAsia="en-US"/>
    </w:rPr>
  </w:style>
  <w:style w:type="paragraph" w:customStyle="1" w:styleId="Tabletext">
    <w:name w:val="Table text"/>
    <w:basedOn w:val="Tabletextcentred"/>
    <w:qFormat/>
    <w:rsid w:val="002117E6"/>
    <w:pPr>
      <w:jc w:val="left"/>
    </w:pPr>
  </w:style>
  <w:style w:type="paragraph" w:styleId="NoSpacing">
    <w:name w:val="No Spacing"/>
    <w:uiPriority w:val="1"/>
    <w:qFormat/>
    <w:rsid w:val="002117E6"/>
    <w:pPr>
      <w:spacing w:after="0" w:line="240" w:lineRule="auto"/>
    </w:pPr>
  </w:style>
  <w:style w:type="paragraph" w:customStyle="1" w:styleId="Tablerowcolumnheading">
    <w:name w:val="Table row/column heading"/>
    <w:basedOn w:val="Normal"/>
    <w:next w:val="Normal"/>
    <w:rsid w:val="002117E6"/>
    <w:pPr>
      <w:spacing w:after="0"/>
    </w:pPr>
    <w:rPr>
      <w:rFonts w:eastAsia="Times New Roman" w:cs="Times New Roman"/>
      <w:b/>
      <w:bCs/>
      <w:szCs w:val="20"/>
      <w:lang w:eastAsia="en-US"/>
    </w:rPr>
  </w:style>
  <w:style w:type="paragraph" w:customStyle="1" w:styleId="Checkboxemptybulletpoint">
    <w:name w:val="Check box empty bullet point"/>
    <w:basedOn w:val="Bulletlevel1"/>
    <w:qFormat/>
    <w:rsid w:val="002117E6"/>
    <w:pPr>
      <w:numPr>
        <w:numId w:val="2"/>
      </w:numPr>
      <w:spacing w:after="0"/>
      <w:ind w:left="567" w:hanging="567"/>
    </w:pPr>
  </w:style>
  <w:style w:type="character" w:customStyle="1" w:styleId="Heading6Char">
    <w:name w:val="Heading 6 Char"/>
    <w:basedOn w:val="DefaultParagraphFont"/>
    <w:link w:val="Heading6"/>
    <w:uiPriority w:val="9"/>
    <w:rsid w:val="003F495D"/>
    <w:rPr>
      <w:rFonts w:asciiTheme="majorHAnsi" w:eastAsiaTheme="majorEastAsia" w:hAnsiTheme="majorHAnsi" w:cstheme="majorBidi"/>
      <w:i/>
      <w:iCs/>
      <w:color w:val="001C40" w:themeColor="text2"/>
    </w:rPr>
  </w:style>
  <w:style w:type="character" w:customStyle="1" w:styleId="Heading7Char">
    <w:name w:val="Heading 7 Char"/>
    <w:basedOn w:val="DefaultParagraphFont"/>
    <w:link w:val="Heading7"/>
    <w:uiPriority w:val="9"/>
    <w:rsid w:val="003F495D"/>
    <w:rPr>
      <w:rFonts w:asciiTheme="majorHAnsi" w:eastAsiaTheme="majorEastAsia" w:hAnsiTheme="majorHAnsi" w:cstheme="majorBidi"/>
      <w:i/>
      <w:iCs/>
      <w:color w:val="001C40" w:themeColor="text2"/>
    </w:rPr>
  </w:style>
  <w:style w:type="character" w:customStyle="1" w:styleId="Heading8Char">
    <w:name w:val="Heading 8 Char"/>
    <w:basedOn w:val="DefaultParagraphFont"/>
    <w:link w:val="Heading8"/>
    <w:uiPriority w:val="9"/>
    <w:rsid w:val="003F495D"/>
    <w:rPr>
      <w:rFonts w:asciiTheme="majorHAnsi" w:eastAsiaTheme="majorEastAsia" w:hAnsiTheme="majorHAnsi" w:cstheme="majorBidi"/>
      <w:color w:val="1177AD" w:themeColor="accent4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556993"/>
    <w:rPr>
      <w:rFonts w:asciiTheme="majorHAnsi" w:eastAsiaTheme="majorEastAsia" w:hAnsiTheme="majorHAnsi" w:cstheme="majorBidi"/>
      <w:i/>
      <w:iCs/>
      <w:sz w:val="21"/>
      <w:szCs w:val="21"/>
    </w:rPr>
  </w:style>
  <w:style w:type="character" w:styleId="PlaceholderText">
    <w:name w:val="Placeholder Text"/>
    <w:basedOn w:val="DefaultParagraphFont"/>
    <w:uiPriority w:val="99"/>
    <w:semiHidden/>
    <w:rsid w:val="0064138E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9B7EF0"/>
    <w:rPr>
      <w:color w:val="800080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4124E"/>
    <w:rPr>
      <w:color w:val="808080"/>
      <w:shd w:val="clear" w:color="auto" w:fill="E6E6E6"/>
    </w:rPr>
  </w:style>
  <w:style w:type="paragraph" w:customStyle="1" w:styleId="StyleBulletlevel1BoxSinglesolidlineAuto075ptLine">
    <w:name w:val="Style Bullet level 1 + Box: (Single solid line Auto  0.75 pt Line..."/>
    <w:basedOn w:val="Bulletlevel1"/>
    <w:rsid w:val="006B1D67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clear" w:color="auto" w:fill="E4E4E4"/>
    </w:pPr>
    <w:rPr>
      <w:rFonts w:eastAsia="Times New Roman" w:cs="Times New Roman"/>
      <w:szCs w:val="20"/>
    </w:rPr>
  </w:style>
  <w:style w:type="paragraph" w:customStyle="1" w:styleId="Sourcenote">
    <w:name w:val="Source / note"/>
    <w:basedOn w:val="Normal"/>
    <w:next w:val="Normal"/>
    <w:qFormat/>
    <w:rsid w:val="00704033"/>
    <w:pPr>
      <w:spacing w:after="160" w:line="256" w:lineRule="auto"/>
    </w:pPr>
    <w:rPr>
      <w:sz w:val="20"/>
      <w:szCs w:val="20"/>
    </w:rPr>
  </w:style>
  <w:style w:type="paragraph" w:styleId="ListParagraph">
    <w:name w:val="List Paragraph"/>
    <w:basedOn w:val="Normal"/>
    <w:link w:val="ListParagraphChar"/>
    <w:uiPriority w:val="1"/>
    <w:qFormat/>
    <w:rsid w:val="000D5016"/>
    <w:pPr>
      <w:spacing w:after="240"/>
      <w:ind w:left="1134" w:hanging="567"/>
      <w:contextualSpacing/>
    </w:pPr>
    <w:rPr>
      <w:rFonts w:eastAsiaTheme="minorHAnsi"/>
      <w:lang w:eastAsia="en-US"/>
    </w:rPr>
  </w:style>
  <w:style w:type="character" w:customStyle="1" w:styleId="ListParagraphChar">
    <w:name w:val="List Paragraph Char"/>
    <w:basedOn w:val="DefaultParagraphFont"/>
    <w:link w:val="ListParagraph"/>
    <w:uiPriority w:val="1"/>
    <w:locked/>
    <w:rsid w:val="000D5016"/>
    <w:rPr>
      <w:rFonts w:eastAsiaTheme="minorHAnsi"/>
      <w:lang w:eastAsia="en-US"/>
    </w:rPr>
  </w:style>
  <w:style w:type="paragraph" w:customStyle="1" w:styleId="Bullet1">
    <w:name w:val="Bullet 1"/>
    <w:basedOn w:val="Normal"/>
    <w:qFormat/>
    <w:rsid w:val="000D5016"/>
    <w:pPr>
      <w:numPr>
        <w:numId w:val="3"/>
      </w:numPr>
      <w:suppressAutoHyphens/>
      <w:spacing w:before="120" w:after="60" w:line="280" w:lineRule="atLeast"/>
    </w:pPr>
    <w:rPr>
      <w:rFonts w:eastAsiaTheme="minorHAnsi"/>
      <w:lang w:eastAsia="en-US"/>
    </w:rPr>
  </w:style>
  <w:style w:type="paragraph" w:customStyle="1" w:styleId="Bullet2">
    <w:name w:val="Bullet 2"/>
    <w:basedOn w:val="Bullet1"/>
    <w:qFormat/>
    <w:rsid w:val="000D5016"/>
    <w:pPr>
      <w:numPr>
        <w:ilvl w:val="1"/>
      </w:numPr>
    </w:pPr>
  </w:style>
  <w:style w:type="paragraph" w:customStyle="1" w:styleId="Bullet3">
    <w:name w:val="Bullet 3"/>
    <w:basedOn w:val="Bullet2"/>
    <w:qFormat/>
    <w:rsid w:val="000D5016"/>
    <w:pPr>
      <w:numPr>
        <w:ilvl w:val="2"/>
      </w:numPr>
    </w:pPr>
  </w:style>
  <w:style w:type="numbering" w:customStyle="1" w:styleId="BulletsList">
    <w:name w:val="Bullets List"/>
    <w:uiPriority w:val="99"/>
    <w:rsid w:val="000D5016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rts.gov.au" TargetMode="External"/><Relationship Id="rId2" Type="http://schemas.openxmlformats.org/officeDocument/2006/relationships/hyperlink" Target="http://www.communications.gov.au" TargetMode="External"/><Relationship Id="rId1" Type="http://schemas.openxmlformats.org/officeDocument/2006/relationships/image" Target="media/image1.png"/><Relationship Id="rId4" Type="http://schemas.openxmlformats.org/officeDocument/2006/relationships/hyperlink" Target="http://www.classification.gov.au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rts.gov.au" TargetMode="External"/><Relationship Id="rId2" Type="http://schemas.openxmlformats.org/officeDocument/2006/relationships/hyperlink" Target="http://www.communications.gov.au" TargetMode="External"/><Relationship Id="rId1" Type="http://schemas.openxmlformats.org/officeDocument/2006/relationships/image" Target="media/image1.png"/><Relationship Id="rId4" Type="http://schemas.openxmlformats.org/officeDocument/2006/relationships/hyperlink" Target="http://www.classification.gov.a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Templates\DEPT\Department%20-%20document%20-%20template.dotx" TargetMode="External"/></Relationships>
</file>

<file path=word/theme/theme1.xml><?xml version="1.0" encoding="utf-8"?>
<a:theme xmlns:a="http://schemas.openxmlformats.org/drawingml/2006/main" name="Office Theme">
  <a:themeElements>
    <a:clrScheme name="DoCA 2018 1">
      <a:dk1>
        <a:srgbClr val="000225"/>
      </a:dk1>
      <a:lt1>
        <a:srgbClr val="FFFFFF"/>
      </a:lt1>
      <a:dk2>
        <a:srgbClr val="001C40"/>
      </a:dk2>
      <a:lt2>
        <a:srgbClr val="E6E7E8"/>
      </a:lt2>
      <a:accent1>
        <a:srgbClr val="77D0F6"/>
      </a:accent1>
      <a:accent2>
        <a:srgbClr val="4DB2B5"/>
      </a:accent2>
      <a:accent3>
        <a:srgbClr val="415770"/>
      </a:accent3>
      <a:accent4>
        <a:srgbClr val="1177AD"/>
      </a:accent4>
      <a:accent5>
        <a:srgbClr val="FDCB17"/>
      </a:accent5>
      <a:accent6>
        <a:srgbClr val="CBCACA"/>
      </a:accent6>
      <a:hlink>
        <a:srgbClr val="9DFFB2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553DDBAB77D747BAC6F7543B4F0B79" ma:contentTypeVersion="0" ma:contentTypeDescription="Create a new document." ma:contentTypeScope="" ma:versionID="febc9a2b8dd6ac2e2aef36e3331a2a7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D4B90E4-07E1-4BE0-BD68-136B3F51986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A04A579-4454-4DC9-BEBB-46FD4CECA43E}"/>
</file>

<file path=customXml/itemProps3.xml><?xml version="1.0" encoding="utf-8"?>
<ds:datastoreItem xmlns:ds="http://schemas.openxmlformats.org/officeDocument/2006/customXml" ds:itemID="{169F982D-A986-497A-8D1E-2E67914B28BC}"/>
</file>

<file path=customXml/itemProps4.xml><?xml version="1.0" encoding="utf-8"?>
<ds:datastoreItem xmlns:ds="http://schemas.openxmlformats.org/officeDocument/2006/customXml" ds:itemID="{2214B5F3-ABF7-40EF-BDDB-9D1E28E6E72C}"/>
</file>

<file path=docProps/app.xml><?xml version="1.0" encoding="utf-8"?>
<Properties xmlns="http://schemas.openxmlformats.org/officeDocument/2006/extended-properties" xmlns:vt="http://schemas.openxmlformats.org/officeDocument/2006/docPropsVTypes">
  <Template>Department - document - template.dotx</Template>
  <TotalTime>17</TotalTime>
  <Pages>2</Pages>
  <Words>458</Words>
  <Characters>2712</Characters>
  <Application>Microsoft Office Word</Application>
  <DocSecurity>0</DocSecurity>
  <Lines>51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Communications and the Arts</Company>
  <LinksUpToDate>false</LinksUpToDate>
  <CharactersWithSpaces>3170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Rehabilitation and Injury Management Policy - March 2018</dc:title>
  <dc:subject/>
  <dc:creator>Purcell, Lauren</dc:creator>
  <cp:keywords/>
  <dc:description>December 2017</dc:description>
  <cp:lastModifiedBy>Purcell, Lauren</cp:lastModifiedBy>
  <cp:revision>1</cp:revision>
  <dcterms:created xsi:type="dcterms:W3CDTF">2018-03-07T12:50:00Z</dcterms:created>
  <dcterms:modified xsi:type="dcterms:W3CDTF">2018-03-07T13:07:00Z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0x01010081553DDBAB77D747BAC6F7543B4F0B79</vt:lpwstr>
  </property>
  <property fmtid="{D5CDD505-2E9C-101B-9397-08002B2CF9AE}" pid="3" name="TrimRevisionNumber">
    <vt:i4>1</vt:i4>
  </property>
</Properties>
</file>