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DBA7A" w14:textId="3730359E" w:rsidR="00851F8F" w:rsidRDefault="006244CA" w:rsidP="006244CA">
      <w:pPr>
        <w:jc w:val="center"/>
      </w:pPr>
      <w:r>
        <w:rPr>
          <w:noProof/>
        </w:rPr>
        <w:drawing>
          <wp:inline distT="0" distB="0" distL="0" distR="0" wp14:anchorId="56B9FE5A" wp14:editId="385F9EEF">
            <wp:extent cx="3307080" cy="1335876"/>
            <wp:effectExtent l="0" t="0" r="7620" b="0"/>
            <wp:docPr id="5" name="Picture 5" descr="Logo: Australian Government, Department of Communications and the Arts.&#10;&#10;2 Phillip Law Street, Canberra ACT 2601, Australia&#10;GPO Box 2154, Canberra ACT 2601, Australia&#10; telephone +61 (0)2 6271 1000  website communications.gov.au  arts.gov.au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t_of_Comms-Reg-Stacked-Pres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038" cy="136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79F68" w14:textId="77777777" w:rsidR="00851F8F" w:rsidRPr="00851F8F" w:rsidRDefault="00851F8F" w:rsidP="006244CA">
      <w:pPr>
        <w:sectPr w:rsidR="00851F8F" w:rsidRPr="00851F8F" w:rsidSect="006945CF">
          <w:footerReference w:type="default" r:id="rId12"/>
          <w:pgSz w:w="11906" w:h="16838"/>
          <w:pgMar w:top="709" w:right="1440" w:bottom="1440" w:left="1440" w:header="0" w:footer="283" w:gutter="0"/>
          <w:cols w:space="708"/>
          <w:docGrid w:linePitch="360"/>
        </w:sectPr>
      </w:pPr>
    </w:p>
    <w:p w14:paraId="0F2B1E65" w14:textId="77777777" w:rsidR="006945CF" w:rsidRDefault="00B0090B" w:rsidP="006244CA">
      <w:pPr>
        <w:pStyle w:val="Recipientaddress"/>
      </w:pPr>
      <w:r>
        <w:t xml:space="preserve">Suzanne </w:t>
      </w:r>
      <w:proofErr w:type="spellStart"/>
      <w:r>
        <w:t>Ewart</w:t>
      </w:r>
      <w:proofErr w:type="spellEnd"/>
    </w:p>
    <w:p w14:paraId="0439B25B" w14:textId="77777777" w:rsidR="006945CF" w:rsidRDefault="00B0090B" w:rsidP="006244CA">
      <w:pPr>
        <w:pStyle w:val="Recipientaddress"/>
      </w:pPr>
      <w:r>
        <w:t>Interim Chair</w:t>
      </w:r>
      <w:r w:rsidR="000578A4">
        <w:t>, .au Domain Administration</w:t>
      </w:r>
      <w:r>
        <w:t xml:space="preserve"> </w:t>
      </w:r>
    </w:p>
    <w:p w14:paraId="347C003C" w14:textId="77777777" w:rsidR="006945CF" w:rsidRDefault="00BE2BF9" w:rsidP="006244CA">
      <w:pPr>
        <w:pStyle w:val="Recipientaddress"/>
      </w:pPr>
      <w:r>
        <w:t>Level 17, 1 Collins St</w:t>
      </w:r>
    </w:p>
    <w:p w14:paraId="1421D9F6" w14:textId="77777777" w:rsidR="006945CF" w:rsidRDefault="00BE2BF9" w:rsidP="006244CA">
      <w:pPr>
        <w:pStyle w:val="Recipientaddress"/>
      </w:pPr>
      <w:r>
        <w:t>MELBOURNE</w:t>
      </w:r>
      <w:r w:rsidR="001506F0">
        <w:t xml:space="preserve"> </w:t>
      </w:r>
      <w:r>
        <w:t>VIC</w:t>
      </w:r>
      <w:r w:rsidR="001506F0">
        <w:t xml:space="preserve"> </w:t>
      </w:r>
      <w:r>
        <w:t>3000</w:t>
      </w:r>
    </w:p>
    <w:p w14:paraId="71B375E0" w14:textId="6C61A6E2" w:rsidR="006945CF" w:rsidRDefault="008B2576" w:rsidP="0049622A">
      <w:pPr>
        <w:spacing w:after="600"/>
      </w:pPr>
      <w:r>
        <w:t xml:space="preserve">5 </w:t>
      </w:r>
      <w:r w:rsidR="008B191A">
        <w:t>August</w:t>
      </w:r>
      <w:r w:rsidR="00BE2BF9">
        <w:t xml:space="preserve"> 2019</w:t>
      </w:r>
    </w:p>
    <w:p w14:paraId="70E48011" w14:textId="77777777" w:rsidR="006945CF" w:rsidRDefault="00B0090B" w:rsidP="006244CA">
      <w:bookmarkStart w:id="0" w:name="_GoBack"/>
      <w:bookmarkEnd w:id="0"/>
      <w:r>
        <w:t xml:space="preserve">Dear Ms </w:t>
      </w:r>
      <w:proofErr w:type="spellStart"/>
      <w:r>
        <w:t>Ewart</w:t>
      </w:r>
      <w:proofErr w:type="spellEnd"/>
    </w:p>
    <w:p w14:paraId="09120437" w14:textId="10A5D3BD" w:rsidR="006945CF" w:rsidRDefault="00B0090B" w:rsidP="006244CA">
      <w:pPr>
        <w:pStyle w:val="Heading1"/>
      </w:pPr>
      <w:r>
        <w:t>Proposed new .au domain Licensing Rules</w:t>
      </w:r>
    </w:p>
    <w:p w14:paraId="13386529" w14:textId="3981E2E5" w:rsidR="00653BC7" w:rsidRDefault="00B42B51" w:rsidP="006244CA">
      <w:r>
        <w:t>Thank you for</w:t>
      </w:r>
      <w:r w:rsidR="00C365E4">
        <w:t xml:space="preserve"> our recent discussions</w:t>
      </w:r>
      <w:r w:rsidR="008B2576">
        <w:t xml:space="preserve"> on</w:t>
      </w:r>
      <w:r w:rsidR="00DD6388">
        <w:t xml:space="preserve"> </w:t>
      </w:r>
      <w:proofErr w:type="spellStart"/>
      <w:r w:rsidR="00DD6388">
        <w:t>auDA’s</w:t>
      </w:r>
      <w:proofErr w:type="spellEnd"/>
      <w:r w:rsidR="00DD6388">
        <w:t xml:space="preserve"> prop</w:t>
      </w:r>
      <w:r w:rsidR="0077596E">
        <w:t>osed new Licensing Rules</w:t>
      </w:r>
      <w:r w:rsidR="00025733">
        <w:t xml:space="preserve"> (the Rules)</w:t>
      </w:r>
      <w:r w:rsidR="00452358">
        <w:t>.</w:t>
      </w:r>
      <w:r w:rsidR="001506F0">
        <w:t xml:space="preserve"> </w:t>
      </w:r>
      <w:r w:rsidR="00025733">
        <w:t xml:space="preserve">As you are aware, </w:t>
      </w:r>
      <w:r w:rsidR="0077596E">
        <w:t xml:space="preserve">the Department </w:t>
      </w:r>
      <w:r w:rsidR="00025733">
        <w:t>raised</w:t>
      </w:r>
      <w:r w:rsidR="00653BC7">
        <w:t xml:space="preserve"> </w:t>
      </w:r>
      <w:r w:rsidR="008B2576">
        <w:t xml:space="preserve">early </w:t>
      </w:r>
      <w:r w:rsidR="00653BC7">
        <w:t xml:space="preserve">concerns with the proposed changes to domain licensing, and </w:t>
      </w:r>
      <w:r w:rsidR="00025733">
        <w:t xml:space="preserve">indicated </w:t>
      </w:r>
      <w:r w:rsidR="00653BC7">
        <w:t xml:space="preserve">that consultation </w:t>
      </w:r>
      <w:r w:rsidR="0077596E">
        <w:t xml:space="preserve">with other </w:t>
      </w:r>
      <w:r w:rsidR="00653BC7">
        <w:t>Australian G</w:t>
      </w:r>
      <w:r w:rsidR="0077596E">
        <w:t xml:space="preserve">overnment agencies </w:t>
      </w:r>
      <w:r w:rsidR="00653BC7">
        <w:t xml:space="preserve">was required before a </w:t>
      </w:r>
      <w:r w:rsidR="008B2576">
        <w:t xml:space="preserve">final </w:t>
      </w:r>
      <w:r w:rsidR="00653BC7">
        <w:t xml:space="preserve">position on </w:t>
      </w:r>
      <w:r w:rsidR="0077596E">
        <w:t xml:space="preserve">these Rules </w:t>
      </w:r>
      <w:r w:rsidR="00653BC7">
        <w:t xml:space="preserve">could be provided. As a result of cross-agency consultation, the Department </w:t>
      </w:r>
      <w:r w:rsidR="00907EFD">
        <w:t>now offers the following comments</w:t>
      </w:r>
      <w:r w:rsidR="00C365E4">
        <w:t xml:space="preserve"> on the public interest test, allocation rules, and </w:t>
      </w:r>
      <w:proofErr w:type="spellStart"/>
      <w:r w:rsidR="00C365E4">
        <w:t>auDA’s</w:t>
      </w:r>
      <w:proofErr w:type="spellEnd"/>
      <w:r w:rsidR="00C365E4">
        <w:t xml:space="preserve"> consultation process</w:t>
      </w:r>
      <w:r w:rsidR="00907EFD">
        <w:t>:</w:t>
      </w:r>
    </w:p>
    <w:p w14:paraId="758D8BB1" w14:textId="77777777" w:rsidR="00B56102" w:rsidRPr="0024464A" w:rsidRDefault="00B56102" w:rsidP="00B56102">
      <w:pPr>
        <w:pStyle w:val="Heading2"/>
      </w:pPr>
      <w:r>
        <w:rPr>
          <w:i/>
        </w:rPr>
        <w:t>Public interest test</w:t>
      </w:r>
    </w:p>
    <w:p w14:paraId="5234EF2C" w14:textId="5ACD4167" w:rsidR="009B2973" w:rsidRDefault="005422F7" w:rsidP="006244CA">
      <w:r>
        <w:t>The Department recognises that industry and the private sector have an important role to play in supporting law enforcement and security agencies in working towards a stable and secure online environment, and welcomes auDA playing a</w:t>
      </w:r>
      <w:r w:rsidR="008B2576">
        <w:t xml:space="preserve">n appropriate role in Australia’s online ecosystem. </w:t>
      </w:r>
      <w:r>
        <w:t xml:space="preserve">However, we consider that the </w:t>
      </w:r>
      <w:r w:rsidR="009B2973">
        <w:t xml:space="preserve">public interest test as it is currently drafted in the </w:t>
      </w:r>
      <w:r w:rsidR="00321BA0">
        <w:t>Licens</w:t>
      </w:r>
      <w:r>
        <w:t xml:space="preserve">ing Rules </w:t>
      </w:r>
      <w:r w:rsidR="009B2973">
        <w:t xml:space="preserve">is </w:t>
      </w:r>
      <w:r w:rsidR="00B56102">
        <w:t xml:space="preserve">too broad and is </w:t>
      </w:r>
      <w:r>
        <w:t xml:space="preserve">not reflective of </w:t>
      </w:r>
      <w:r w:rsidR="009B2973">
        <w:t xml:space="preserve">the role auDA should be playing. </w:t>
      </w:r>
      <w:r w:rsidR="00B56102">
        <w:t xml:space="preserve">Specific concerns </w:t>
      </w:r>
      <w:r w:rsidR="00164C31">
        <w:t>include:</w:t>
      </w:r>
    </w:p>
    <w:p w14:paraId="53C85E26" w14:textId="77777777" w:rsidR="00164C31" w:rsidRDefault="001B6861" w:rsidP="004734E6">
      <w:pPr>
        <w:pStyle w:val="ListParagraph"/>
        <w:numPr>
          <w:ilvl w:val="0"/>
          <w:numId w:val="4"/>
        </w:numPr>
      </w:pPr>
      <w:r>
        <w:lastRenderedPageBreak/>
        <w:t>t</w:t>
      </w:r>
      <w:r w:rsidR="00164C31">
        <w:t xml:space="preserve">he public interest test ventures into areas outside of </w:t>
      </w:r>
      <w:proofErr w:type="spellStart"/>
      <w:r w:rsidR="00164C31">
        <w:t>auDA’s</w:t>
      </w:r>
      <w:proofErr w:type="spellEnd"/>
      <w:r w:rsidR="00164C31">
        <w:t xml:space="preserve"> responsibility</w:t>
      </w:r>
    </w:p>
    <w:p w14:paraId="48D0B89D" w14:textId="77777777" w:rsidR="00164C31" w:rsidRDefault="001B6861" w:rsidP="004734E6">
      <w:pPr>
        <w:pStyle w:val="ListParagraph"/>
        <w:numPr>
          <w:ilvl w:val="0"/>
          <w:numId w:val="4"/>
        </w:numPr>
      </w:pPr>
      <w:r>
        <w:t>i</w:t>
      </w:r>
      <w:r w:rsidR="00164C31">
        <w:t>t is not clear how the proposed actions operate under Australian law</w:t>
      </w:r>
    </w:p>
    <w:p w14:paraId="0A472C97" w14:textId="77777777" w:rsidR="00164C31" w:rsidRDefault="001B6861" w:rsidP="004734E6">
      <w:pPr>
        <w:pStyle w:val="ListParagraph"/>
        <w:numPr>
          <w:ilvl w:val="0"/>
          <w:numId w:val="4"/>
        </w:numPr>
      </w:pPr>
      <w:r>
        <w:t>r</w:t>
      </w:r>
      <w:r w:rsidR="00164C31">
        <w:t xml:space="preserve">eferences to auDA acting on behalf of foreign governments </w:t>
      </w:r>
    </w:p>
    <w:p w14:paraId="67865041" w14:textId="77777777" w:rsidR="003F3294" w:rsidRDefault="001B6861" w:rsidP="004734E6">
      <w:pPr>
        <w:pStyle w:val="ListParagraph"/>
        <w:numPr>
          <w:ilvl w:val="0"/>
          <w:numId w:val="4"/>
        </w:numPr>
      </w:pPr>
      <w:r>
        <w:t>i</w:t>
      </w:r>
      <w:r w:rsidR="003F3294">
        <w:t>ncreased risk that auDA actions could interrupt existing operations or remove evidence</w:t>
      </w:r>
    </w:p>
    <w:p w14:paraId="26C1BEAF" w14:textId="77777777" w:rsidR="00297271" w:rsidRDefault="001B6861" w:rsidP="004734E6">
      <w:pPr>
        <w:pStyle w:val="ListParagraph"/>
        <w:numPr>
          <w:ilvl w:val="0"/>
          <w:numId w:val="4"/>
        </w:numPr>
      </w:pPr>
      <w:proofErr w:type="gramStart"/>
      <w:r>
        <w:t>i</w:t>
      </w:r>
      <w:r w:rsidR="003F3294">
        <w:t>ncreased</w:t>
      </w:r>
      <w:proofErr w:type="gramEnd"/>
      <w:r w:rsidR="003F3294">
        <w:t xml:space="preserve"> risk of</w:t>
      </w:r>
      <w:r w:rsidR="00297271">
        <w:t xml:space="preserve"> commercial liability</w:t>
      </w:r>
      <w:r w:rsidR="003F3294">
        <w:t>.</w:t>
      </w:r>
    </w:p>
    <w:p w14:paraId="71BCF6B8" w14:textId="77777777" w:rsidR="00297271" w:rsidRDefault="003F3294" w:rsidP="00297271">
      <w:r>
        <w:t>Further, the Department has concerns that, while it may not be the intention, th</w:t>
      </w:r>
      <w:r w:rsidR="00321BA0">
        <w:t>e current drafting of the Licens</w:t>
      </w:r>
      <w:r>
        <w:t>ing Rules could:</w:t>
      </w:r>
    </w:p>
    <w:p w14:paraId="7951E50E" w14:textId="77777777" w:rsidR="00164C31" w:rsidRDefault="003F3294" w:rsidP="004734E6">
      <w:pPr>
        <w:pStyle w:val="ListParagraph"/>
        <w:numPr>
          <w:ilvl w:val="0"/>
          <w:numId w:val="4"/>
        </w:numPr>
      </w:pPr>
      <w:r>
        <w:t>allow</w:t>
      </w:r>
      <w:r w:rsidR="00164C31">
        <w:t xml:space="preserve"> auDA to apply surveillance without appropriate authority or oversight</w:t>
      </w:r>
    </w:p>
    <w:p w14:paraId="55CD3FCC" w14:textId="77777777" w:rsidR="00321BA0" w:rsidRDefault="00321BA0" w:rsidP="004734E6">
      <w:pPr>
        <w:pStyle w:val="ListParagraph"/>
        <w:numPr>
          <w:ilvl w:val="0"/>
          <w:numId w:val="4"/>
        </w:numPr>
      </w:pPr>
      <w:r>
        <w:t>allow registrants’ personal information to be disclosed outsid</w:t>
      </w:r>
      <w:r w:rsidR="004734E6">
        <w:t xml:space="preserve">e of the provisions in existing </w:t>
      </w:r>
      <w:r>
        <w:t>legislation</w:t>
      </w:r>
    </w:p>
    <w:p w14:paraId="3E155CBC" w14:textId="77777777" w:rsidR="00164C31" w:rsidRDefault="003F3294" w:rsidP="004734E6">
      <w:pPr>
        <w:pStyle w:val="ListParagraph"/>
        <w:numPr>
          <w:ilvl w:val="0"/>
          <w:numId w:val="4"/>
        </w:numPr>
      </w:pPr>
      <w:proofErr w:type="gramStart"/>
      <w:r>
        <w:t>inappropriately</w:t>
      </w:r>
      <w:proofErr w:type="gramEnd"/>
      <w:r>
        <w:t xml:space="preserve"> imply that actions that should be taken by law en</w:t>
      </w:r>
      <w:r w:rsidR="004734E6">
        <w:t xml:space="preserve">forcement and security agencies </w:t>
      </w:r>
      <w:r>
        <w:t>may be taken by auDA without appropriate authority</w:t>
      </w:r>
      <w:r w:rsidR="00025733">
        <w:t xml:space="preserve"> or oversight</w:t>
      </w:r>
      <w:r w:rsidR="007A1285">
        <w:t>.</w:t>
      </w:r>
    </w:p>
    <w:p w14:paraId="54937A27" w14:textId="5C3365CF" w:rsidR="009B2973" w:rsidRDefault="008B2576" w:rsidP="006244CA">
      <w:r>
        <w:t>To assist auDA,</w:t>
      </w:r>
      <w:r w:rsidR="009B2973">
        <w:t xml:space="preserve"> the Department </w:t>
      </w:r>
      <w:r>
        <w:t xml:space="preserve">offers to </w:t>
      </w:r>
      <w:r w:rsidR="009B2973">
        <w:t xml:space="preserve">facilitate a workshop between representatives from auDA and officials from relevant government agencies to work through issues of concern with the proposed policy and </w:t>
      </w:r>
      <w:r w:rsidR="00025733">
        <w:t>revise relevant sections of the Rules</w:t>
      </w:r>
      <w:r w:rsidR="002E5DF2">
        <w:t>, ahead of further public consultation</w:t>
      </w:r>
      <w:r w:rsidR="009B2973">
        <w:t>.</w:t>
      </w:r>
    </w:p>
    <w:p w14:paraId="38C20C8D" w14:textId="77777777" w:rsidR="007A1285" w:rsidRDefault="00E631FC" w:rsidP="007A1285">
      <w:pPr>
        <w:pStyle w:val="Heading2"/>
        <w:rPr>
          <w:i/>
        </w:rPr>
      </w:pPr>
      <w:r>
        <w:rPr>
          <w:i/>
        </w:rPr>
        <w:t xml:space="preserve">Removal of allocation rules for </w:t>
      </w:r>
      <w:r w:rsidR="00D96ECB">
        <w:rPr>
          <w:i/>
        </w:rPr>
        <w:t>com.au and net.au registrations</w:t>
      </w:r>
    </w:p>
    <w:p w14:paraId="076843A9" w14:textId="77777777" w:rsidR="00E631FC" w:rsidRDefault="00D96ECB" w:rsidP="006244CA">
      <w:r>
        <w:t xml:space="preserve">The </w:t>
      </w:r>
      <w:r w:rsidR="00500ADE">
        <w:t xml:space="preserve">Department notes </w:t>
      </w:r>
      <w:r w:rsidR="000578A4">
        <w:t>that</w:t>
      </w:r>
      <w:r w:rsidR="00500ADE">
        <w:t xml:space="preserve"> the Licensi</w:t>
      </w:r>
      <w:r w:rsidR="000560D4">
        <w:t>ng Rules propose that there will be</w:t>
      </w:r>
      <w:r w:rsidR="00500ADE">
        <w:t xml:space="preserve"> no domain allocation criteria for the com.au and net.au </w:t>
      </w:r>
      <w:proofErr w:type="spellStart"/>
      <w:r w:rsidR="00500ADE">
        <w:t>namepsaces</w:t>
      </w:r>
      <w:proofErr w:type="spellEnd"/>
      <w:r w:rsidR="00500ADE">
        <w:t>, other than that the registrant must be a commercial entity.</w:t>
      </w:r>
      <w:r w:rsidR="001506F0">
        <w:t xml:space="preserve"> </w:t>
      </w:r>
      <w:r w:rsidR="00500ADE">
        <w:t>This is a significant departure from the longstanding registration polic</w:t>
      </w:r>
      <w:r w:rsidR="00204F53">
        <w:t xml:space="preserve">y </w:t>
      </w:r>
      <w:r w:rsidR="004B5F54">
        <w:t xml:space="preserve">set out in the </w:t>
      </w:r>
      <w:r w:rsidR="004B5F54" w:rsidRPr="00654147">
        <w:rPr>
          <w:i/>
        </w:rPr>
        <w:t>Domain Eligibility and Allocation Policy Rules for Open 2LDs</w:t>
      </w:r>
      <w:r w:rsidR="004B5F54">
        <w:t xml:space="preserve">. This policy </w:t>
      </w:r>
      <w:r w:rsidR="00E631FC">
        <w:t>requires registrants to be:</w:t>
      </w:r>
    </w:p>
    <w:p w14:paraId="45F853FB" w14:textId="77777777" w:rsidR="00E631FC" w:rsidRDefault="00E631FC" w:rsidP="00EA1635">
      <w:pPr>
        <w:pStyle w:val="ListParagraph"/>
        <w:numPr>
          <w:ilvl w:val="0"/>
          <w:numId w:val="8"/>
        </w:numPr>
      </w:pPr>
      <w:r>
        <w:t>an Australian registered company</w:t>
      </w:r>
    </w:p>
    <w:p w14:paraId="62BA96C1" w14:textId="77777777" w:rsidR="00E631FC" w:rsidRDefault="00E631FC" w:rsidP="00EA1635">
      <w:pPr>
        <w:pStyle w:val="ListParagraph"/>
        <w:numPr>
          <w:ilvl w:val="0"/>
          <w:numId w:val="8"/>
        </w:numPr>
      </w:pPr>
      <w:r>
        <w:t>trading under a registered business name in any Australian state or territory</w:t>
      </w:r>
    </w:p>
    <w:p w14:paraId="2B364A66" w14:textId="77777777" w:rsidR="00E631FC" w:rsidRDefault="00E631FC" w:rsidP="00EA1635">
      <w:pPr>
        <w:pStyle w:val="ListParagraph"/>
        <w:numPr>
          <w:ilvl w:val="0"/>
          <w:numId w:val="8"/>
        </w:numPr>
      </w:pPr>
      <w:r>
        <w:t>an Australian partnership or sole trader</w:t>
      </w:r>
    </w:p>
    <w:p w14:paraId="5CD0EE30" w14:textId="77777777" w:rsidR="00E631FC" w:rsidRDefault="00E631FC" w:rsidP="00EA1635">
      <w:pPr>
        <w:pStyle w:val="ListParagraph"/>
        <w:numPr>
          <w:ilvl w:val="0"/>
          <w:numId w:val="8"/>
        </w:numPr>
      </w:pPr>
      <w:r>
        <w:t>a foreign company licensed to trade in Australia</w:t>
      </w:r>
    </w:p>
    <w:p w14:paraId="564E9E0C" w14:textId="77777777" w:rsidR="00E631FC" w:rsidRDefault="00E631FC" w:rsidP="00EA1635">
      <w:pPr>
        <w:pStyle w:val="ListParagraph"/>
        <w:numPr>
          <w:ilvl w:val="0"/>
          <w:numId w:val="8"/>
        </w:numPr>
      </w:pPr>
      <w:r>
        <w:t>an owner of an Australian registered trade mark</w:t>
      </w:r>
    </w:p>
    <w:p w14:paraId="211220CE" w14:textId="77777777" w:rsidR="00E631FC" w:rsidRDefault="00E631FC" w:rsidP="00EA1635">
      <w:pPr>
        <w:pStyle w:val="ListParagraph"/>
        <w:numPr>
          <w:ilvl w:val="0"/>
          <w:numId w:val="8"/>
        </w:numPr>
      </w:pPr>
      <w:r>
        <w:lastRenderedPageBreak/>
        <w:t>an association incorporated in any Australian state or territory</w:t>
      </w:r>
    </w:p>
    <w:p w14:paraId="4F814EA2" w14:textId="77777777" w:rsidR="00E631FC" w:rsidRDefault="00E631FC" w:rsidP="00EA1635">
      <w:pPr>
        <w:pStyle w:val="ListParagraph"/>
        <w:numPr>
          <w:ilvl w:val="0"/>
          <w:numId w:val="8"/>
        </w:numPr>
      </w:pPr>
      <w:proofErr w:type="gramStart"/>
      <w:r>
        <w:t>an</w:t>
      </w:r>
      <w:proofErr w:type="gramEnd"/>
      <w:r>
        <w:t xml:space="preserve"> Australian commercial statutory body</w:t>
      </w:r>
      <w:r w:rsidR="00EA1635">
        <w:t>.</w:t>
      </w:r>
    </w:p>
    <w:p w14:paraId="2EB287DA" w14:textId="0E51BD07" w:rsidR="008F3DB4" w:rsidRDefault="00EA1635" w:rsidP="006244CA">
      <w:r>
        <w:t xml:space="preserve">The policy also requires domain names </w:t>
      </w:r>
      <w:r w:rsidR="00204F53">
        <w:t>in c</w:t>
      </w:r>
      <w:r>
        <w:t>om.au and net.au must</w:t>
      </w:r>
      <w:r w:rsidR="00204F53">
        <w:t xml:space="preserve"> be ‘an exact match, abbreviation or acronym of the registrant’s name or trademark’ or ‘otherwise closely and substantially connected to the registrant</w:t>
      </w:r>
      <w:r w:rsidR="00817E8E">
        <w:t>’.</w:t>
      </w:r>
      <w:r>
        <w:t xml:space="preserve"> This change also</w:t>
      </w:r>
      <w:r w:rsidR="008F3DB4">
        <w:t xml:space="preserve"> conflicts with the recommendation of the Policy Review Panel</w:t>
      </w:r>
      <w:r w:rsidR="00435A50">
        <w:t xml:space="preserve"> (PRP)</w:t>
      </w:r>
      <w:r w:rsidR="008F3DB4">
        <w:t xml:space="preserve">, which was convened by auDA and undertook </w:t>
      </w:r>
      <w:r w:rsidR="004734E6">
        <w:t xml:space="preserve">public </w:t>
      </w:r>
      <w:r w:rsidR="005C09F7">
        <w:t xml:space="preserve">and industry </w:t>
      </w:r>
      <w:r w:rsidR="004734E6">
        <w:t>consultation to inform its recommendations on reform</w:t>
      </w:r>
      <w:r w:rsidR="00435A50">
        <w:t>ing existing policies. The PRP</w:t>
      </w:r>
      <w:r w:rsidR="004734E6">
        <w:t xml:space="preserve"> </w:t>
      </w:r>
      <w:r w:rsidR="008B2576">
        <w:t>considered domain allocation and the ‘</w:t>
      </w:r>
      <w:r w:rsidR="005C09F7">
        <w:t xml:space="preserve">close and substantial connection’ rule and observed that </w:t>
      </w:r>
      <w:r w:rsidR="00B94B75">
        <w:t>there is no such rule in .com or many other international domains. However, the P</w:t>
      </w:r>
      <w:r w:rsidR="00435A50">
        <w:t>RP</w:t>
      </w:r>
      <w:r w:rsidR="00D3211A">
        <w:t xml:space="preserve"> concluded that, generally, the current rules for com.au and net.au were working well, and </w:t>
      </w:r>
      <w:r w:rsidR="004734E6">
        <w:t>recommended that ‘close and substantial connection’ should mean that the domain licence must be:</w:t>
      </w:r>
    </w:p>
    <w:p w14:paraId="1212785C" w14:textId="77777777" w:rsidR="004734E6" w:rsidRDefault="001B6861" w:rsidP="004734E6">
      <w:pPr>
        <w:pStyle w:val="ListParagraph"/>
        <w:numPr>
          <w:ilvl w:val="0"/>
          <w:numId w:val="4"/>
        </w:numPr>
      </w:pPr>
      <w:r>
        <w:t>a</w:t>
      </w:r>
      <w:r w:rsidR="004734E6">
        <w:t xml:space="preserve"> product that the licence holder manufactures or sells</w:t>
      </w:r>
    </w:p>
    <w:p w14:paraId="69A023CE" w14:textId="77777777" w:rsidR="004734E6" w:rsidRDefault="001B6861" w:rsidP="004734E6">
      <w:pPr>
        <w:pStyle w:val="ListParagraph"/>
        <w:numPr>
          <w:ilvl w:val="0"/>
          <w:numId w:val="4"/>
        </w:numPr>
      </w:pPr>
      <w:r>
        <w:t>a</w:t>
      </w:r>
      <w:r w:rsidR="004734E6">
        <w:t xml:space="preserve"> service that the licence holder provides</w:t>
      </w:r>
    </w:p>
    <w:p w14:paraId="3F8A937E" w14:textId="77777777" w:rsidR="004734E6" w:rsidRDefault="001B6861" w:rsidP="004734E6">
      <w:pPr>
        <w:pStyle w:val="ListParagraph"/>
        <w:numPr>
          <w:ilvl w:val="0"/>
          <w:numId w:val="4"/>
        </w:numPr>
      </w:pPr>
      <w:r>
        <w:t>a</w:t>
      </w:r>
      <w:r w:rsidR="004734E6">
        <w:t>n event that the licence holder organises or sponsors</w:t>
      </w:r>
    </w:p>
    <w:p w14:paraId="424913B4" w14:textId="77777777" w:rsidR="004734E6" w:rsidRDefault="001B6861" w:rsidP="004734E6">
      <w:pPr>
        <w:pStyle w:val="ListParagraph"/>
        <w:numPr>
          <w:ilvl w:val="0"/>
          <w:numId w:val="4"/>
        </w:numPr>
      </w:pPr>
      <w:r>
        <w:t>a</w:t>
      </w:r>
      <w:r w:rsidR="004734E6">
        <w:t>n activity that the licence holder facilitates, teaches or trains</w:t>
      </w:r>
    </w:p>
    <w:p w14:paraId="0885AC72" w14:textId="77777777" w:rsidR="005C09F7" w:rsidRDefault="001B6861" w:rsidP="004734E6">
      <w:pPr>
        <w:pStyle w:val="ListParagraph"/>
        <w:numPr>
          <w:ilvl w:val="0"/>
          <w:numId w:val="4"/>
        </w:numPr>
      </w:pPr>
      <w:r>
        <w:t>a</w:t>
      </w:r>
      <w:r w:rsidR="004734E6">
        <w:t xml:space="preserve"> venue tha</w:t>
      </w:r>
      <w:r w:rsidR="005C09F7">
        <w:t>t the licence holder operates</w:t>
      </w:r>
      <w:r w:rsidR="001506F0">
        <w:t xml:space="preserve"> </w:t>
      </w:r>
    </w:p>
    <w:p w14:paraId="0B3552E8" w14:textId="77777777" w:rsidR="004734E6" w:rsidRDefault="001B6861" w:rsidP="004734E6">
      <w:pPr>
        <w:pStyle w:val="ListParagraph"/>
        <w:numPr>
          <w:ilvl w:val="0"/>
          <w:numId w:val="4"/>
        </w:numPr>
      </w:pPr>
      <w:proofErr w:type="gramStart"/>
      <w:r>
        <w:t>a</w:t>
      </w:r>
      <w:proofErr w:type="gramEnd"/>
      <w:r w:rsidR="004734E6">
        <w:t xml:space="preserve"> profession that the licence holder’s employees practise</w:t>
      </w:r>
      <w:r w:rsidR="005C09F7">
        <w:t>.</w:t>
      </w:r>
    </w:p>
    <w:p w14:paraId="17BA3852" w14:textId="77777777" w:rsidR="00922707" w:rsidRDefault="00922707" w:rsidP="00922707">
      <w:r>
        <w:t xml:space="preserve">The Department of Employment, </w:t>
      </w:r>
      <w:r w:rsidR="00B83212">
        <w:t>Skills, Small and Family Business</w:t>
      </w:r>
      <w:r w:rsidR="001044AC">
        <w:t>, and IP Australia have indicated that they</w:t>
      </w:r>
      <w:r w:rsidR="00B83212">
        <w:t xml:space="preserve"> would like further time to consider the implications of the proposed changes</w:t>
      </w:r>
      <w:r w:rsidR="006850C1">
        <w:t xml:space="preserve"> on their stakeholders</w:t>
      </w:r>
      <w:r w:rsidR="00B83212">
        <w:t>. Staff at Employment also suggested that auDA consult with the Australian Small Business and Family Enterprise Ombudsman.</w:t>
      </w:r>
    </w:p>
    <w:p w14:paraId="5E0F5171" w14:textId="77777777" w:rsidR="008F3DB4" w:rsidRDefault="006850C1" w:rsidP="008F3DB4">
      <w:pPr>
        <w:pStyle w:val="Heading2"/>
        <w:rPr>
          <w:i/>
        </w:rPr>
      </w:pPr>
      <w:r>
        <w:rPr>
          <w:i/>
        </w:rPr>
        <w:t>Public and government consultation</w:t>
      </w:r>
    </w:p>
    <w:p w14:paraId="0CB449F9" w14:textId="77777777" w:rsidR="00AE40E5" w:rsidRDefault="0085330A" w:rsidP="006244CA">
      <w:r>
        <w:t>The .au domain is an important public resource, and</w:t>
      </w:r>
      <w:r w:rsidR="0093569D">
        <w:t xml:space="preserve"> the terms of</w:t>
      </w:r>
      <w:r>
        <w:t xml:space="preserve"> the </w:t>
      </w:r>
      <w:r w:rsidR="006850C1">
        <w:t xml:space="preserve">Australian </w:t>
      </w:r>
      <w:r>
        <w:t>Government’s endorsement of</w:t>
      </w:r>
      <w:r w:rsidR="00025733">
        <w:t xml:space="preserve"> auDA as the .au administrator</w:t>
      </w:r>
      <w:r w:rsidR="00E23DFB">
        <w:t xml:space="preserve"> include engaging and consulting widely to ensure auDA can </w:t>
      </w:r>
      <w:r w:rsidR="00025733">
        <w:t xml:space="preserve">understand and </w:t>
      </w:r>
      <w:r w:rsidR="00E23DFB">
        <w:t xml:space="preserve">effectively represent the views of its stakeholders. </w:t>
      </w:r>
      <w:r w:rsidR="00165D25">
        <w:t>The c</w:t>
      </w:r>
      <w:r w:rsidR="00922707">
        <w:t xml:space="preserve">onsultation on the Licensing Rules </w:t>
      </w:r>
      <w:r w:rsidR="00654147">
        <w:t xml:space="preserve">highlights a number of shortcomings in </w:t>
      </w:r>
      <w:proofErr w:type="spellStart"/>
      <w:r w:rsidR="00654147">
        <w:t>auDA’s</w:t>
      </w:r>
      <w:proofErr w:type="spellEnd"/>
      <w:r w:rsidR="00654147">
        <w:t xml:space="preserve"> consultation processes.</w:t>
      </w:r>
    </w:p>
    <w:p w14:paraId="7B869AD6" w14:textId="5365BA4F" w:rsidR="00165D25" w:rsidRDefault="00165D25" w:rsidP="00165D25">
      <w:r>
        <w:t xml:space="preserve">For example, it </w:t>
      </w:r>
      <w:r w:rsidR="00AD392F">
        <w:t>appear</w:t>
      </w:r>
      <w:r>
        <w:t>s</w:t>
      </w:r>
      <w:r w:rsidR="00AD392F">
        <w:t xml:space="preserve"> that much of </w:t>
      </w:r>
      <w:proofErr w:type="spellStart"/>
      <w:r w:rsidR="00AD392F">
        <w:t>auDA’s</w:t>
      </w:r>
      <w:proofErr w:type="spellEnd"/>
      <w:r w:rsidR="004109A6">
        <w:t xml:space="preserve"> consultation has</w:t>
      </w:r>
      <w:r w:rsidR="00AD392F">
        <w:t xml:space="preserve"> centred on </w:t>
      </w:r>
      <w:r w:rsidR="00656491">
        <w:t>notifying stakeholders via correspondence</w:t>
      </w:r>
      <w:r w:rsidR="00090F15">
        <w:t xml:space="preserve"> rather than comprehensive</w:t>
      </w:r>
      <w:r w:rsidR="004D1A34">
        <w:t xml:space="preserve"> dialogue based on a</w:t>
      </w:r>
      <w:r w:rsidR="0009513E">
        <w:t xml:space="preserve"> </w:t>
      </w:r>
      <w:r w:rsidR="0009513E">
        <w:lastRenderedPageBreak/>
        <w:t>mutual</w:t>
      </w:r>
      <w:r w:rsidR="004D1A34">
        <w:t xml:space="preserve"> understanding of the </w:t>
      </w:r>
      <w:r w:rsidR="0009513E">
        <w:t xml:space="preserve">potential </w:t>
      </w:r>
      <w:r w:rsidR="004D1A34">
        <w:t xml:space="preserve">impact of the proposed changes. </w:t>
      </w:r>
      <w:r w:rsidR="0035372E">
        <w:t xml:space="preserve">Further, it seems that some key stakeholders were not engaged, such as </w:t>
      </w:r>
      <w:r w:rsidR="00656491">
        <w:t xml:space="preserve">consumer representative bodies (for example, </w:t>
      </w:r>
      <w:r w:rsidR="0035372E">
        <w:t>the Au</w:t>
      </w:r>
      <w:r w:rsidR="003930D8">
        <w:t>stralian Communication Consumer</w:t>
      </w:r>
      <w:r w:rsidR="0035372E">
        <w:t xml:space="preserve"> Action Network and Internet Australia</w:t>
      </w:r>
      <w:r w:rsidR="003930D8">
        <w:t>)</w:t>
      </w:r>
      <w:r w:rsidR="0035372E">
        <w:t>.</w:t>
      </w:r>
      <w:r w:rsidR="00121328">
        <w:t xml:space="preserve"> It also appears that auDA has decided on outcomes in the absence of receiving information (for example,</w:t>
      </w:r>
      <w:r w:rsidR="00F3272A">
        <w:t xml:space="preserve"> the Board approved the Rules</w:t>
      </w:r>
      <w:r w:rsidR="00665DC7">
        <w:t xml:space="preserve"> in June</w:t>
      </w:r>
      <w:r w:rsidR="00121328">
        <w:t xml:space="preserve"> ahead of the ACCC’s written feedback</w:t>
      </w:r>
      <w:r w:rsidR="00F3272A">
        <w:t>, which was</w:t>
      </w:r>
      <w:r w:rsidR="00665DC7">
        <w:t xml:space="preserve"> provided in July</w:t>
      </w:r>
      <w:r w:rsidR="00121328">
        <w:t>).</w:t>
      </w:r>
    </w:p>
    <w:p w14:paraId="75EF0B96" w14:textId="070625D4" w:rsidR="00F82CDA" w:rsidRDefault="0035372E" w:rsidP="00F82CDA">
      <w:r>
        <w:t xml:space="preserve">The </w:t>
      </w:r>
      <w:r w:rsidR="001506F0">
        <w:t xml:space="preserve">implementation of a public interest test and </w:t>
      </w:r>
      <w:r w:rsidR="00656491">
        <w:t>the removal of t</w:t>
      </w:r>
      <w:r>
        <w:t xml:space="preserve">he ‘close and substantial connection’ rule </w:t>
      </w:r>
      <w:r w:rsidR="001506F0">
        <w:t xml:space="preserve">are significant </w:t>
      </w:r>
      <w:r w:rsidR="00656491">
        <w:t xml:space="preserve">changes </w:t>
      </w:r>
      <w:r w:rsidR="001506F0">
        <w:t xml:space="preserve">and represent a departure from the </w:t>
      </w:r>
      <w:r w:rsidR="00BE7A2F">
        <w:t>recommendation</w:t>
      </w:r>
      <w:r w:rsidR="001506F0">
        <w:t>s</w:t>
      </w:r>
      <w:r w:rsidR="00DE443A">
        <w:t xml:space="preserve"> of the PRP. The PRP consulted publicly for two years before making its recommendations</w:t>
      </w:r>
      <w:r w:rsidR="00F82CDA">
        <w:t xml:space="preserve">; </w:t>
      </w:r>
      <w:r w:rsidR="006326C5">
        <w:t>however</w:t>
      </w:r>
      <w:r w:rsidR="00DE443A">
        <w:t xml:space="preserve">, where recommendations have </w:t>
      </w:r>
      <w:r w:rsidR="00F82CDA">
        <w:t>been rejected</w:t>
      </w:r>
      <w:r w:rsidR="00DE443A">
        <w:t xml:space="preserve"> by </w:t>
      </w:r>
      <w:proofErr w:type="spellStart"/>
      <w:r w:rsidR="00DE443A">
        <w:t>auDA</w:t>
      </w:r>
      <w:proofErr w:type="spellEnd"/>
      <w:r w:rsidR="00DE443A">
        <w:t xml:space="preserve"> management, </w:t>
      </w:r>
      <w:proofErr w:type="spellStart"/>
      <w:r w:rsidR="00DE443A">
        <w:t>auDA’s</w:t>
      </w:r>
      <w:proofErr w:type="spellEnd"/>
      <w:r w:rsidR="00DE443A">
        <w:t xml:space="preserve"> alternative </w:t>
      </w:r>
      <w:r w:rsidR="006326C5">
        <w:t xml:space="preserve">was </w:t>
      </w:r>
      <w:r w:rsidR="00DE443A">
        <w:t>not subject to a similar level of public consultation</w:t>
      </w:r>
      <w:r w:rsidR="00F82CDA">
        <w:t>,</w:t>
      </w:r>
      <w:r w:rsidR="006326C5">
        <w:t xml:space="preserve"> and decisions have been made within a matter of months</w:t>
      </w:r>
      <w:r w:rsidR="00DE443A">
        <w:t>.</w:t>
      </w:r>
    </w:p>
    <w:p w14:paraId="6E9C5F78" w14:textId="6E50E99E" w:rsidR="005162D8" w:rsidRDefault="00DE443A" w:rsidP="005162D8">
      <w:pPr>
        <w:spacing w:before="240"/>
      </w:pPr>
      <w:r>
        <w:t>The Department is concerned that t</w:t>
      </w:r>
      <w:r w:rsidR="006326C5">
        <w:t xml:space="preserve">he pace at which changes have been made by auDA management has not allowed time for all interested parties to be consulted. </w:t>
      </w:r>
      <w:r w:rsidR="0056535B">
        <w:t xml:space="preserve">The </w:t>
      </w:r>
      <w:r w:rsidR="0056535B">
        <w:rPr>
          <w:i/>
        </w:rPr>
        <w:t xml:space="preserve">Process for the Development and Review of auDA Published Policies </w:t>
      </w:r>
      <w:r w:rsidR="0056535B">
        <w:t xml:space="preserve">published in November 2018 sets out the principles and processes that govern the development, review and implementation of policies for .au. </w:t>
      </w:r>
      <w:r w:rsidR="005162D8">
        <w:t xml:space="preserve">This document states that auDA is committed to a process that identifies all feasible options, including the status quo, and that all options must identify </w:t>
      </w:r>
      <w:r w:rsidR="0056535B">
        <w:t>the impact on stakeholders and the broader Australian community</w:t>
      </w:r>
      <w:r w:rsidR="005162D8">
        <w:t xml:space="preserve"> (Principle 2).</w:t>
      </w:r>
    </w:p>
    <w:p w14:paraId="000760AE" w14:textId="77777777" w:rsidR="008D3859" w:rsidRDefault="005162D8" w:rsidP="0035372E">
      <w:r>
        <w:t>According to this policy,</w:t>
      </w:r>
      <w:r w:rsidR="00FF78A8">
        <w:t xml:space="preserve"> auDA will undertake further public consultation where significant changes have been made to the draft policy in response to sta</w:t>
      </w:r>
      <w:r w:rsidR="00296749">
        <w:t>keholder submissions</w:t>
      </w:r>
      <w:r w:rsidR="00FF78A8">
        <w:t xml:space="preserve"> and that auDA must publish:</w:t>
      </w:r>
    </w:p>
    <w:p w14:paraId="36149DD9" w14:textId="77777777" w:rsidR="00FF78A8" w:rsidRDefault="00FF78A8" w:rsidP="00FF78A8">
      <w:pPr>
        <w:pStyle w:val="ListParagraph"/>
        <w:numPr>
          <w:ilvl w:val="0"/>
          <w:numId w:val="7"/>
        </w:numPr>
      </w:pPr>
      <w:r>
        <w:t>a redline version of the changes to the draft policy; and</w:t>
      </w:r>
    </w:p>
    <w:p w14:paraId="4FF84EDF" w14:textId="77777777" w:rsidR="00FF78A8" w:rsidRPr="00685602" w:rsidRDefault="00FF78A8" w:rsidP="00FF78A8">
      <w:pPr>
        <w:pStyle w:val="ListParagraph"/>
        <w:numPr>
          <w:ilvl w:val="0"/>
          <w:numId w:val="7"/>
        </w:numPr>
      </w:pPr>
      <w:proofErr w:type="gramStart"/>
      <w:r>
        <w:t>a</w:t>
      </w:r>
      <w:proofErr w:type="gramEnd"/>
      <w:r>
        <w:t xml:space="preserve"> statement setting out why the changes have been made.</w:t>
      </w:r>
    </w:p>
    <w:p w14:paraId="03F69B9B" w14:textId="20C33896" w:rsidR="002453C4" w:rsidRPr="002453C4" w:rsidRDefault="00B42B51" w:rsidP="006244CA">
      <w:r>
        <w:t>Thank you for your advice that a redline version will be published for comment as part of the process before final Board consideration.</w:t>
      </w:r>
    </w:p>
    <w:p w14:paraId="26BC2D93" w14:textId="77777777" w:rsidR="002453C4" w:rsidRDefault="002453C4" w:rsidP="002453C4">
      <w:r>
        <w:t xml:space="preserve">The Department remains committed to the principles of multi-stakeholder internet governance, </w:t>
      </w:r>
      <w:r w:rsidR="00BE7A2F">
        <w:t>including, bottom-up</w:t>
      </w:r>
      <w:r>
        <w:t xml:space="preserve"> consensus-driven policy-making. In keeping with </w:t>
      </w:r>
      <w:r>
        <w:lastRenderedPageBreak/>
        <w:t xml:space="preserve">these principles, and </w:t>
      </w:r>
      <w:r w:rsidR="00F82CDA">
        <w:t xml:space="preserve">with </w:t>
      </w:r>
      <w:r w:rsidR="005162D8">
        <w:t xml:space="preserve">Principles 1-8 </w:t>
      </w:r>
      <w:r>
        <w:t xml:space="preserve">set out in </w:t>
      </w:r>
      <w:proofErr w:type="spellStart"/>
      <w:r>
        <w:t>auDA’s</w:t>
      </w:r>
      <w:proofErr w:type="spellEnd"/>
      <w:r>
        <w:t xml:space="preserve"> policy development and review process, the Department requests that auDA undertake further public consultation on the proposed changes before they are adopted.</w:t>
      </w:r>
    </w:p>
    <w:p w14:paraId="1C2D36F2" w14:textId="77777777" w:rsidR="00B201ED" w:rsidRPr="005422F7" w:rsidRDefault="00B201ED" w:rsidP="0047524A">
      <w:r>
        <w:t xml:space="preserve">This would include </w:t>
      </w:r>
      <w:r w:rsidR="008F0223">
        <w:t xml:space="preserve">dialogue </w:t>
      </w:r>
      <w:r>
        <w:t xml:space="preserve">with </w:t>
      </w:r>
      <w:r w:rsidR="00296749">
        <w:t xml:space="preserve">government agencies, </w:t>
      </w:r>
      <w:r w:rsidR="00D831BF">
        <w:t xml:space="preserve">consumer groups, </w:t>
      </w:r>
      <w:r w:rsidR="00935205">
        <w:t>intellectual property and business interests</w:t>
      </w:r>
      <w:r w:rsidR="006850C1">
        <w:t xml:space="preserve">, </w:t>
      </w:r>
      <w:r w:rsidR="00935205">
        <w:t>and internet users.</w:t>
      </w:r>
    </w:p>
    <w:p w14:paraId="0DA1B3E4" w14:textId="6C5D2ADF" w:rsidR="00CE773E" w:rsidRDefault="00CE773E" w:rsidP="00CE773E">
      <w:r>
        <w:t xml:space="preserve">The Department </w:t>
      </w:r>
      <w:r w:rsidR="00B42B51">
        <w:t xml:space="preserve">supports </w:t>
      </w:r>
      <w:proofErr w:type="spellStart"/>
      <w:r w:rsidR="00B42B51">
        <w:t>auDA’s</w:t>
      </w:r>
      <w:proofErr w:type="spellEnd"/>
      <w:r w:rsidR="00B42B51">
        <w:t xml:space="preserve"> implementation of </w:t>
      </w:r>
      <w:r>
        <w:t>Licensing Rules</w:t>
      </w:r>
      <w:r w:rsidR="008F0223">
        <w:t xml:space="preserve"> </w:t>
      </w:r>
      <w:r w:rsidR="00B42B51">
        <w:t xml:space="preserve">following </w:t>
      </w:r>
      <w:r w:rsidR="008F0223">
        <w:t xml:space="preserve">comprehensive community consultation </w:t>
      </w:r>
      <w:r w:rsidR="00B42B51">
        <w:t>to achieve general consensus on</w:t>
      </w:r>
      <w:r w:rsidR="008F0223">
        <w:t xml:space="preserve"> changes</w:t>
      </w:r>
      <w:r w:rsidR="00B42B51">
        <w:t>.</w:t>
      </w:r>
      <w:r w:rsidR="001506F0">
        <w:t xml:space="preserve"> </w:t>
      </w:r>
      <w:r w:rsidR="00A67E5E">
        <w:t>For transparency, this letter should be published on our respective websites.</w:t>
      </w:r>
    </w:p>
    <w:p w14:paraId="0F7EDA5E" w14:textId="242408AD" w:rsidR="00E23DFB" w:rsidRDefault="00AD392F" w:rsidP="006244CA">
      <w:r>
        <w:t>Yours sincerely</w:t>
      </w:r>
    </w:p>
    <w:p w14:paraId="07C97EFE" w14:textId="38822F74" w:rsidR="00B42B51" w:rsidRDefault="00813DC3" w:rsidP="00342FB7">
      <w:pPr>
        <w:spacing w:after="0"/>
      </w:pPr>
      <w:r w:rsidRPr="00813DC3">
        <w:rPr>
          <w:noProof/>
        </w:rPr>
        <w:drawing>
          <wp:inline distT="0" distB="0" distL="0" distR="0" wp14:anchorId="75634084" wp14:editId="3AB215CA">
            <wp:extent cx="1276350" cy="234950"/>
            <wp:effectExtent l="0" t="0" r="0" b="0"/>
            <wp:docPr id="2" name="Picture 2" descr="Signature of Vicki Middleton, First Assistant Secretary" title="Vicki Middleton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0E886" w14:textId="791D6B4A" w:rsidR="00342FB7" w:rsidRDefault="00342FB7" w:rsidP="00342FB7">
      <w:pPr>
        <w:spacing w:after="0"/>
      </w:pPr>
    </w:p>
    <w:p w14:paraId="2E351181" w14:textId="77777777" w:rsidR="006945CF" w:rsidRDefault="00AD392F" w:rsidP="00342FB7">
      <w:pPr>
        <w:spacing w:after="0"/>
      </w:pPr>
      <w:r>
        <w:t>Vicki</w:t>
      </w:r>
      <w:r w:rsidR="000A72D8">
        <w:t xml:space="preserve"> Middleton</w:t>
      </w:r>
    </w:p>
    <w:p w14:paraId="44ED5DE0" w14:textId="77777777" w:rsidR="000A72D8" w:rsidRDefault="000A72D8" w:rsidP="00342FB7">
      <w:pPr>
        <w:spacing w:after="0"/>
      </w:pPr>
      <w:r>
        <w:t>First Assistant Secretary</w:t>
      </w:r>
    </w:p>
    <w:p w14:paraId="0375BC00" w14:textId="77777777" w:rsidR="006945CF" w:rsidRDefault="006945CF" w:rsidP="006244CA"/>
    <w:sectPr w:rsidR="006945CF" w:rsidSect="006945CF">
      <w:headerReference w:type="default" r:id="rId14"/>
      <w:footerReference w:type="default" r:id="rId15"/>
      <w:type w:val="continuous"/>
      <w:pgSz w:w="11906" w:h="16838"/>
      <w:pgMar w:top="1702" w:right="1440" w:bottom="1440" w:left="144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F2EDE" w14:textId="77777777" w:rsidR="00B0090B" w:rsidRDefault="00B0090B" w:rsidP="006244CA">
      <w:r>
        <w:separator/>
      </w:r>
    </w:p>
  </w:endnote>
  <w:endnote w:type="continuationSeparator" w:id="0">
    <w:p w14:paraId="59F30214" w14:textId="77777777" w:rsidR="00B0090B" w:rsidRDefault="00B0090B" w:rsidP="0062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76190" w14:textId="77777777" w:rsidR="00CE4810" w:rsidRDefault="00CE4810" w:rsidP="00CE4810">
    <w:pPr>
      <w:pStyle w:val="Footer"/>
    </w:pPr>
    <w:r>
      <w:rPr>
        <w:noProof/>
        <w:lang w:bidi="hi-IN"/>
      </w:rPr>
      <w:t>2 Phil</w:t>
    </w:r>
    <w:r w:rsidR="006F11D3">
      <w:rPr>
        <w:noProof/>
        <w:lang w:bidi="hi-IN"/>
      </w:rPr>
      <w:t>l</w:t>
    </w:r>
    <w:r>
      <w:rPr>
        <w:noProof/>
        <w:lang w:bidi="hi-IN"/>
      </w:rPr>
      <w:t>ip Law Street, Canberra ACT 2601,</w:t>
    </w:r>
    <w:r>
      <w:t xml:space="preserve"> Australia</w:t>
    </w:r>
  </w:p>
  <w:p w14:paraId="5A46AA8D" w14:textId="77777777" w:rsidR="00CE4810" w:rsidRDefault="00CE4810" w:rsidP="00CE4810">
    <w:pPr>
      <w:pStyle w:val="Footer"/>
    </w:pPr>
    <w:r>
      <w:t>GPO Box 2154, Canberra AC</w:t>
    </w:r>
    <w:r w:rsidR="006F11D3">
      <w:t>T</w:t>
    </w:r>
    <w:r>
      <w:t xml:space="preserve"> 2601, Australia</w:t>
    </w:r>
  </w:p>
  <w:p w14:paraId="6409C9DF" w14:textId="77777777" w:rsidR="00CE4810" w:rsidRDefault="00CE4810" w:rsidP="00CE4810">
    <w:pPr>
      <w:pStyle w:val="Footer"/>
    </w:pPr>
    <w:r>
      <w:sym w:font="Wingdings" w:char="F09F"/>
    </w:r>
    <w:r>
      <w:t xml:space="preserve"> </w:t>
    </w:r>
    <w:proofErr w:type="gramStart"/>
    <w:r>
      <w:t>telephone</w:t>
    </w:r>
    <w:proofErr w:type="gramEnd"/>
    <w:r>
      <w:t xml:space="preserve"> </w:t>
    </w:r>
    <w:r w:rsidR="00DF11F7">
      <w:t>+61 (</w:t>
    </w:r>
    <w:r>
      <w:t>0</w:t>
    </w:r>
    <w:r w:rsidR="00DF11F7">
      <w:t>)</w:t>
    </w:r>
    <w:r>
      <w:t xml:space="preserve">2 6271 1000 </w:t>
    </w:r>
    <w:r>
      <w:sym w:font="Wingdings" w:char="F09F"/>
    </w:r>
    <w:r>
      <w:t xml:space="preserve"> website </w:t>
    </w:r>
    <w:hyperlink r:id="rId1" w:history="1">
      <w:r>
        <w:rPr>
          <w:rStyle w:val="Hyperlink"/>
          <w:rFonts w:asciiTheme="minorHAnsi" w:hAnsiTheme="minorHAnsi"/>
        </w:rPr>
        <w:t>communications.gov.au</w:t>
      </w:r>
    </w:hyperlink>
    <w:r>
      <w:rPr>
        <w:rStyle w:val="Hyperlink"/>
        <w:rFonts w:asciiTheme="minorHAnsi" w:hAnsiTheme="minorHAnsi"/>
      </w:rPr>
      <w:t xml:space="preserve"> </w:t>
    </w:r>
    <w:r>
      <w:sym w:font="Wingdings" w:char="F09F"/>
    </w:r>
    <w:r>
      <w:t xml:space="preserve"> </w:t>
    </w:r>
    <w:hyperlink r:id="rId2" w:history="1">
      <w:r>
        <w:rPr>
          <w:rStyle w:val="Hyperlink"/>
          <w:rFonts w:asciiTheme="minorHAnsi" w:hAnsiTheme="minorHAnsi"/>
        </w:rPr>
        <w:t>arts.gov.au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8F4DC" w14:textId="0C70ABCA" w:rsidR="000E3C09" w:rsidRPr="00293A75" w:rsidRDefault="000E3C09" w:rsidP="000E3C09">
    <w:pPr>
      <w:pStyle w:val="Footer"/>
      <w:spacing w:after="0"/>
      <w:jc w:val="right"/>
    </w:pPr>
    <w:r w:rsidRPr="00293A75">
      <w:fldChar w:fldCharType="begin"/>
    </w:r>
    <w:r w:rsidRPr="00293A75">
      <w:instrText xml:space="preserve"> PAGE   \* MERGEFORMAT </w:instrText>
    </w:r>
    <w:r w:rsidRPr="00293A75">
      <w:fldChar w:fldCharType="separate"/>
    </w:r>
    <w:r w:rsidR="0049622A">
      <w:rPr>
        <w:noProof/>
      </w:rPr>
      <w:t>2</w:t>
    </w:r>
    <w:r w:rsidRPr="00293A7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BF676" w14:textId="77777777" w:rsidR="00B0090B" w:rsidRDefault="00B0090B" w:rsidP="006244CA">
      <w:r>
        <w:separator/>
      </w:r>
    </w:p>
  </w:footnote>
  <w:footnote w:type="continuationSeparator" w:id="0">
    <w:p w14:paraId="11AB7939" w14:textId="77777777" w:rsidR="00B0090B" w:rsidRDefault="00B0090B" w:rsidP="00624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789BE" w14:textId="77777777" w:rsidR="000E3C09" w:rsidRPr="00682F03" w:rsidRDefault="000E3C09" w:rsidP="00682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060B"/>
    <w:multiLevelType w:val="hybridMultilevel"/>
    <w:tmpl w:val="EBF82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F2D20"/>
    <w:multiLevelType w:val="hybridMultilevel"/>
    <w:tmpl w:val="939ADE6A"/>
    <w:lvl w:ilvl="0" w:tplc="3398AAC8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273A6"/>
    <w:multiLevelType w:val="hybridMultilevel"/>
    <w:tmpl w:val="FF2CD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0D11"/>
    <w:multiLevelType w:val="hybridMultilevel"/>
    <w:tmpl w:val="6CBA852C"/>
    <w:lvl w:ilvl="0" w:tplc="05004E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42AC0"/>
    <w:multiLevelType w:val="hybridMultilevel"/>
    <w:tmpl w:val="1556F1EC"/>
    <w:lvl w:ilvl="0" w:tplc="7772C9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608F9"/>
    <w:multiLevelType w:val="hybridMultilevel"/>
    <w:tmpl w:val="B0368D9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0B"/>
    <w:rsid w:val="000203B6"/>
    <w:rsid w:val="00023C40"/>
    <w:rsid w:val="00025733"/>
    <w:rsid w:val="000560D4"/>
    <w:rsid w:val="000578A4"/>
    <w:rsid w:val="00090F15"/>
    <w:rsid w:val="0009513E"/>
    <w:rsid w:val="000A72D8"/>
    <w:rsid w:val="000E3C09"/>
    <w:rsid w:val="001044AC"/>
    <w:rsid w:val="0012010C"/>
    <w:rsid w:val="00121328"/>
    <w:rsid w:val="00130F41"/>
    <w:rsid w:val="00131512"/>
    <w:rsid w:val="001472FC"/>
    <w:rsid w:val="001506F0"/>
    <w:rsid w:val="00164C31"/>
    <w:rsid w:val="00165D25"/>
    <w:rsid w:val="001B239C"/>
    <w:rsid w:val="001B6861"/>
    <w:rsid w:val="001E14C7"/>
    <w:rsid w:val="00204F53"/>
    <w:rsid w:val="0024464A"/>
    <w:rsid w:val="002453C4"/>
    <w:rsid w:val="002466DA"/>
    <w:rsid w:val="00296749"/>
    <w:rsid w:val="00297271"/>
    <w:rsid w:val="002A2BCD"/>
    <w:rsid w:val="002A56B2"/>
    <w:rsid w:val="002D4A37"/>
    <w:rsid w:val="002E5DF2"/>
    <w:rsid w:val="00300773"/>
    <w:rsid w:val="00321BA0"/>
    <w:rsid w:val="00342FB7"/>
    <w:rsid w:val="0035372E"/>
    <w:rsid w:val="003930D8"/>
    <w:rsid w:val="003F3294"/>
    <w:rsid w:val="004109A6"/>
    <w:rsid w:val="004216E3"/>
    <w:rsid w:val="00435A50"/>
    <w:rsid w:val="00442AEA"/>
    <w:rsid w:val="00452358"/>
    <w:rsid w:val="004648D0"/>
    <w:rsid w:val="00465980"/>
    <w:rsid w:val="004734E6"/>
    <w:rsid w:val="0047524A"/>
    <w:rsid w:val="0049622A"/>
    <w:rsid w:val="004B5F54"/>
    <w:rsid w:val="004D1A34"/>
    <w:rsid w:val="004D7008"/>
    <w:rsid w:val="00500ADE"/>
    <w:rsid w:val="005162D8"/>
    <w:rsid w:val="00526007"/>
    <w:rsid w:val="005422F7"/>
    <w:rsid w:val="0056535B"/>
    <w:rsid w:val="005B112D"/>
    <w:rsid w:val="005C09F7"/>
    <w:rsid w:val="005D3115"/>
    <w:rsid w:val="006244CA"/>
    <w:rsid w:val="006326C5"/>
    <w:rsid w:val="00653BC7"/>
    <w:rsid w:val="00654147"/>
    <w:rsid w:val="00656491"/>
    <w:rsid w:val="00665DC7"/>
    <w:rsid w:val="006671AB"/>
    <w:rsid w:val="00682F03"/>
    <w:rsid w:val="006850C1"/>
    <w:rsid w:val="00685602"/>
    <w:rsid w:val="006945CF"/>
    <w:rsid w:val="006A22CB"/>
    <w:rsid w:val="006C5B9F"/>
    <w:rsid w:val="006E13E4"/>
    <w:rsid w:val="006F11D3"/>
    <w:rsid w:val="0070479A"/>
    <w:rsid w:val="007052EC"/>
    <w:rsid w:val="00723BBB"/>
    <w:rsid w:val="0077596E"/>
    <w:rsid w:val="007818D7"/>
    <w:rsid w:val="007A1285"/>
    <w:rsid w:val="00813DC3"/>
    <w:rsid w:val="00817E8E"/>
    <w:rsid w:val="00851F8F"/>
    <w:rsid w:val="0085330A"/>
    <w:rsid w:val="008B191A"/>
    <w:rsid w:val="008B2576"/>
    <w:rsid w:val="008D3859"/>
    <w:rsid w:val="008F0223"/>
    <w:rsid w:val="008F3DB4"/>
    <w:rsid w:val="00907EFD"/>
    <w:rsid w:val="00922707"/>
    <w:rsid w:val="00935205"/>
    <w:rsid w:val="0093569D"/>
    <w:rsid w:val="00953D6F"/>
    <w:rsid w:val="009544EB"/>
    <w:rsid w:val="009B2973"/>
    <w:rsid w:val="00A21A56"/>
    <w:rsid w:val="00A4229E"/>
    <w:rsid w:val="00A67E5E"/>
    <w:rsid w:val="00A74E14"/>
    <w:rsid w:val="00AC78F5"/>
    <w:rsid w:val="00AD392F"/>
    <w:rsid w:val="00AE40E5"/>
    <w:rsid w:val="00AE4F02"/>
    <w:rsid w:val="00AF6EFE"/>
    <w:rsid w:val="00B0090B"/>
    <w:rsid w:val="00B201ED"/>
    <w:rsid w:val="00B36A74"/>
    <w:rsid w:val="00B42B51"/>
    <w:rsid w:val="00B430D7"/>
    <w:rsid w:val="00B56102"/>
    <w:rsid w:val="00B83212"/>
    <w:rsid w:val="00B90EBA"/>
    <w:rsid w:val="00B94B75"/>
    <w:rsid w:val="00BB26E7"/>
    <w:rsid w:val="00BE2BF9"/>
    <w:rsid w:val="00BE7A2F"/>
    <w:rsid w:val="00C365E4"/>
    <w:rsid w:val="00C410FC"/>
    <w:rsid w:val="00C56426"/>
    <w:rsid w:val="00CE3092"/>
    <w:rsid w:val="00CE4810"/>
    <w:rsid w:val="00CE671B"/>
    <w:rsid w:val="00CE773E"/>
    <w:rsid w:val="00D3211A"/>
    <w:rsid w:val="00D831BF"/>
    <w:rsid w:val="00D96ECB"/>
    <w:rsid w:val="00DD5D52"/>
    <w:rsid w:val="00DD6388"/>
    <w:rsid w:val="00DE443A"/>
    <w:rsid w:val="00DF11F7"/>
    <w:rsid w:val="00DF16DA"/>
    <w:rsid w:val="00E23DFB"/>
    <w:rsid w:val="00E631FC"/>
    <w:rsid w:val="00E6479B"/>
    <w:rsid w:val="00E83426"/>
    <w:rsid w:val="00E959B8"/>
    <w:rsid w:val="00EA1635"/>
    <w:rsid w:val="00EA6D34"/>
    <w:rsid w:val="00F23BBE"/>
    <w:rsid w:val="00F302AA"/>
    <w:rsid w:val="00F3272A"/>
    <w:rsid w:val="00F82CDA"/>
    <w:rsid w:val="00FD2747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04DAAEB"/>
  <w15:chartTrackingRefBased/>
  <w15:docId w15:val="{9017C56E-828C-4729-AB26-7EFC8B85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CA"/>
    <w:pPr>
      <w:spacing w:after="240" w:line="240" w:lineRule="auto"/>
    </w:pPr>
    <w:rPr>
      <w:rFonts w:ascii="Calibri" w:eastAsiaTheme="minorHAnsi" w:hAnsi="Calibri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F8F"/>
    <w:pPr>
      <w:keepNext/>
      <w:spacing w:before="400"/>
      <w:outlineLvl w:val="0"/>
    </w:pPr>
    <w:rPr>
      <w:rFonts w:asciiTheme="majorHAnsi" w:eastAsiaTheme="majorEastAsia" w:hAnsiTheme="majorHAnsi" w:cstheme="majorBidi"/>
      <w:b/>
      <w:color w:val="0F293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F8F"/>
    <w:pPr>
      <w:keepNext/>
      <w:spacing w:before="120"/>
      <w:outlineLvl w:val="1"/>
    </w:pPr>
    <w:rPr>
      <w:rFonts w:asciiTheme="majorHAnsi" w:eastAsiaTheme="majorEastAsia" w:hAnsiTheme="majorHAnsi" w:cstheme="majorBidi"/>
      <w:b/>
      <w:color w:val="07478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1F8F"/>
    <w:pPr>
      <w:keepNext/>
      <w:spacing w:before="120" w:after="120"/>
      <w:outlineLvl w:val="2"/>
    </w:pPr>
    <w:rPr>
      <w:rFonts w:asciiTheme="majorHAnsi" w:eastAsiaTheme="majorEastAsia" w:hAnsiTheme="majorHAnsi" w:cstheme="majorBidi"/>
      <w:b/>
      <w:color w:val="07478C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1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1F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CDElogo">
    <w:name w:val="DBCDE logo"/>
    <w:basedOn w:val="Normal"/>
    <w:next w:val="BodyText"/>
    <w:semiHidden/>
    <w:qFormat/>
    <w:rsid w:val="006945CF"/>
    <w:pPr>
      <w:spacing w:after="360"/>
      <w:jc w:val="center"/>
    </w:pPr>
    <w:rPr>
      <w:noProof/>
    </w:rPr>
  </w:style>
  <w:style w:type="paragraph" w:styleId="BodyText">
    <w:name w:val="Body Text"/>
    <w:basedOn w:val="Normal"/>
    <w:link w:val="BodyTextChar"/>
    <w:uiPriority w:val="99"/>
    <w:unhideWhenUsed/>
    <w:rsid w:val="006945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945CF"/>
    <w:rPr>
      <w:rFonts w:ascii="Calibri" w:eastAsiaTheme="minorHAnsi" w:hAnsi="Calibri"/>
      <w:lang w:eastAsia="en-US"/>
    </w:rPr>
  </w:style>
  <w:style w:type="paragraph" w:customStyle="1" w:styleId="Recipientaddress">
    <w:name w:val="Recipient address"/>
    <w:basedOn w:val="BodyText"/>
    <w:qFormat/>
    <w:rsid w:val="006945CF"/>
    <w:pPr>
      <w:spacing w:after="240"/>
      <w:contextualSpacing/>
    </w:pPr>
  </w:style>
  <w:style w:type="paragraph" w:customStyle="1" w:styleId="Signatureblock">
    <w:name w:val="Signature block"/>
    <w:basedOn w:val="BodyText"/>
    <w:uiPriority w:val="19"/>
    <w:qFormat/>
    <w:rsid w:val="006945CF"/>
    <w:pPr>
      <w:spacing w:after="240"/>
    </w:pPr>
  </w:style>
  <w:style w:type="paragraph" w:styleId="Header">
    <w:name w:val="header"/>
    <w:basedOn w:val="Normal"/>
    <w:link w:val="HeaderChar"/>
    <w:uiPriority w:val="99"/>
    <w:unhideWhenUsed/>
    <w:rsid w:val="006945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5CF"/>
    <w:rPr>
      <w:rFonts w:ascii="Calibri" w:eastAsiaTheme="minorHAnsi" w:hAnsi="Calibri"/>
      <w:lang w:eastAsia="en-US"/>
    </w:rPr>
  </w:style>
  <w:style w:type="paragraph" w:styleId="Footer">
    <w:name w:val="footer"/>
    <w:basedOn w:val="Normal"/>
    <w:link w:val="FooterChar"/>
    <w:unhideWhenUsed/>
    <w:rsid w:val="000E3C09"/>
    <w:pPr>
      <w:tabs>
        <w:tab w:val="center" w:pos="4513"/>
        <w:tab w:val="right" w:pos="9026"/>
      </w:tabs>
      <w:contextualSpacing/>
      <w:jc w:val="center"/>
    </w:pPr>
  </w:style>
  <w:style w:type="character" w:customStyle="1" w:styleId="FooterChar">
    <w:name w:val="Footer Char"/>
    <w:basedOn w:val="DefaultParagraphFont"/>
    <w:link w:val="Footer"/>
    <w:rsid w:val="000E3C09"/>
    <w:rPr>
      <w:rFonts w:ascii="Calibri" w:eastAsiaTheme="minorHAnsi" w:hAnsi="Calibri"/>
      <w:lang w:eastAsia="en-AU"/>
    </w:rPr>
  </w:style>
  <w:style w:type="paragraph" w:customStyle="1" w:styleId="Documenttype">
    <w:name w:val="Document type"/>
    <w:basedOn w:val="Normal"/>
    <w:uiPriority w:val="17"/>
    <w:qFormat/>
    <w:rsid w:val="006945CF"/>
    <w:pPr>
      <w:spacing w:before="120"/>
      <w:jc w:val="right"/>
    </w:pPr>
    <w:rPr>
      <w:rFonts w:ascii="Cambria" w:eastAsia="Times New Roman" w:hAnsi="Cambria" w:cs="Times New Roman"/>
      <w:b/>
      <w:color w:val="00728F"/>
      <w:kern w:val="28"/>
      <w:sz w:val="24"/>
      <w:szCs w:val="52"/>
    </w:rPr>
  </w:style>
  <w:style w:type="character" w:styleId="Hyperlink">
    <w:name w:val="Hyperlink"/>
    <w:basedOn w:val="DefaultParagraphFont"/>
    <w:unhideWhenUsed/>
    <w:rsid w:val="006945CF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49"/>
    <w:rsid w:val="006945CF"/>
    <w:rPr>
      <w:color w:val="auto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51F8F"/>
    <w:rPr>
      <w:rFonts w:asciiTheme="majorHAnsi" w:eastAsiaTheme="majorEastAsia" w:hAnsiTheme="majorHAnsi" w:cstheme="majorBidi"/>
      <w:b/>
      <w:color w:val="0F293A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51F8F"/>
    <w:rPr>
      <w:rFonts w:asciiTheme="majorHAnsi" w:eastAsiaTheme="majorEastAsia" w:hAnsiTheme="majorHAnsi" w:cstheme="majorBidi"/>
      <w:b/>
      <w:color w:val="07478C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51F8F"/>
    <w:rPr>
      <w:rFonts w:asciiTheme="majorHAnsi" w:eastAsiaTheme="majorEastAsia" w:hAnsiTheme="majorHAnsi" w:cstheme="majorBidi"/>
      <w:b/>
      <w:color w:val="07478C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4464A"/>
    <w:pPr>
      <w:ind w:left="567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4464A"/>
    <w:rPr>
      <w:rFonts w:eastAsiaTheme="minorHAnsi"/>
      <w:i/>
      <w:iCs/>
      <w:lang w:eastAsia="en-US"/>
    </w:rPr>
  </w:style>
  <w:style w:type="paragraph" w:customStyle="1" w:styleId="Bullet">
    <w:name w:val="Bullet"/>
    <w:basedOn w:val="Normal"/>
    <w:qFormat/>
    <w:rsid w:val="0024464A"/>
    <w:pPr>
      <w:numPr>
        <w:numId w:val="1"/>
      </w:numPr>
      <w:ind w:left="567" w:hanging="567"/>
      <w:contextualSpacing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851F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51F8F"/>
    <w:pPr>
      <w:keepNext/>
      <w:spacing w:before="40"/>
    </w:pPr>
    <w:rPr>
      <w:rFonts w:asciiTheme="majorHAnsi" w:hAnsiTheme="majorHAnsi"/>
      <w:b/>
      <w:color w:val="07478C"/>
    </w:rPr>
  </w:style>
  <w:style w:type="paragraph" w:customStyle="1" w:styleId="Tabletextcentred">
    <w:name w:val="Table text centred"/>
    <w:basedOn w:val="Normal"/>
    <w:next w:val="NoSpacing"/>
    <w:rsid w:val="00851F8F"/>
    <w:pPr>
      <w:jc w:val="center"/>
    </w:pPr>
    <w:rPr>
      <w:rFonts w:asciiTheme="minorHAnsi" w:eastAsia="Times New Roman" w:hAnsiTheme="minorHAnsi" w:cs="Times New Roman"/>
      <w:szCs w:val="20"/>
    </w:rPr>
  </w:style>
  <w:style w:type="paragraph" w:customStyle="1" w:styleId="Tableheading">
    <w:name w:val="Table heading"/>
    <w:basedOn w:val="Normal"/>
    <w:next w:val="Normal"/>
    <w:rsid w:val="00851F8F"/>
    <w:rPr>
      <w:rFonts w:asciiTheme="minorHAnsi" w:eastAsia="Times New Roman" w:hAnsiTheme="minorHAnsi" w:cs="Times New Roman"/>
      <w:b/>
      <w:bCs/>
      <w:szCs w:val="20"/>
    </w:rPr>
  </w:style>
  <w:style w:type="paragraph" w:customStyle="1" w:styleId="Tableheadingcentred">
    <w:name w:val="Table heading centred"/>
    <w:basedOn w:val="Normal"/>
    <w:next w:val="Normal"/>
    <w:rsid w:val="00851F8F"/>
    <w:pPr>
      <w:jc w:val="center"/>
    </w:pPr>
    <w:rPr>
      <w:rFonts w:asciiTheme="minorHAnsi" w:eastAsia="Times New Roman" w:hAnsiTheme="minorHAnsi" w:cs="Times New Roman"/>
      <w:b/>
      <w:bCs/>
      <w:szCs w:val="20"/>
    </w:rPr>
  </w:style>
  <w:style w:type="paragraph" w:customStyle="1" w:styleId="Tabletext">
    <w:name w:val="Table text"/>
    <w:basedOn w:val="Tabletextcentred"/>
    <w:qFormat/>
    <w:rsid w:val="00851F8F"/>
    <w:pPr>
      <w:jc w:val="left"/>
    </w:pPr>
  </w:style>
  <w:style w:type="paragraph" w:styleId="NoSpacing">
    <w:name w:val="No Spacing"/>
    <w:uiPriority w:val="1"/>
    <w:qFormat/>
    <w:rsid w:val="00851F8F"/>
    <w:pPr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51F8F"/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51F8F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ListParagraph">
    <w:name w:val="List Paragraph"/>
    <w:basedOn w:val="Bullet"/>
    <w:uiPriority w:val="34"/>
    <w:qFormat/>
    <w:rsid w:val="00851F8F"/>
    <w:pPr>
      <w:ind w:left="360" w:hanging="360"/>
    </w:pPr>
  </w:style>
  <w:style w:type="paragraph" w:customStyle="1" w:styleId="Classification">
    <w:name w:val="Classification"/>
    <w:basedOn w:val="Normal"/>
    <w:qFormat/>
    <w:rsid w:val="000E3C09"/>
    <w:pPr>
      <w:contextualSpacing/>
      <w:jc w:val="center"/>
    </w:pPr>
    <w:rPr>
      <w:color w:val="C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2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24A"/>
    <w:rPr>
      <w:rFonts w:ascii="Segoe UI" w:eastAsiaTheme="minorHAnsi" w:hAnsi="Segoe UI" w:cs="Segoe UI"/>
      <w:sz w:val="18"/>
      <w:szCs w:val="18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78A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78A8"/>
    <w:rPr>
      <w:rFonts w:ascii="Calibri" w:eastAsiaTheme="minorHAnsi" w:hAnsi="Calibri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FF78A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31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ts.gov.au/" TargetMode="External"/><Relationship Id="rId1" Type="http://schemas.openxmlformats.org/officeDocument/2006/relationships/hyperlink" Target="http://www.communications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DEPT\doca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1C53E2CA3584A96F3702853571A0B" ma:contentTypeVersion="0" ma:contentTypeDescription="Create a new document." ma:contentTypeScope="" ma:versionID="1d10f74b21ed93110e4b6d6680db28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D0D12-28E4-471E-B49D-3B9ADBC65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F70853-0932-43A3-A53E-E3939D2BB5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E485B-4898-4A79-B084-755E8C198266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9D228C9-2B90-417A-8AED-71FBBE04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doca-letterhead.dotx</Template>
  <TotalTime>2</TotalTime>
  <Pages>3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new .au domain Licensing Rules—letter from Department of Communications and the Arts to AuDA</vt:lpstr>
    </vt:vector>
  </TitlesOfParts>
  <Company>Department of Communications and the Arts</Company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new .au domain Licensing Rules—letter from Department of Communications and the Arts to AuDA</dc:title>
  <dc:subject/>
  <dc:creator>Department of Communications and the Arts</dc:creator>
  <cp:keywords/>
  <dc:description>24 July 2018</dc:description>
  <cp:lastModifiedBy>Hall, Theresa</cp:lastModifiedBy>
  <cp:revision>3</cp:revision>
  <cp:lastPrinted>2019-08-05T04:27:00Z</cp:lastPrinted>
  <dcterms:created xsi:type="dcterms:W3CDTF">2019-08-26T05:38:00Z</dcterms:created>
  <dcterms:modified xsi:type="dcterms:W3CDTF">2019-08-26T05:38:00Z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0x0101007461C53E2CA3584A96F3702853571A0B</vt:lpwstr>
  </property>
  <property fmtid="{D5CDD505-2E9C-101B-9397-08002B2CF9AE}" pid="3" name="TrimRevisionNumber">
    <vt:i4>8</vt:i4>
  </property>
</Properties>
</file>