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A4E93" w14:textId="77777777" w:rsidR="0094124E" w:rsidRDefault="00707979" w:rsidP="001F2AF1">
      <w:pPr>
        <w:spacing w:after="0"/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3CBA8F4" wp14:editId="671D9EAF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ED50F28" w14:textId="350A6464" w:rsidR="00BF050A" w:rsidRPr="000F5859" w:rsidRDefault="00BF050A" w:rsidP="00BF050A">
      <w:pPr>
        <w:pStyle w:val="Heading1"/>
        <w:spacing w:before="0" w:after="120"/>
      </w:pPr>
      <w:bookmarkStart w:id="0" w:name="_Toc471208854"/>
      <w:bookmarkStart w:id="1" w:name="_Toc475458953"/>
      <w:bookmarkStart w:id="2" w:name="_GoBack"/>
      <w:r>
        <w:t>Instruction sheet</w:t>
      </w:r>
      <w:r w:rsidR="00F529D1">
        <w:t xml:space="preserve"> 1.3</w:t>
      </w:r>
      <w:r>
        <w:t>—</w:t>
      </w:r>
      <w:r w:rsidR="007C1A4C">
        <w:t>NRS Chat</w:t>
      </w:r>
      <w:r w:rsidRPr="000F5859">
        <w:t>—</w:t>
      </w:r>
      <w:r>
        <w:t>c</w:t>
      </w:r>
      <w:r w:rsidRPr="000F5859">
        <w:t>all to emergency services</w:t>
      </w:r>
    </w:p>
    <w:bookmarkEnd w:id="2"/>
    <w:p w14:paraId="6EB33C62" w14:textId="77777777" w:rsidR="00BF050A" w:rsidRPr="00F37103" w:rsidRDefault="00BF050A" w:rsidP="00BF050A">
      <w:pPr>
        <w:pStyle w:val="Heading2"/>
        <w:spacing w:after="120"/>
      </w:pPr>
      <w:r w:rsidRPr="00F37103">
        <w:t>Step</w:t>
      </w:r>
      <w:r w:rsidR="00BD0E14">
        <w:t>-</w:t>
      </w:r>
      <w:r w:rsidRPr="00F37103">
        <w:t>by</w:t>
      </w:r>
      <w:r w:rsidR="00BD0E14">
        <w:t>-</w:t>
      </w:r>
      <w:r w:rsidRPr="00F37103">
        <w:t>step instructions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Step by step instructions—call to emergency services."/>
      </w:tblPr>
      <w:tblGrid>
        <w:gridCol w:w="1147"/>
        <w:gridCol w:w="3456"/>
        <w:gridCol w:w="4753"/>
      </w:tblGrid>
      <w:tr w:rsidR="000E404D" w14:paraId="564F821C" w14:textId="77777777" w:rsidTr="001F2AF1">
        <w:trPr>
          <w:cantSplit/>
          <w:tblHeader/>
        </w:trPr>
        <w:tc>
          <w:tcPr>
            <w:tcW w:w="17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6D20670C" w14:textId="77777777" w:rsidR="00BF050A" w:rsidRPr="00F37103" w:rsidRDefault="00BF050A" w:rsidP="00061731">
            <w:pPr>
              <w:pStyle w:val="Tablerowcolumnheadingcentred"/>
            </w:pPr>
            <w:r>
              <w:t>Step number</w:t>
            </w:r>
          </w:p>
        </w:tc>
        <w:tc>
          <w:tcPr>
            <w:tcW w:w="17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F1E237C" w14:textId="77777777" w:rsidR="00BF050A" w:rsidRDefault="00BF050A" w:rsidP="00C3630A">
            <w:pPr>
              <w:pStyle w:val="Tablerowcolumnheadingcentred"/>
            </w:pPr>
            <w:r>
              <w:t>Image</w:t>
            </w:r>
          </w:p>
        </w:tc>
        <w:tc>
          <w:tcPr>
            <w:tcW w:w="59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124403B9" w14:textId="77777777" w:rsidR="00BF050A" w:rsidRDefault="00BF050A" w:rsidP="00061731">
            <w:pPr>
              <w:pStyle w:val="Tablerowcolumnheading"/>
            </w:pPr>
            <w:r>
              <w:t>Instructions</w:t>
            </w:r>
          </w:p>
        </w:tc>
      </w:tr>
      <w:tr w:rsidR="000E404D" w14:paraId="293EC4DA" w14:textId="77777777" w:rsidTr="001F2AF1">
        <w:trPr>
          <w:cantSplit/>
        </w:trPr>
        <w:tc>
          <w:tcPr>
            <w:tcW w:w="17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F44F6" w14:textId="77777777" w:rsidR="00BF050A" w:rsidRPr="00F37103" w:rsidRDefault="00BF050A" w:rsidP="00061731">
            <w:pPr>
              <w:pStyle w:val="Tabletextcentred"/>
            </w:pPr>
            <w:r w:rsidRPr="00F37103">
              <w:t>1</w:t>
            </w:r>
          </w:p>
        </w:tc>
        <w:tc>
          <w:tcPr>
            <w:tcW w:w="1701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57492" w14:textId="468813BE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D6A470C" wp14:editId="21348E33">
                  <wp:extent cx="761593" cy="574159"/>
                  <wp:effectExtent l="0" t="0" r="635" b="0"/>
                  <wp:docPr id="13" name="Picture 13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2" cy="59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ECC9E" w14:textId="634BA5C2" w:rsidR="000E3675" w:rsidRPr="000F5859" w:rsidRDefault="00BF050A" w:rsidP="00061731">
            <w:pPr>
              <w:pStyle w:val="Tabletext"/>
            </w:pPr>
            <w:r w:rsidRPr="000F5859">
              <w:t xml:space="preserve">Go to </w:t>
            </w:r>
            <w:hyperlink r:id="rId16" w:history="1">
              <w:r w:rsidR="000E3675" w:rsidRPr="00530A1E">
                <w:rPr>
                  <w:rStyle w:val="Hyperlink"/>
                </w:rPr>
                <w:t>www.communications.gov.au/accesshub/nrs</w:t>
              </w:r>
            </w:hyperlink>
            <w:r w:rsidR="001F2AF1">
              <w:t>.</w:t>
            </w:r>
          </w:p>
          <w:p w14:paraId="3F688EE5" w14:textId="4C28F388" w:rsidR="00BF050A" w:rsidRPr="000F5859" w:rsidRDefault="00BF050A" w:rsidP="0079593A">
            <w:pPr>
              <w:pStyle w:val="Tabletext"/>
            </w:pPr>
            <w:r w:rsidRPr="000F5859">
              <w:t xml:space="preserve">Click the </w:t>
            </w:r>
            <w:hyperlink r:id="rId17" w:history="1">
              <w:r w:rsidR="007C1A4C">
                <w:rPr>
                  <w:rStyle w:val="Hyperlink"/>
                  <w:b/>
                </w:rPr>
                <w:t>make a NRS Chat</w:t>
              </w:r>
              <w:r w:rsidRPr="00BD0E14">
                <w:rPr>
                  <w:rStyle w:val="Hyperlink"/>
                  <w:b/>
                </w:rPr>
                <w:t xml:space="preserve"> call</w:t>
              </w:r>
            </w:hyperlink>
            <w:r w:rsidRPr="000F5859">
              <w:t xml:space="preserve"> link (the call page can be bookmarked for future use).</w:t>
            </w:r>
          </w:p>
        </w:tc>
      </w:tr>
      <w:tr w:rsidR="000E404D" w14:paraId="4A05DDA4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2BAFB" w14:textId="77777777" w:rsidR="00BF050A" w:rsidRPr="00F37103" w:rsidRDefault="00BF050A" w:rsidP="00061731">
            <w:pPr>
              <w:pStyle w:val="Tabletextcentred"/>
            </w:pPr>
            <w:r w:rsidRPr="00F3710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C1C95" w14:textId="624286DF" w:rsidR="00BF050A" w:rsidRPr="000F5859" w:rsidRDefault="000E404D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D3D0103" wp14:editId="6DAF9FCE">
                  <wp:extent cx="2057687" cy="533474"/>
                  <wp:effectExtent l="0" t="0" r="0" b="0"/>
                  <wp:docPr id="7" name="Picture 7" descr="Red button with 'Emergency services' on it." title="Emergency Service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ergency services butt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0945B" w14:textId="7B79869F" w:rsidR="00BF050A" w:rsidRDefault="00BF050A" w:rsidP="00061731">
            <w:pPr>
              <w:pStyle w:val="Tabletext"/>
            </w:pPr>
            <w:r w:rsidRPr="000F5859">
              <w:t xml:space="preserve">Go to </w:t>
            </w:r>
            <w:r w:rsidRPr="00BD0E14">
              <w:rPr>
                <w:b/>
              </w:rPr>
              <w:t>make a call</w:t>
            </w:r>
            <w:r w:rsidR="00F65A31">
              <w:t xml:space="preserve"> </w:t>
            </w:r>
            <w:r w:rsidR="000E3675">
              <w:t xml:space="preserve">on the call page </w:t>
            </w:r>
            <w:r w:rsidR="00F65A31">
              <w:t xml:space="preserve">and click the red </w:t>
            </w:r>
            <w:r w:rsidR="00F65A31" w:rsidRPr="000E3675">
              <w:rPr>
                <w:b/>
              </w:rPr>
              <w:t>Emergency Services</w:t>
            </w:r>
            <w:r w:rsidR="00F65A31">
              <w:t xml:space="preserve"> button.</w:t>
            </w:r>
          </w:p>
          <w:p w14:paraId="0F932684" w14:textId="77777777" w:rsidR="000E3675" w:rsidRDefault="000E3675" w:rsidP="000E3675">
            <w:pPr>
              <w:pStyle w:val="Tabletext"/>
            </w:pPr>
            <w:r>
              <w:t>OR</w:t>
            </w:r>
          </w:p>
          <w:p w14:paraId="4345060C" w14:textId="1B394A41" w:rsidR="000E3675" w:rsidRPr="000F5859" w:rsidRDefault="000E3675" w:rsidP="000E3675">
            <w:pPr>
              <w:pStyle w:val="Tabletext"/>
            </w:pPr>
            <w:r>
              <w:t xml:space="preserve">Enter </w:t>
            </w:r>
            <w:r w:rsidRPr="000E3675">
              <w:rPr>
                <w:b/>
              </w:rPr>
              <w:t>000</w:t>
            </w:r>
            <w:r>
              <w:t xml:space="preserve"> into the phone number to call field and press the connect now button</w:t>
            </w:r>
          </w:p>
        </w:tc>
      </w:tr>
      <w:tr w:rsidR="000E404D" w14:paraId="1983C4B1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4A9E7" w14:textId="77777777" w:rsidR="00BF050A" w:rsidRPr="00F37103" w:rsidRDefault="00BF050A" w:rsidP="00061731">
            <w:pPr>
              <w:pStyle w:val="Tabletextcentred"/>
            </w:pPr>
            <w:r w:rsidRPr="00F3710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6EE24" w14:textId="3205CAB7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33EAB9E" wp14:editId="364A9DC5">
                  <wp:extent cx="485775" cy="638175"/>
                  <wp:effectExtent l="0" t="0" r="9525" b="9525"/>
                  <wp:docPr id="3" name="Picture 3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5CA6D" w14:textId="77777777" w:rsidR="00BF050A" w:rsidRPr="000F5859" w:rsidRDefault="00BF050A" w:rsidP="00061731">
            <w:pPr>
              <w:pStyle w:val="Tabletext"/>
            </w:pPr>
            <w:r w:rsidRPr="000F5859">
              <w:t>Wait to be transferred to a relay officer (RO). The call will be given priority in the relay service call answer queue.</w:t>
            </w:r>
          </w:p>
        </w:tc>
      </w:tr>
      <w:tr w:rsidR="000E404D" w14:paraId="097D48E4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D6EF9" w14:textId="77777777" w:rsidR="00BF050A" w:rsidRPr="00F37103" w:rsidRDefault="00BF050A" w:rsidP="00061731">
            <w:pPr>
              <w:pStyle w:val="Tabletextcentred"/>
            </w:pPr>
            <w:r w:rsidRPr="00F3710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73AE5" w14:textId="28030F4D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86EBC24" wp14:editId="6B346946">
                  <wp:extent cx="876743" cy="842135"/>
                  <wp:effectExtent l="0" t="0" r="0" b="0"/>
                  <wp:docPr id="10" name="Picture 10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83" cy="8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B4784" w14:textId="4C0C7684" w:rsidR="00BF050A" w:rsidRPr="000F5859" w:rsidRDefault="00BF050A" w:rsidP="00061731">
            <w:pPr>
              <w:pStyle w:val="Tabletext"/>
            </w:pPr>
            <w:r w:rsidRPr="000F5859">
              <w:t>The RO will ask wh</w:t>
            </w:r>
            <w:r w:rsidR="008E0F49">
              <w:t>ich emergency service is needed and will ask for the location of the emergency.</w:t>
            </w:r>
          </w:p>
          <w:p w14:paraId="03539B7A" w14:textId="43264259" w:rsidR="00BF050A" w:rsidRPr="000F5859" w:rsidRDefault="00BF050A" w:rsidP="00061731">
            <w:pPr>
              <w:pStyle w:val="Tabletext"/>
            </w:pPr>
            <w:r w:rsidRPr="000F5859">
              <w:t xml:space="preserve">Type </w:t>
            </w:r>
            <w:r w:rsidRPr="00BD0E14">
              <w:rPr>
                <w:b/>
              </w:rPr>
              <w:t>FFF</w:t>
            </w:r>
            <w:r w:rsidRPr="000F5859">
              <w:t xml:space="preserve"> for Fire, </w:t>
            </w:r>
            <w:r w:rsidRPr="00BD0E14">
              <w:rPr>
                <w:b/>
              </w:rPr>
              <w:t>PPP</w:t>
            </w:r>
            <w:r w:rsidRPr="000F5859">
              <w:t xml:space="preserve"> for Police or </w:t>
            </w:r>
            <w:r w:rsidRPr="00BD0E14">
              <w:rPr>
                <w:b/>
              </w:rPr>
              <w:t>AAA</w:t>
            </w:r>
            <w:r w:rsidRPr="000F5859">
              <w:t xml:space="preserve"> for Ambulance.</w:t>
            </w:r>
            <w:r w:rsidR="008E0F49">
              <w:t xml:space="preserve"> Type the address including street address and state.</w:t>
            </w:r>
          </w:p>
          <w:p w14:paraId="39804900" w14:textId="77777777" w:rsidR="00BF050A" w:rsidRPr="000F5859" w:rsidRDefault="00BF050A" w:rsidP="00061731">
            <w:pPr>
              <w:pStyle w:val="Tabletext"/>
            </w:pPr>
            <w:r w:rsidRPr="000F5859">
              <w:t xml:space="preserve">Type </w:t>
            </w:r>
            <w:r w:rsidRPr="00BD0E14">
              <w:rPr>
                <w:b/>
              </w:rPr>
              <w:t>GA</w:t>
            </w:r>
            <w:r w:rsidRPr="000F5859">
              <w:t xml:space="preserve"> (Go ahead).</w:t>
            </w:r>
          </w:p>
        </w:tc>
      </w:tr>
      <w:tr w:rsidR="000E404D" w14:paraId="5B0C58BE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20CAD" w14:textId="77777777" w:rsidR="00BF050A" w:rsidRPr="00F37103" w:rsidRDefault="00BF050A" w:rsidP="00061731">
            <w:pPr>
              <w:pStyle w:val="Tabletextcentred"/>
            </w:pPr>
            <w:r w:rsidRPr="00F3710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0505" w14:textId="2F2DF55A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12A46D4" wp14:editId="1CA673BE">
                  <wp:extent cx="876743" cy="842135"/>
                  <wp:effectExtent l="0" t="0" r="0" b="0"/>
                  <wp:docPr id="8" name="Picture 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83" cy="8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4EC5C" w14:textId="438EE98A" w:rsidR="00BF050A" w:rsidRPr="000F5859" w:rsidRDefault="00BF050A" w:rsidP="00061731">
            <w:pPr>
              <w:pStyle w:val="Tabletext"/>
            </w:pPr>
            <w:r w:rsidRPr="000F5859">
              <w:t>The RO will connect to the Emergency Services Officer (ESO).</w:t>
            </w:r>
          </w:p>
        </w:tc>
      </w:tr>
      <w:tr w:rsidR="000E404D" w14:paraId="658E9D2B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54A44" w14:textId="77777777" w:rsidR="00BF050A" w:rsidRPr="00F37103" w:rsidRDefault="00BF050A" w:rsidP="00061731">
            <w:pPr>
              <w:pStyle w:val="Tabletextcentred"/>
            </w:pPr>
            <w:r w:rsidRPr="00F3710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ED2FD" w14:textId="1FCCEC23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38BB011" wp14:editId="70EE3C3D">
                  <wp:extent cx="761593" cy="574159"/>
                  <wp:effectExtent l="0" t="0" r="635" b="0"/>
                  <wp:docPr id="12" name="Picture 12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2" cy="59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12E44" w14:textId="77777777" w:rsidR="00BF050A" w:rsidRPr="000F5859" w:rsidRDefault="00BF050A" w:rsidP="00061731">
            <w:pPr>
              <w:pStyle w:val="Tabletext"/>
            </w:pPr>
            <w:r w:rsidRPr="000F5859">
              <w:t>Answer all questions from the ESO.</w:t>
            </w:r>
          </w:p>
          <w:p w14:paraId="00F8D84C" w14:textId="77777777" w:rsidR="00BF050A" w:rsidRPr="000F5859" w:rsidRDefault="00BF050A" w:rsidP="00061731">
            <w:pPr>
              <w:pStyle w:val="Tabletext"/>
            </w:pPr>
            <w:r w:rsidRPr="000F5859">
              <w:t>Wait to read ‘GA’ before replying each time.</w:t>
            </w:r>
          </w:p>
        </w:tc>
      </w:tr>
      <w:tr w:rsidR="000E404D" w14:paraId="293C6C61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0785B" w14:textId="77777777" w:rsidR="00BF050A" w:rsidRPr="00F37103" w:rsidRDefault="00BD0E14" w:rsidP="00BD0E14">
            <w:pPr>
              <w:pStyle w:val="Tabletextcentred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5F20D" w14:textId="08F505B0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AE7DFD8" wp14:editId="6C833011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3E95E" w14:textId="77777777" w:rsidR="00BF050A" w:rsidRPr="000F5859" w:rsidRDefault="00BF050A" w:rsidP="00061731">
            <w:pPr>
              <w:pStyle w:val="Tabletext"/>
            </w:pPr>
            <w:r w:rsidRPr="000F5859">
              <w:t>Do not hang up until the RO advises the call is finished.</w:t>
            </w:r>
          </w:p>
        </w:tc>
      </w:tr>
      <w:tr w:rsidR="000E404D" w14:paraId="7853C240" w14:textId="77777777" w:rsidTr="001F2AF1">
        <w:trPr>
          <w:cantSplit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1685AE" w14:textId="77777777" w:rsidR="00BF050A" w:rsidRPr="00F37103" w:rsidRDefault="00BD0E14" w:rsidP="00BD0E14">
            <w:pPr>
              <w:pStyle w:val="Tabletextcentred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131FC8" w14:textId="34CA7A11" w:rsidR="00BF050A" w:rsidRPr="000F5859" w:rsidRDefault="001F2AF1" w:rsidP="00C3630A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6B9B28B" wp14:editId="525295F6">
                  <wp:extent cx="761593" cy="574159"/>
                  <wp:effectExtent l="0" t="0" r="635" b="0"/>
                  <wp:docPr id="5" name="Picture 5" descr="Cartoon image of a computer keyboard with two hands typing on the key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wo-hands-typing-on-keyboar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82" cy="59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B6FEA5" w14:textId="77777777" w:rsidR="00BF050A" w:rsidRPr="000F5859" w:rsidRDefault="00BF050A" w:rsidP="00061731">
            <w:pPr>
              <w:pStyle w:val="Tabletext"/>
            </w:pPr>
            <w:r w:rsidRPr="000F5859">
              <w:t xml:space="preserve">To finish, click </w:t>
            </w:r>
            <w:r w:rsidRPr="00BD0E14">
              <w:rPr>
                <w:b/>
              </w:rPr>
              <w:t>hang up</w:t>
            </w:r>
            <w:r w:rsidRPr="000F5859">
              <w:t>.</w:t>
            </w:r>
          </w:p>
        </w:tc>
      </w:tr>
    </w:tbl>
    <w:p w14:paraId="405007F0" w14:textId="77777777" w:rsidR="00BF050A" w:rsidRPr="00672668" w:rsidRDefault="00BF050A" w:rsidP="00BF050A">
      <w:pPr>
        <w:pStyle w:val="Heading2"/>
      </w:pPr>
      <w:r w:rsidRPr="00672668">
        <w:lastRenderedPageBreak/>
        <w:t xml:space="preserve">NRS </w:t>
      </w:r>
      <w:r w:rsidR="008E74CC">
        <w:t>H</w:t>
      </w:r>
      <w:r w:rsidRPr="00672668">
        <w:t>elpdesk</w:t>
      </w:r>
    </w:p>
    <w:p w14:paraId="594D513C" w14:textId="77777777" w:rsidR="00BF050A" w:rsidRPr="00672668" w:rsidRDefault="00BF050A" w:rsidP="00BF050A">
      <w:r w:rsidRPr="00672668">
        <w:t>The Helpdesk is open from 8am to 6pm, Monday to Friday (Eastern Standard Time). There are a number of ways to make contact with Helpdesk staff:</w:t>
      </w:r>
    </w:p>
    <w:p w14:paraId="06325CD7" w14:textId="77777777" w:rsidR="00BF050A" w:rsidRPr="00672668" w:rsidRDefault="00BF050A" w:rsidP="00BF050A">
      <w:pPr>
        <w:pStyle w:val="Bulletlevel1"/>
        <w:tabs>
          <w:tab w:val="left" w:pos="1701"/>
        </w:tabs>
      </w:pPr>
      <w:r w:rsidRPr="00672668">
        <w:t>Email</w:t>
      </w:r>
      <w:r w:rsidRPr="00672668">
        <w:tab/>
      </w:r>
      <w:hyperlink r:id="rId21" w:history="1">
        <w:r w:rsidRPr="00672668">
          <w:rPr>
            <w:rStyle w:val="Hyperlink"/>
          </w:rPr>
          <w:t>helpdesk@relayservice.com.au</w:t>
        </w:r>
      </w:hyperlink>
    </w:p>
    <w:p w14:paraId="5520691D" w14:textId="77777777" w:rsidR="00BF050A" w:rsidRPr="00672668" w:rsidRDefault="00BF050A" w:rsidP="00BF050A">
      <w:pPr>
        <w:pStyle w:val="Bulletlevel1"/>
        <w:tabs>
          <w:tab w:val="left" w:pos="1701"/>
        </w:tabs>
      </w:pPr>
      <w:r w:rsidRPr="00672668">
        <w:t>Phone</w:t>
      </w:r>
      <w:r w:rsidRPr="00672668">
        <w:tab/>
        <w:t>1800 555 660</w:t>
      </w:r>
    </w:p>
    <w:p w14:paraId="41471846" w14:textId="77777777" w:rsidR="000E3675" w:rsidRDefault="00BF050A" w:rsidP="00BF050A">
      <w:pPr>
        <w:pStyle w:val="Bulletlevel1"/>
        <w:tabs>
          <w:tab w:val="left" w:pos="1701"/>
        </w:tabs>
      </w:pPr>
      <w:r w:rsidRPr="00672668">
        <w:t>SMS</w:t>
      </w:r>
      <w:r w:rsidRPr="00672668">
        <w:tab/>
        <w:t>0416 001 350</w:t>
      </w:r>
    </w:p>
    <w:p w14:paraId="576D628A" w14:textId="52D6C01D" w:rsidR="00BF050A" w:rsidRPr="00672668" w:rsidRDefault="00ED7FD3" w:rsidP="00BF050A">
      <w:pPr>
        <w:pStyle w:val="Bulletlevel1"/>
        <w:tabs>
          <w:tab w:val="left" w:pos="1701"/>
        </w:tabs>
      </w:pPr>
      <w:hyperlink r:id="rId22" w:history="1">
        <w:r w:rsidR="000E3675" w:rsidRPr="006D2B61">
          <w:rPr>
            <w:rStyle w:val="Hyperlink"/>
          </w:rPr>
          <w:t>Online contact form</w:t>
        </w:r>
      </w:hyperlink>
      <w:r w:rsidR="001F2AF1">
        <w:t>.</w:t>
      </w:r>
    </w:p>
    <w:bookmarkEnd w:id="0"/>
    <w:bookmarkEnd w:id="1"/>
    <w:sectPr w:rsidR="00BF050A" w:rsidRPr="00672668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C121" w14:textId="77777777" w:rsidR="00BF050A" w:rsidRDefault="00BF050A" w:rsidP="002117E6">
      <w:pPr>
        <w:spacing w:after="0"/>
      </w:pPr>
      <w:r>
        <w:separator/>
      </w:r>
    </w:p>
  </w:endnote>
  <w:endnote w:type="continuationSeparator" w:id="0">
    <w:p w14:paraId="42F22D60" w14:textId="77777777" w:rsidR="00BF050A" w:rsidRDefault="00BF050A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D831" w14:textId="51BBBF59" w:rsidR="006E5593" w:rsidRDefault="00F529D1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F529D1">
      <w:rPr>
        <w:sz w:val="18"/>
        <w:szCs w:val="18"/>
      </w:rPr>
      <w:t>Inst</w:t>
    </w:r>
    <w:r w:rsidR="00EA08B8">
      <w:rPr>
        <w:sz w:val="18"/>
        <w:szCs w:val="18"/>
      </w:rPr>
      <w:t>ruction sheet 1.3—NRS Chat</w:t>
    </w:r>
    <w:r w:rsidRPr="00F529D1">
      <w:rPr>
        <w:sz w:val="18"/>
        <w:szCs w:val="18"/>
      </w:rPr>
      <w:t>—call to emergency services</w:t>
    </w:r>
  </w:p>
  <w:p w14:paraId="25DFCD02" w14:textId="38CA64E1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EA08B8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1F2AF1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1F2AF1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EEE7" w14:textId="0CEEEEB8" w:rsidR="006E5593" w:rsidRDefault="00F529D1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F529D1">
      <w:rPr>
        <w:sz w:val="18"/>
        <w:szCs w:val="18"/>
      </w:rPr>
      <w:t>Inst</w:t>
    </w:r>
    <w:r w:rsidR="00EA08B8">
      <w:rPr>
        <w:sz w:val="18"/>
        <w:szCs w:val="18"/>
      </w:rPr>
      <w:t>ruction sheet 1.3—NRS Chat</w:t>
    </w:r>
    <w:r w:rsidRPr="00F529D1">
      <w:rPr>
        <w:sz w:val="18"/>
        <w:szCs w:val="18"/>
      </w:rPr>
      <w:t>—call to emergency services</w:t>
    </w:r>
  </w:p>
  <w:p w14:paraId="5539F566" w14:textId="5CE6CCE6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732440" w:rsidRPr="00EA08B8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ED7FD3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ED7FD3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A035" w14:textId="77777777" w:rsidR="00BF050A" w:rsidRDefault="00BF050A" w:rsidP="002117E6">
      <w:pPr>
        <w:spacing w:after="0"/>
      </w:pPr>
      <w:r>
        <w:separator/>
      </w:r>
    </w:p>
  </w:footnote>
  <w:footnote w:type="continuationSeparator" w:id="0">
    <w:p w14:paraId="55D4C994" w14:textId="77777777" w:rsidR="00BF050A" w:rsidRDefault="00BF050A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4E8A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215C6513" wp14:editId="709E47B7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0A"/>
    <w:rsid w:val="00014967"/>
    <w:rsid w:val="00080334"/>
    <w:rsid w:val="0009773B"/>
    <w:rsid w:val="000C7B36"/>
    <w:rsid w:val="000E3675"/>
    <w:rsid w:val="000E404D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1F2AF1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81364"/>
    <w:rsid w:val="003B5B1D"/>
    <w:rsid w:val="003F495D"/>
    <w:rsid w:val="00400E77"/>
    <w:rsid w:val="00416327"/>
    <w:rsid w:val="004449F2"/>
    <w:rsid w:val="00450D6E"/>
    <w:rsid w:val="004A1501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5B86"/>
    <w:rsid w:val="00707979"/>
    <w:rsid w:val="00732440"/>
    <w:rsid w:val="00753BB6"/>
    <w:rsid w:val="0079593A"/>
    <w:rsid w:val="007C1A4C"/>
    <w:rsid w:val="008169A6"/>
    <w:rsid w:val="00834DE8"/>
    <w:rsid w:val="008646E6"/>
    <w:rsid w:val="00866475"/>
    <w:rsid w:val="008A4B1F"/>
    <w:rsid w:val="008C1A28"/>
    <w:rsid w:val="008D4E53"/>
    <w:rsid w:val="008E0F49"/>
    <w:rsid w:val="008E74CC"/>
    <w:rsid w:val="00910E86"/>
    <w:rsid w:val="009313D2"/>
    <w:rsid w:val="0094124E"/>
    <w:rsid w:val="009421F0"/>
    <w:rsid w:val="009B7EF0"/>
    <w:rsid w:val="009C6013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67B60"/>
    <w:rsid w:val="00BA0A5A"/>
    <w:rsid w:val="00BC329E"/>
    <w:rsid w:val="00BC7A00"/>
    <w:rsid w:val="00BC7D72"/>
    <w:rsid w:val="00BD0E14"/>
    <w:rsid w:val="00BE7E66"/>
    <w:rsid w:val="00BF050A"/>
    <w:rsid w:val="00BF5683"/>
    <w:rsid w:val="00C16794"/>
    <w:rsid w:val="00C240E2"/>
    <w:rsid w:val="00C3630A"/>
    <w:rsid w:val="00CA31DF"/>
    <w:rsid w:val="00CC75CC"/>
    <w:rsid w:val="00D03AE2"/>
    <w:rsid w:val="00D7412D"/>
    <w:rsid w:val="00D92957"/>
    <w:rsid w:val="00DC2DFA"/>
    <w:rsid w:val="00DD5D52"/>
    <w:rsid w:val="00E97404"/>
    <w:rsid w:val="00EA08B8"/>
    <w:rsid w:val="00EA2F26"/>
    <w:rsid w:val="00EA5BA4"/>
    <w:rsid w:val="00EA6D34"/>
    <w:rsid w:val="00EB40A5"/>
    <w:rsid w:val="00ED7FD3"/>
    <w:rsid w:val="00F25718"/>
    <w:rsid w:val="00F3567E"/>
    <w:rsid w:val="00F408EE"/>
    <w:rsid w:val="00F529D1"/>
    <w:rsid w:val="00F65A31"/>
    <w:rsid w:val="00F7051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B76FF2"/>
  <w15:chartTrackingRefBased/>
  <w15:docId w15:val="{53749519-5B40-4FB6-8127-484935B2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mailto:helpdesk@relayservice.com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rschat.nrscall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munications.gov.au/accesshub/nrs" TargetMode="External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communications.gov.au/node/196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E3A57EF42484D8B194BCF43214089" ma:contentTypeVersion="0" ma:contentTypeDescription="Create a new document." ma:contentTypeScope="" ma:versionID="3ba73bcc6edb73fc48aac1b8d8582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8EA25-208E-48D0-B6E5-61737D353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7554FF-27EE-44D4-AF5E-E9708816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1228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instruction-sheet-1-3-internet-relay-call-to-emergency-services.docx</vt:lpstr>
    </vt:vector>
  </TitlesOfParts>
  <Company>Department of Communications and the Arts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1.3—NRS Chat—call to emergency services</dc:title>
  <dc:subject/>
  <dc:creator>Department of Communications and the Arts</dc:creator>
  <cp:keywords/>
  <dc:description>25 October 2018</dc:description>
  <cp:lastModifiedBy>Hall, Theresa</cp:lastModifiedBy>
  <cp:revision>10</cp:revision>
  <dcterms:created xsi:type="dcterms:W3CDTF">2019-11-18T04:29:00Z</dcterms:created>
  <dcterms:modified xsi:type="dcterms:W3CDTF">2019-11-20T05:51:00Z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0x010100025E3A57EF42484D8B194BCF43214089</vt:lpwstr>
  </property>
  <property fmtid="{D5CDD505-2E9C-101B-9397-08002B2CF9AE}" pid="3" name="TrimRevisionNumber">
    <vt:i4>7</vt:i4>
  </property>
</Properties>
</file>