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71" w:rsidRPr="006E1731" w:rsidRDefault="00D62A1D" w:rsidP="00E66771">
      <w:pPr>
        <w:jc w:val="center"/>
      </w:pPr>
      <w:r w:rsidRPr="003C1CFA">
        <w:rPr>
          <w:rFonts w:ascii="Arial" w:hAnsi="Arial"/>
          <w:noProof/>
          <w:sz w:val="18"/>
          <w:lang w:eastAsia="en-AU"/>
        </w:rPr>
        <w:drawing>
          <wp:inline distT="0" distB="0" distL="0" distR="0">
            <wp:extent cx="3048000" cy="1584960"/>
            <wp:effectExtent l="0" t="0" r="0" b="0"/>
            <wp:docPr id="1" name="Picture 1" descr="Logo: Australian Government, Department of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Communication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584960"/>
                    </a:xfrm>
                    <a:prstGeom prst="rect">
                      <a:avLst/>
                    </a:prstGeom>
                    <a:noFill/>
                    <a:ln>
                      <a:noFill/>
                    </a:ln>
                  </pic:spPr>
                </pic:pic>
              </a:graphicData>
            </a:graphic>
          </wp:inline>
        </w:drawing>
      </w:r>
    </w:p>
    <w:p w:rsidR="00E66771" w:rsidRPr="00E66771" w:rsidRDefault="00E66771" w:rsidP="00E204B4">
      <w:pPr>
        <w:pStyle w:val="Title"/>
        <w:spacing w:before="1800"/>
      </w:pPr>
      <w:r w:rsidRPr="00E66771">
        <w:t>Mobile Black Spot Programme</w:t>
      </w:r>
    </w:p>
    <w:p w:rsidR="0086208D" w:rsidRPr="00B402EB" w:rsidRDefault="00E66771" w:rsidP="00E204B4">
      <w:pPr>
        <w:pStyle w:val="Title"/>
        <w:spacing w:afterLines="1800" w:after="4320"/>
        <w:rPr>
          <w:sz w:val="84"/>
          <w:szCs w:val="84"/>
        </w:rPr>
      </w:pPr>
      <w:bookmarkStart w:id="0" w:name="_Toc301954315"/>
      <w:bookmarkStart w:id="1" w:name="_Toc303499501"/>
      <w:r w:rsidRPr="00B402EB">
        <w:rPr>
          <w:sz w:val="84"/>
          <w:szCs w:val="84"/>
        </w:rPr>
        <w:t>G</w:t>
      </w:r>
      <w:bookmarkEnd w:id="0"/>
      <w:bookmarkEnd w:id="1"/>
      <w:r w:rsidR="0086208D" w:rsidRPr="00B402EB">
        <w:rPr>
          <w:sz w:val="84"/>
          <w:szCs w:val="84"/>
        </w:rPr>
        <w:t>uidelines</w:t>
      </w:r>
    </w:p>
    <w:p w:rsidR="0058796F" w:rsidRPr="0009205D" w:rsidRDefault="00BA2FB5" w:rsidP="00E204B4">
      <w:pPr>
        <w:pStyle w:val="Bodytext-Indent"/>
        <w:spacing w:before="0" w:after="1200"/>
        <w:jc w:val="center"/>
        <w:rPr>
          <w:b/>
          <w:sz w:val="28"/>
          <w:szCs w:val="28"/>
        </w:rPr>
      </w:pPr>
      <w:r w:rsidRPr="0009205D">
        <w:rPr>
          <w:b/>
          <w:sz w:val="28"/>
          <w:szCs w:val="28"/>
        </w:rPr>
        <w:t>Version 1.1</w:t>
      </w:r>
    </w:p>
    <w:p w:rsidR="00E66771" w:rsidRPr="00890E6F" w:rsidRDefault="00E66771" w:rsidP="00E204B4">
      <w:pPr>
        <w:pStyle w:val="Bodytext-Indent"/>
        <w:spacing w:before="0"/>
        <w:ind w:right="-2"/>
        <w:jc w:val="center"/>
        <w:rPr>
          <w:sz w:val="21"/>
          <w:szCs w:val="21"/>
        </w:rPr>
      </w:pPr>
      <w:r w:rsidRPr="003D2F00">
        <w:rPr>
          <w:sz w:val="21"/>
          <w:szCs w:val="21"/>
        </w:rPr>
        <w:t xml:space="preserve">These Guidelines were released by the Department of Communications </w:t>
      </w:r>
      <w:r w:rsidRPr="00CB140A">
        <w:rPr>
          <w:sz w:val="21"/>
          <w:szCs w:val="21"/>
        </w:rPr>
        <w:t xml:space="preserve">on </w:t>
      </w:r>
      <w:r w:rsidR="00F11BA8" w:rsidRPr="00CB140A">
        <w:rPr>
          <w:sz w:val="21"/>
          <w:szCs w:val="21"/>
        </w:rPr>
        <w:t>8</w:t>
      </w:r>
      <w:r w:rsidRPr="00CB140A">
        <w:rPr>
          <w:sz w:val="21"/>
          <w:szCs w:val="21"/>
        </w:rPr>
        <w:t> December 2014</w:t>
      </w:r>
      <w:r w:rsidRPr="003D2F00">
        <w:rPr>
          <w:sz w:val="21"/>
          <w:szCs w:val="21"/>
        </w:rPr>
        <w:t xml:space="preserve"> to assist mobile network operators and mobile network infrastructure providers to prepare and submit proposals for funding under the Australian Government</w:t>
      </w:r>
      <w:r w:rsidR="0086208D">
        <w:rPr>
          <w:sz w:val="21"/>
          <w:szCs w:val="21"/>
        </w:rPr>
        <w:t>’s Mobile Black Spot Programme.</w:t>
      </w:r>
    </w:p>
    <w:p w:rsidR="00BA2FB5" w:rsidRDefault="00BA2FB5" w:rsidP="0009205D">
      <w:pPr>
        <w:pStyle w:val="Bodytext-Indent"/>
        <w:spacing w:after="240"/>
        <w:rPr>
          <w:b/>
          <w:sz w:val="40"/>
          <w:szCs w:val="40"/>
        </w:rPr>
      </w:pPr>
      <w:r>
        <w:br w:type="page"/>
      </w:r>
      <w:r w:rsidR="00BD38B7" w:rsidRPr="0009205D">
        <w:rPr>
          <w:b/>
          <w:sz w:val="40"/>
          <w:szCs w:val="40"/>
        </w:rPr>
        <w:lastRenderedPageBreak/>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28"/>
        <w:gridCol w:w="5739"/>
        <w:tblGridChange w:id="2">
          <w:tblGrid>
            <w:gridCol w:w="2193"/>
            <w:gridCol w:w="1128"/>
            <w:gridCol w:w="5739"/>
          </w:tblGrid>
        </w:tblGridChange>
      </w:tblGrid>
      <w:tr w:rsidR="00BA2FB5" w:rsidRPr="0009205D" w:rsidTr="00B74ACB">
        <w:tc>
          <w:tcPr>
            <w:tcW w:w="2235" w:type="dxa"/>
            <w:shd w:val="clear" w:color="auto" w:fill="DEEAF6"/>
          </w:tcPr>
          <w:p w:rsidR="00BA2FB5" w:rsidRPr="0009205D" w:rsidRDefault="00BA2FB5" w:rsidP="0009205D">
            <w:pPr>
              <w:pStyle w:val="Bodytext-Indent"/>
              <w:spacing w:before="120" w:after="120"/>
              <w:rPr>
                <w:b/>
              </w:rPr>
            </w:pPr>
            <w:r w:rsidRPr="0009205D">
              <w:rPr>
                <w:b/>
              </w:rPr>
              <w:t>Date</w:t>
            </w:r>
          </w:p>
        </w:tc>
        <w:tc>
          <w:tcPr>
            <w:tcW w:w="1134" w:type="dxa"/>
            <w:shd w:val="clear" w:color="auto" w:fill="DEEAF6"/>
          </w:tcPr>
          <w:p w:rsidR="00BA2FB5" w:rsidRPr="0009205D" w:rsidRDefault="00BA2FB5" w:rsidP="0009205D">
            <w:pPr>
              <w:pStyle w:val="Bodytext-Indent"/>
              <w:spacing w:before="120" w:after="120"/>
              <w:jc w:val="center"/>
              <w:rPr>
                <w:b/>
              </w:rPr>
            </w:pPr>
            <w:r w:rsidRPr="0009205D">
              <w:rPr>
                <w:b/>
              </w:rPr>
              <w:t>Version</w:t>
            </w:r>
          </w:p>
        </w:tc>
        <w:tc>
          <w:tcPr>
            <w:tcW w:w="5917" w:type="dxa"/>
            <w:shd w:val="clear" w:color="auto" w:fill="DEEAF6"/>
          </w:tcPr>
          <w:p w:rsidR="00BA2FB5" w:rsidRPr="0009205D" w:rsidRDefault="00BD38B7" w:rsidP="0009205D">
            <w:pPr>
              <w:pStyle w:val="Bodytext-Indent"/>
              <w:spacing w:before="120" w:after="120"/>
              <w:rPr>
                <w:b/>
              </w:rPr>
            </w:pPr>
            <w:r w:rsidRPr="0009205D">
              <w:rPr>
                <w:b/>
              </w:rPr>
              <w:t>Details</w:t>
            </w:r>
            <w:r w:rsidR="00BA2FB5" w:rsidRPr="0009205D">
              <w:rPr>
                <w:b/>
              </w:rPr>
              <w:t xml:space="preserve"> </w:t>
            </w:r>
          </w:p>
        </w:tc>
      </w:tr>
      <w:tr w:rsidR="00BA2FB5" w:rsidRPr="00B74ACB" w:rsidTr="00B74ACB">
        <w:tc>
          <w:tcPr>
            <w:tcW w:w="2235" w:type="dxa"/>
            <w:shd w:val="clear" w:color="auto" w:fill="auto"/>
          </w:tcPr>
          <w:p w:rsidR="00BA2FB5" w:rsidRPr="0086073A" w:rsidRDefault="00BA2FB5" w:rsidP="0009205D">
            <w:pPr>
              <w:pStyle w:val="Bodytext-Indent"/>
              <w:spacing w:before="120" w:after="120"/>
              <w:rPr>
                <w:lang w:eastAsia="en-AU"/>
              </w:rPr>
            </w:pPr>
            <w:r w:rsidRPr="0086073A">
              <w:rPr>
                <w:lang w:eastAsia="en-AU"/>
              </w:rPr>
              <w:t>8 December 2014</w:t>
            </w:r>
          </w:p>
        </w:tc>
        <w:tc>
          <w:tcPr>
            <w:tcW w:w="1134" w:type="dxa"/>
            <w:shd w:val="clear" w:color="auto" w:fill="auto"/>
          </w:tcPr>
          <w:p w:rsidR="00BA2FB5" w:rsidRPr="0086073A" w:rsidRDefault="00BA2FB5" w:rsidP="0009205D">
            <w:pPr>
              <w:pStyle w:val="Bodytext-Indent"/>
              <w:spacing w:before="120" w:after="120"/>
              <w:jc w:val="center"/>
              <w:rPr>
                <w:lang w:eastAsia="en-AU"/>
              </w:rPr>
            </w:pPr>
            <w:r w:rsidRPr="0086073A">
              <w:rPr>
                <w:lang w:eastAsia="en-AU"/>
              </w:rPr>
              <w:t>1</w:t>
            </w:r>
          </w:p>
        </w:tc>
        <w:tc>
          <w:tcPr>
            <w:tcW w:w="5917" w:type="dxa"/>
            <w:shd w:val="clear" w:color="auto" w:fill="auto"/>
          </w:tcPr>
          <w:p w:rsidR="00BA2FB5" w:rsidRPr="0086073A" w:rsidRDefault="00BD38B7" w:rsidP="0009205D">
            <w:pPr>
              <w:pStyle w:val="Bodytext-Indent"/>
              <w:spacing w:before="120" w:after="120"/>
              <w:rPr>
                <w:lang w:eastAsia="en-AU"/>
              </w:rPr>
            </w:pPr>
            <w:r w:rsidRPr="0086073A">
              <w:rPr>
                <w:lang w:eastAsia="en-AU"/>
              </w:rPr>
              <w:t>Programme Guidelines released</w:t>
            </w:r>
          </w:p>
        </w:tc>
      </w:tr>
      <w:tr w:rsidR="00BA2FB5" w:rsidRPr="00B74ACB" w:rsidTr="00B74ACB">
        <w:tc>
          <w:tcPr>
            <w:tcW w:w="2235" w:type="dxa"/>
            <w:shd w:val="clear" w:color="auto" w:fill="auto"/>
          </w:tcPr>
          <w:p w:rsidR="00BA2FB5" w:rsidRPr="0086073A" w:rsidRDefault="00F27600" w:rsidP="0009205D">
            <w:pPr>
              <w:pStyle w:val="Bodytext-Indent"/>
              <w:spacing w:before="120" w:after="120"/>
              <w:rPr>
                <w:lang w:eastAsia="en-AU"/>
              </w:rPr>
            </w:pPr>
            <w:r>
              <w:rPr>
                <w:lang w:eastAsia="en-AU"/>
              </w:rPr>
              <w:t>22</w:t>
            </w:r>
            <w:r w:rsidR="00BA2FB5" w:rsidRPr="0086073A">
              <w:rPr>
                <w:lang w:eastAsia="en-AU"/>
              </w:rPr>
              <w:t xml:space="preserve"> December 2014</w:t>
            </w:r>
          </w:p>
        </w:tc>
        <w:tc>
          <w:tcPr>
            <w:tcW w:w="1134" w:type="dxa"/>
            <w:shd w:val="clear" w:color="auto" w:fill="auto"/>
          </w:tcPr>
          <w:p w:rsidR="00BA2FB5" w:rsidRPr="0086073A" w:rsidRDefault="00BA2FB5" w:rsidP="0009205D">
            <w:pPr>
              <w:pStyle w:val="Bodytext-Indent"/>
              <w:spacing w:before="120" w:after="120"/>
              <w:jc w:val="center"/>
              <w:rPr>
                <w:lang w:eastAsia="en-AU"/>
              </w:rPr>
            </w:pPr>
            <w:r w:rsidRPr="0086073A">
              <w:rPr>
                <w:lang w:eastAsia="en-AU"/>
              </w:rPr>
              <w:t>1.1</w:t>
            </w:r>
          </w:p>
        </w:tc>
        <w:tc>
          <w:tcPr>
            <w:tcW w:w="5917" w:type="dxa"/>
            <w:shd w:val="clear" w:color="auto" w:fill="auto"/>
          </w:tcPr>
          <w:p w:rsidR="00BA2FB5" w:rsidRPr="0086073A" w:rsidRDefault="00BD38B7" w:rsidP="0009205D">
            <w:pPr>
              <w:pStyle w:val="Bodytext-Indent"/>
              <w:spacing w:before="120" w:after="120"/>
              <w:rPr>
                <w:lang w:eastAsia="en-AU"/>
              </w:rPr>
            </w:pPr>
            <w:r w:rsidRPr="0086073A">
              <w:rPr>
                <w:lang w:eastAsia="en-AU"/>
              </w:rPr>
              <w:t>Application period ext</w:t>
            </w:r>
            <w:r w:rsidR="001335D1">
              <w:rPr>
                <w:lang w:eastAsia="en-AU"/>
              </w:rPr>
              <w:t>ended and consequential changes</w:t>
            </w:r>
          </w:p>
        </w:tc>
      </w:tr>
    </w:tbl>
    <w:p w:rsidR="00E66771" w:rsidRDefault="00C41540" w:rsidP="0009205D">
      <w:pPr>
        <w:pStyle w:val="Bodytext-Indent"/>
        <w:spacing w:before="0"/>
        <w:rPr>
          <w:b/>
          <w:sz w:val="40"/>
          <w:szCs w:val="40"/>
        </w:rPr>
      </w:pPr>
      <w:r>
        <w:rPr>
          <w:b/>
          <w:sz w:val="40"/>
          <w:szCs w:val="40"/>
        </w:rPr>
        <w:br w:type="page"/>
      </w:r>
      <w:r w:rsidR="00E66771" w:rsidRPr="00CA34E2">
        <w:rPr>
          <w:b/>
          <w:sz w:val="40"/>
          <w:szCs w:val="40"/>
        </w:rPr>
        <w:lastRenderedPageBreak/>
        <w:t>Contents</w:t>
      </w:r>
    </w:p>
    <w:p w:rsidR="0009205D" w:rsidRPr="00D46D19" w:rsidRDefault="00E66771">
      <w:pPr>
        <w:pStyle w:val="TOC1"/>
        <w:rPr>
          <w:b w:val="0"/>
          <w:color w:val="auto"/>
          <w:sz w:val="22"/>
          <w:lang w:eastAsia="en-AU"/>
        </w:rPr>
      </w:pPr>
      <w:r>
        <w:fldChar w:fldCharType="begin"/>
      </w:r>
      <w:r>
        <w:instrText xml:space="preserve"> TOC \o "1-2" \h \z \u </w:instrText>
      </w:r>
      <w:r>
        <w:fldChar w:fldCharType="separate"/>
      </w:r>
      <w:hyperlink w:anchor="_Toc407007224" w:history="1">
        <w:r w:rsidR="0009205D" w:rsidRPr="00C34A39">
          <w:rPr>
            <w:rStyle w:val="Hyperlink"/>
          </w:rPr>
          <w:t>1</w:t>
        </w:r>
        <w:r w:rsidR="0009205D" w:rsidRPr="00D46D19">
          <w:rPr>
            <w:b w:val="0"/>
            <w:color w:val="auto"/>
            <w:sz w:val="22"/>
            <w:lang w:eastAsia="en-AU"/>
          </w:rPr>
          <w:tab/>
        </w:r>
        <w:r w:rsidR="0009205D" w:rsidRPr="00C34A39">
          <w:rPr>
            <w:rStyle w:val="Hyperlink"/>
          </w:rPr>
          <w:t>Introduction</w:t>
        </w:r>
        <w:r w:rsidR="0009205D">
          <w:rPr>
            <w:webHidden/>
          </w:rPr>
          <w:tab/>
        </w:r>
        <w:r w:rsidR="0009205D">
          <w:rPr>
            <w:webHidden/>
          </w:rPr>
          <w:fldChar w:fldCharType="begin"/>
        </w:r>
        <w:r w:rsidR="0009205D">
          <w:rPr>
            <w:webHidden/>
          </w:rPr>
          <w:instrText xml:space="preserve"> PAGEREF _Toc407007224 \h </w:instrText>
        </w:r>
        <w:r w:rsidR="0009205D">
          <w:rPr>
            <w:webHidden/>
          </w:rPr>
        </w:r>
        <w:r w:rsidR="0009205D">
          <w:rPr>
            <w:webHidden/>
          </w:rPr>
          <w:fldChar w:fldCharType="separate"/>
        </w:r>
        <w:r w:rsidR="00BB1979">
          <w:rPr>
            <w:webHidden/>
          </w:rPr>
          <w:t>1</w:t>
        </w:r>
        <w:r w:rsidR="0009205D">
          <w:rPr>
            <w:webHidden/>
          </w:rPr>
          <w:fldChar w:fldCharType="end"/>
        </w:r>
      </w:hyperlink>
    </w:p>
    <w:p w:rsidR="0009205D" w:rsidRPr="00D46D19" w:rsidRDefault="0009205D">
      <w:pPr>
        <w:pStyle w:val="TOC2"/>
        <w:rPr>
          <w:rFonts w:eastAsia="Times New Roman"/>
          <w:sz w:val="22"/>
          <w:szCs w:val="22"/>
          <w:lang w:eastAsia="en-AU"/>
        </w:rPr>
      </w:pPr>
      <w:hyperlink w:anchor="_Toc407007225" w:history="1">
        <w:r w:rsidRPr="00C34A39">
          <w:rPr>
            <w:rStyle w:val="Hyperlink"/>
          </w:rPr>
          <w:t>1.1</w:t>
        </w:r>
        <w:r w:rsidRPr="00D46D19">
          <w:rPr>
            <w:rFonts w:eastAsia="Times New Roman"/>
            <w:sz w:val="22"/>
            <w:szCs w:val="22"/>
            <w:lang w:eastAsia="en-AU"/>
          </w:rPr>
          <w:tab/>
        </w:r>
        <w:r w:rsidRPr="00C34A39">
          <w:rPr>
            <w:rStyle w:val="Hyperlink"/>
          </w:rPr>
          <w:t>Mobile Black Spot Programme</w:t>
        </w:r>
        <w:r>
          <w:rPr>
            <w:webHidden/>
          </w:rPr>
          <w:tab/>
        </w:r>
        <w:r>
          <w:rPr>
            <w:webHidden/>
          </w:rPr>
          <w:fldChar w:fldCharType="begin"/>
        </w:r>
        <w:r>
          <w:rPr>
            <w:webHidden/>
          </w:rPr>
          <w:instrText xml:space="preserve"> PAGEREF _Toc407007225 \h </w:instrText>
        </w:r>
        <w:r>
          <w:rPr>
            <w:webHidden/>
          </w:rPr>
        </w:r>
        <w:r>
          <w:rPr>
            <w:webHidden/>
          </w:rPr>
          <w:fldChar w:fldCharType="separate"/>
        </w:r>
        <w:r w:rsidR="00BB1979">
          <w:rPr>
            <w:webHidden/>
          </w:rPr>
          <w:t>1</w:t>
        </w:r>
        <w:r>
          <w:rPr>
            <w:webHidden/>
          </w:rPr>
          <w:fldChar w:fldCharType="end"/>
        </w:r>
      </w:hyperlink>
    </w:p>
    <w:p w:rsidR="0009205D" w:rsidRPr="00D46D19" w:rsidRDefault="0009205D">
      <w:pPr>
        <w:pStyle w:val="TOC2"/>
        <w:rPr>
          <w:rFonts w:eastAsia="Times New Roman"/>
          <w:sz w:val="22"/>
          <w:szCs w:val="22"/>
          <w:lang w:eastAsia="en-AU"/>
        </w:rPr>
      </w:pPr>
      <w:hyperlink w:anchor="_Toc407007226" w:history="1">
        <w:r w:rsidRPr="00C34A39">
          <w:rPr>
            <w:rStyle w:val="Hyperlink"/>
          </w:rPr>
          <w:t>1.2</w:t>
        </w:r>
        <w:r w:rsidRPr="00D46D19">
          <w:rPr>
            <w:rFonts w:eastAsia="Times New Roman"/>
            <w:sz w:val="22"/>
            <w:szCs w:val="22"/>
            <w:lang w:eastAsia="en-AU"/>
          </w:rPr>
          <w:tab/>
        </w:r>
        <w:r w:rsidRPr="00C34A39">
          <w:rPr>
            <w:rStyle w:val="Hyperlink"/>
          </w:rPr>
          <w:t>About these Guidelines</w:t>
        </w:r>
        <w:r>
          <w:rPr>
            <w:webHidden/>
          </w:rPr>
          <w:tab/>
        </w:r>
        <w:r>
          <w:rPr>
            <w:webHidden/>
          </w:rPr>
          <w:fldChar w:fldCharType="begin"/>
        </w:r>
        <w:r>
          <w:rPr>
            <w:webHidden/>
          </w:rPr>
          <w:instrText xml:space="preserve"> PAGEREF _Toc407007226 \h </w:instrText>
        </w:r>
        <w:r>
          <w:rPr>
            <w:webHidden/>
          </w:rPr>
        </w:r>
        <w:r>
          <w:rPr>
            <w:webHidden/>
          </w:rPr>
          <w:fldChar w:fldCharType="separate"/>
        </w:r>
        <w:r w:rsidR="00BB1979">
          <w:rPr>
            <w:webHidden/>
          </w:rPr>
          <w:t>1</w:t>
        </w:r>
        <w:r>
          <w:rPr>
            <w:webHidden/>
          </w:rPr>
          <w:fldChar w:fldCharType="end"/>
        </w:r>
      </w:hyperlink>
    </w:p>
    <w:p w:rsidR="0009205D" w:rsidRPr="00D46D19" w:rsidRDefault="0009205D">
      <w:pPr>
        <w:pStyle w:val="TOC2"/>
        <w:rPr>
          <w:rFonts w:eastAsia="Times New Roman"/>
          <w:sz w:val="22"/>
          <w:szCs w:val="22"/>
          <w:lang w:eastAsia="en-AU"/>
        </w:rPr>
      </w:pPr>
      <w:hyperlink w:anchor="_Toc407007227" w:history="1">
        <w:r w:rsidRPr="00C34A39">
          <w:rPr>
            <w:rStyle w:val="Hyperlink"/>
          </w:rPr>
          <w:t>1.3</w:t>
        </w:r>
        <w:r w:rsidRPr="00D46D19">
          <w:rPr>
            <w:rFonts w:eastAsia="Times New Roman"/>
            <w:sz w:val="22"/>
            <w:szCs w:val="22"/>
            <w:lang w:eastAsia="en-AU"/>
          </w:rPr>
          <w:tab/>
        </w:r>
        <w:r w:rsidRPr="00C34A39">
          <w:rPr>
            <w:rStyle w:val="Hyperlink"/>
          </w:rPr>
          <w:t>Application deadline</w:t>
        </w:r>
        <w:r>
          <w:rPr>
            <w:webHidden/>
          </w:rPr>
          <w:tab/>
        </w:r>
        <w:r>
          <w:rPr>
            <w:webHidden/>
          </w:rPr>
          <w:fldChar w:fldCharType="begin"/>
        </w:r>
        <w:r>
          <w:rPr>
            <w:webHidden/>
          </w:rPr>
          <w:instrText xml:space="preserve"> PAGEREF _Toc407007227 \h </w:instrText>
        </w:r>
        <w:r>
          <w:rPr>
            <w:webHidden/>
          </w:rPr>
        </w:r>
        <w:r>
          <w:rPr>
            <w:webHidden/>
          </w:rPr>
          <w:fldChar w:fldCharType="separate"/>
        </w:r>
        <w:r w:rsidR="00BB1979">
          <w:rPr>
            <w:webHidden/>
          </w:rPr>
          <w:t>2</w:t>
        </w:r>
        <w:r>
          <w:rPr>
            <w:webHidden/>
          </w:rPr>
          <w:fldChar w:fldCharType="end"/>
        </w:r>
      </w:hyperlink>
    </w:p>
    <w:p w:rsidR="0009205D" w:rsidRPr="00D46D19" w:rsidRDefault="0009205D">
      <w:pPr>
        <w:pStyle w:val="TOC2"/>
        <w:rPr>
          <w:rFonts w:eastAsia="Times New Roman"/>
          <w:sz w:val="22"/>
          <w:szCs w:val="22"/>
          <w:lang w:eastAsia="en-AU"/>
        </w:rPr>
      </w:pPr>
      <w:hyperlink w:anchor="_Toc407007228" w:history="1">
        <w:r w:rsidRPr="00C34A39">
          <w:rPr>
            <w:rStyle w:val="Hyperlink"/>
          </w:rPr>
          <w:t>1.4</w:t>
        </w:r>
        <w:r w:rsidRPr="00D46D19">
          <w:rPr>
            <w:rFonts w:eastAsia="Times New Roman"/>
            <w:sz w:val="22"/>
            <w:szCs w:val="22"/>
            <w:lang w:eastAsia="en-AU"/>
          </w:rPr>
          <w:tab/>
        </w:r>
        <w:r w:rsidRPr="00C34A39">
          <w:rPr>
            <w:rStyle w:val="Hyperlink"/>
          </w:rPr>
          <w:t>Further information</w:t>
        </w:r>
        <w:r>
          <w:rPr>
            <w:webHidden/>
          </w:rPr>
          <w:tab/>
        </w:r>
        <w:r>
          <w:rPr>
            <w:webHidden/>
          </w:rPr>
          <w:fldChar w:fldCharType="begin"/>
        </w:r>
        <w:r>
          <w:rPr>
            <w:webHidden/>
          </w:rPr>
          <w:instrText xml:space="preserve"> PAGEREF _Toc407007228 \h </w:instrText>
        </w:r>
        <w:r>
          <w:rPr>
            <w:webHidden/>
          </w:rPr>
        </w:r>
        <w:r>
          <w:rPr>
            <w:webHidden/>
          </w:rPr>
          <w:fldChar w:fldCharType="separate"/>
        </w:r>
        <w:r w:rsidR="00BB1979">
          <w:rPr>
            <w:webHidden/>
          </w:rPr>
          <w:t>2</w:t>
        </w:r>
        <w:r>
          <w:rPr>
            <w:webHidden/>
          </w:rPr>
          <w:fldChar w:fldCharType="end"/>
        </w:r>
      </w:hyperlink>
    </w:p>
    <w:p w:rsidR="0009205D" w:rsidRPr="00D46D19" w:rsidRDefault="0009205D">
      <w:pPr>
        <w:pStyle w:val="TOC1"/>
        <w:rPr>
          <w:b w:val="0"/>
          <w:color w:val="auto"/>
          <w:sz w:val="22"/>
          <w:lang w:eastAsia="en-AU"/>
        </w:rPr>
      </w:pPr>
      <w:hyperlink w:anchor="_Toc407007229" w:history="1">
        <w:r w:rsidRPr="00C34A39">
          <w:rPr>
            <w:rStyle w:val="Hyperlink"/>
          </w:rPr>
          <w:t>Part A – Eligibility</w:t>
        </w:r>
        <w:r>
          <w:rPr>
            <w:webHidden/>
          </w:rPr>
          <w:tab/>
        </w:r>
        <w:r>
          <w:rPr>
            <w:webHidden/>
          </w:rPr>
          <w:fldChar w:fldCharType="begin"/>
        </w:r>
        <w:r>
          <w:rPr>
            <w:webHidden/>
          </w:rPr>
          <w:instrText xml:space="preserve"> PAGEREF _Toc407007229 \h </w:instrText>
        </w:r>
        <w:r>
          <w:rPr>
            <w:webHidden/>
          </w:rPr>
        </w:r>
        <w:r>
          <w:rPr>
            <w:webHidden/>
          </w:rPr>
          <w:fldChar w:fldCharType="separate"/>
        </w:r>
        <w:r w:rsidR="00BB1979">
          <w:rPr>
            <w:webHidden/>
          </w:rPr>
          <w:t>3</w:t>
        </w:r>
        <w:r>
          <w:rPr>
            <w:webHidden/>
          </w:rPr>
          <w:fldChar w:fldCharType="end"/>
        </w:r>
      </w:hyperlink>
    </w:p>
    <w:p w:rsidR="0009205D" w:rsidRPr="00D46D19" w:rsidRDefault="0009205D">
      <w:pPr>
        <w:pStyle w:val="TOC1"/>
        <w:rPr>
          <w:b w:val="0"/>
          <w:color w:val="auto"/>
          <w:sz w:val="22"/>
          <w:lang w:eastAsia="en-AU"/>
        </w:rPr>
      </w:pPr>
      <w:hyperlink w:anchor="_Toc407007230" w:history="1">
        <w:r w:rsidRPr="00C34A39">
          <w:rPr>
            <w:rStyle w:val="Hyperlink"/>
          </w:rPr>
          <w:t>2</w:t>
        </w:r>
        <w:r w:rsidRPr="00D46D19">
          <w:rPr>
            <w:b w:val="0"/>
            <w:color w:val="auto"/>
            <w:sz w:val="22"/>
            <w:lang w:eastAsia="en-AU"/>
          </w:rPr>
          <w:tab/>
        </w:r>
        <w:r w:rsidRPr="00C34A39">
          <w:rPr>
            <w:rStyle w:val="Hyperlink"/>
          </w:rPr>
          <w:t>Eligibility criteria</w:t>
        </w:r>
        <w:r>
          <w:rPr>
            <w:webHidden/>
          </w:rPr>
          <w:tab/>
        </w:r>
        <w:r>
          <w:rPr>
            <w:webHidden/>
          </w:rPr>
          <w:fldChar w:fldCharType="begin"/>
        </w:r>
        <w:r>
          <w:rPr>
            <w:webHidden/>
          </w:rPr>
          <w:instrText xml:space="preserve"> PAGEREF _Toc407007230 \h </w:instrText>
        </w:r>
        <w:r>
          <w:rPr>
            <w:webHidden/>
          </w:rPr>
        </w:r>
        <w:r>
          <w:rPr>
            <w:webHidden/>
          </w:rPr>
          <w:fldChar w:fldCharType="separate"/>
        </w:r>
        <w:r w:rsidR="00BB1979">
          <w:rPr>
            <w:webHidden/>
          </w:rPr>
          <w:t>3</w:t>
        </w:r>
        <w:r>
          <w:rPr>
            <w:webHidden/>
          </w:rPr>
          <w:fldChar w:fldCharType="end"/>
        </w:r>
      </w:hyperlink>
    </w:p>
    <w:p w:rsidR="0009205D" w:rsidRPr="00D46D19" w:rsidRDefault="0009205D">
      <w:pPr>
        <w:pStyle w:val="TOC2"/>
        <w:rPr>
          <w:rFonts w:eastAsia="Times New Roman"/>
          <w:sz w:val="22"/>
          <w:szCs w:val="22"/>
          <w:lang w:eastAsia="en-AU"/>
        </w:rPr>
      </w:pPr>
      <w:hyperlink w:anchor="_Toc407007231" w:history="1">
        <w:r w:rsidRPr="00C34A39">
          <w:rPr>
            <w:rStyle w:val="Hyperlink"/>
          </w:rPr>
          <w:t>2.1</w:t>
        </w:r>
        <w:r w:rsidRPr="00D46D19">
          <w:rPr>
            <w:rFonts w:eastAsia="Times New Roman"/>
            <w:sz w:val="22"/>
            <w:szCs w:val="22"/>
            <w:lang w:eastAsia="en-AU"/>
          </w:rPr>
          <w:tab/>
        </w:r>
        <w:r w:rsidRPr="00C34A39">
          <w:rPr>
            <w:rStyle w:val="Hyperlink"/>
          </w:rPr>
          <w:t>Eligible applicants</w:t>
        </w:r>
        <w:r>
          <w:rPr>
            <w:webHidden/>
          </w:rPr>
          <w:tab/>
        </w:r>
        <w:r>
          <w:rPr>
            <w:webHidden/>
          </w:rPr>
          <w:fldChar w:fldCharType="begin"/>
        </w:r>
        <w:r>
          <w:rPr>
            <w:webHidden/>
          </w:rPr>
          <w:instrText xml:space="preserve"> PAGEREF _Toc407007231 \h </w:instrText>
        </w:r>
        <w:r>
          <w:rPr>
            <w:webHidden/>
          </w:rPr>
        </w:r>
        <w:r>
          <w:rPr>
            <w:webHidden/>
          </w:rPr>
          <w:fldChar w:fldCharType="separate"/>
        </w:r>
        <w:r w:rsidR="00BB1979">
          <w:rPr>
            <w:webHidden/>
          </w:rPr>
          <w:t>3</w:t>
        </w:r>
        <w:r>
          <w:rPr>
            <w:webHidden/>
          </w:rPr>
          <w:fldChar w:fldCharType="end"/>
        </w:r>
      </w:hyperlink>
    </w:p>
    <w:p w:rsidR="0009205D" w:rsidRPr="00D46D19" w:rsidRDefault="0009205D">
      <w:pPr>
        <w:pStyle w:val="TOC2"/>
        <w:rPr>
          <w:rFonts w:eastAsia="Times New Roman"/>
          <w:sz w:val="22"/>
          <w:szCs w:val="22"/>
          <w:lang w:eastAsia="en-AU"/>
        </w:rPr>
      </w:pPr>
      <w:hyperlink w:anchor="_Toc407007232" w:history="1">
        <w:r w:rsidRPr="00C34A39">
          <w:rPr>
            <w:rStyle w:val="Hyperlink"/>
          </w:rPr>
          <w:t>2.2</w:t>
        </w:r>
        <w:r w:rsidRPr="00D46D19">
          <w:rPr>
            <w:rFonts w:eastAsia="Times New Roman"/>
            <w:sz w:val="22"/>
            <w:szCs w:val="22"/>
            <w:lang w:eastAsia="en-AU"/>
          </w:rPr>
          <w:tab/>
        </w:r>
        <w:r w:rsidRPr="00C34A39">
          <w:rPr>
            <w:rStyle w:val="Hyperlink"/>
          </w:rPr>
          <w:t>Eligible locations</w:t>
        </w:r>
        <w:r>
          <w:rPr>
            <w:webHidden/>
          </w:rPr>
          <w:tab/>
        </w:r>
        <w:r>
          <w:rPr>
            <w:webHidden/>
          </w:rPr>
          <w:fldChar w:fldCharType="begin"/>
        </w:r>
        <w:r>
          <w:rPr>
            <w:webHidden/>
          </w:rPr>
          <w:instrText xml:space="preserve"> PAGEREF _Toc407007232 \h </w:instrText>
        </w:r>
        <w:r>
          <w:rPr>
            <w:webHidden/>
          </w:rPr>
        </w:r>
        <w:r>
          <w:rPr>
            <w:webHidden/>
          </w:rPr>
          <w:fldChar w:fldCharType="separate"/>
        </w:r>
        <w:r w:rsidR="00BB1979">
          <w:rPr>
            <w:webHidden/>
          </w:rPr>
          <w:t>3</w:t>
        </w:r>
        <w:r>
          <w:rPr>
            <w:webHidden/>
          </w:rPr>
          <w:fldChar w:fldCharType="end"/>
        </w:r>
      </w:hyperlink>
    </w:p>
    <w:p w:rsidR="0009205D" w:rsidRPr="00D46D19" w:rsidRDefault="0009205D">
      <w:pPr>
        <w:pStyle w:val="TOC2"/>
        <w:rPr>
          <w:rFonts w:eastAsia="Times New Roman"/>
          <w:sz w:val="22"/>
          <w:szCs w:val="22"/>
          <w:lang w:eastAsia="en-AU"/>
        </w:rPr>
      </w:pPr>
      <w:hyperlink w:anchor="_Toc407007233" w:history="1">
        <w:r w:rsidRPr="00C34A39">
          <w:rPr>
            <w:rStyle w:val="Hyperlink"/>
          </w:rPr>
          <w:t>2.3</w:t>
        </w:r>
        <w:r w:rsidRPr="00D46D19">
          <w:rPr>
            <w:rFonts w:eastAsia="Times New Roman"/>
            <w:sz w:val="22"/>
            <w:szCs w:val="22"/>
            <w:lang w:eastAsia="en-AU"/>
          </w:rPr>
          <w:tab/>
        </w:r>
        <w:r w:rsidRPr="00C34A39">
          <w:rPr>
            <w:rStyle w:val="Hyperlink"/>
          </w:rPr>
          <w:t>Existing network plans</w:t>
        </w:r>
        <w:r>
          <w:rPr>
            <w:webHidden/>
          </w:rPr>
          <w:tab/>
        </w:r>
        <w:r>
          <w:rPr>
            <w:webHidden/>
          </w:rPr>
          <w:fldChar w:fldCharType="begin"/>
        </w:r>
        <w:r>
          <w:rPr>
            <w:webHidden/>
          </w:rPr>
          <w:instrText xml:space="preserve"> PAGEREF _Toc407007233 \h </w:instrText>
        </w:r>
        <w:r>
          <w:rPr>
            <w:webHidden/>
          </w:rPr>
        </w:r>
        <w:r>
          <w:rPr>
            <w:webHidden/>
          </w:rPr>
          <w:fldChar w:fldCharType="separate"/>
        </w:r>
        <w:r w:rsidR="00BB1979">
          <w:rPr>
            <w:webHidden/>
          </w:rPr>
          <w:t>4</w:t>
        </w:r>
        <w:r>
          <w:rPr>
            <w:webHidden/>
          </w:rPr>
          <w:fldChar w:fldCharType="end"/>
        </w:r>
      </w:hyperlink>
    </w:p>
    <w:p w:rsidR="0009205D" w:rsidRPr="00D46D19" w:rsidRDefault="0009205D">
      <w:pPr>
        <w:pStyle w:val="TOC1"/>
        <w:rPr>
          <w:b w:val="0"/>
          <w:color w:val="auto"/>
          <w:sz w:val="22"/>
          <w:lang w:eastAsia="en-AU"/>
        </w:rPr>
      </w:pPr>
      <w:hyperlink w:anchor="_Toc407007234" w:history="1">
        <w:r w:rsidRPr="00C34A39">
          <w:rPr>
            <w:rStyle w:val="Hyperlink"/>
          </w:rPr>
          <w:t>Part B – Programme requirements and considerations</w:t>
        </w:r>
        <w:r>
          <w:rPr>
            <w:webHidden/>
          </w:rPr>
          <w:tab/>
        </w:r>
        <w:r>
          <w:rPr>
            <w:webHidden/>
          </w:rPr>
          <w:fldChar w:fldCharType="begin"/>
        </w:r>
        <w:r>
          <w:rPr>
            <w:webHidden/>
          </w:rPr>
          <w:instrText xml:space="preserve"> PAGEREF _Toc407007234 \h </w:instrText>
        </w:r>
        <w:r>
          <w:rPr>
            <w:webHidden/>
          </w:rPr>
        </w:r>
        <w:r>
          <w:rPr>
            <w:webHidden/>
          </w:rPr>
          <w:fldChar w:fldCharType="separate"/>
        </w:r>
        <w:r w:rsidR="00BB1979">
          <w:rPr>
            <w:webHidden/>
          </w:rPr>
          <w:t>5</w:t>
        </w:r>
        <w:r>
          <w:rPr>
            <w:webHidden/>
          </w:rPr>
          <w:fldChar w:fldCharType="end"/>
        </w:r>
      </w:hyperlink>
    </w:p>
    <w:p w:rsidR="0009205D" w:rsidRPr="00D46D19" w:rsidRDefault="0009205D">
      <w:pPr>
        <w:pStyle w:val="TOC1"/>
        <w:rPr>
          <w:b w:val="0"/>
          <w:color w:val="auto"/>
          <w:sz w:val="22"/>
          <w:lang w:eastAsia="en-AU"/>
        </w:rPr>
      </w:pPr>
      <w:hyperlink w:anchor="_Toc407007235" w:history="1">
        <w:r w:rsidRPr="00C34A39">
          <w:rPr>
            <w:rStyle w:val="Hyperlink"/>
          </w:rPr>
          <w:t>3</w:t>
        </w:r>
        <w:r w:rsidRPr="00D46D19">
          <w:rPr>
            <w:b w:val="0"/>
            <w:color w:val="auto"/>
            <w:sz w:val="22"/>
            <w:lang w:eastAsia="en-AU"/>
          </w:rPr>
          <w:tab/>
        </w:r>
        <w:r w:rsidRPr="00C34A39">
          <w:rPr>
            <w:rStyle w:val="Hyperlink"/>
          </w:rPr>
          <w:t>Funding Agreements</w:t>
        </w:r>
        <w:r>
          <w:rPr>
            <w:webHidden/>
          </w:rPr>
          <w:tab/>
        </w:r>
        <w:r>
          <w:rPr>
            <w:webHidden/>
          </w:rPr>
          <w:fldChar w:fldCharType="begin"/>
        </w:r>
        <w:r>
          <w:rPr>
            <w:webHidden/>
          </w:rPr>
          <w:instrText xml:space="preserve"> PAGEREF _Toc407007235 \h </w:instrText>
        </w:r>
        <w:r>
          <w:rPr>
            <w:webHidden/>
          </w:rPr>
        </w:r>
        <w:r>
          <w:rPr>
            <w:webHidden/>
          </w:rPr>
          <w:fldChar w:fldCharType="separate"/>
        </w:r>
        <w:r w:rsidR="00BB1979">
          <w:rPr>
            <w:webHidden/>
          </w:rPr>
          <w:t>5</w:t>
        </w:r>
        <w:r>
          <w:rPr>
            <w:webHidden/>
          </w:rPr>
          <w:fldChar w:fldCharType="end"/>
        </w:r>
      </w:hyperlink>
    </w:p>
    <w:p w:rsidR="0009205D" w:rsidRPr="00D46D19" w:rsidRDefault="0009205D">
      <w:pPr>
        <w:pStyle w:val="TOC2"/>
        <w:rPr>
          <w:rFonts w:eastAsia="Times New Roman"/>
          <w:sz w:val="22"/>
          <w:szCs w:val="22"/>
          <w:lang w:eastAsia="en-AU"/>
        </w:rPr>
      </w:pPr>
      <w:hyperlink w:anchor="_Toc407007236" w:history="1">
        <w:r w:rsidRPr="00C34A39">
          <w:rPr>
            <w:rStyle w:val="Hyperlink"/>
          </w:rPr>
          <w:t>3.1</w:t>
        </w:r>
        <w:r w:rsidRPr="00D46D19">
          <w:rPr>
            <w:rFonts w:eastAsia="Times New Roman"/>
            <w:sz w:val="22"/>
            <w:szCs w:val="22"/>
            <w:lang w:eastAsia="en-AU"/>
          </w:rPr>
          <w:tab/>
        </w:r>
        <w:r w:rsidRPr="00C34A39">
          <w:rPr>
            <w:rStyle w:val="Hyperlink"/>
          </w:rPr>
          <w:t>Introduction</w:t>
        </w:r>
        <w:r>
          <w:rPr>
            <w:webHidden/>
          </w:rPr>
          <w:tab/>
        </w:r>
        <w:r>
          <w:rPr>
            <w:webHidden/>
          </w:rPr>
          <w:fldChar w:fldCharType="begin"/>
        </w:r>
        <w:r>
          <w:rPr>
            <w:webHidden/>
          </w:rPr>
          <w:instrText xml:space="preserve"> PAGEREF _Toc407007236 \h </w:instrText>
        </w:r>
        <w:r>
          <w:rPr>
            <w:webHidden/>
          </w:rPr>
        </w:r>
        <w:r>
          <w:rPr>
            <w:webHidden/>
          </w:rPr>
          <w:fldChar w:fldCharType="separate"/>
        </w:r>
        <w:r w:rsidR="00BB1979">
          <w:rPr>
            <w:webHidden/>
          </w:rPr>
          <w:t>5</w:t>
        </w:r>
        <w:r>
          <w:rPr>
            <w:webHidden/>
          </w:rPr>
          <w:fldChar w:fldCharType="end"/>
        </w:r>
      </w:hyperlink>
    </w:p>
    <w:p w:rsidR="0009205D" w:rsidRPr="00D46D19" w:rsidRDefault="0009205D">
      <w:pPr>
        <w:pStyle w:val="TOC2"/>
        <w:rPr>
          <w:rFonts w:eastAsia="Times New Roman"/>
          <w:sz w:val="22"/>
          <w:szCs w:val="22"/>
          <w:lang w:eastAsia="en-AU"/>
        </w:rPr>
      </w:pPr>
      <w:hyperlink w:anchor="_Toc407007237" w:history="1">
        <w:r w:rsidRPr="00C34A39">
          <w:rPr>
            <w:rStyle w:val="Hyperlink"/>
          </w:rPr>
          <w:t>3.2</w:t>
        </w:r>
        <w:r w:rsidRPr="00D46D19">
          <w:rPr>
            <w:rFonts w:eastAsia="Times New Roman"/>
            <w:sz w:val="22"/>
            <w:szCs w:val="22"/>
            <w:lang w:eastAsia="en-AU"/>
          </w:rPr>
          <w:tab/>
        </w:r>
        <w:r w:rsidRPr="00C34A39">
          <w:rPr>
            <w:rStyle w:val="Hyperlink"/>
          </w:rPr>
          <w:t>Co-contributions</w:t>
        </w:r>
        <w:r>
          <w:rPr>
            <w:webHidden/>
          </w:rPr>
          <w:tab/>
        </w:r>
        <w:r>
          <w:rPr>
            <w:webHidden/>
          </w:rPr>
          <w:fldChar w:fldCharType="begin"/>
        </w:r>
        <w:r>
          <w:rPr>
            <w:webHidden/>
          </w:rPr>
          <w:instrText xml:space="preserve"> PAGEREF _Toc407007237 \h </w:instrText>
        </w:r>
        <w:r>
          <w:rPr>
            <w:webHidden/>
          </w:rPr>
        </w:r>
        <w:r>
          <w:rPr>
            <w:webHidden/>
          </w:rPr>
          <w:fldChar w:fldCharType="separate"/>
        </w:r>
        <w:r w:rsidR="00BB1979">
          <w:rPr>
            <w:webHidden/>
          </w:rPr>
          <w:t>5</w:t>
        </w:r>
        <w:r>
          <w:rPr>
            <w:webHidden/>
          </w:rPr>
          <w:fldChar w:fldCharType="end"/>
        </w:r>
      </w:hyperlink>
    </w:p>
    <w:p w:rsidR="0009205D" w:rsidRPr="00D46D19" w:rsidRDefault="0009205D">
      <w:pPr>
        <w:pStyle w:val="TOC2"/>
        <w:rPr>
          <w:rFonts w:eastAsia="Times New Roman"/>
          <w:sz w:val="22"/>
          <w:szCs w:val="22"/>
          <w:lang w:eastAsia="en-AU"/>
        </w:rPr>
      </w:pPr>
      <w:hyperlink w:anchor="_Toc407007238" w:history="1">
        <w:r w:rsidRPr="00C34A39">
          <w:rPr>
            <w:rStyle w:val="Hyperlink"/>
          </w:rPr>
          <w:t>3.3</w:t>
        </w:r>
        <w:r w:rsidRPr="00D46D19">
          <w:rPr>
            <w:rFonts w:eastAsia="Times New Roman"/>
            <w:sz w:val="22"/>
            <w:szCs w:val="22"/>
            <w:lang w:eastAsia="en-AU"/>
          </w:rPr>
          <w:tab/>
        </w:r>
        <w:r w:rsidRPr="00C34A39">
          <w:rPr>
            <w:rStyle w:val="Hyperlink"/>
          </w:rPr>
          <w:t>Programme evaluation</w:t>
        </w:r>
        <w:r>
          <w:rPr>
            <w:webHidden/>
          </w:rPr>
          <w:tab/>
        </w:r>
        <w:r>
          <w:rPr>
            <w:webHidden/>
          </w:rPr>
          <w:fldChar w:fldCharType="begin"/>
        </w:r>
        <w:r>
          <w:rPr>
            <w:webHidden/>
          </w:rPr>
          <w:instrText xml:space="preserve"> PAGEREF _Toc407007238 \h </w:instrText>
        </w:r>
        <w:r>
          <w:rPr>
            <w:webHidden/>
          </w:rPr>
        </w:r>
        <w:r>
          <w:rPr>
            <w:webHidden/>
          </w:rPr>
          <w:fldChar w:fldCharType="separate"/>
        </w:r>
        <w:r w:rsidR="00BB1979">
          <w:rPr>
            <w:webHidden/>
          </w:rPr>
          <w:t>6</w:t>
        </w:r>
        <w:r>
          <w:rPr>
            <w:webHidden/>
          </w:rPr>
          <w:fldChar w:fldCharType="end"/>
        </w:r>
      </w:hyperlink>
    </w:p>
    <w:p w:rsidR="0009205D" w:rsidRPr="00D46D19" w:rsidRDefault="0009205D">
      <w:pPr>
        <w:pStyle w:val="TOC1"/>
        <w:rPr>
          <w:b w:val="0"/>
          <w:color w:val="auto"/>
          <w:sz w:val="22"/>
          <w:lang w:eastAsia="en-AU"/>
        </w:rPr>
      </w:pPr>
      <w:hyperlink w:anchor="_Toc407007239" w:history="1">
        <w:r w:rsidRPr="00C34A39">
          <w:rPr>
            <w:rStyle w:val="Hyperlink"/>
          </w:rPr>
          <w:t>4</w:t>
        </w:r>
        <w:r w:rsidRPr="00D46D19">
          <w:rPr>
            <w:b w:val="0"/>
            <w:color w:val="auto"/>
            <w:sz w:val="22"/>
            <w:lang w:eastAsia="en-AU"/>
          </w:rPr>
          <w:tab/>
        </w:r>
        <w:r w:rsidRPr="00C34A39">
          <w:rPr>
            <w:rStyle w:val="Hyperlink"/>
          </w:rPr>
          <w:t>Operational Agreements</w:t>
        </w:r>
        <w:r>
          <w:rPr>
            <w:webHidden/>
          </w:rPr>
          <w:tab/>
        </w:r>
        <w:r>
          <w:rPr>
            <w:webHidden/>
          </w:rPr>
          <w:fldChar w:fldCharType="begin"/>
        </w:r>
        <w:r>
          <w:rPr>
            <w:webHidden/>
          </w:rPr>
          <w:instrText xml:space="preserve"> PAGEREF _Toc407007239 \h </w:instrText>
        </w:r>
        <w:r>
          <w:rPr>
            <w:webHidden/>
          </w:rPr>
        </w:r>
        <w:r>
          <w:rPr>
            <w:webHidden/>
          </w:rPr>
          <w:fldChar w:fldCharType="separate"/>
        </w:r>
        <w:r w:rsidR="00BB1979">
          <w:rPr>
            <w:webHidden/>
          </w:rPr>
          <w:t>6</w:t>
        </w:r>
        <w:r>
          <w:rPr>
            <w:webHidden/>
          </w:rPr>
          <w:fldChar w:fldCharType="end"/>
        </w:r>
      </w:hyperlink>
    </w:p>
    <w:p w:rsidR="0009205D" w:rsidRPr="00D46D19" w:rsidRDefault="0009205D">
      <w:pPr>
        <w:pStyle w:val="TOC2"/>
        <w:rPr>
          <w:rFonts w:eastAsia="Times New Roman"/>
          <w:sz w:val="22"/>
          <w:szCs w:val="22"/>
          <w:lang w:eastAsia="en-AU"/>
        </w:rPr>
      </w:pPr>
      <w:hyperlink w:anchor="_Toc407007240" w:history="1">
        <w:r w:rsidRPr="00C34A39">
          <w:rPr>
            <w:rStyle w:val="Hyperlink"/>
          </w:rPr>
          <w:t>4.1</w:t>
        </w:r>
        <w:r w:rsidRPr="00D46D19">
          <w:rPr>
            <w:rFonts w:eastAsia="Times New Roman"/>
            <w:sz w:val="22"/>
            <w:szCs w:val="22"/>
            <w:lang w:eastAsia="en-AU"/>
          </w:rPr>
          <w:tab/>
        </w:r>
        <w:r w:rsidRPr="00C34A39">
          <w:rPr>
            <w:rStyle w:val="Hyperlink"/>
          </w:rPr>
          <w:t>Introduction</w:t>
        </w:r>
        <w:r>
          <w:rPr>
            <w:webHidden/>
          </w:rPr>
          <w:tab/>
        </w:r>
        <w:r>
          <w:rPr>
            <w:webHidden/>
          </w:rPr>
          <w:fldChar w:fldCharType="begin"/>
        </w:r>
        <w:r>
          <w:rPr>
            <w:webHidden/>
          </w:rPr>
          <w:instrText xml:space="preserve"> PAGEREF _Toc407007240 \h </w:instrText>
        </w:r>
        <w:r>
          <w:rPr>
            <w:webHidden/>
          </w:rPr>
        </w:r>
        <w:r>
          <w:rPr>
            <w:webHidden/>
          </w:rPr>
          <w:fldChar w:fldCharType="separate"/>
        </w:r>
        <w:r w:rsidR="00BB1979">
          <w:rPr>
            <w:webHidden/>
          </w:rPr>
          <w:t>6</w:t>
        </w:r>
        <w:r>
          <w:rPr>
            <w:webHidden/>
          </w:rPr>
          <w:fldChar w:fldCharType="end"/>
        </w:r>
      </w:hyperlink>
    </w:p>
    <w:p w:rsidR="0009205D" w:rsidRPr="00D46D19" w:rsidRDefault="0009205D">
      <w:pPr>
        <w:pStyle w:val="TOC2"/>
        <w:rPr>
          <w:rFonts w:eastAsia="Times New Roman"/>
          <w:sz w:val="22"/>
          <w:szCs w:val="22"/>
          <w:lang w:eastAsia="en-AU"/>
        </w:rPr>
      </w:pPr>
      <w:hyperlink w:anchor="_Toc407007241" w:history="1">
        <w:r w:rsidRPr="00C34A39">
          <w:rPr>
            <w:rStyle w:val="Hyperlink"/>
          </w:rPr>
          <w:t>4.2</w:t>
        </w:r>
        <w:r w:rsidRPr="00D46D19">
          <w:rPr>
            <w:rFonts w:eastAsia="Times New Roman"/>
            <w:sz w:val="22"/>
            <w:szCs w:val="22"/>
            <w:lang w:eastAsia="en-AU"/>
          </w:rPr>
          <w:tab/>
        </w:r>
        <w:r w:rsidRPr="00C34A39">
          <w:rPr>
            <w:rStyle w:val="Hyperlink"/>
          </w:rPr>
          <w:t>Services required</w:t>
        </w:r>
        <w:r>
          <w:rPr>
            <w:webHidden/>
          </w:rPr>
          <w:tab/>
        </w:r>
        <w:r>
          <w:rPr>
            <w:webHidden/>
          </w:rPr>
          <w:fldChar w:fldCharType="begin"/>
        </w:r>
        <w:r>
          <w:rPr>
            <w:webHidden/>
          </w:rPr>
          <w:instrText xml:space="preserve"> PAGEREF _Toc407007241 \h </w:instrText>
        </w:r>
        <w:r>
          <w:rPr>
            <w:webHidden/>
          </w:rPr>
        </w:r>
        <w:r>
          <w:rPr>
            <w:webHidden/>
          </w:rPr>
          <w:fldChar w:fldCharType="separate"/>
        </w:r>
        <w:r w:rsidR="00BB1979">
          <w:rPr>
            <w:webHidden/>
          </w:rPr>
          <w:t>6</w:t>
        </w:r>
        <w:r>
          <w:rPr>
            <w:webHidden/>
          </w:rPr>
          <w:fldChar w:fldCharType="end"/>
        </w:r>
      </w:hyperlink>
    </w:p>
    <w:p w:rsidR="0009205D" w:rsidRPr="00D46D19" w:rsidRDefault="0009205D">
      <w:pPr>
        <w:pStyle w:val="TOC2"/>
        <w:rPr>
          <w:rFonts w:eastAsia="Times New Roman"/>
          <w:sz w:val="22"/>
          <w:szCs w:val="22"/>
          <w:lang w:eastAsia="en-AU"/>
        </w:rPr>
      </w:pPr>
      <w:hyperlink w:anchor="_Toc407007242" w:history="1">
        <w:r w:rsidRPr="00C34A39">
          <w:rPr>
            <w:rStyle w:val="Hyperlink"/>
          </w:rPr>
          <w:t>4.3</w:t>
        </w:r>
        <w:r w:rsidRPr="00D46D19">
          <w:rPr>
            <w:rFonts w:eastAsia="Times New Roman"/>
            <w:sz w:val="22"/>
            <w:szCs w:val="22"/>
            <w:lang w:eastAsia="en-AU"/>
          </w:rPr>
          <w:tab/>
        </w:r>
        <w:r w:rsidRPr="00C34A39">
          <w:rPr>
            <w:rStyle w:val="Hyperlink"/>
          </w:rPr>
          <w:t>Open access and co-location</w:t>
        </w:r>
        <w:r>
          <w:rPr>
            <w:webHidden/>
          </w:rPr>
          <w:tab/>
        </w:r>
        <w:r>
          <w:rPr>
            <w:webHidden/>
          </w:rPr>
          <w:fldChar w:fldCharType="begin"/>
        </w:r>
        <w:r>
          <w:rPr>
            <w:webHidden/>
          </w:rPr>
          <w:instrText xml:space="preserve"> PAGEREF _Toc407007242 \h </w:instrText>
        </w:r>
        <w:r>
          <w:rPr>
            <w:webHidden/>
          </w:rPr>
        </w:r>
        <w:r>
          <w:rPr>
            <w:webHidden/>
          </w:rPr>
          <w:fldChar w:fldCharType="separate"/>
        </w:r>
        <w:r w:rsidR="00BB1979">
          <w:rPr>
            <w:webHidden/>
          </w:rPr>
          <w:t>7</w:t>
        </w:r>
        <w:r>
          <w:rPr>
            <w:webHidden/>
          </w:rPr>
          <w:fldChar w:fldCharType="end"/>
        </w:r>
      </w:hyperlink>
    </w:p>
    <w:p w:rsidR="0009205D" w:rsidRPr="00D46D19" w:rsidRDefault="0009205D">
      <w:pPr>
        <w:pStyle w:val="TOC2"/>
        <w:rPr>
          <w:rFonts w:eastAsia="Times New Roman"/>
          <w:sz w:val="22"/>
          <w:szCs w:val="22"/>
          <w:lang w:eastAsia="en-AU"/>
        </w:rPr>
      </w:pPr>
      <w:hyperlink w:anchor="_Toc407007243" w:history="1">
        <w:r w:rsidRPr="00C34A39">
          <w:rPr>
            <w:rStyle w:val="Hyperlink"/>
          </w:rPr>
          <w:t>4.4</w:t>
        </w:r>
        <w:r w:rsidRPr="00D46D19">
          <w:rPr>
            <w:rFonts w:eastAsia="Times New Roman"/>
            <w:sz w:val="22"/>
            <w:szCs w:val="22"/>
            <w:lang w:eastAsia="en-AU"/>
          </w:rPr>
          <w:tab/>
        </w:r>
        <w:r w:rsidRPr="00C34A39">
          <w:rPr>
            <w:rStyle w:val="Hyperlink"/>
          </w:rPr>
          <w:t>Backhaul access and pricing</w:t>
        </w:r>
        <w:r>
          <w:rPr>
            <w:webHidden/>
          </w:rPr>
          <w:tab/>
        </w:r>
        <w:r>
          <w:rPr>
            <w:webHidden/>
          </w:rPr>
          <w:fldChar w:fldCharType="begin"/>
        </w:r>
        <w:r>
          <w:rPr>
            <w:webHidden/>
          </w:rPr>
          <w:instrText xml:space="preserve"> PAGEREF _Toc407007243 \h </w:instrText>
        </w:r>
        <w:r>
          <w:rPr>
            <w:webHidden/>
          </w:rPr>
        </w:r>
        <w:r>
          <w:rPr>
            <w:webHidden/>
          </w:rPr>
          <w:fldChar w:fldCharType="separate"/>
        </w:r>
        <w:r w:rsidR="00BB1979">
          <w:rPr>
            <w:webHidden/>
          </w:rPr>
          <w:t>8</w:t>
        </w:r>
        <w:r>
          <w:rPr>
            <w:webHidden/>
          </w:rPr>
          <w:fldChar w:fldCharType="end"/>
        </w:r>
      </w:hyperlink>
    </w:p>
    <w:p w:rsidR="0009205D" w:rsidRPr="00D46D19" w:rsidRDefault="0009205D">
      <w:pPr>
        <w:pStyle w:val="TOC2"/>
        <w:rPr>
          <w:rFonts w:eastAsia="Times New Roman"/>
          <w:sz w:val="22"/>
          <w:szCs w:val="22"/>
          <w:lang w:eastAsia="en-AU"/>
        </w:rPr>
      </w:pPr>
      <w:hyperlink w:anchor="_Toc407007244" w:history="1">
        <w:r w:rsidRPr="00C34A39">
          <w:rPr>
            <w:rStyle w:val="Hyperlink"/>
          </w:rPr>
          <w:t>4.5</w:t>
        </w:r>
        <w:r w:rsidRPr="00D46D19">
          <w:rPr>
            <w:rFonts w:eastAsia="Times New Roman"/>
            <w:sz w:val="22"/>
            <w:szCs w:val="22"/>
            <w:lang w:eastAsia="en-AU"/>
          </w:rPr>
          <w:tab/>
        </w:r>
        <w:r w:rsidRPr="00C34A39">
          <w:rPr>
            <w:rStyle w:val="Hyperlink"/>
          </w:rPr>
          <w:t>Dispute resolution</w:t>
        </w:r>
        <w:r>
          <w:rPr>
            <w:webHidden/>
          </w:rPr>
          <w:tab/>
        </w:r>
        <w:r>
          <w:rPr>
            <w:webHidden/>
          </w:rPr>
          <w:fldChar w:fldCharType="begin"/>
        </w:r>
        <w:r>
          <w:rPr>
            <w:webHidden/>
          </w:rPr>
          <w:instrText xml:space="preserve"> PAGEREF _Toc407007244 \h </w:instrText>
        </w:r>
        <w:r>
          <w:rPr>
            <w:webHidden/>
          </w:rPr>
        </w:r>
        <w:r>
          <w:rPr>
            <w:webHidden/>
          </w:rPr>
          <w:fldChar w:fldCharType="separate"/>
        </w:r>
        <w:r w:rsidR="00BB1979">
          <w:rPr>
            <w:webHidden/>
          </w:rPr>
          <w:t>9</w:t>
        </w:r>
        <w:r>
          <w:rPr>
            <w:webHidden/>
          </w:rPr>
          <w:fldChar w:fldCharType="end"/>
        </w:r>
      </w:hyperlink>
    </w:p>
    <w:p w:rsidR="0009205D" w:rsidRPr="00D46D19" w:rsidRDefault="0009205D">
      <w:pPr>
        <w:pStyle w:val="TOC2"/>
        <w:rPr>
          <w:rFonts w:eastAsia="Times New Roman"/>
          <w:sz w:val="22"/>
          <w:szCs w:val="22"/>
          <w:lang w:eastAsia="en-AU"/>
        </w:rPr>
      </w:pPr>
      <w:hyperlink w:anchor="_Toc407007245" w:history="1">
        <w:r w:rsidRPr="00C34A39">
          <w:rPr>
            <w:rStyle w:val="Hyperlink"/>
          </w:rPr>
          <w:t>4.6</w:t>
        </w:r>
        <w:r w:rsidRPr="00D46D19">
          <w:rPr>
            <w:rFonts w:eastAsia="Times New Roman"/>
            <w:sz w:val="22"/>
            <w:szCs w:val="22"/>
            <w:lang w:eastAsia="en-AU"/>
          </w:rPr>
          <w:tab/>
        </w:r>
        <w:r w:rsidRPr="00C34A39">
          <w:rPr>
            <w:rStyle w:val="Hyperlink"/>
          </w:rPr>
          <w:t>Additional services</w:t>
        </w:r>
        <w:r>
          <w:rPr>
            <w:webHidden/>
          </w:rPr>
          <w:tab/>
        </w:r>
        <w:r>
          <w:rPr>
            <w:webHidden/>
          </w:rPr>
          <w:fldChar w:fldCharType="begin"/>
        </w:r>
        <w:r>
          <w:rPr>
            <w:webHidden/>
          </w:rPr>
          <w:instrText xml:space="preserve"> PAGEREF _Toc407007245 \h </w:instrText>
        </w:r>
        <w:r>
          <w:rPr>
            <w:webHidden/>
          </w:rPr>
        </w:r>
        <w:r>
          <w:rPr>
            <w:webHidden/>
          </w:rPr>
          <w:fldChar w:fldCharType="separate"/>
        </w:r>
        <w:r w:rsidR="00BB1979">
          <w:rPr>
            <w:webHidden/>
          </w:rPr>
          <w:t>10</w:t>
        </w:r>
        <w:r>
          <w:rPr>
            <w:webHidden/>
          </w:rPr>
          <w:fldChar w:fldCharType="end"/>
        </w:r>
      </w:hyperlink>
    </w:p>
    <w:p w:rsidR="0009205D" w:rsidRPr="00D46D19" w:rsidRDefault="0009205D">
      <w:pPr>
        <w:pStyle w:val="TOC1"/>
        <w:rPr>
          <w:b w:val="0"/>
          <w:color w:val="auto"/>
          <w:sz w:val="22"/>
          <w:lang w:eastAsia="en-AU"/>
        </w:rPr>
      </w:pPr>
      <w:hyperlink w:anchor="_Toc407007246" w:history="1">
        <w:r w:rsidRPr="00C34A39">
          <w:rPr>
            <w:rStyle w:val="Hyperlink"/>
          </w:rPr>
          <w:t>5</w:t>
        </w:r>
        <w:r w:rsidRPr="00D46D19">
          <w:rPr>
            <w:b w:val="0"/>
            <w:color w:val="auto"/>
            <w:sz w:val="22"/>
            <w:lang w:eastAsia="en-AU"/>
          </w:rPr>
          <w:tab/>
        </w:r>
        <w:r w:rsidRPr="00C34A39">
          <w:rPr>
            <w:rStyle w:val="Hyperlink"/>
          </w:rPr>
          <w:t>Other considerations</w:t>
        </w:r>
        <w:r>
          <w:rPr>
            <w:webHidden/>
          </w:rPr>
          <w:tab/>
        </w:r>
        <w:r>
          <w:rPr>
            <w:webHidden/>
          </w:rPr>
          <w:fldChar w:fldCharType="begin"/>
        </w:r>
        <w:r>
          <w:rPr>
            <w:webHidden/>
          </w:rPr>
          <w:instrText xml:space="preserve"> PAGEREF _Toc407007246 \h </w:instrText>
        </w:r>
        <w:r>
          <w:rPr>
            <w:webHidden/>
          </w:rPr>
        </w:r>
        <w:r>
          <w:rPr>
            <w:webHidden/>
          </w:rPr>
          <w:fldChar w:fldCharType="separate"/>
        </w:r>
        <w:r w:rsidR="00BB1979">
          <w:rPr>
            <w:webHidden/>
          </w:rPr>
          <w:t>10</w:t>
        </w:r>
        <w:r>
          <w:rPr>
            <w:webHidden/>
          </w:rPr>
          <w:fldChar w:fldCharType="end"/>
        </w:r>
      </w:hyperlink>
    </w:p>
    <w:p w:rsidR="0009205D" w:rsidRPr="00D46D19" w:rsidRDefault="0009205D">
      <w:pPr>
        <w:pStyle w:val="TOC2"/>
        <w:rPr>
          <w:rFonts w:eastAsia="Times New Roman"/>
          <w:sz w:val="22"/>
          <w:szCs w:val="22"/>
          <w:lang w:eastAsia="en-AU"/>
        </w:rPr>
      </w:pPr>
      <w:hyperlink w:anchor="_Toc407007247" w:history="1">
        <w:r w:rsidRPr="00C34A39">
          <w:rPr>
            <w:rStyle w:val="Hyperlink"/>
          </w:rPr>
          <w:t>5.1</w:t>
        </w:r>
        <w:r w:rsidRPr="00D46D19">
          <w:rPr>
            <w:rFonts w:eastAsia="Times New Roman"/>
            <w:sz w:val="22"/>
            <w:szCs w:val="22"/>
            <w:lang w:eastAsia="en-AU"/>
          </w:rPr>
          <w:tab/>
        </w:r>
        <w:r w:rsidRPr="00C34A39">
          <w:rPr>
            <w:rStyle w:val="Hyperlink"/>
          </w:rPr>
          <w:t>Third-party co-contributions</w:t>
        </w:r>
        <w:r>
          <w:rPr>
            <w:webHidden/>
          </w:rPr>
          <w:tab/>
        </w:r>
        <w:r>
          <w:rPr>
            <w:webHidden/>
          </w:rPr>
          <w:fldChar w:fldCharType="begin"/>
        </w:r>
        <w:r>
          <w:rPr>
            <w:webHidden/>
          </w:rPr>
          <w:instrText xml:space="preserve"> PAGEREF _Toc407007247 \h </w:instrText>
        </w:r>
        <w:r>
          <w:rPr>
            <w:webHidden/>
          </w:rPr>
        </w:r>
        <w:r>
          <w:rPr>
            <w:webHidden/>
          </w:rPr>
          <w:fldChar w:fldCharType="separate"/>
        </w:r>
        <w:r w:rsidR="00BB1979">
          <w:rPr>
            <w:webHidden/>
          </w:rPr>
          <w:t>10</w:t>
        </w:r>
        <w:r>
          <w:rPr>
            <w:webHidden/>
          </w:rPr>
          <w:fldChar w:fldCharType="end"/>
        </w:r>
      </w:hyperlink>
    </w:p>
    <w:p w:rsidR="0009205D" w:rsidRPr="00D46D19" w:rsidRDefault="0009205D">
      <w:pPr>
        <w:pStyle w:val="TOC2"/>
        <w:rPr>
          <w:rFonts w:eastAsia="Times New Roman"/>
          <w:sz w:val="22"/>
          <w:szCs w:val="22"/>
          <w:lang w:eastAsia="en-AU"/>
        </w:rPr>
      </w:pPr>
      <w:hyperlink w:anchor="_Toc407007248" w:history="1">
        <w:r w:rsidRPr="00C34A39">
          <w:rPr>
            <w:rStyle w:val="Hyperlink"/>
          </w:rPr>
          <w:t>5.2</w:t>
        </w:r>
        <w:r w:rsidRPr="00D46D19">
          <w:rPr>
            <w:rFonts w:eastAsia="Times New Roman"/>
            <w:sz w:val="22"/>
            <w:szCs w:val="22"/>
            <w:lang w:eastAsia="en-AU"/>
          </w:rPr>
          <w:tab/>
        </w:r>
        <w:r w:rsidRPr="00C34A39">
          <w:rPr>
            <w:rStyle w:val="Hyperlink"/>
          </w:rPr>
          <w:t>MP priority locations</w:t>
        </w:r>
        <w:r>
          <w:rPr>
            <w:webHidden/>
          </w:rPr>
          <w:tab/>
        </w:r>
        <w:r>
          <w:rPr>
            <w:webHidden/>
          </w:rPr>
          <w:fldChar w:fldCharType="begin"/>
        </w:r>
        <w:r>
          <w:rPr>
            <w:webHidden/>
          </w:rPr>
          <w:instrText xml:space="preserve"> PAGEREF _Toc407007248 \h </w:instrText>
        </w:r>
        <w:r>
          <w:rPr>
            <w:webHidden/>
          </w:rPr>
        </w:r>
        <w:r>
          <w:rPr>
            <w:webHidden/>
          </w:rPr>
          <w:fldChar w:fldCharType="separate"/>
        </w:r>
        <w:r w:rsidR="00BB1979">
          <w:rPr>
            <w:webHidden/>
          </w:rPr>
          <w:t>11</w:t>
        </w:r>
        <w:r>
          <w:rPr>
            <w:webHidden/>
          </w:rPr>
          <w:fldChar w:fldCharType="end"/>
        </w:r>
      </w:hyperlink>
    </w:p>
    <w:p w:rsidR="0009205D" w:rsidRPr="00D46D19" w:rsidRDefault="0009205D">
      <w:pPr>
        <w:pStyle w:val="TOC2"/>
        <w:rPr>
          <w:rFonts w:eastAsia="Times New Roman"/>
          <w:sz w:val="22"/>
          <w:szCs w:val="22"/>
          <w:lang w:eastAsia="en-AU"/>
        </w:rPr>
      </w:pPr>
      <w:hyperlink w:anchor="_Toc407007249" w:history="1">
        <w:r w:rsidRPr="00C34A39">
          <w:rPr>
            <w:rStyle w:val="Hyperlink"/>
          </w:rPr>
          <w:t>5.3</w:t>
        </w:r>
        <w:r w:rsidRPr="00D46D19">
          <w:rPr>
            <w:rFonts w:eastAsia="Times New Roman"/>
            <w:sz w:val="22"/>
            <w:szCs w:val="22"/>
            <w:lang w:eastAsia="en-AU"/>
          </w:rPr>
          <w:tab/>
        </w:r>
        <w:r w:rsidRPr="00C34A39">
          <w:rPr>
            <w:rStyle w:val="Hyperlink"/>
          </w:rPr>
          <w:t>Utilising NBN Co’s fixed wireless network</w:t>
        </w:r>
        <w:r>
          <w:rPr>
            <w:webHidden/>
          </w:rPr>
          <w:tab/>
        </w:r>
        <w:r>
          <w:rPr>
            <w:webHidden/>
          </w:rPr>
          <w:fldChar w:fldCharType="begin"/>
        </w:r>
        <w:r>
          <w:rPr>
            <w:webHidden/>
          </w:rPr>
          <w:instrText xml:space="preserve"> PAGEREF _Toc407007249 \h </w:instrText>
        </w:r>
        <w:r>
          <w:rPr>
            <w:webHidden/>
          </w:rPr>
        </w:r>
        <w:r>
          <w:rPr>
            <w:webHidden/>
          </w:rPr>
          <w:fldChar w:fldCharType="separate"/>
        </w:r>
        <w:r w:rsidR="00BB1979">
          <w:rPr>
            <w:webHidden/>
          </w:rPr>
          <w:t>12</w:t>
        </w:r>
        <w:r>
          <w:rPr>
            <w:webHidden/>
          </w:rPr>
          <w:fldChar w:fldCharType="end"/>
        </w:r>
      </w:hyperlink>
    </w:p>
    <w:p w:rsidR="0009205D" w:rsidRPr="00D46D19" w:rsidRDefault="0009205D">
      <w:pPr>
        <w:pStyle w:val="TOC1"/>
        <w:rPr>
          <w:b w:val="0"/>
          <w:color w:val="auto"/>
          <w:sz w:val="22"/>
          <w:lang w:eastAsia="en-AU"/>
        </w:rPr>
      </w:pPr>
      <w:hyperlink w:anchor="_Toc407007250" w:history="1">
        <w:r w:rsidRPr="00C34A39">
          <w:rPr>
            <w:rStyle w:val="Hyperlink"/>
          </w:rPr>
          <w:t>6</w:t>
        </w:r>
        <w:r w:rsidRPr="00D46D19">
          <w:rPr>
            <w:b w:val="0"/>
            <w:color w:val="auto"/>
            <w:sz w:val="22"/>
            <w:lang w:eastAsia="en-AU"/>
          </w:rPr>
          <w:tab/>
        </w:r>
        <w:r w:rsidRPr="00C34A39">
          <w:rPr>
            <w:rStyle w:val="Hyperlink"/>
          </w:rPr>
          <w:t>Application process</w:t>
        </w:r>
        <w:r>
          <w:rPr>
            <w:webHidden/>
          </w:rPr>
          <w:tab/>
        </w:r>
        <w:r>
          <w:rPr>
            <w:webHidden/>
          </w:rPr>
          <w:fldChar w:fldCharType="begin"/>
        </w:r>
        <w:r>
          <w:rPr>
            <w:webHidden/>
          </w:rPr>
          <w:instrText xml:space="preserve"> PAGEREF _Toc407007250 \h </w:instrText>
        </w:r>
        <w:r>
          <w:rPr>
            <w:webHidden/>
          </w:rPr>
        </w:r>
        <w:r>
          <w:rPr>
            <w:webHidden/>
          </w:rPr>
          <w:fldChar w:fldCharType="separate"/>
        </w:r>
        <w:r w:rsidR="00BB1979">
          <w:rPr>
            <w:webHidden/>
          </w:rPr>
          <w:t>13</w:t>
        </w:r>
        <w:r>
          <w:rPr>
            <w:webHidden/>
          </w:rPr>
          <w:fldChar w:fldCharType="end"/>
        </w:r>
      </w:hyperlink>
    </w:p>
    <w:p w:rsidR="0009205D" w:rsidRPr="00D46D19" w:rsidRDefault="0009205D">
      <w:pPr>
        <w:pStyle w:val="TOC2"/>
        <w:rPr>
          <w:rFonts w:eastAsia="Times New Roman"/>
          <w:sz w:val="22"/>
          <w:szCs w:val="22"/>
          <w:lang w:eastAsia="en-AU"/>
        </w:rPr>
      </w:pPr>
      <w:hyperlink w:anchor="_Toc407007251" w:history="1">
        <w:r w:rsidRPr="00C34A39">
          <w:rPr>
            <w:rStyle w:val="Hyperlink"/>
          </w:rPr>
          <w:t>6.1</w:t>
        </w:r>
        <w:r w:rsidRPr="00D46D19">
          <w:rPr>
            <w:rFonts w:eastAsia="Times New Roman"/>
            <w:sz w:val="22"/>
            <w:szCs w:val="22"/>
            <w:lang w:eastAsia="en-AU"/>
          </w:rPr>
          <w:tab/>
        </w:r>
        <w:r w:rsidRPr="00C34A39">
          <w:rPr>
            <w:rStyle w:val="Hyperlink"/>
          </w:rPr>
          <w:t>Completing and lodging an application</w:t>
        </w:r>
        <w:r>
          <w:rPr>
            <w:webHidden/>
          </w:rPr>
          <w:tab/>
        </w:r>
        <w:r>
          <w:rPr>
            <w:webHidden/>
          </w:rPr>
          <w:fldChar w:fldCharType="begin"/>
        </w:r>
        <w:r>
          <w:rPr>
            <w:webHidden/>
          </w:rPr>
          <w:instrText xml:space="preserve"> PAGEREF _Toc407007251 \h </w:instrText>
        </w:r>
        <w:r>
          <w:rPr>
            <w:webHidden/>
          </w:rPr>
        </w:r>
        <w:r>
          <w:rPr>
            <w:webHidden/>
          </w:rPr>
          <w:fldChar w:fldCharType="separate"/>
        </w:r>
        <w:r w:rsidR="00BB1979">
          <w:rPr>
            <w:webHidden/>
          </w:rPr>
          <w:t>13</w:t>
        </w:r>
        <w:r>
          <w:rPr>
            <w:webHidden/>
          </w:rPr>
          <w:fldChar w:fldCharType="end"/>
        </w:r>
      </w:hyperlink>
    </w:p>
    <w:p w:rsidR="0009205D" w:rsidRPr="00D46D19" w:rsidRDefault="0009205D">
      <w:pPr>
        <w:pStyle w:val="TOC2"/>
        <w:rPr>
          <w:rFonts w:eastAsia="Times New Roman"/>
          <w:sz w:val="22"/>
          <w:szCs w:val="22"/>
          <w:lang w:eastAsia="en-AU"/>
        </w:rPr>
      </w:pPr>
      <w:hyperlink w:anchor="_Toc407007252" w:history="1">
        <w:r w:rsidRPr="00C34A39">
          <w:rPr>
            <w:rStyle w:val="Hyperlink"/>
          </w:rPr>
          <w:t>6.2</w:t>
        </w:r>
        <w:r w:rsidRPr="00D46D19">
          <w:rPr>
            <w:rFonts w:eastAsia="Times New Roman"/>
            <w:sz w:val="22"/>
            <w:szCs w:val="22"/>
            <w:lang w:eastAsia="en-AU"/>
          </w:rPr>
          <w:tab/>
        </w:r>
        <w:r w:rsidRPr="00C34A39">
          <w:rPr>
            <w:rStyle w:val="Hyperlink"/>
          </w:rPr>
          <w:t>Closing date</w:t>
        </w:r>
        <w:r>
          <w:rPr>
            <w:webHidden/>
          </w:rPr>
          <w:tab/>
        </w:r>
        <w:r>
          <w:rPr>
            <w:webHidden/>
          </w:rPr>
          <w:fldChar w:fldCharType="begin"/>
        </w:r>
        <w:r>
          <w:rPr>
            <w:webHidden/>
          </w:rPr>
          <w:instrText xml:space="preserve"> PAGEREF _Toc407007252 \h </w:instrText>
        </w:r>
        <w:r>
          <w:rPr>
            <w:webHidden/>
          </w:rPr>
        </w:r>
        <w:r>
          <w:rPr>
            <w:webHidden/>
          </w:rPr>
          <w:fldChar w:fldCharType="separate"/>
        </w:r>
        <w:r w:rsidR="00BB1979">
          <w:rPr>
            <w:webHidden/>
          </w:rPr>
          <w:t>14</w:t>
        </w:r>
        <w:r>
          <w:rPr>
            <w:webHidden/>
          </w:rPr>
          <w:fldChar w:fldCharType="end"/>
        </w:r>
      </w:hyperlink>
    </w:p>
    <w:p w:rsidR="0009205D" w:rsidRPr="00D46D19" w:rsidRDefault="0009205D">
      <w:pPr>
        <w:pStyle w:val="TOC2"/>
        <w:rPr>
          <w:rFonts w:eastAsia="Times New Roman"/>
          <w:sz w:val="22"/>
          <w:szCs w:val="22"/>
          <w:lang w:eastAsia="en-AU"/>
        </w:rPr>
      </w:pPr>
      <w:hyperlink w:anchor="_Toc407007253" w:history="1">
        <w:r w:rsidRPr="00C34A39">
          <w:rPr>
            <w:rStyle w:val="Hyperlink"/>
          </w:rPr>
          <w:t>6.3</w:t>
        </w:r>
        <w:r w:rsidRPr="00D46D19">
          <w:rPr>
            <w:rFonts w:eastAsia="Times New Roman"/>
            <w:sz w:val="22"/>
            <w:szCs w:val="22"/>
            <w:lang w:eastAsia="en-AU"/>
          </w:rPr>
          <w:tab/>
        </w:r>
        <w:r w:rsidRPr="00C34A39">
          <w:rPr>
            <w:rStyle w:val="Hyperlink"/>
          </w:rPr>
          <w:t>Late applications</w:t>
        </w:r>
        <w:r>
          <w:rPr>
            <w:webHidden/>
          </w:rPr>
          <w:tab/>
        </w:r>
        <w:r>
          <w:rPr>
            <w:webHidden/>
          </w:rPr>
          <w:fldChar w:fldCharType="begin"/>
        </w:r>
        <w:r>
          <w:rPr>
            <w:webHidden/>
          </w:rPr>
          <w:instrText xml:space="preserve"> PAGEREF _Toc407007253 \h </w:instrText>
        </w:r>
        <w:r>
          <w:rPr>
            <w:webHidden/>
          </w:rPr>
        </w:r>
        <w:r>
          <w:rPr>
            <w:webHidden/>
          </w:rPr>
          <w:fldChar w:fldCharType="separate"/>
        </w:r>
        <w:r w:rsidR="00BB1979">
          <w:rPr>
            <w:webHidden/>
          </w:rPr>
          <w:t>14</w:t>
        </w:r>
        <w:r>
          <w:rPr>
            <w:webHidden/>
          </w:rPr>
          <w:fldChar w:fldCharType="end"/>
        </w:r>
      </w:hyperlink>
    </w:p>
    <w:p w:rsidR="0009205D" w:rsidRPr="00D46D19" w:rsidRDefault="0009205D">
      <w:pPr>
        <w:pStyle w:val="TOC2"/>
        <w:rPr>
          <w:rFonts w:eastAsia="Times New Roman"/>
          <w:sz w:val="22"/>
          <w:szCs w:val="22"/>
          <w:lang w:eastAsia="en-AU"/>
        </w:rPr>
      </w:pPr>
      <w:hyperlink w:anchor="_Toc407007254" w:history="1">
        <w:r w:rsidRPr="00C34A39">
          <w:rPr>
            <w:rStyle w:val="Hyperlink"/>
          </w:rPr>
          <w:t>6.4</w:t>
        </w:r>
        <w:r w:rsidRPr="00D46D19">
          <w:rPr>
            <w:rFonts w:eastAsia="Times New Roman"/>
            <w:sz w:val="22"/>
            <w:szCs w:val="22"/>
            <w:lang w:eastAsia="en-AU"/>
          </w:rPr>
          <w:tab/>
        </w:r>
        <w:r w:rsidRPr="00C34A39">
          <w:rPr>
            <w:rStyle w:val="Hyperlink"/>
          </w:rPr>
          <w:t>Further information about the application</w:t>
        </w:r>
        <w:r>
          <w:rPr>
            <w:webHidden/>
          </w:rPr>
          <w:tab/>
        </w:r>
        <w:r>
          <w:rPr>
            <w:webHidden/>
          </w:rPr>
          <w:fldChar w:fldCharType="begin"/>
        </w:r>
        <w:r>
          <w:rPr>
            <w:webHidden/>
          </w:rPr>
          <w:instrText xml:space="preserve"> PAGEREF _Toc407007254 \h </w:instrText>
        </w:r>
        <w:r>
          <w:rPr>
            <w:webHidden/>
          </w:rPr>
        </w:r>
        <w:r>
          <w:rPr>
            <w:webHidden/>
          </w:rPr>
          <w:fldChar w:fldCharType="separate"/>
        </w:r>
        <w:r w:rsidR="00BB1979">
          <w:rPr>
            <w:webHidden/>
          </w:rPr>
          <w:t>14</w:t>
        </w:r>
        <w:r>
          <w:rPr>
            <w:webHidden/>
          </w:rPr>
          <w:fldChar w:fldCharType="end"/>
        </w:r>
      </w:hyperlink>
    </w:p>
    <w:p w:rsidR="0009205D" w:rsidRPr="00D46D19" w:rsidRDefault="0009205D">
      <w:pPr>
        <w:pStyle w:val="TOC1"/>
        <w:rPr>
          <w:b w:val="0"/>
          <w:color w:val="auto"/>
          <w:sz w:val="22"/>
          <w:lang w:eastAsia="en-AU"/>
        </w:rPr>
      </w:pPr>
      <w:hyperlink w:anchor="_Toc407007255" w:history="1">
        <w:r w:rsidRPr="00C34A39">
          <w:rPr>
            <w:rStyle w:val="Hyperlink"/>
          </w:rPr>
          <w:t>7</w:t>
        </w:r>
        <w:r w:rsidRPr="00D46D19">
          <w:rPr>
            <w:b w:val="0"/>
            <w:color w:val="auto"/>
            <w:sz w:val="22"/>
            <w:lang w:eastAsia="en-AU"/>
          </w:rPr>
          <w:tab/>
        </w:r>
        <w:r w:rsidRPr="00C34A39">
          <w:rPr>
            <w:rStyle w:val="Hyperlink"/>
          </w:rPr>
          <w:t>Assessment process</w:t>
        </w:r>
        <w:r>
          <w:rPr>
            <w:webHidden/>
          </w:rPr>
          <w:tab/>
        </w:r>
        <w:r>
          <w:rPr>
            <w:webHidden/>
          </w:rPr>
          <w:fldChar w:fldCharType="begin"/>
        </w:r>
        <w:r>
          <w:rPr>
            <w:webHidden/>
          </w:rPr>
          <w:instrText xml:space="preserve"> PAGEREF _Toc407007255 \h </w:instrText>
        </w:r>
        <w:r>
          <w:rPr>
            <w:webHidden/>
          </w:rPr>
        </w:r>
        <w:r>
          <w:rPr>
            <w:webHidden/>
          </w:rPr>
          <w:fldChar w:fldCharType="separate"/>
        </w:r>
        <w:r w:rsidR="00BB1979">
          <w:rPr>
            <w:webHidden/>
          </w:rPr>
          <w:t>14</w:t>
        </w:r>
        <w:r>
          <w:rPr>
            <w:webHidden/>
          </w:rPr>
          <w:fldChar w:fldCharType="end"/>
        </w:r>
      </w:hyperlink>
    </w:p>
    <w:p w:rsidR="0009205D" w:rsidRPr="00D46D19" w:rsidRDefault="0009205D">
      <w:pPr>
        <w:pStyle w:val="TOC2"/>
        <w:rPr>
          <w:rFonts w:eastAsia="Times New Roman"/>
          <w:sz w:val="22"/>
          <w:szCs w:val="22"/>
          <w:lang w:eastAsia="en-AU"/>
        </w:rPr>
      </w:pPr>
      <w:hyperlink w:anchor="_Toc407007256" w:history="1">
        <w:r w:rsidRPr="00C34A39">
          <w:rPr>
            <w:rStyle w:val="Hyperlink"/>
          </w:rPr>
          <w:t>7.1</w:t>
        </w:r>
        <w:r w:rsidRPr="00D46D19">
          <w:rPr>
            <w:rFonts w:eastAsia="Times New Roman"/>
            <w:sz w:val="22"/>
            <w:szCs w:val="22"/>
            <w:lang w:eastAsia="en-AU"/>
          </w:rPr>
          <w:tab/>
        </w:r>
        <w:r w:rsidRPr="00C34A39">
          <w:rPr>
            <w:rStyle w:val="Hyperlink"/>
          </w:rPr>
          <w:t>Initial eligibility check</w:t>
        </w:r>
        <w:r>
          <w:rPr>
            <w:webHidden/>
          </w:rPr>
          <w:tab/>
        </w:r>
        <w:r>
          <w:rPr>
            <w:webHidden/>
          </w:rPr>
          <w:fldChar w:fldCharType="begin"/>
        </w:r>
        <w:r>
          <w:rPr>
            <w:webHidden/>
          </w:rPr>
          <w:instrText xml:space="preserve"> PAGEREF _Toc407007256 \h </w:instrText>
        </w:r>
        <w:r>
          <w:rPr>
            <w:webHidden/>
          </w:rPr>
        </w:r>
        <w:r>
          <w:rPr>
            <w:webHidden/>
          </w:rPr>
          <w:fldChar w:fldCharType="separate"/>
        </w:r>
        <w:r w:rsidR="00BB1979">
          <w:rPr>
            <w:webHidden/>
          </w:rPr>
          <w:t>14</w:t>
        </w:r>
        <w:r>
          <w:rPr>
            <w:webHidden/>
          </w:rPr>
          <w:fldChar w:fldCharType="end"/>
        </w:r>
      </w:hyperlink>
    </w:p>
    <w:p w:rsidR="0009205D" w:rsidRPr="00D46D19" w:rsidRDefault="0009205D">
      <w:pPr>
        <w:pStyle w:val="TOC2"/>
        <w:rPr>
          <w:rFonts w:eastAsia="Times New Roman"/>
          <w:sz w:val="22"/>
          <w:szCs w:val="22"/>
          <w:lang w:eastAsia="en-AU"/>
        </w:rPr>
      </w:pPr>
      <w:hyperlink w:anchor="_Toc407007257" w:history="1">
        <w:r w:rsidRPr="00C34A39">
          <w:rPr>
            <w:rStyle w:val="Hyperlink"/>
          </w:rPr>
          <w:t>7.2</w:t>
        </w:r>
        <w:r w:rsidRPr="00D46D19">
          <w:rPr>
            <w:rFonts w:eastAsia="Times New Roman"/>
            <w:sz w:val="22"/>
            <w:szCs w:val="22"/>
            <w:lang w:eastAsia="en-AU"/>
          </w:rPr>
          <w:tab/>
        </w:r>
        <w:r w:rsidRPr="00C34A39">
          <w:rPr>
            <w:rStyle w:val="Hyperlink"/>
          </w:rPr>
          <w:t>Risk assessment</w:t>
        </w:r>
        <w:r>
          <w:rPr>
            <w:webHidden/>
          </w:rPr>
          <w:tab/>
        </w:r>
        <w:r>
          <w:rPr>
            <w:webHidden/>
          </w:rPr>
          <w:fldChar w:fldCharType="begin"/>
        </w:r>
        <w:r>
          <w:rPr>
            <w:webHidden/>
          </w:rPr>
          <w:instrText xml:space="preserve"> PAGEREF _Toc407007257 \h </w:instrText>
        </w:r>
        <w:r>
          <w:rPr>
            <w:webHidden/>
          </w:rPr>
        </w:r>
        <w:r>
          <w:rPr>
            <w:webHidden/>
          </w:rPr>
          <w:fldChar w:fldCharType="separate"/>
        </w:r>
        <w:r w:rsidR="00BB1979">
          <w:rPr>
            <w:webHidden/>
          </w:rPr>
          <w:t>15</w:t>
        </w:r>
        <w:r>
          <w:rPr>
            <w:webHidden/>
          </w:rPr>
          <w:fldChar w:fldCharType="end"/>
        </w:r>
      </w:hyperlink>
    </w:p>
    <w:p w:rsidR="0009205D" w:rsidRPr="00D46D19" w:rsidRDefault="0009205D">
      <w:pPr>
        <w:pStyle w:val="TOC2"/>
        <w:rPr>
          <w:rFonts w:eastAsia="Times New Roman"/>
          <w:sz w:val="22"/>
          <w:szCs w:val="22"/>
          <w:lang w:eastAsia="en-AU"/>
        </w:rPr>
      </w:pPr>
      <w:hyperlink w:anchor="_Toc407007258" w:history="1">
        <w:r w:rsidRPr="00C34A39">
          <w:rPr>
            <w:rStyle w:val="Hyperlink"/>
          </w:rPr>
          <w:t>7.3</w:t>
        </w:r>
        <w:r w:rsidRPr="00D46D19">
          <w:rPr>
            <w:rFonts w:eastAsia="Times New Roman"/>
            <w:sz w:val="22"/>
            <w:szCs w:val="22"/>
            <w:lang w:eastAsia="en-AU"/>
          </w:rPr>
          <w:tab/>
        </w:r>
        <w:r w:rsidRPr="00C34A39">
          <w:rPr>
            <w:rStyle w:val="Hyperlink"/>
          </w:rPr>
          <w:t>Initial assessment</w:t>
        </w:r>
        <w:r>
          <w:rPr>
            <w:webHidden/>
          </w:rPr>
          <w:tab/>
        </w:r>
        <w:r>
          <w:rPr>
            <w:webHidden/>
          </w:rPr>
          <w:fldChar w:fldCharType="begin"/>
        </w:r>
        <w:r>
          <w:rPr>
            <w:webHidden/>
          </w:rPr>
          <w:instrText xml:space="preserve"> PAGEREF _Toc407007258 \h </w:instrText>
        </w:r>
        <w:r>
          <w:rPr>
            <w:webHidden/>
          </w:rPr>
        </w:r>
        <w:r>
          <w:rPr>
            <w:webHidden/>
          </w:rPr>
          <w:fldChar w:fldCharType="separate"/>
        </w:r>
        <w:r w:rsidR="00BB1979">
          <w:rPr>
            <w:webHidden/>
          </w:rPr>
          <w:t>15</w:t>
        </w:r>
        <w:r>
          <w:rPr>
            <w:webHidden/>
          </w:rPr>
          <w:fldChar w:fldCharType="end"/>
        </w:r>
      </w:hyperlink>
    </w:p>
    <w:p w:rsidR="0009205D" w:rsidRPr="00D46D19" w:rsidRDefault="0009205D">
      <w:pPr>
        <w:pStyle w:val="TOC2"/>
        <w:rPr>
          <w:rFonts w:eastAsia="Times New Roman"/>
          <w:sz w:val="22"/>
          <w:szCs w:val="22"/>
          <w:lang w:eastAsia="en-AU"/>
        </w:rPr>
      </w:pPr>
      <w:hyperlink w:anchor="_Toc407007259" w:history="1">
        <w:r w:rsidRPr="00C34A39">
          <w:rPr>
            <w:rStyle w:val="Hyperlink"/>
          </w:rPr>
          <w:t>7.4</w:t>
        </w:r>
        <w:r w:rsidRPr="00D46D19">
          <w:rPr>
            <w:rFonts w:eastAsia="Times New Roman"/>
            <w:sz w:val="22"/>
            <w:szCs w:val="22"/>
            <w:lang w:eastAsia="en-AU"/>
          </w:rPr>
          <w:tab/>
        </w:r>
        <w:r w:rsidRPr="00C34A39">
          <w:rPr>
            <w:rStyle w:val="Hyperlink"/>
          </w:rPr>
          <w:t>Clusters of Proposed Base Stations</w:t>
        </w:r>
        <w:r>
          <w:rPr>
            <w:webHidden/>
          </w:rPr>
          <w:tab/>
        </w:r>
        <w:r>
          <w:rPr>
            <w:webHidden/>
          </w:rPr>
          <w:fldChar w:fldCharType="begin"/>
        </w:r>
        <w:r>
          <w:rPr>
            <w:webHidden/>
          </w:rPr>
          <w:instrText xml:space="preserve"> PAGEREF _Toc407007259 \h </w:instrText>
        </w:r>
        <w:r>
          <w:rPr>
            <w:webHidden/>
          </w:rPr>
        </w:r>
        <w:r>
          <w:rPr>
            <w:webHidden/>
          </w:rPr>
          <w:fldChar w:fldCharType="separate"/>
        </w:r>
        <w:r w:rsidR="00BB1979">
          <w:rPr>
            <w:webHidden/>
          </w:rPr>
          <w:t>17</w:t>
        </w:r>
        <w:r>
          <w:rPr>
            <w:webHidden/>
          </w:rPr>
          <w:fldChar w:fldCharType="end"/>
        </w:r>
      </w:hyperlink>
    </w:p>
    <w:p w:rsidR="0009205D" w:rsidRPr="00D46D19" w:rsidRDefault="0009205D">
      <w:pPr>
        <w:pStyle w:val="TOC2"/>
        <w:rPr>
          <w:rFonts w:eastAsia="Times New Roman"/>
          <w:sz w:val="22"/>
          <w:szCs w:val="22"/>
          <w:lang w:eastAsia="en-AU"/>
        </w:rPr>
      </w:pPr>
      <w:hyperlink w:anchor="_Toc407007260" w:history="1">
        <w:r w:rsidRPr="00C34A39">
          <w:rPr>
            <w:rStyle w:val="Hyperlink"/>
          </w:rPr>
          <w:t>7.5</w:t>
        </w:r>
        <w:r w:rsidRPr="00D46D19">
          <w:rPr>
            <w:rFonts w:eastAsia="Times New Roman"/>
            <w:sz w:val="22"/>
            <w:szCs w:val="22"/>
            <w:lang w:eastAsia="en-AU"/>
          </w:rPr>
          <w:tab/>
        </w:r>
        <w:r w:rsidRPr="00C34A39">
          <w:rPr>
            <w:rStyle w:val="Hyperlink"/>
          </w:rPr>
          <w:t>Use of satellite backhaul</w:t>
        </w:r>
        <w:r>
          <w:rPr>
            <w:webHidden/>
          </w:rPr>
          <w:tab/>
        </w:r>
        <w:r>
          <w:rPr>
            <w:webHidden/>
          </w:rPr>
          <w:fldChar w:fldCharType="begin"/>
        </w:r>
        <w:r>
          <w:rPr>
            <w:webHidden/>
          </w:rPr>
          <w:instrText xml:space="preserve"> PAGEREF _Toc407007260 \h </w:instrText>
        </w:r>
        <w:r>
          <w:rPr>
            <w:webHidden/>
          </w:rPr>
        </w:r>
        <w:r>
          <w:rPr>
            <w:webHidden/>
          </w:rPr>
          <w:fldChar w:fldCharType="separate"/>
        </w:r>
        <w:r w:rsidR="00BB1979">
          <w:rPr>
            <w:webHidden/>
          </w:rPr>
          <w:t>17</w:t>
        </w:r>
        <w:r>
          <w:rPr>
            <w:webHidden/>
          </w:rPr>
          <w:fldChar w:fldCharType="end"/>
        </w:r>
      </w:hyperlink>
    </w:p>
    <w:p w:rsidR="0009205D" w:rsidRPr="00D46D19" w:rsidRDefault="0009205D">
      <w:pPr>
        <w:pStyle w:val="TOC1"/>
        <w:rPr>
          <w:b w:val="0"/>
          <w:color w:val="auto"/>
          <w:sz w:val="22"/>
          <w:lang w:eastAsia="en-AU"/>
        </w:rPr>
      </w:pPr>
      <w:hyperlink w:anchor="_Toc407007261" w:history="1">
        <w:r w:rsidRPr="00C34A39">
          <w:rPr>
            <w:rStyle w:val="Hyperlink"/>
          </w:rPr>
          <w:t>8</w:t>
        </w:r>
        <w:r w:rsidRPr="00D46D19">
          <w:rPr>
            <w:b w:val="0"/>
            <w:color w:val="auto"/>
            <w:sz w:val="22"/>
            <w:lang w:eastAsia="en-AU"/>
          </w:rPr>
          <w:tab/>
        </w:r>
        <w:r w:rsidRPr="00C34A39">
          <w:rPr>
            <w:rStyle w:val="Hyperlink"/>
          </w:rPr>
          <w:t>Assessment Criteria</w:t>
        </w:r>
        <w:r>
          <w:rPr>
            <w:webHidden/>
          </w:rPr>
          <w:tab/>
        </w:r>
        <w:r>
          <w:rPr>
            <w:webHidden/>
          </w:rPr>
          <w:fldChar w:fldCharType="begin"/>
        </w:r>
        <w:r>
          <w:rPr>
            <w:webHidden/>
          </w:rPr>
          <w:instrText xml:space="preserve"> PAGEREF _Toc407007261 \h </w:instrText>
        </w:r>
        <w:r>
          <w:rPr>
            <w:webHidden/>
          </w:rPr>
        </w:r>
        <w:r>
          <w:rPr>
            <w:webHidden/>
          </w:rPr>
          <w:fldChar w:fldCharType="separate"/>
        </w:r>
        <w:r w:rsidR="00BB1979">
          <w:rPr>
            <w:webHidden/>
          </w:rPr>
          <w:t>17</w:t>
        </w:r>
        <w:r>
          <w:rPr>
            <w:webHidden/>
          </w:rPr>
          <w:fldChar w:fldCharType="end"/>
        </w:r>
      </w:hyperlink>
    </w:p>
    <w:p w:rsidR="0009205D" w:rsidRPr="00D46D19" w:rsidRDefault="0009205D">
      <w:pPr>
        <w:pStyle w:val="TOC1"/>
        <w:rPr>
          <w:b w:val="0"/>
          <w:color w:val="auto"/>
          <w:sz w:val="22"/>
          <w:lang w:eastAsia="en-AU"/>
        </w:rPr>
      </w:pPr>
      <w:hyperlink w:anchor="_Toc407007262" w:history="1">
        <w:r w:rsidRPr="00C34A39">
          <w:rPr>
            <w:rStyle w:val="Hyperlink"/>
          </w:rPr>
          <w:t>9</w:t>
        </w:r>
        <w:r w:rsidRPr="00D46D19">
          <w:rPr>
            <w:b w:val="0"/>
            <w:color w:val="auto"/>
            <w:sz w:val="22"/>
            <w:lang w:eastAsia="en-AU"/>
          </w:rPr>
          <w:tab/>
        </w:r>
        <w:r w:rsidRPr="00C34A39">
          <w:rPr>
            <w:rStyle w:val="Hyperlink"/>
          </w:rPr>
          <w:t>Decision on funding</w:t>
        </w:r>
        <w:r>
          <w:rPr>
            <w:webHidden/>
          </w:rPr>
          <w:tab/>
        </w:r>
        <w:r>
          <w:rPr>
            <w:webHidden/>
          </w:rPr>
          <w:fldChar w:fldCharType="begin"/>
        </w:r>
        <w:r>
          <w:rPr>
            <w:webHidden/>
          </w:rPr>
          <w:instrText xml:space="preserve"> PAGEREF _Toc407007262 \h </w:instrText>
        </w:r>
        <w:r>
          <w:rPr>
            <w:webHidden/>
          </w:rPr>
        </w:r>
        <w:r>
          <w:rPr>
            <w:webHidden/>
          </w:rPr>
          <w:fldChar w:fldCharType="separate"/>
        </w:r>
        <w:r w:rsidR="00BB1979">
          <w:rPr>
            <w:webHidden/>
          </w:rPr>
          <w:t>20</w:t>
        </w:r>
        <w:r>
          <w:rPr>
            <w:webHidden/>
          </w:rPr>
          <w:fldChar w:fldCharType="end"/>
        </w:r>
      </w:hyperlink>
    </w:p>
    <w:p w:rsidR="0009205D" w:rsidRPr="00D46D19" w:rsidRDefault="0009205D">
      <w:pPr>
        <w:pStyle w:val="TOC1"/>
        <w:rPr>
          <w:b w:val="0"/>
          <w:color w:val="auto"/>
          <w:sz w:val="22"/>
          <w:lang w:eastAsia="en-AU"/>
        </w:rPr>
      </w:pPr>
      <w:hyperlink w:anchor="_Toc407007263" w:history="1">
        <w:r w:rsidRPr="00C34A39">
          <w:rPr>
            <w:rStyle w:val="Hyperlink"/>
          </w:rPr>
          <w:t>10</w:t>
        </w:r>
        <w:r w:rsidRPr="00D46D19">
          <w:rPr>
            <w:b w:val="0"/>
            <w:color w:val="auto"/>
            <w:sz w:val="22"/>
            <w:lang w:eastAsia="en-AU"/>
          </w:rPr>
          <w:tab/>
        </w:r>
        <w:r w:rsidRPr="00C34A39">
          <w:rPr>
            <w:rStyle w:val="Hyperlink"/>
          </w:rPr>
          <w:t>Review of decision</w:t>
        </w:r>
        <w:r>
          <w:rPr>
            <w:webHidden/>
          </w:rPr>
          <w:tab/>
        </w:r>
        <w:r>
          <w:rPr>
            <w:webHidden/>
          </w:rPr>
          <w:fldChar w:fldCharType="begin"/>
        </w:r>
        <w:r>
          <w:rPr>
            <w:webHidden/>
          </w:rPr>
          <w:instrText xml:space="preserve"> PAGEREF _Toc407007263 \h </w:instrText>
        </w:r>
        <w:r>
          <w:rPr>
            <w:webHidden/>
          </w:rPr>
        </w:r>
        <w:r>
          <w:rPr>
            <w:webHidden/>
          </w:rPr>
          <w:fldChar w:fldCharType="separate"/>
        </w:r>
        <w:r w:rsidR="00BB1979">
          <w:rPr>
            <w:webHidden/>
          </w:rPr>
          <w:t>20</w:t>
        </w:r>
        <w:r>
          <w:rPr>
            <w:webHidden/>
          </w:rPr>
          <w:fldChar w:fldCharType="end"/>
        </w:r>
      </w:hyperlink>
    </w:p>
    <w:p w:rsidR="0009205D" w:rsidRPr="00D46D19" w:rsidRDefault="0009205D">
      <w:pPr>
        <w:pStyle w:val="TOC1"/>
        <w:rPr>
          <w:b w:val="0"/>
          <w:color w:val="auto"/>
          <w:sz w:val="22"/>
          <w:lang w:eastAsia="en-AU"/>
        </w:rPr>
      </w:pPr>
      <w:hyperlink w:anchor="_Toc407007264" w:history="1">
        <w:r w:rsidRPr="00C34A39">
          <w:rPr>
            <w:rStyle w:val="Hyperlink"/>
          </w:rPr>
          <w:t>Part D – Programme timing</w:t>
        </w:r>
        <w:r>
          <w:rPr>
            <w:webHidden/>
          </w:rPr>
          <w:tab/>
        </w:r>
        <w:r>
          <w:rPr>
            <w:webHidden/>
          </w:rPr>
          <w:fldChar w:fldCharType="begin"/>
        </w:r>
        <w:r>
          <w:rPr>
            <w:webHidden/>
          </w:rPr>
          <w:instrText xml:space="preserve"> PAGEREF _Toc407007264 \h </w:instrText>
        </w:r>
        <w:r>
          <w:rPr>
            <w:webHidden/>
          </w:rPr>
        </w:r>
        <w:r>
          <w:rPr>
            <w:webHidden/>
          </w:rPr>
          <w:fldChar w:fldCharType="separate"/>
        </w:r>
        <w:r w:rsidR="00BB1979">
          <w:rPr>
            <w:webHidden/>
          </w:rPr>
          <w:t>21</w:t>
        </w:r>
        <w:r>
          <w:rPr>
            <w:webHidden/>
          </w:rPr>
          <w:fldChar w:fldCharType="end"/>
        </w:r>
      </w:hyperlink>
    </w:p>
    <w:p w:rsidR="0009205D" w:rsidRPr="00D46D19" w:rsidRDefault="0009205D">
      <w:pPr>
        <w:pStyle w:val="TOC1"/>
        <w:rPr>
          <w:b w:val="0"/>
          <w:color w:val="auto"/>
          <w:sz w:val="22"/>
          <w:lang w:eastAsia="en-AU"/>
        </w:rPr>
      </w:pPr>
      <w:hyperlink w:anchor="_Toc407007265" w:history="1">
        <w:r w:rsidRPr="00C34A39">
          <w:rPr>
            <w:rStyle w:val="Hyperlink"/>
          </w:rPr>
          <w:t>11</w:t>
        </w:r>
        <w:r w:rsidRPr="00D46D19">
          <w:rPr>
            <w:b w:val="0"/>
            <w:color w:val="auto"/>
            <w:sz w:val="22"/>
            <w:lang w:eastAsia="en-AU"/>
          </w:rPr>
          <w:tab/>
        </w:r>
        <w:r w:rsidRPr="00C34A39">
          <w:rPr>
            <w:rStyle w:val="Hyperlink"/>
          </w:rPr>
          <w:t>Key Programme stages and timing</w:t>
        </w:r>
        <w:r>
          <w:rPr>
            <w:webHidden/>
          </w:rPr>
          <w:tab/>
        </w:r>
        <w:r>
          <w:rPr>
            <w:webHidden/>
          </w:rPr>
          <w:fldChar w:fldCharType="begin"/>
        </w:r>
        <w:r>
          <w:rPr>
            <w:webHidden/>
          </w:rPr>
          <w:instrText xml:space="preserve"> PAGEREF _Toc407007265 \h </w:instrText>
        </w:r>
        <w:r>
          <w:rPr>
            <w:webHidden/>
          </w:rPr>
        </w:r>
        <w:r>
          <w:rPr>
            <w:webHidden/>
          </w:rPr>
          <w:fldChar w:fldCharType="separate"/>
        </w:r>
        <w:r w:rsidR="00BB1979">
          <w:rPr>
            <w:webHidden/>
          </w:rPr>
          <w:t>21</w:t>
        </w:r>
        <w:r>
          <w:rPr>
            <w:webHidden/>
          </w:rPr>
          <w:fldChar w:fldCharType="end"/>
        </w:r>
      </w:hyperlink>
    </w:p>
    <w:p w:rsidR="0009205D" w:rsidRPr="00D46D19" w:rsidRDefault="0009205D">
      <w:pPr>
        <w:pStyle w:val="TOC2"/>
        <w:rPr>
          <w:rFonts w:eastAsia="Times New Roman"/>
          <w:sz w:val="22"/>
          <w:szCs w:val="22"/>
          <w:lang w:eastAsia="en-AU"/>
        </w:rPr>
      </w:pPr>
      <w:hyperlink w:anchor="_Toc407007266" w:history="1">
        <w:r w:rsidRPr="00C34A39">
          <w:rPr>
            <w:rStyle w:val="Hyperlink"/>
          </w:rPr>
          <w:t>11.1</w:t>
        </w:r>
        <w:r w:rsidRPr="00D46D19">
          <w:rPr>
            <w:rFonts w:eastAsia="Times New Roman"/>
            <w:sz w:val="22"/>
            <w:szCs w:val="22"/>
            <w:lang w:eastAsia="en-AU"/>
          </w:rPr>
          <w:tab/>
        </w:r>
        <w:r w:rsidRPr="00C34A39">
          <w:rPr>
            <w:rStyle w:val="Hyperlink"/>
          </w:rPr>
          <w:t>Stage 1 – Release of Guidelines and call for Applications</w:t>
        </w:r>
        <w:r>
          <w:rPr>
            <w:webHidden/>
          </w:rPr>
          <w:tab/>
        </w:r>
        <w:r>
          <w:rPr>
            <w:webHidden/>
          </w:rPr>
          <w:fldChar w:fldCharType="begin"/>
        </w:r>
        <w:r>
          <w:rPr>
            <w:webHidden/>
          </w:rPr>
          <w:instrText xml:space="preserve"> PAGEREF _Toc407007266 \h </w:instrText>
        </w:r>
        <w:r>
          <w:rPr>
            <w:webHidden/>
          </w:rPr>
        </w:r>
        <w:r>
          <w:rPr>
            <w:webHidden/>
          </w:rPr>
          <w:fldChar w:fldCharType="separate"/>
        </w:r>
        <w:r w:rsidR="00BB1979">
          <w:rPr>
            <w:webHidden/>
          </w:rPr>
          <w:t>21</w:t>
        </w:r>
        <w:r>
          <w:rPr>
            <w:webHidden/>
          </w:rPr>
          <w:fldChar w:fldCharType="end"/>
        </w:r>
      </w:hyperlink>
    </w:p>
    <w:p w:rsidR="0009205D" w:rsidRPr="00D46D19" w:rsidRDefault="0009205D">
      <w:pPr>
        <w:pStyle w:val="TOC2"/>
        <w:rPr>
          <w:rFonts w:eastAsia="Times New Roman"/>
          <w:sz w:val="22"/>
          <w:szCs w:val="22"/>
          <w:lang w:eastAsia="en-AU"/>
        </w:rPr>
      </w:pPr>
      <w:hyperlink w:anchor="_Toc407007267" w:history="1">
        <w:r w:rsidRPr="00C34A39">
          <w:rPr>
            <w:rStyle w:val="Hyperlink"/>
          </w:rPr>
          <w:t>11.2</w:t>
        </w:r>
        <w:r w:rsidRPr="00D46D19">
          <w:rPr>
            <w:rFonts w:eastAsia="Times New Roman"/>
            <w:sz w:val="22"/>
            <w:szCs w:val="22"/>
            <w:lang w:eastAsia="en-AU"/>
          </w:rPr>
          <w:tab/>
        </w:r>
        <w:r w:rsidRPr="00C34A39">
          <w:rPr>
            <w:rStyle w:val="Hyperlink"/>
          </w:rPr>
          <w:t>Stage 2 – Preparing and submitting applications</w:t>
        </w:r>
        <w:r>
          <w:rPr>
            <w:webHidden/>
          </w:rPr>
          <w:tab/>
        </w:r>
        <w:r>
          <w:rPr>
            <w:webHidden/>
          </w:rPr>
          <w:fldChar w:fldCharType="begin"/>
        </w:r>
        <w:r>
          <w:rPr>
            <w:webHidden/>
          </w:rPr>
          <w:instrText xml:space="preserve"> PAGEREF _Toc407007267 \h </w:instrText>
        </w:r>
        <w:r>
          <w:rPr>
            <w:webHidden/>
          </w:rPr>
        </w:r>
        <w:r>
          <w:rPr>
            <w:webHidden/>
          </w:rPr>
          <w:fldChar w:fldCharType="separate"/>
        </w:r>
        <w:r w:rsidR="00BB1979">
          <w:rPr>
            <w:webHidden/>
          </w:rPr>
          <w:t>21</w:t>
        </w:r>
        <w:r>
          <w:rPr>
            <w:webHidden/>
          </w:rPr>
          <w:fldChar w:fldCharType="end"/>
        </w:r>
      </w:hyperlink>
    </w:p>
    <w:p w:rsidR="0009205D" w:rsidRPr="00D46D19" w:rsidRDefault="0009205D">
      <w:pPr>
        <w:pStyle w:val="TOC2"/>
        <w:rPr>
          <w:rFonts w:eastAsia="Times New Roman"/>
          <w:sz w:val="22"/>
          <w:szCs w:val="22"/>
          <w:lang w:eastAsia="en-AU"/>
        </w:rPr>
      </w:pPr>
      <w:hyperlink w:anchor="_Toc407007268" w:history="1">
        <w:r w:rsidRPr="00C34A39">
          <w:rPr>
            <w:rStyle w:val="Hyperlink"/>
          </w:rPr>
          <w:t>11.3</w:t>
        </w:r>
        <w:r w:rsidRPr="00D46D19">
          <w:rPr>
            <w:rFonts w:eastAsia="Times New Roman"/>
            <w:sz w:val="22"/>
            <w:szCs w:val="22"/>
            <w:lang w:eastAsia="en-AU"/>
          </w:rPr>
          <w:tab/>
        </w:r>
        <w:r w:rsidRPr="00C34A39">
          <w:rPr>
            <w:rStyle w:val="Hyperlink"/>
          </w:rPr>
          <w:t>Stage 3 – Assessment of Applications</w:t>
        </w:r>
        <w:r>
          <w:rPr>
            <w:webHidden/>
          </w:rPr>
          <w:tab/>
        </w:r>
        <w:r>
          <w:rPr>
            <w:webHidden/>
          </w:rPr>
          <w:fldChar w:fldCharType="begin"/>
        </w:r>
        <w:r>
          <w:rPr>
            <w:webHidden/>
          </w:rPr>
          <w:instrText xml:space="preserve"> PAGEREF _Toc407007268 \h </w:instrText>
        </w:r>
        <w:r>
          <w:rPr>
            <w:webHidden/>
          </w:rPr>
        </w:r>
        <w:r>
          <w:rPr>
            <w:webHidden/>
          </w:rPr>
          <w:fldChar w:fldCharType="separate"/>
        </w:r>
        <w:r w:rsidR="00BB1979">
          <w:rPr>
            <w:webHidden/>
          </w:rPr>
          <w:t>22</w:t>
        </w:r>
        <w:r>
          <w:rPr>
            <w:webHidden/>
          </w:rPr>
          <w:fldChar w:fldCharType="end"/>
        </w:r>
      </w:hyperlink>
    </w:p>
    <w:p w:rsidR="0009205D" w:rsidRPr="00D46D19" w:rsidRDefault="0009205D">
      <w:pPr>
        <w:pStyle w:val="TOC2"/>
        <w:rPr>
          <w:rFonts w:eastAsia="Times New Roman"/>
          <w:sz w:val="22"/>
          <w:szCs w:val="22"/>
          <w:lang w:eastAsia="en-AU"/>
        </w:rPr>
      </w:pPr>
      <w:hyperlink w:anchor="_Toc407007269" w:history="1">
        <w:r w:rsidRPr="00C34A39">
          <w:rPr>
            <w:rStyle w:val="Hyperlink"/>
          </w:rPr>
          <w:t>11.4</w:t>
        </w:r>
        <w:r w:rsidRPr="00D46D19">
          <w:rPr>
            <w:rFonts w:eastAsia="Times New Roman"/>
            <w:sz w:val="22"/>
            <w:szCs w:val="22"/>
            <w:lang w:eastAsia="en-AU"/>
          </w:rPr>
          <w:tab/>
        </w:r>
        <w:r w:rsidRPr="00C34A39">
          <w:rPr>
            <w:rStyle w:val="Hyperlink"/>
          </w:rPr>
          <w:t>Stage 4 – Funding recipients and locations announced</w:t>
        </w:r>
        <w:r>
          <w:rPr>
            <w:webHidden/>
          </w:rPr>
          <w:tab/>
        </w:r>
        <w:r>
          <w:rPr>
            <w:webHidden/>
          </w:rPr>
          <w:fldChar w:fldCharType="begin"/>
        </w:r>
        <w:r>
          <w:rPr>
            <w:webHidden/>
          </w:rPr>
          <w:instrText xml:space="preserve"> PAGEREF _Toc407007269 \h </w:instrText>
        </w:r>
        <w:r>
          <w:rPr>
            <w:webHidden/>
          </w:rPr>
        </w:r>
        <w:r>
          <w:rPr>
            <w:webHidden/>
          </w:rPr>
          <w:fldChar w:fldCharType="separate"/>
        </w:r>
        <w:r w:rsidR="00BB1979">
          <w:rPr>
            <w:webHidden/>
          </w:rPr>
          <w:t>22</w:t>
        </w:r>
        <w:r>
          <w:rPr>
            <w:webHidden/>
          </w:rPr>
          <w:fldChar w:fldCharType="end"/>
        </w:r>
      </w:hyperlink>
    </w:p>
    <w:p w:rsidR="0009205D" w:rsidRPr="00D46D19" w:rsidRDefault="0009205D">
      <w:pPr>
        <w:pStyle w:val="TOC2"/>
        <w:rPr>
          <w:rFonts w:eastAsia="Times New Roman"/>
          <w:sz w:val="22"/>
          <w:szCs w:val="22"/>
          <w:lang w:eastAsia="en-AU"/>
        </w:rPr>
      </w:pPr>
      <w:hyperlink w:anchor="_Toc407007270" w:history="1">
        <w:r w:rsidRPr="00C34A39">
          <w:rPr>
            <w:rStyle w:val="Hyperlink"/>
          </w:rPr>
          <w:t>11.5</w:t>
        </w:r>
        <w:r w:rsidRPr="00D46D19">
          <w:rPr>
            <w:rFonts w:eastAsia="Times New Roman"/>
            <w:sz w:val="22"/>
            <w:szCs w:val="22"/>
            <w:lang w:eastAsia="en-AU"/>
          </w:rPr>
          <w:tab/>
        </w:r>
        <w:r w:rsidRPr="00C34A39">
          <w:rPr>
            <w:rStyle w:val="Hyperlink"/>
          </w:rPr>
          <w:t>Stage 5 – Co-build negotiation period</w:t>
        </w:r>
        <w:r>
          <w:rPr>
            <w:webHidden/>
          </w:rPr>
          <w:tab/>
        </w:r>
        <w:r>
          <w:rPr>
            <w:webHidden/>
          </w:rPr>
          <w:fldChar w:fldCharType="begin"/>
        </w:r>
        <w:r>
          <w:rPr>
            <w:webHidden/>
          </w:rPr>
          <w:instrText xml:space="preserve"> PAGEREF _Toc407007270 \h </w:instrText>
        </w:r>
        <w:r>
          <w:rPr>
            <w:webHidden/>
          </w:rPr>
        </w:r>
        <w:r>
          <w:rPr>
            <w:webHidden/>
          </w:rPr>
          <w:fldChar w:fldCharType="separate"/>
        </w:r>
        <w:r w:rsidR="00BB1979">
          <w:rPr>
            <w:webHidden/>
          </w:rPr>
          <w:t>22</w:t>
        </w:r>
        <w:r>
          <w:rPr>
            <w:webHidden/>
          </w:rPr>
          <w:fldChar w:fldCharType="end"/>
        </w:r>
      </w:hyperlink>
    </w:p>
    <w:p w:rsidR="0009205D" w:rsidRPr="00D46D19" w:rsidRDefault="0009205D">
      <w:pPr>
        <w:pStyle w:val="TOC2"/>
        <w:rPr>
          <w:rFonts w:eastAsia="Times New Roman"/>
          <w:sz w:val="22"/>
          <w:szCs w:val="22"/>
          <w:lang w:eastAsia="en-AU"/>
        </w:rPr>
      </w:pPr>
      <w:hyperlink w:anchor="_Toc407007271" w:history="1">
        <w:r w:rsidRPr="00C34A39">
          <w:rPr>
            <w:rStyle w:val="Hyperlink"/>
          </w:rPr>
          <w:t>11.6</w:t>
        </w:r>
        <w:r w:rsidRPr="00D46D19">
          <w:rPr>
            <w:rFonts w:eastAsia="Times New Roman"/>
            <w:sz w:val="22"/>
            <w:szCs w:val="22"/>
            <w:lang w:eastAsia="en-AU"/>
          </w:rPr>
          <w:tab/>
        </w:r>
        <w:r w:rsidRPr="00C34A39">
          <w:rPr>
            <w:rStyle w:val="Hyperlink"/>
          </w:rPr>
          <w:t>Stage 6 – Funding arrangements finalised</w:t>
        </w:r>
        <w:r>
          <w:rPr>
            <w:webHidden/>
          </w:rPr>
          <w:tab/>
        </w:r>
        <w:r>
          <w:rPr>
            <w:webHidden/>
          </w:rPr>
          <w:fldChar w:fldCharType="begin"/>
        </w:r>
        <w:r>
          <w:rPr>
            <w:webHidden/>
          </w:rPr>
          <w:instrText xml:space="preserve"> PAGEREF _Toc407007271 \h </w:instrText>
        </w:r>
        <w:r>
          <w:rPr>
            <w:webHidden/>
          </w:rPr>
        </w:r>
        <w:r>
          <w:rPr>
            <w:webHidden/>
          </w:rPr>
          <w:fldChar w:fldCharType="separate"/>
        </w:r>
        <w:r w:rsidR="00BB1979">
          <w:rPr>
            <w:webHidden/>
          </w:rPr>
          <w:t>22</w:t>
        </w:r>
        <w:r>
          <w:rPr>
            <w:webHidden/>
          </w:rPr>
          <w:fldChar w:fldCharType="end"/>
        </w:r>
      </w:hyperlink>
    </w:p>
    <w:p w:rsidR="0009205D" w:rsidRPr="00D46D19" w:rsidRDefault="0009205D">
      <w:pPr>
        <w:pStyle w:val="TOC2"/>
        <w:rPr>
          <w:rFonts w:eastAsia="Times New Roman"/>
          <w:sz w:val="22"/>
          <w:szCs w:val="22"/>
          <w:lang w:eastAsia="en-AU"/>
        </w:rPr>
      </w:pPr>
      <w:hyperlink w:anchor="_Toc407007272" w:history="1">
        <w:r w:rsidRPr="00C34A39">
          <w:rPr>
            <w:rStyle w:val="Hyperlink"/>
          </w:rPr>
          <w:t>11.7</w:t>
        </w:r>
        <w:r w:rsidRPr="00D46D19">
          <w:rPr>
            <w:rFonts w:eastAsia="Times New Roman"/>
            <w:sz w:val="22"/>
            <w:szCs w:val="22"/>
            <w:lang w:eastAsia="en-AU"/>
          </w:rPr>
          <w:tab/>
        </w:r>
        <w:r w:rsidRPr="00C34A39">
          <w:rPr>
            <w:rStyle w:val="Hyperlink"/>
          </w:rPr>
          <w:t>Stage 7 – Project commences</w:t>
        </w:r>
        <w:r>
          <w:rPr>
            <w:webHidden/>
          </w:rPr>
          <w:tab/>
        </w:r>
        <w:r>
          <w:rPr>
            <w:webHidden/>
          </w:rPr>
          <w:fldChar w:fldCharType="begin"/>
        </w:r>
        <w:r>
          <w:rPr>
            <w:webHidden/>
          </w:rPr>
          <w:instrText xml:space="preserve"> PAGEREF _Toc407007272 \h </w:instrText>
        </w:r>
        <w:r>
          <w:rPr>
            <w:webHidden/>
          </w:rPr>
        </w:r>
        <w:r>
          <w:rPr>
            <w:webHidden/>
          </w:rPr>
          <w:fldChar w:fldCharType="separate"/>
        </w:r>
        <w:r w:rsidR="00BB1979">
          <w:rPr>
            <w:webHidden/>
          </w:rPr>
          <w:t>23</w:t>
        </w:r>
        <w:r>
          <w:rPr>
            <w:webHidden/>
          </w:rPr>
          <w:fldChar w:fldCharType="end"/>
        </w:r>
      </w:hyperlink>
    </w:p>
    <w:p w:rsidR="0009205D" w:rsidRPr="00D46D19" w:rsidRDefault="0009205D">
      <w:pPr>
        <w:pStyle w:val="TOC1"/>
        <w:rPr>
          <w:b w:val="0"/>
          <w:color w:val="auto"/>
          <w:sz w:val="22"/>
          <w:lang w:eastAsia="en-AU"/>
        </w:rPr>
      </w:pPr>
      <w:hyperlink w:anchor="_Toc407007273" w:history="1">
        <w:r w:rsidRPr="00C34A39">
          <w:rPr>
            <w:rStyle w:val="Hyperlink"/>
          </w:rPr>
          <w:t>Part E – Additional information</w:t>
        </w:r>
        <w:r>
          <w:rPr>
            <w:webHidden/>
          </w:rPr>
          <w:tab/>
        </w:r>
        <w:r>
          <w:rPr>
            <w:webHidden/>
          </w:rPr>
          <w:fldChar w:fldCharType="begin"/>
        </w:r>
        <w:r>
          <w:rPr>
            <w:webHidden/>
          </w:rPr>
          <w:instrText xml:space="preserve"> PAGEREF _Toc407007273 \h </w:instrText>
        </w:r>
        <w:r>
          <w:rPr>
            <w:webHidden/>
          </w:rPr>
        </w:r>
        <w:r>
          <w:rPr>
            <w:webHidden/>
          </w:rPr>
          <w:fldChar w:fldCharType="separate"/>
        </w:r>
        <w:r w:rsidR="00BB1979">
          <w:rPr>
            <w:webHidden/>
          </w:rPr>
          <w:t>24</w:t>
        </w:r>
        <w:r>
          <w:rPr>
            <w:webHidden/>
          </w:rPr>
          <w:fldChar w:fldCharType="end"/>
        </w:r>
      </w:hyperlink>
    </w:p>
    <w:p w:rsidR="0009205D" w:rsidRPr="00D46D19" w:rsidRDefault="0009205D">
      <w:pPr>
        <w:pStyle w:val="TOC1"/>
        <w:rPr>
          <w:b w:val="0"/>
          <w:color w:val="auto"/>
          <w:sz w:val="22"/>
          <w:lang w:eastAsia="en-AU"/>
        </w:rPr>
      </w:pPr>
      <w:hyperlink w:anchor="_Toc407007274" w:history="1">
        <w:r w:rsidRPr="00C34A39">
          <w:rPr>
            <w:rStyle w:val="Hyperlink"/>
          </w:rPr>
          <w:t>12</w:t>
        </w:r>
        <w:r w:rsidRPr="00D46D19">
          <w:rPr>
            <w:b w:val="0"/>
            <w:color w:val="auto"/>
            <w:sz w:val="22"/>
            <w:lang w:eastAsia="en-AU"/>
          </w:rPr>
          <w:tab/>
        </w:r>
        <w:r w:rsidRPr="00C34A39">
          <w:rPr>
            <w:rStyle w:val="Hyperlink"/>
          </w:rPr>
          <w:t>Process Terms</w:t>
        </w:r>
        <w:r>
          <w:rPr>
            <w:webHidden/>
          </w:rPr>
          <w:tab/>
        </w:r>
        <w:r>
          <w:rPr>
            <w:webHidden/>
          </w:rPr>
          <w:fldChar w:fldCharType="begin"/>
        </w:r>
        <w:r>
          <w:rPr>
            <w:webHidden/>
          </w:rPr>
          <w:instrText xml:space="preserve"> PAGEREF _Toc407007274 \h </w:instrText>
        </w:r>
        <w:r>
          <w:rPr>
            <w:webHidden/>
          </w:rPr>
        </w:r>
        <w:r>
          <w:rPr>
            <w:webHidden/>
          </w:rPr>
          <w:fldChar w:fldCharType="separate"/>
        </w:r>
        <w:r w:rsidR="00BB1979">
          <w:rPr>
            <w:webHidden/>
          </w:rPr>
          <w:t>24</w:t>
        </w:r>
        <w:r>
          <w:rPr>
            <w:webHidden/>
          </w:rPr>
          <w:fldChar w:fldCharType="end"/>
        </w:r>
      </w:hyperlink>
    </w:p>
    <w:p w:rsidR="0009205D" w:rsidRPr="00D46D19" w:rsidRDefault="0009205D">
      <w:pPr>
        <w:pStyle w:val="TOC2"/>
        <w:rPr>
          <w:rFonts w:eastAsia="Times New Roman"/>
          <w:sz w:val="22"/>
          <w:szCs w:val="22"/>
          <w:lang w:eastAsia="en-AU"/>
        </w:rPr>
      </w:pPr>
      <w:hyperlink w:anchor="_Toc407007275" w:history="1">
        <w:r w:rsidRPr="00C34A39">
          <w:rPr>
            <w:rStyle w:val="Hyperlink"/>
          </w:rPr>
          <w:t>12.1</w:t>
        </w:r>
        <w:r w:rsidRPr="00D46D19">
          <w:rPr>
            <w:rFonts w:eastAsia="Times New Roman"/>
            <w:sz w:val="22"/>
            <w:szCs w:val="22"/>
            <w:lang w:eastAsia="en-AU"/>
          </w:rPr>
          <w:tab/>
        </w:r>
        <w:r w:rsidRPr="00C34A39">
          <w:rPr>
            <w:rStyle w:val="Hyperlink"/>
          </w:rPr>
          <w:t>Accountability and probity</w:t>
        </w:r>
        <w:r>
          <w:rPr>
            <w:webHidden/>
          </w:rPr>
          <w:tab/>
        </w:r>
        <w:r>
          <w:rPr>
            <w:webHidden/>
          </w:rPr>
          <w:fldChar w:fldCharType="begin"/>
        </w:r>
        <w:r>
          <w:rPr>
            <w:webHidden/>
          </w:rPr>
          <w:instrText xml:space="preserve"> PAGEREF _Toc407007275 \h </w:instrText>
        </w:r>
        <w:r>
          <w:rPr>
            <w:webHidden/>
          </w:rPr>
        </w:r>
        <w:r>
          <w:rPr>
            <w:webHidden/>
          </w:rPr>
          <w:fldChar w:fldCharType="separate"/>
        </w:r>
        <w:r w:rsidR="00BB1979">
          <w:rPr>
            <w:webHidden/>
          </w:rPr>
          <w:t>24</w:t>
        </w:r>
        <w:r>
          <w:rPr>
            <w:webHidden/>
          </w:rPr>
          <w:fldChar w:fldCharType="end"/>
        </w:r>
      </w:hyperlink>
    </w:p>
    <w:p w:rsidR="0009205D" w:rsidRPr="00D46D19" w:rsidRDefault="0009205D">
      <w:pPr>
        <w:pStyle w:val="TOC2"/>
        <w:rPr>
          <w:rFonts w:eastAsia="Times New Roman"/>
          <w:sz w:val="22"/>
          <w:szCs w:val="22"/>
          <w:lang w:eastAsia="en-AU"/>
        </w:rPr>
      </w:pPr>
      <w:hyperlink w:anchor="_Toc407007276" w:history="1">
        <w:r w:rsidRPr="00C34A39">
          <w:rPr>
            <w:rStyle w:val="Hyperlink"/>
          </w:rPr>
          <w:t>12.2</w:t>
        </w:r>
        <w:r w:rsidRPr="00D46D19">
          <w:rPr>
            <w:rFonts w:eastAsia="Times New Roman"/>
            <w:sz w:val="22"/>
            <w:szCs w:val="22"/>
            <w:lang w:eastAsia="en-AU"/>
          </w:rPr>
          <w:tab/>
        </w:r>
        <w:r w:rsidRPr="00C34A39">
          <w:rPr>
            <w:rStyle w:val="Hyperlink"/>
          </w:rPr>
          <w:t>Costs</w:t>
        </w:r>
        <w:r>
          <w:rPr>
            <w:webHidden/>
          </w:rPr>
          <w:tab/>
        </w:r>
        <w:r>
          <w:rPr>
            <w:webHidden/>
          </w:rPr>
          <w:fldChar w:fldCharType="begin"/>
        </w:r>
        <w:r>
          <w:rPr>
            <w:webHidden/>
          </w:rPr>
          <w:instrText xml:space="preserve"> PAGEREF _Toc407007276 \h </w:instrText>
        </w:r>
        <w:r>
          <w:rPr>
            <w:webHidden/>
          </w:rPr>
        </w:r>
        <w:r>
          <w:rPr>
            <w:webHidden/>
          </w:rPr>
          <w:fldChar w:fldCharType="separate"/>
        </w:r>
        <w:r w:rsidR="00BB1979">
          <w:rPr>
            <w:webHidden/>
          </w:rPr>
          <w:t>24</w:t>
        </w:r>
        <w:r>
          <w:rPr>
            <w:webHidden/>
          </w:rPr>
          <w:fldChar w:fldCharType="end"/>
        </w:r>
      </w:hyperlink>
    </w:p>
    <w:p w:rsidR="0009205D" w:rsidRPr="00D46D19" w:rsidRDefault="0009205D">
      <w:pPr>
        <w:pStyle w:val="TOC2"/>
        <w:rPr>
          <w:rFonts w:eastAsia="Times New Roman"/>
          <w:sz w:val="22"/>
          <w:szCs w:val="22"/>
          <w:lang w:eastAsia="en-AU"/>
        </w:rPr>
      </w:pPr>
      <w:hyperlink w:anchor="_Toc407007277" w:history="1">
        <w:r w:rsidRPr="00C34A39">
          <w:rPr>
            <w:rStyle w:val="Hyperlink"/>
          </w:rPr>
          <w:t>12.3</w:t>
        </w:r>
        <w:r w:rsidRPr="00D46D19">
          <w:rPr>
            <w:rFonts w:eastAsia="Times New Roman"/>
            <w:sz w:val="22"/>
            <w:szCs w:val="22"/>
            <w:lang w:eastAsia="en-AU"/>
          </w:rPr>
          <w:tab/>
        </w:r>
        <w:r w:rsidRPr="00C34A39">
          <w:rPr>
            <w:rStyle w:val="Hyperlink"/>
          </w:rPr>
          <w:t>Right to vary the Programme</w:t>
        </w:r>
        <w:r>
          <w:rPr>
            <w:webHidden/>
          </w:rPr>
          <w:tab/>
        </w:r>
        <w:r>
          <w:rPr>
            <w:webHidden/>
          </w:rPr>
          <w:fldChar w:fldCharType="begin"/>
        </w:r>
        <w:r>
          <w:rPr>
            <w:webHidden/>
          </w:rPr>
          <w:instrText xml:space="preserve"> PAGEREF _Toc407007277 \h </w:instrText>
        </w:r>
        <w:r>
          <w:rPr>
            <w:webHidden/>
          </w:rPr>
        </w:r>
        <w:r>
          <w:rPr>
            <w:webHidden/>
          </w:rPr>
          <w:fldChar w:fldCharType="separate"/>
        </w:r>
        <w:r w:rsidR="00BB1979">
          <w:rPr>
            <w:webHidden/>
          </w:rPr>
          <w:t>24</w:t>
        </w:r>
        <w:r>
          <w:rPr>
            <w:webHidden/>
          </w:rPr>
          <w:fldChar w:fldCharType="end"/>
        </w:r>
      </w:hyperlink>
    </w:p>
    <w:p w:rsidR="0009205D" w:rsidRPr="00D46D19" w:rsidRDefault="0009205D">
      <w:pPr>
        <w:pStyle w:val="TOC2"/>
        <w:rPr>
          <w:rFonts w:eastAsia="Times New Roman"/>
          <w:sz w:val="22"/>
          <w:szCs w:val="22"/>
          <w:lang w:eastAsia="en-AU"/>
        </w:rPr>
      </w:pPr>
      <w:hyperlink w:anchor="_Toc407007278" w:history="1">
        <w:r w:rsidRPr="00C34A39">
          <w:rPr>
            <w:rStyle w:val="Hyperlink"/>
          </w:rPr>
          <w:t>12.4</w:t>
        </w:r>
        <w:r w:rsidRPr="00D46D19">
          <w:rPr>
            <w:rFonts w:eastAsia="Times New Roman"/>
            <w:sz w:val="22"/>
            <w:szCs w:val="22"/>
            <w:lang w:eastAsia="en-AU"/>
          </w:rPr>
          <w:tab/>
        </w:r>
        <w:r w:rsidRPr="00C34A39">
          <w:rPr>
            <w:rStyle w:val="Hyperlink"/>
          </w:rPr>
          <w:t>Clarifications</w:t>
        </w:r>
        <w:r>
          <w:rPr>
            <w:webHidden/>
          </w:rPr>
          <w:tab/>
        </w:r>
        <w:r>
          <w:rPr>
            <w:webHidden/>
          </w:rPr>
          <w:fldChar w:fldCharType="begin"/>
        </w:r>
        <w:r>
          <w:rPr>
            <w:webHidden/>
          </w:rPr>
          <w:instrText xml:space="preserve"> PAGEREF _Toc407007278 \h </w:instrText>
        </w:r>
        <w:r>
          <w:rPr>
            <w:webHidden/>
          </w:rPr>
        </w:r>
        <w:r>
          <w:rPr>
            <w:webHidden/>
          </w:rPr>
          <w:fldChar w:fldCharType="separate"/>
        </w:r>
        <w:r w:rsidR="00BB1979">
          <w:rPr>
            <w:webHidden/>
          </w:rPr>
          <w:t>25</w:t>
        </w:r>
        <w:r>
          <w:rPr>
            <w:webHidden/>
          </w:rPr>
          <w:fldChar w:fldCharType="end"/>
        </w:r>
      </w:hyperlink>
    </w:p>
    <w:p w:rsidR="0009205D" w:rsidRPr="00D46D19" w:rsidRDefault="0009205D">
      <w:pPr>
        <w:pStyle w:val="TOC2"/>
        <w:rPr>
          <w:rFonts w:eastAsia="Times New Roman"/>
          <w:sz w:val="22"/>
          <w:szCs w:val="22"/>
          <w:lang w:eastAsia="en-AU"/>
        </w:rPr>
      </w:pPr>
      <w:hyperlink w:anchor="_Toc407007279" w:history="1">
        <w:r w:rsidRPr="00C34A39">
          <w:rPr>
            <w:rStyle w:val="Hyperlink"/>
          </w:rPr>
          <w:t>12.5</w:t>
        </w:r>
        <w:r w:rsidRPr="00D46D19">
          <w:rPr>
            <w:rFonts w:eastAsia="Times New Roman"/>
            <w:sz w:val="22"/>
            <w:szCs w:val="22"/>
            <w:lang w:eastAsia="en-AU"/>
          </w:rPr>
          <w:tab/>
        </w:r>
        <w:r w:rsidRPr="00C34A39">
          <w:rPr>
            <w:rStyle w:val="Hyperlink"/>
          </w:rPr>
          <w:t>Background checks</w:t>
        </w:r>
        <w:r>
          <w:rPr>
            <w:webHidden/>
          </w:rPr>
          <w:tab/>
        </w:r>
        <w:r>
          <w:rPr>
            <w:webHidden/>
          </w:rPr>
          <w:fldChar w:fldCharType="begin"/>
        </w:r>
        <w:r>
          <w:rPr>
            <w:webHidden/>
          </w:rPr>
          <w:instrText xml:space="preserve"> PAGEREF _Toc407007279 \h </w:instrText>
        </w:r>
        <w:r>
          <w:rPr>
            <w:webHidden/>
          </w:rPr>
        </w:r>
        <w:r>
          <w:rPr>
            <w:webHidden/>
          </w:rPr>
          <w:fldChar w:fldCharType="separate"/>
        </w:r>
        <w:r w:rsidR="00BB1979">
          <w:rPr>
            <w:webHidden/>
          </w:rPr>
          <w:t>25</w:t>
        </w:r>
        <w:r>
          <w:rPr>
            <w:webHidden/>
          </w:rPr>
          <w:fldChar w:fldCharType="end"/>
        </w:r>
      </w:hyperlink>
    </w:p>
    <w:p w:rsidR="0009205D" w:rsidRPr="00D46D19" w:rsidRDefault="0009205D">
      <w:pPr>
        <w:pStyle w:val="TOC2"/>
        <w:rPr>
          <w:rFonts w:eastAsia="Times New Roman"/>
          <w:sz w:val="22"/>
          <w:szCs w:val="22"/>
          <w:lang w:eastAsia="en-AU"/>
        </w:rPr>
      </w:pPr>
      <w:hyperlink w:anchor="_Toc407007280" w:history="1">
        <w:r w:rsidRPr="00C34A39">
          <w:rPr>
            <w:rStyle w:val="Hyperlink"/>
          </w:rPr>
          <w:t>12.6</w:t>
        </w:r>
        <w:r w:rsidRPr="00D46D19">
          <w:rPr>
            <w:rFonts w:eastAsia="Times New Roman"/>
            <w:sz w:val="22"/>
            <w:szCs w:val="22"/>
            <w:lang w:eastAsia="en-AU"/>
          </w:rPr>
          <w:tab/>
        </w:r>
        <w:r w:rsidRPr="00C34A39">
          <w:rPr>
            <w:rStyle w:val="Hyperlink"/>
          </w:rPr>
          <w:t>Confidentiality</w:t>
        </w:r>
        <w:r>
          <w:rPr>
            <w:webHidden/>
          </w:rPr>
          <w:tab/>
        </w:r>
        <w:r>
          <w:rPr>
            <w:webHidden/>
          </w:rPr>
          <w:fldChar w:fldCharType="begin"/>
        </w:r>
        <w:r>
          <w:rPr>
            <w:webHidden/>
          </w:rPr>
          <w:instrText xml:space="preserve"> PAGEREF _Toc407007280 \h </w:instrText>
        </w:r>
        <w:r>
          <w:rPr>
            <w:webHidden/>
          </w:rPr>
        </w:r>
        <w:r>
          <w:rPr>
            <w:webHidden/>
          </w:rPr>
          <w:fldChar w:fldCharType="separate"/>
        </w:r>
        <w:r w:rsidR="00BB1979">
          <w:rPr>
            <w:webHidden/>
          </w:rPr>
          <w:t>26</w:t>
        </w:r>
        <w:r>
          <w:rPr>
            <w:webHidden/>
          </w:rPr>
          <w:fldChar w:fldCharType="end"/>
        </w:r>
      </w:hyperlink>
    </w:p>
    <w:p w:rsidR="0009205D" w:rsidRPr="00D46D19" w:rsidRDefault="0009205D">
      <w:pPr>
        <w:pStyle w:val="TOC2"/>
        <w:rPr>
          <w:rFonts w:eastAsia="Times New Roman"/>
          <w:sz w:val="22"/>
          <w:szCs w:val="22"/>
          <w:lang w:eastAsia="en-AU"/>
        </w:rPr>
      </w:pPr>
      <w:hyperlink w:anchor="_Toc407007281" w:history="1">
        <w:r w:rsidRPr="00C34A39">
          <w:rPr>
            <w:rStyle w:val="Hyperlink"/>
          </w:rPr>
          <w:t>12.7</w:t>
        </w:r>
        <w:r w:rsidRPr="00D46D19">
          <w:rPr>
            <w:rFonts w:eastAsia="Times New Roman"/>
            <w:sz w:val="22"/>
            <w:szCs w:val="22"/>
            <w:lang w:eastAsia="en-AU"/>
          </w:rPr>
          <w:tab/>
        </w:r>
        <w:r w:rsidRPr="00C34A39">
          <w:rPr>
            <w:rStyle w:val="Hyperlink"/>
          </w:rPr>
          <w:t>Intellectual Property rights</w:t>
        </w:r>
        <w:r>
          <w:rPr>
            <w:webHidden/>
          </w:rPr>
          <w:tab/>
        </w:r>
        <w:r>
          <w:rPr>
            <w:webHidden/>
          </w:rPr>
          <w:fldChar w:fldCharType="begin"/>
        </w:r>
        <w:r>
          <w:rPr>
            <w:webHidden/>
          </w:rPr>
          <w:instrText xml:space="preserve"> PAGEREF _Toc407007281 \h </w:instrText>
        </w:r>
        <w:r>
          <w:rPr>
            <w:webHidden/>
          </w:rPr>
        </w:r>
        <w:r>
          <w:rPr>
            <w:webHidden/>
          </w:rPr>
          <w:fldChar w:fldCharType="separate"/>
        </w:r>
        <w:r w:rsidR="00BB1979">
          <w:rPr>
            <w:webHidden/>
          </w:rPr>
          <w:t>27</w:t>
        </w:r>
        <w:r>
          <w:rPr>
            <w:webHidden/>
          </w:rPr>
          <w:fldChar w:fldCharType="end"/>
        </w:r>
      </w:hyperlink>
    </w:p>
    <w:p w:rsidR="0009205D" w:rsidRPr="00D46D19" w:rsidRDefault="0009205D">
      <w:pPr>
        <w:pStyle w:val="TOC2"/>
        <w:rPr>
          <w:rFonts w:eastAsia="Times New Roman"/>
          <w:sz w:val="22"/>
          <w:szCs w:val="22"/>
          <w:lang w:eastAsia="en-AU"/>
        </w:rPr>
      </w:pPr>
      <w:hyperlink w:anchor="_Toc407007282" w:history="1">
        <w:r w:rsidRPr="00C34A39">
          <w:rPr>
            <w:rStyle w:val="Hyperlink"/>
          </w:rPr>
          <w:t>12.8</w:t>
        </w:r>
        <w:r w:rsidRPr="00D46D19">
          <w:rPr>
            <w:rFonts w:eastAsia="Times New Roman"/>
            <w:sz w:val="22"/>
            <w:szCs w:val="22"/>
            <w:lang w:eastAsia="en-AU"/>
          </w:rPr>
          <w:tab/>
        </w:r>
        <w:r w:rsidRPr="00C34A39">
          <w:rPr>
            <w:rStyle w:val="Hyperlink"/>
          </w:rPr>
          <w:t>Privacy of individuals</w:t>
        </w:r>
        <w:r>
          <w:rPr>
            <w:webHidden/>
          </w:rPr>
          <w:tab/>
        </w:r>
        <w:r>
          <w:rPr>
            <w:webHidden/>
          </w:rPr>
          <w:fldChar w:fldCharType="begin"/>
        </w:r>
        <w:r>
          <w:rPr>
            <w:webHidden/>
          </w:rPr>
          <w:instrText xml:space="preserve"> PAGEREF _Toc407007282 \h </w:instrText>
        </w:r>
        <w:r>
          <w:rPr>
            <w:webHidden/>
          </w:rPr>
        </w:r>
        <w:r>
          <w:rPr>
            <w:webHidden/>
          </w:rPr>
          <w:fldChar w:fldCharType="separate"/>
        </w:r>
        <w:r w:rsidR="00BB1979">
          <w:rPr>
            <w:webHidden/>
          </w:rPr>
          <w:t>27</w:t>
        </w:r>
        <w:r>
          <w:rPr>
            <w:webHidden/>
          </w:rPr>
          <w:fldChar w:fldCharType="end"/>
        </w:r>
      </w:hyperlink>
    </w:p>
    <w:p w:rsidR="0009205D" w:rsidRPr="00D46D19" w:rsidRDefault="0009205D">
      <w:pPr>
        <w:pStyle w:val="TOC2"/>
        <w:rPr>
          <w:rFonts w:eastAsia="Times New Roman"/>
          <w:sz w:val="22"/>
          <w:szCs w:val="22"/>
          <w:lang w:eastAsia="en-AU"/>
        </w:rPr>
      </w:pPr>
      <w:hyperlink w:anchor="_Toc407007283" w:history="1">
        <w:r w:rsidRPr="00C34A39">
          <w:rPr>
            <w:rStyle w:val="Hyperlink"/>
          </w:rPr>
          <w:t>12.9</w:t>
        </w:r>
        <w:r w:rsidRPr="00D46D19">
          <w:rPr>
            <w:rFonts w:eastAsia="Times New Roman"/>
            <w:sz w:val="22"/>
            <w:szCs w:val="22"/>
            <w:lang w:eastAsia="en-AU"/>
          </w:rPr>
          <w:tab/>
        </w:r>
        <w:r w:rsidRPr="00C34A39">
          <w:rPr>
            <w:rStyle w:val="Hyperlink"/>
          </w:rPr>
          <w:t>Personal information to be collected by the Department</w:t>
        </w:r>
        <w:r>
          <w:rPr>
            <w:webHidden/>
          </w:rPr>
          <w:tab/>
        </w:r>
        <w:r>
          <w:rPr>
            <w:webHidden/>
          </w:rPr>
          <w:fldChar w:fldCharType="begin"/>
        </w:r>
        <w:r>
          <w:rPr>
            <w:webHidden/>
          </w:rPr>
          <w:instrText xml:space="preserve"> PAGEREF _Toc407007283 \h </w:instrText>
        </w:r>
        <w:r>
          <w:rPr>
            <w:webHidden/>
          </w:rPr>
        </w:r>
        <w:r>
          <w:rPr>
            <w:webHidden/>
          </w:rPr>
          <w:fldChar w:fldCharType="separate"/>
        </w:r>
        <w:r w:rsidR="00BB1979">
          <w:rPr>
            <w:webHidden/>
          </w:rPr>
          <w:t>27</w:t>
        </w:r>
        <w:r>
          <w:rPr>
            <w:webHidden/>
          </w:rPr>
          <w:fldChar w:fldCharType="end"/>
        </w:r>
      </w:hyperlink>
    </w:p>
    <w:p w:rsidR="0009205D" w:rsidRPr="00D46D19" w:rsidRDefault="0009205D">
      <w:pPr>
        <w:pStyle w:val="TOC2"/>
        <w:rPr>
          <w:rFonts w:eastAsia="Times New Roman"/>
          <w:sz w:val="22"/>
          <w:szCs w:val="22"/>
          <w:lang w:eastAsia="en-AU"/>
        </w:rPr>
      </w:pPr>
      <w:hyperlink w:anchor="_Toc407007284" w:history="1">
        <w:r w:rsidRPr="00C34A39">
          <w:rPr>
            <w:rStyle w:val="Hyperlink"/>
          </w:rPr>
          <w:t>12.10</w:t>
        </w:r>
        <w:r w:rsidRPr="00D46D19">
          <w:rPr>
            <w:rFonts w:eastAsia="Times New Roman"/>
            <w:sz w:val="22"/>
            <w:szCs w:val="22"/>
            <w:lang w:eastAsia="en-AU"/>
          </w:rPr>
          <w:tab/>
        </w:r>
        <w:r w:rsidRPr="00C34A39">
          <w:rPr>
            <w:rStyle w:val="Hyperlink"/>
          </w:rPr>
          <w:t>Purpose for which the Department will use and disclose personal information</w:t>
        </w:r>
        <w:r>
          <w:rPr>
            <w:webHidden/>
          </w:rPr>
          <w:tab/>
        </w:r>
        <w:r>
          <w:rPr>
            <w:webHidden/>
          </w:rPr>
          <w:fldChar w:fldCharType="begin"/>
        </w:r>
        <w:r>
          <w:rPr>
            <w:webHidden/>
          </w:rPr>
          <w:instrText xml:space="preserve"> PAGEREF _Toc407007284 \h </w:instrText>
        </w:r>
        <w:r>
          <w:rPr>
            <w:webHidden/>
          </w:rPr>
        </w:r>
        <w:r>
          <w:rPr>
            <w:webHidden/>
          </w:rPr>
          <w:fldChar w:fldCharType="separate"/>
        </w:r>
        <w:r w:rsidR="00BB1979">
          <w:rPr>
            <w:webHidden/>
          </w:rPr>
          <w:t>28</w:t>
        </w:r>
        <w:r>
          <w:rPr>
            <w:webHidden/>
          </w:rPr>
          <w:fldChar w:fldCharType="end"/>
        </w:r>
      </w:hyperlink>
    </w:p>
    <w:p w:rsidR="0009205D" w:rsidRPr="00D46D19" w:rsidRDefault="0009205D">
      <w:pPr>
        <w:pStyle w:val="TOC2"/>
        <w:rPr>
          <w:rFonts w:eastAsia="Times New Roman"/>
          <w:sz w:val="22"/>
          <w:szCs w:val="22"/>
          <w:lang w:eastAsia="en-AU"/>
        </w:rPr>
      </w:pPr>
      <w:hyperlink w:anchor="_Toc407007285" w:history="1">
        <w:r w:rsidRPr="00C34A39">
          <w:rPr>
            <w:rStyle w:val="Hyperlink"/>
          </w:rPr>
          <w:t>12.11</w:t>
        </w:r>
        <w:r w:rsidRPr="00D46D19">
          <w:rPr>
            <w:rFonts w:eastAsia="Times New Roman"/>
            <w:sz w:val="22"/>
            <w:szCs w:val="22"/>
            <w:lang w:eastAsia="en-AU"/>
          </w:rPr>
          <w:tab/>
        </w:r>
        <w:r w:rsidRPr="00C34A39">
          <w:rPr>
            <w:rStyle w:val="Hyperlink"/>
          </w:rPr>
          <w:t>Department’s contact point for privacy matters</w:t>
        </w:r>
        <w:r>
          <w:rPr>
            <w:webHidden/>
          </w:rPr>
          <w:tab/>
        </w:r>
        <w:r>
          <w:rPr>
            <w:webHidden/>
          </w:rPr>
          <w:fldChar w:fldCharType="begin"/>
        </w:r>
        <w:r>
          <w:rPr>
            <w:webHidden/>
          </w:rPr>
          <w:instrText xml:space="preserve"> PAGEREF _Toc407007285 \h </w:instrText>
        </w:r>
        <w:r>
          <w:rPr>
            <w:webHidden/>
          </w:rPr>
        </w:r>
        <w:r>
          <w:rPr>
            <w:webHidden/>
          </w:rPr>
          <w:fldChar w:fldCharType="separate"/>
        </w:r>
        <w:r w:rsidR="00BB1979">
          <w:rPr>
            <w:webHidden/>
          </w:rPr>
          <w:t>28</w:t>
        </w:r>
        <w:r>
          <w:rPr>
            <w:webHidden/>
          </w:rPr>
          <w:fldChar w:fldCharType="end"/>
        </w:r>
      </w:hyperlink>
    </w:p>
    <w:p w:rsidR="0009205D" w:rsidRPr="00D46D19" w:rsidRDefault="0009205D">
      <w:pPr>
        <w:pStyle w:val="TOC2"/>
        <w:rPr>
          <w:rFonts w:eastAsia="Times New Roman"/>
          <w:sz w:val="22"/>
          <w:szCs w:val="22"/>
          <w:lang w:eastAsia="en-AU"/>
        </w:rPr>
      </w:pPr>
      <w:hyperlink w:anchor="_Toc407007286" w:history="1">
        <w:r w:rsidRPr="00C34A39">
          <w:rPr>
            <w:rStyle w:val="Hyperlink"/>
          </w:rPr>
          <w:t>12.12</w:t>
        </w:r>
        <w:r w:rsidRPr="00D46D19">
          <w:rPr>
            <w:rFonts w:eastAsia="Times New Roman"/>
            <w:sz w:val="22"/>
            <w:szCs w:val="22"/>
            <w:lang w:eastAsia="en-AU"/>
          </w:rPr>
          <w:tab/>
        </w:r>
        <w:r w:rsidRPr="00C34A39">
          <w:rPr>
            <w:rStyle w:val="Hyperlink"/>
          </w:rPr>
          <w:t>Exclusion of liabilities</w:t>
        </w:r>
        <w:r>
          <w:rPr>
            <w:webHidden/>
          </w:rPr>
          <w:tab/>
        </w:r>
        <w:r>
          <w:rPr>
            <w:webHidden/>
          </w:rPr>
          <w:fldChar w:fldCharType="begin"/>
        </w:r>
        <w:r>
          <w:rPr>
            <w:webHidden/>
          </w:rPr>
          <w:instrText xml:space="preserve"> PAGEREF _Toc407007286 \h </w:instrText>
        </w:r>
        <w:r>
          <w:rPr>
            <w:webHidden/>
          </w:rPr>
        </w:r>
        <w:r>
          <w:rPr>
            <w:webHidden/>
          </w:rPr>
          <w:fldChar w:fldCharType="separate"/>
        </w:r>
        <w:r w:rsidR="00BB1979">
          <w:rPr>
            <w:webHidden/>
          </w:rPr>
          <w:t>29</w:t>
        </w:r>
        <w:r>
          <w:rPr>
            <w:webHidden/>
          </w:rPr>
          <w:fldChar w:fldCharType="end"/>
        </w:r>
      </w:hyperlink>
    </w:p>
    <w:p w:rsidR="0009205D" w:rsidRPr="00D46D19" w:rsidRDefault="0009205D">
      <w:pPr>
        <w:pStyle w:val="TOC2"/>
        <w:rPr>
          <w:rFonts w:eastAsia="Times New Roman"/>
          <w:sz w:val="22"/>
          <w:szCs w:val="22"/>
          <w:lang w:eastAsia="en-AU"/>
        </w:rPr>
      </w:pPr>
      <w:hyperlink w:anchor="_Toc407007287" w:history="1">
        <w:r w:rsidRPr="00C34A39">
          <w:rPr>
            <w:rStyle w:val="Hyperlink"/>
          </w:rPr>
          <w:t>12.13</w:t>
        </w:r>
        <w:r w:rsidRPr="00D46D19">
          <w:rPr>
            <w:rFonts w:eastAsia="Times New Roman"/>
            <w:sz w:val="22"/>
            <w:szCs w:val="22"/>
            <w:lang w:eastAsia="en-AU"/>
          </w:rPr>
          <w:tab/>
        </w:r>
        <w:r w:rsidRPr="00C34A39">
          <w:rPr>
            <w:rStyle w:val="Hyperlink"/>
          </w:rPr>
          <w:t>Disclaimer</w:t>
        </w:r>
        <w:r>
          <w:rPr>
            <w:webHidden/>
          </w:rPr>
          <w:tab/>
        </w:r>
        <w:r>
          <w:rPr>
            <w:webHidden/>
          </w:rPr>
          <w:fldChar w:fldCharType="begin"/>
        </w:r>
        <w:r>
          <w:rPr>
            <w:webHidden/>
          </w:rPr>
          <w:instrText xml:space="preserve"> PAGEREF _Toc407007287 \h </w:instrText>
        </w:r>
        <w:r>
          <w:rPr>
            <w:webHidden/>
          </w:rPr>
        </w:r>
        <w:r>
          <w:rPr>
            <w:webHidden/>
          </w:rPr>
          <w:fldChar w:fldCharType="separate"/>
        </w:r>
        <w:r w:rsidR="00BB1979">
          <w:rPr>
            <w:webHidden/>
          </w:rPr>
          <w:t>29</w:t>
        </w:r>
        <w:r>
          <w:rPr>
            <w:webHidden/>
          </w:rPr>
          <w:fldChar w:fldCharType="end"/>
        </w:r>
      </w:hyperlink>
    </w:p>
    <w:p w:rsidR="0009205D" w:rsidRPr="00D46D19" w:rsidRDefault="0009205D">
      <w:pPr>
        <w:pStyle w:val="TOC2"/>
        <w:rPr>
          <w:rFonts w:eastAsia="Times New Roman"/>
          <w:sz w:val="22"/>
          <w:szCs w:val="22"/>
          <w:lang w:eastAsia="en-AU"/>
        </w:rPr>
      </w:pPr>
      <w:hyperlink w:anchor="_Toc407007288" w:history="1">
        <w:r w:rsidRPr="00C34A39">
          <w:rPr>
            <w:rStyle w:val="Hyperlink"/>
          </w:rPr>
          <w:t>12.14</w:t>
        </w:r>
        <w:r w:rsidRPr="00D46D19">
          <w:rPr>
            <w:rFonts w:eastAsia="Times New Roman"/>
            <w:sz w:val="22"/>
            <w:szCs w:val="22"/>
            <w:lang w:eastAsia="en-AU"/>
          </w:rPr>
          <w:tab/>
        </w:r>
        <w:r w:rsidRPr="00C34A39">
          <w:rPr>
            <w:rStyle w:val="Hyperlink"/>
          </w:rPr>
          <w:t>Fraud prevention</w:t>
        </w:r>
        <w:r>
          <w:rPr>
            <w:webHidden/>
          </w:rPr>
          <w:tab/>
        </w:r>
        <w:r>
          <w:rPr>
            <w:webHidden/>
          </w:rPr>
          <w:fldChar w:fldCharType="begin"/>
        </w:r>
        <w:r>
          <w:rPr>
            <w:webHidden/>
          </w:rPr>
          <w:instrText xml:space="preserve"> PAGEREF _Toc407007288 \h </w:instrText>
        </w:r>
        <w:r>
          <w:rPr>
            <w:webHidden/>
          </w:rPr>
        </w:r>
        <w:r>
          <w:rPr>
            <w:webHidden/>
          </w:rPr>
          <w:fldChar w:fldCharType="separate"/>
        </w:r>
        <w:r w:rsidR="00BB1979">
          <w:rPr>
            <w:webHidden/>
          </w:rPr>
          <w:t>29</w:t>
        </w:r>
        <w:r>
          <w:rPr>
            <w:webHidden/>
          </w:rPr>
          <w:fldChar w:fldCharType="end"/>
        </w:r>
      </w:hyperlink>
    </w:p>
    <w:p w:rsidR="0009205D" w:rsidRPr="00D46D19" w:rsidRDefault="0009205D">
      <w:pPr>
        <w:pStyle w:val="TOC1"/>
        <w:rPr>
          <w:b w:val="0"/>
          <w:color w:val="auto"/>
          <w:sz w:val="22"/>
          <w:lang w:eastAsia="en-AU"/>
        </w:rPr>
      </w:pPr>
      <w:hyperlink w:anchor="_Toc407007289" w:history="1">
        <w:r w:rsidRPr="00C34A39">
          <w:rPr>
            <w:rStyle w:val="Hyperlink"/>
          </w:rPr>
          <w:t>Part F – Glossary</w:t>
        </w:r>
        <w:r>
          <w:rPr>
            <w:webHidden/>
          </w:rPr>
          <w:tab/>
        </w:r>
        <w:r>
          <w:rPr>
            <w:webHidden/>
          </w:rPr>
          <w:fldChar w:fldCharType="begin"/>
        </w:r>
        <w:r>
          <w:rPr>
            <w:webHidden/>
          </w:rPr>
          <w:instrText xml:space="preserve"> PAGEREF _Toc407007289 \h </w:instrText>
        </w:r>
        <w:r>
          <w:rPr>
            <w:webHidden/>
          </w:rPr>
        </w:r>
        <w:r>
          <w:rPr>
            <w:webHidden/>
          </w:rPr>
          <w:fldChar w:fldCharType="separate"/>
        </w:r>
        <w:r w:rsidR="00BB1979">
          <w:rPr>
            <w:webHidden/>
          </w:rPr>
          <w:t>30</w:t>
        </w:r>
        <w:r>
          <w:rPr>
            <w:webHidden/>
          </w:rPr>
          <w:fldChar w:fldCharType="end"/>
        </w:r>
      </w:hyperlink>
    </w:p>
    <w:p w:rsidR="0009205D" w:rsidRPr="00D46D19" w:rsidRDefault="0009205D">
      <w:pPr>
        <w:pStyle w:val="TOC1"/>
        <w:rPr>
          <w:b w:val="0"/>
          <w:color w:val="auto"/>
          <w:sz w:val="22"/>
          <w:lang w:eastAsia="en-AU"/>
        </w:rPr>
      </w:pPr>
      <w:hyperlink w:anchor="_Toc407007290" w:history="1">
        <w:r w:rsidRPr="00C34A39">
          <w:rPr>
            <w:rStyle w:val="Hyperlink"/>
          </w:rPr>
          <w:t>Part G – Attachments</w:t>
        </w:r>
        <w:r>
          <w:rPr>
            <w:webHidden/>
          </w:rPr>
          <w:tab/>
        </w:r>
        <w:r>
          <w:rPr>
            <w:webHidden/>
          </w:rPr>
          <w:fldChar w:fldCharType="begin"/>
        </w:r>
        <w:r>
          <w:rPr>
            <w:webHidden/>
          </w:rPr>
          <w:instrText xml:space="preserve"> PAGEREF _Toc407007290 \h </w:instrText>
        </w:r>
        <w:r>
          <w:rPr>
            <w:webHidden/>
          </w:rPr>
        </w:r>
        <w:r>
          <w:rPr>
            <w:webHidden/>
          </w:rPr>
          <w:fldChar w:fldCharType="separate"/>
        </w:r>
        <w:r w:rsidR="00BB1979">
          <w:rPr>
            <w:webHidden/>
          </w:rPr>
          <w:t>33</w:t>
        </w:r>
        <w:r>
          <w:rPr>
            <w:webHidden/>
          </w:rPr>
          <w:fldChar w:fldCharType="end"/>
        </w:r>
      </w:hyperlink>
    </w:p>
    <w:p w:rsidR="0009205D" w:rsidRPr="00D46D19" w:rsidRDefault="0009205D">
      <w:pPr>
        <w:pStyle w:val="TOC1"/>
        <w:rPr>
          <w:b w:val="0"/>
          <w:color w:val="auto"/>
          <w:sz w:val="22"/>
          <w:lang w:eastAsia="en-AU"/>
        </w:rPr>
      </w:pPr>
      <w:hyperlink w:anchor="_Toc407007291" w:history="1">
        <w:r w:rsidRPr="00C34A39">
          <w:rPr>
            <w:rStyle w:val="Hyperlink"/>
          </w:rPr>
          <w:t>Attachment A – Draft Funding Agreement</w:t>
        </w:r>
        <w:r>
          <w:rPr>
            <w:webHidden/>
          </w:rPr>
          <w:tab/>
        </w:r>
        <w:r>
          <w:rPr>
            <w:webHidden/>
          </w:rPr>
          <w:fldChar w:fldCharType="begin"/>
        </w:r>
        <w:r>
          <w:rPr>
            <w:webHidden/>
          </w:rPr>
          <w:instrText xml:space="preserve"> PAGEREF _Toc407007291 \h </w:instrText>
        </w:r>
        <w:r>
          <w:rPr>
            <w:webHidden/>
          </w:rPr>
        </w:r>
        <w:r>
          <w:rPr>
            <w:webHidden/>
          </w:rPr>
          <w:fldChar w:fldCharType="separate"/>
        </w:r>
        <w:r w:rsidR="00BB1979">
          <w:rPr>
            <w:webHidden/>
          </w:rPr>
          <w:t>33</w:t>
        </w:r>
        <w:r>
          <w:rPr>
            <w:webHidden/>
          </w:rPr>
          <w:fldChar w:fldCharType="end"/>
        </w:r>
      </w:hyperlink>
    </w:p>
    <w:p w:rsidR="0009205D" w:rsidRPr="00D46D19" w:rsidRDefault="0009205D">
      <w:pPr>
        <w:pStyle w:val="TOC1"/>
        <w:rPr>
          <w:b w:val="0"/>
          <w:color w:val="auto"/>
          <w:sz w:val="22"/>
          <w:lang w:eastAsia="en-AU"/>
        </w:rPr>
      </w:pPr>
      <w:hyperlink w:anchor="_Toc407007292" w:history="1">
        <w:r w:rsidRPr="00C34A39">
          <w:rPr>
            <w:rStyle w:val="Hyperlink"/>
          </w:rPr>
          <w:t>Attachment B – In-principle council co-contributions</w:t>
        </w:r>
        <w:r>
          <w:rPr>
            <w:webHidden/>
          </w:rPr>
          <w:tab/>
        </w:r>
        <w:r>
          <w:rPr>
            <w:webHidden/>
          </w:rPr>
          <w:fldChar w:fldCharType="begin"/>
        </w:r>
        <w:r>
          <w:rPr>
            <w:webHidden/>
          </w:rPr>
          <w:instrText xml:space="preserve"> PAGEREF _Toc407007292 \h </w:instrText>
        </w:r>
        <w:r>
          <w:rPr>
            <w:webHidden/>
          </w:rPr>
        </w:r>
        <w:r>
          <w:rPr>
            <w:webHidden/>
          </w:rPr>
          <w:fldChar w:fldCharType="separate"/>
        </w:r>
        <w:r w:rsidR="00BB1979">
          <w:rPr>
            <w:webHidden/>
          </w:rPr>
          <w:t>34</w:t>
        </w:r>
        <w:r>
          <w:rPr>
            <w:webHidden/>
          </w:rPr>
          <w:fldChar w:fldCharType="end"/>
        </w:r>
      </w:hyperlink>
    </w:p>
    <w:p w:rsidR="0009205D" w:rsidRPr="00D46D19" w:rsidRDefault="0009205D">
      <w:pPr>
        <w:pStyle w:val="TOC1"/>
        <w:rPr>
          <w:b w:val="0"/>
          <w:color w:val="auto"/>
          <w:sz w:val="22"/>
          <w:lang w:eastAsia="en-AU"/>
        </w:rPr>
      </w:pPr>
      <w:hyperlink w:anchor="_Toc407007293" w:history="1">
        <w:r w:rsidRPr="00C34A39">
          <w:rPr>
            <w:rStyle w:val="Hyperlink"/>
          </w:rPr>
          <w:t>Attachment C – Application Pack</w:t>
        </w:r>
        <w:r>
          <w:rPr>
            <w:webHidden/>
          </w:rPr>
          <w:tab/>
        </w:r>
        <w:r>
          <w:rPr>
            <w:webHidden/>
          </w:rPr>
          <w:fldChar w:fldCharType="begin"/>
        </w:r>
        <w:r>
          <w:rPr>
            <w:webHidden/>
          </w:rPr>
          <w:instrText xml:space="preserve"> PAGEREF _Toc407007293 \h </w:instrText>
        </w:r>
        <w:r>
          <w:rPr>
            <w:webHidden/>
          </w:rPr>
        </w:r>
        <w:r>
          <w:rPr>
            <w:webHidden/>
          </w:rPr>
          <w:fldChar w:fldCharType="separate"/>
        </w:r>
        <w:r w:rsidR="00BB1979">
          <w:rPr>
            <w:webHidden/>
          </w:rPr>
          <w:t>36</w:t>
        </w:r>
        <w:r>
          <w:rPr>
            <w:webHidden/>
          </w:rPr>
          <w:fldChar w:fldCharType="end"/>
        </w:r>
      </w:hyperlink>
    </w:p>
    <w:p w:rsidR="0009205D" w:rsidRPr="00D46D19" w:rsidRDefault="0009205D">
      <w:pPr>
        <w:pStyle w:val="TOC1"/>
        <w:rPr>
          <w:b w:val="0"/>
          <w:color w:val="auto"/>
          <w:sz w:val="22"/>
          <w:lang w:eastAsia="en-AU"/>
        </w:rPr>
      </w:pPr>
      <w:hyperlink w:anchor="_Toc407007294" w:history="1">
        <w:r w:rsidRPr="00C34A39">
          <w:rPr>
            <w:rStyle w:val="Hyperlink"/>
          </w:rPr>
          <w:t>Attachment D – State, Territory and NBN Co contacts</w:t>
        </w:r>
        <w:r>
          <w:rPr>
            <w:webHidden/>
          </w:rPr>
          <w:tab/>
        </w:r>
        <w:r>
          <w:rPr>
            <w:webHidden/>
          </w:rPr>
          <w:fldChar w:fldCharType="begin"/>
        </w:r>
        <w:r>
          <w:rPr>
            <w:webHidden/>
          </w:rPr>
          <w:instrText xml:space="preserve"> PAGEREF _Toc407007294 \h </w:instrText>
        </w:r>
        <w:r>
          <w:rPr>
            <w:webHidden/>
          </w:rPr>
        </w:r>
        <w:r>
          <w:rPr>
            <w:webHidden/>
          </w:rPr>
          <w:fldChar w:fldCharType="separate"/>
        </w:r>
        <w:r w:rsidR="00BB1979">
          <w:rPr>
            <w:webHidden/>
          </w:rPr>
          <w:t>37</w:t>
        </w:r>
        <w:r>
          <w:rPr>
            <w:webHidden/>
          </w:rPr>
          <w:fldChar w:fldCharType="end"/>
        </w:r>
      </w:hyperlink>
    </w:p>
    <w:p w:rsidR="00E66771" w:rsidRPr="004D16D1" w:rsidRDefault="00E66771" w:rsidP="00E66771">
      <w:r>
        <w:rPr>
          <w:b/>
          <w:sz w:val="24"/>
        </w:rPr>
        <w:fldChar w:fldCharType="end"/>
      </w:r>
    </w:p>
    <w:p w:rsidR="00E66771" w:rsidRPr="004D16D1" w:rsidRDefault="00E66771" w:rsidP="00E66771">
      <w:pPr>
        <w:sectPr w:rsidR="00E66771" w:rsidRPr="004D16D1" w:rsidSect="00A85135">
          <w:pgSz w:w="11906" w:h="16838"/>
          <w:pgMar w:top="1474" w:right="1418" w:bottom="1474" w:left="1418" w:header="567" w:footer="567" w:gutter="0"/>
          <w:cols w:space="708"/>
          <w:titlePg/>
          <w:docGrid w:linePitch="299"/>
        </w:sectPr>
      </w:pPr>
    </w:p>
    <w:p w:rsidR="00E66771" w:rsidRPr="00E66771" w:rsidRDefault="00E66771" w:rsidP="00346DFC">
      <w:pPr>
        <w:pStyle w:val="Heading1"/>
        <w:ind w:hanging="1000"/>
      </w:pPr>
      <w:bookmarkStart w:id="3" w:name="_Toc393908547"/>
      <w:bookmarkStart w:id="4" w:name="_Toc405380412"/>
      <w:bookmarkStart w:id="5" w:name="_Toc407007224"/>
      <w:r w:rsidRPr="00E66771">
        <w:lastRenderedPageBreak/>
        <w:t>Introduction</w:t>
      </w:r>
      <w:bookmarkEnd w:id="3"/>
      <w:bookmarkEnd w:id="4"/>
      <w:bookmarkEnd w:id="5"/>
    </w:p>
    <w:p w:rsidR="00E66771" w:rsidRPr="00E66771" w:rsidRDefault="00E66771" w:rsidP="00F11BA8">
      <w:pPr>
        <w:pStyle w:val="Heading2"/>
        <w:ind w:hanging="1145"/>
      </w:pPr>
      <w:bookmarkStart w:id="6" w:name="_Toc393908548"/>
      <w:bookmarkStart w:id="7" w:name="_Toc405380413"/>
      <w:bookmarkStart w:id="8" w:name="_Toc407007225"/>
      <w:r w:rsidRPr="00E66771">
        <w:t>Mobile Black Spot Programme</w:t>
      </w:r>
      <w:bookmarkEnd w:id="6"/>
      <w:bookmarkEnd w:id="7"/>
      <w:bookmarkEnd w:id="8"/>
    </w:p>
    <w:p w:rsidR="00E66771" w:rsidRPr="00EB6877" w:rsidRDefault="00CD766C" w:rsidP="00890E6F">
      <w:pPr>
        <w:pStyle w:val="Bodynumbered-Level1"/>
        <w:ind w:left="709" w:hanging="709"/>
      </w:pPr>
      <w:r w:rsidRPr="00EB6877">
        <w:t xml:space="preserve">1.1.1 </w:t>
      </w:r>
      <w:r w:rsidRPr="00EB6877">
        <w:tab/>
      </w:r>
      <w:r w:rsidR="00E66771" w:rsidRPr="00EB6877">
        <w:t>Inadequate mobile phone coverage is a significant issue for many Australians, particularly those living, working and travelling in regional Australia. The 2011-12 Regional Telecommunications Review identified a lack of adequate mobile voice and broadband coverage as a major concern to regional communities.</w:t>
      </w:r>
    </w:p>
    <w:p w:rsidR="00E66771" w:rsidRPr="00EB6877" w:rsidRDefault="00CD766C" w:rsidP="00890E6F">
      <w:pPr>
        <w:pStyle w:val="Bodynumbered-Level1"/>
        <w:ind w:left="709" w:hanging="709"/>
      </w:pPr>
      <w:bookmarkStart w:id="9" w:name="_Ref390202474"/>
      <w:r w:rsidRPr="00EB6877">
        <w:t>1.1.2</w:t>
      </w:r>
      <w:r w:rsidRPr="00EB6877">
        <w:tab/>
      </w:r>
      <w:r w:rsidR="00E66771" w:rsidRPr="00EB6877">
        <w:t xml:space="preserve">The Mobile Black Spot Programme (the </w:t>
      </w:r>
      <w:r w:rsidR="00E66771" w:rsidRPr="003D2F00">
        <w:rPr>
          <w:b/>
        </w:rPr>
        <w:t>Programme</w:t>
      </w:r>
      <w:r w:rsidR="00E66771" w:rsidRPr="00EB6877">
        <w:t>) is the Australian Government’s initiative to extend mobile phone coverage and competition in regional Australia. The Government will make available up to $100 million over four financial years (2014-15 to 2017-18) to deliver the Programme.</w:t>
      </w:r>
      <w:bookmarkEnd w:id="9"/>
    </w:p>
    <w:p w:rsidR="00E66771" w:rsidRPr="00EB6877" w:rsidRDefault="00CD766C" w:rsidP="00890E6F">
      <w:pPr>
        <w:pStyle w:val="Bodynumbered-Level1"/>
        <w:ind w:left="709" w:hanging="709"/>
      </w:pPr>
      <w:bookmarkStart w:id="10" w:name="_Ref390202431"/>
      <w:r w:rsidRPr="00EB6877">
        <w:t>1.1.3</w:t>
      </w:r>
      <w:r w:rsidRPr="00EB6877">
        <w:tab/>
      </w:r>
      <w:r w:rsidR="00E66771" w:rsidRPr="00EB6877">
        <w:t xml:space="preserve">The Department of Communications (the </w:t>
      </w:r>
      <w:r w:rsidR="00E66771" w:rsidRPr="003D2F00">
        <w:rPr>
          <w:b/>
        </w:rPr>
        <w:t>Department</w:t>
      </w:r>
      <w:r w:rsidR="00E66771" w:rsidRPr="00EB6877">
        <w:t>) is responsible for administering the Programme on behalf of the Government.</w:t>
      </w:r>
      <w:bookmarkEnd w:id="10"/>
    </w:p>
    <w:p w:rsidR="00E66771" w:rsidRPr="00EB6877" w:rsidRDefault="00CD766C" w:rsidP="00890E6F">
      <w:pPr>
        <w:pStyle w:val="Bodynumbered-Level1"/>
        <w:ind w:left="709" w:hanging="709"/>
      </w:pPr>
      <w:r w:rsidRPr="00EB6877">
        <w:t>1.1.4</w:t>
      </w:r>
      <w:r w:rsidRPr="00EB6877">
        <w:tab/>
      </w:r>
      <w:r w:rsidR="00E66771" w:rsidRPr="00EB6877">
        <w:t>In December 2013, the Department released a discussion paper to obtain the views of stakeholders, including local communities, industry, State, Territory and local governments, businesses and other interested parties, on the best way to deliver the Programme.</w:t>
      </w:r>
    </w:p>
    <w:p w:rsidR="00E66771" w:rsidRPr="00EB6877" w:rsidRDefault="00CD766C" w:rsidP="0091722C">
      <w:pPr>
        <w:pStyle w:val="Bodynumbered-Level1"/>
        <w:ind w:left="709" w:right="-188" w:hanging="709"/>
      </w:pPr>
      <w:bookmarkStart w:id="11" w:name="_Ref390202377"/>
      <w:r w:rsidRPr="00EB6877">
        <w:t>1.1.5</w:t>
      </w:r>
      <w:r w:rsidRPr="00EB6877">
        <w:tab/>
      </w:r>
      <w:r w:rsidR="00E66771" w:rsidRPr="00EB6877">
        <w:t xml:space="preserve">Submissions to the December 2013 discussion paper, as well as extensive discussions with a range of stakeholders, have contributed to the development of the Programme and is reflected in these Mobile Black Spot Programme Guidelines (these </w:t>
      </w:r>
      <w:r w:rsidR="00E66771" w:rsidRPr="003D2F00">
        <w:rPr>
          <w:b/>
        </w:rPr>
        <w:t>Guidelines</w:t>
      </w:r>
      <w:r w:rsidR="00E66771" w:rsidRPr="00EB6877">
        <w:t>).</w:t>
      </w:r>
      <w:bookmarkEnd w:id="11"/>
    </w:p>
    <w:p w:rsidR="00E66771" w:rsidRDefault="00E66771" w:rsidP="00A06684">
      <w:pPr>
        <w:pStyle w:val="Heading2"/>
        <w:ind w:hanging="1144"/>
      </w:pPr>
      <w:bookmarkStart w:id="12" w:name="_Toc393908549"/>
      <w:bookmarkStart w:id="13" w:name="_Toc405380414"/>
      <w:bookmarkStart w:id="14" w:name="_Toc407007226"/>
      <w:r>
        <w:t>About these</w:t>
      </w:r>
      <w:r w:rsidRPr="00285067">
        <w:t xml:space="preserve"> Guidelines</w:t>
      </w:r>
      <w:bookmarkEnd w:id="12"/>
      <w:bookmarkEnd w:id="13"/>
      <w:bookmarkEnd w:id="14"/>
    </w:p>
    <w:p w:rsidR="00E66771" w:rsidRPr="005933C5" w:rsidRDefault="00EB6877" w:rsidP="00890E6F">
      <w:pPr>
        <w:pStyle w:val="Bodynumbered-Level1"/>
        <w:ind w:left="709" w:hanging="709"/>
        <w:rPr>
          <w:b/>
        </w:rPr>
      </w:pPr>
      <w:r>
        <w:t>1.2.1</w:t>
      </w:r>
      <w:r>
        <w:tab/>
      </w:r>
      <w:r w:rsidR="00E66771" w:rsidRPr="00A81D90">
        <w:t>These Guidelines describe</w:t>
      </w:r>
      <w:r w:rsidR="00E66771" w:rsidRPr="00490475">
        <w:t xml:space="preserve"> the operation of the Programme and include</w:t>
      </w:r>
      <w:r w:rsidR="00E66771">
        <w:t xml:space="preserve"> </w:t>
      </w:r>
      <w:r w:rsidR="00E66771" w:rsidRPr="00490475">
        <w:t>relevant information concerning</w:t>
      </w:r>
      <w:r w:rsidR="00E66771">
        <w:t>:</w:t>
      </w:r>
    </w:p>
    <w:p w:rsidR="00E66771" w:rsidRPr="004D7C42" w:rsidRDefault="00E66771" w:rsidP="00D02157">
      <w:pPr>
        <w:pStyle w:val="Bodybullet-Level1"/>
        <w:ind w:left="993" w:firstLine="0"/>
      </w:pPr>
      <w:r w:rsidRPr="004D7C42">
        <w:t>who i</w:t>
      </w:r>
      <w:r w:rsidR="00CB086B">
        <w:t>s eligible to apply for funding</w:t>
      </w:r>
    </w:p>
    <w:p w:rsidR="00E66771" w:rsidRPr="004D7C42" w:rsidRDefault="00E66771" w:rsidP="00D02157">
      <w:pPr>
        <w:pStyle w:val="Bodybullet-Level1"/>
        <w:ind w:left="993" w:firstLine="0"/>
      </w:pPr>
      <w:r w:rsidRPr="004D7C42">
        <w:t xml:space="preserve">how to apply for the funding </w:t>
      </w:r>
    </w:p>
    <w:p w:rsidR="00EB6877" w:rsidRPr="004D7C42" w:rsidRDefault="00E66771" w:rsidP="00D02157">
      <w:pPr>
        <w:pStyle w:val="Bodybullet-Level1"/>
        <w:ind w:left="993" w:firstLine="0"/>
      </w:pPr>
      <w:r w:rsidRPr="004D7C42">
        <w:t>how the funding will b</w:t>
      </w:r>
      <w:r w:rsidR="00DA280E">
        <w:t>e allocated under the Programme</w:t>
      </w:r>
    </w:p>
    <w:p w:rsidR="00E66771" w:rsidRPr="005933C5" w:rsidRDefault="00EB6877" w:rsidP="00890E6F">
      <w:pPr>
        <w:pStyle w:val="Bodynumbered-Level1"/>
        <w:ind w:left="709" w:hanging="709"/>
      </w:pPr>
      <w:r>
        <w:t>1.2.2</w:t>
      </w:r>
      <w:r>
        <w:tab/>
      </w:r>
      <w:r w:rsidR="00E66771" w:rsidRPr="00490475">
        <w:t>Th</w:t>
      </w:r>
      <w:r w:rsidR="00E66771">
        <w:t>ese</w:t>
      </w:r>
      <w:r w:rsidR="00E66771" w:rsidRPr="00490475">
        <w:t xml:space="preserve"> </w:t>
      </w:r>
      <w:r w:rsidR="00E66771">
        <w:t>Guidelines are</w:t>
      </w:r>
      <w:r w:rsidR="00E66771" w:rsidRPr="00490475">
        <w:t xml:space="preserve"> divided into the following parts:</w:t>
      </w:r>
    </w:p>
    <w:p w:rsidR="00E66771" w:rsidRPr="00893A9A" w:rsidRDefault="00E66771" w:rsidP="00D02157">
      <w:pPr>
        <w:pStyle w:val="Bodybullet-Level1"/>
        <w:ind w:left="993" w:firstLine="0"/>
      </w:pPr>
      <w:r w:rsidRPr="00893A9A">
        <w:rPr>
          <w:b/>
        </w:rPr>
        <w:t>Part A</w:t>
      </w:r>
      <w:r w:rsidRPr="00893A9A">
        <w:t xml:space="preserve">: Eligibility </w:t>
      </w:r>
    </w:p>
    <w:p w:rsidR="00E66771" w:rsidRPr="00893A9A" w:rsidRDefault="00E66771" w:rsidP="00D02157">
      <w:pPr>
        <w:pStyle w:val="Bodybullet-Level1"/>
        <w:ind w:left="993" w:firstLine="0"/>
      </w:pPr>
      <w:r w:rsidRPr="00893A9A">
        <w:rPr>
          <w:b/>
        </w:rPr>
        <w:t>Part B</w:t>
      </w:r>
      <w:r w:rsidRPr="00893A9A">
        <w:t>: Programme Requirements and Considerations</w:t>
      </w:r>
    </w:p>
    <w:p w:rsidR="00E66771" w:rsidRPr="00893A9A" w:rsidRDefault="00E66771" w:rsidP="00D02157">
      <w:pPr>
        <w:pStyle w:val="Bodybullet-Level1"/>
        <w:ind w:left="993" w:firstLine="0"/>
      </w:pPr>
      <w:r w:rsidRPr="00893A9A">
        <w:rPr>
          <w:b/>
        </w:rPr>
        <w:t>Part C</w:t>
      </w:r>
      <w:r w:rsidRPr="00893A9A">
        <w:t xml:space="preserve">: Application and Assessment </w:t>
      </w:r>
    </w:p>
    <w:p w:rsidR="00E66771" w:rsidRPr="00893A9A" w:rsidRDefault="00E66771" w:rsidP="00D02157">
      <w:pPr>
        <w:pStyle w:val="Bodybullet-Level1"/>
        <w:ind w:left="993" w:firstLine="0"/>
      </w:pPr>
      <w:r w:rsidRPr="00893A9A">
        <w:rPr>
          <w:b/>
        </w:rPr>
        <w:t>Part D</w:t>
      </w:r>
      <w:r w:rsidRPr="00893A9A">
        <w:t xml:space="preserve">: Programme Timing </w:t>
      </w:r>
    </w:p>
    <w:p w:rsidR="00E66771" w:rsidRPr="00893A9A" w:rsidRDefault="00E66771" w:rsidP="00D02157">
      <w:pPr>
        <w:pStyle w:val="Bodybullet-Level1"/>
        <w:ind w:left="993" w:firstLine="0"/>
      </w:pPr>
      <w:r w:rsidRPr="00893A9A">
        <w:rPr>
          <w:b/>
        </w:rPr>
        <w:t>Part E:</w:t>
      </w:r>
      <w:r w:rsidRPr="00893A9A">
        <w:t xml:space="preserve"> Process Terms</w:t>
      </w:r>
    </w:p>
    <w:p w:rsidR="00E66771" w:rsidRDefault="00E66771" w:rsidP="00D02157">
      <w:pPr>
        <w:pStyle w:val="Bodybullet-Level1"/>
        <w:ind w:left="993" w:firstLine="0"/>
      </w:pPr>
      <w:r w:rsidRPr="00893A9A">
        <w:rPr>
          <w:b/>
        </w:rPr>
        <w:t>Part F</w:t>
      </w:r>
      <w:r w:rsidRPr="00893A9A">
        <w:t>: Glossary</w:t>
      </w:r>
    </w:p>
    <w:p w:rsidR="00E66771" w:rsidRPr="006D52A9" w:rsidRDefault="00E66771" w:rsidP="00D02157">
      <w:pPr>
        <w:pStyle w:val="Bodybullet-Level1"/>
        <w:ind w:left="993" w:firstLine="0"/>
      </w:pPr>
      <w:r w:rsidRPr="006D52A9">
        <w:rPr>
          <w:b/>
        </w:rPr>
        <w:t>Part G</w:t>
      </w:r>
      <w:r w:rsidRPr="006D52A9">
        <w:t>: Attachments</w:t>
      </w:r>
    </w:p>
    <w:p w:rsidR="00E66771" w:rsidRPr="00667448" w:rsidRDefault="00EB6877" w:rsidP="00890E6F">
      <w:pPr>
        <w:pStyle w:val="Bodynumbered-Level1"/>
        <w:ind w:left="709" w:hanging="709"/>
      </w:pPr>
      <w:bookmarkStart w:id="15" w:name="_Toc389744813"/>
      <w:bookmarkStart w:id="16" w:name="_Toc389748738"/>
      <w:bookmarkStart w:id="17" w:name="_Toc389750275"/>
      <w:bookmarkStart w:id="18" w:name="_Toc389743233"/>
      <w:bookmarkEnd w:id="15"/>
      <w:bookmarkEnd w:id="16"/>
      <w:bookmarkEnd w:id="17"/>
      <w:r>
        <w:t>1.2.3</w:t>
      </w:r>
      <w:r>
        <w:tab/>
      </w:r>
      <w:r w:rsidR="00E66771" w:rsidRPr="00667448">
        <w:t>The Guidelines aim to ensure the Programme is delivered as efficiently and effec</w:t>
      </w:r>
      <w:r w:rsidR="008A3DDA">
        <w:t>tively as possible, and achieve</w:t>
      </w:r>
      <w:r w:rsidR="00E66771" w:rsidRPr="00667448">
        <w:t xml:space="preserve"> maximum value for money.</w:t>
      </w:r>
      <w:bookmarkEnd w:id="18"/>
    </w:p>
    <w:p w:rsidR="00E66771" w:rsidRDefault="00E66771" w:rsidP="00F11BA8">
      <w:pPr>
        <w:pStyle w:val="Heading2"/>
        <w:ind w:left="992" w:hanging="992"/>
      </w:pPr>
      <w:bookmarkStart w:id="19" w:name="_Toc393908550"/>
      <w:bookmarkStart w:id="20" w:name="_Toc405380415"/>
      <w:bookmarkStart w:id="21" w:name="_Toc407007227"/>
      <w:r>
        <w:lastRenderedPageBreak/>
        <w:t xml:space="preserve">Application </w:t>
      </w:r>
      <w:r w:rsidR="00E57C14">
        <w:t>d</w:t>
      </w:r>
      <w:r>
        <w:t>eadline</w:t>
      </w:r>
      <w:bookmarkEnd w:id="19"/>
      <w:bookmarkEnd w:id="20"/>
      <w:bookmarkEnd w:id="21"/>
    </w:p>
    <w:p w:rsidR="000958D6" w:rsidRPr="00723554" w:rsidRDefault="000958D6" w:rsidP="000958D6">
      <w:pPr>
        <w:pStyle w:val="Bodytext-Indent"/>
        <w:pBdr>
          <w:top w:val="single" w:sz="4" w:space="18" w:color="auto"/>
          <w:left w:val="single" w:sz="4" w:space="4" w:color="auto"/>
          <w:bottom w:val="single" w:sz="4" w:space="18" w:color="auto"/>
          <w:right w:val="single" w:sz="4" w:space="4" w:color="auto"/>
        </w:pBdr>
        <w:spacing w:after="240"/>
      </w:pPr>
      <w:r w:rsidRPr="00D017F1">
        <w:t xml:space="preserve">The closing date for submitting an application for funding under the Programme is </w:t>
      </w:r>
      <w:r w:rsidRPr="00D017F1">
        <w:rPr>
          <w:b/>
        </w:rPr>
        <w:t>5.00pm </w:t>
      </w:r>
      <w:r w:rsidR="005B3FC2">
        <w:rPr>
          <w:b/>
        </w:rPr>
        <w:t>Thursday 16 April</w:t>
      </w:r>
      <w:r w:rsidRPr="00CB140A">
        <w:rPr>
          <w:b/>
        </w:rPr>
        <w:t xml:space="preserve"> 2015 (Canberra</w:t>
      </w:r>
      <w:r w:rsidRPr="00D017F1">
        <w:rPr>
          <w:b/>
        </w:rPr>
        <w:t xml:space="preserve"> time)</w:t>
      </w:r>
      <w:r w:rsidRPr="00D017F1">
        <w:t>.</w:t>
      </w:r>
    </w:p>
    <w:p w:rsidR="00E66771" w:rsidRDefault="00E66771" w:rsidP="00F11BA8">
      <w:pPr>
        <w:pStyle w:val="Heading2"/>
        <w:ind w:left="992" w:hanging="992"/>
      </w:pPr>
      <w:bookmarkStart w:id="22" w:name="_Ref389781679"/>
      <w:bookmarkStart w:id="23" w:name="_Toc393908551"/>
      <w:bookmarkStart w:id="24" w:name="_Toc405380416"/>
      <w:bookmarkStart w:id="25" w:name="_Toc407007228"/>
      <w:r>
        <w:t xml:space="preserve">Further </w:t>
      </w:r>
      <w:r w:rsidR="00E57C14">
        <w:t>i</w:t>
      </w:r>
      <w:r>
        <w:t>nformation</w:t>
      </w:r>
      <w:bookmarkEnd w:id="22"/>
      <w:bookmarkEnd w:id="23"/>
      <w:bookmarkEnd w:id="24"/>
      <w:bookmarkEnd w:id="25"/>
    </w:p>
    <w:p w:rsidR="00723554" w:rsidRDefault="00723554" w:rsidP="000958D6">
      <w:pPr>
        <w:pStyle w:val="Bodytext-Indent"/>
        <w:pBdr>
          <w:top w:val="single" w:sz="4" w:space="18" w:color="auto"/>
          <w:left w:val="single" w:sz="4" w:space="4" w:color="auto"/>
          <w:bottom w:val="single" w:sz="4" w:space="18" w:color="auto"/>
          <w:right w:val="single" w:sz="4" w:space="4" w:color="auto"/>
        </w:pBdr>
        <w:spacing w:before="0"/>
      </w:pPr>
      <w:r w:rsidRPr="00D017F1">
        <w:t xml:space="preserve">Further information on the Programme is available on </w:t>
      </w:r>
      <w:r w:rsidRPr="006A6C34">
        <w:t>the Department</w:t>
      </w:r>
      <w:r w:rsidR="002C4B83">
        <w:t xml:space="preserve"> of Communication</w:t>
      </w:r>
      <w:r w:rsidRPr="006A6C34">
        <w:t xml:space="preserve">s </w:t>
      </w:r>
      <w:r w:rsidR="00AB0575" w:rsidRPr="006A6C34">
        <w:t>web</w:t>
      </w:r>
      <w:r w:rsidR="002C4B83">
        <w:t xml:space="preserve">site at </w:t>
      </w:r>
      <w:hyperlink r:id="rId12" w:history="1">
        <w:r w:rsidR="002C4B83" w:rsidRPr="00F93B0E">
          <w:rPr>
            <w:rStyle w:val="Hyperlink"/>
          </w:rPr>
          <w:t>www.communications.gov.au/mobile_coverage</w:t>
        </w:r>
      </w:hyperlink>
    </w:p>
    <w:p w:rsidR="00D578B4" w:rsidRDefault="00D578B4" w:rsidP="000958D6">
      <w:pPr>
        <w:pStyle w:val="Bodytext-Indent"/>
        <w:pBdr>
          <w:top w:val="single" w:sz="4" w:space="18" w:color="auto"/>
          <w:left w:val="single" w:sz="4" w:space="4" w:color="auto"/>
          <w:bottom w:val="single" w:sz="4" w:space="18" w:color="auto"/>
          <w:right w:val="single" w:sz="4" w:space="4" w:color="auto"/>
        </w:pBdr>
        <w:spacing w:before="0"/>
      </w:pPr>
    </w:p>
    <w:p w:rsidR="00E66771" w:rsidRDefault="00723554" w:rsidP="000958D6">
      <w:pPr>
        <w:pStyle w:val="Bodytext-Indent"/>
        <w:pBdr>
          <w:top w:val="single" w:sz="4" w:space="18" w:color="auto"/>
          <w:left w:val="single" w:sz="4" w:space="4" w:color="auto"/>
          <w:bottom w:val="single" w:sz="4" w:space="18" w:color="auto"/>
          <w:right w:val="single" w:sz="4" w:space="4" w:color="auto"/>
        </w:pBdr>
        <w:spacing w:before="0"/>
      </w:pPr>
      <w:r w:rsidRPr="00D017F1">
        <w:t xml:space="preserve">Enquiries about the Programme can be made to </w:t>
      </w:r>
      <w:r w:rsidR="00E57C14">
        <w:t xml:space="preserve">the Department </w:t>
      </w:r>
      <w:r w:rsidR="00D578B4">
        <w:t>of Communications</w:t>
      </w:r>
      <w:r w:rsidR="00E57C14">
        <w:t xml:space="preserve"> via the following email address: </w:t>
      </w:r>
      <w:hyperlink r:id="rId13" w:history="1">
        <w:r w:rsidR="002C4B83" w:rsidRPr="00F93B0E">
          <w:rPr>
            <w:rStyle w:val="Hyperlink"/>
          </w:rPr>
          <w:t>mobilecoverage@communications.gov.au</w:t>
        </w:r>
      </w:hyperlink>
    </w:p>
    <w:p w:rsidR="00E66771" w:rsidRPr="00150CF3" w:rsidRDefault="00150CF3" w:rsidP="00E66771">
      <w:pPr>
        <w:pStyle w:val="Heading1"/>
        <w:numPr>
          <w:ilvl w:val="0"/>
          <w:numId w:val="0"/>
        </w:numPr>
        <w:rPr>
          <w:sz w:val="52"/>
          <w:szCs w:val="52"/>
        </w:rPr>
      </w:pPr>
      <w:bookmarkStart w:id="26" w:name="_Toc393908552"/>
      <w:r>
        <w:br w:type="page"/>
      </w:r>
      <w:bookmarkStart w:id="27" w:name="_Toc405380417"/>
      <w:bookmarkStart w:id="28" w:name="_Toc407007229"/>
      <w:r w:rsidR="00E66771" w:rsidRPr="00150CF3">
        <w:rPr>
          <w:sz w:val="52"/>
          <w:szCs w:val="52"/>
        </w:rPr>
        <w:lastRenderedPageBreak/>
        <w:t>Part A – E</w:t>
      </w:r>
      <w:bookmarkEnd w:id="26"/>
      <w:r w:rsidR="00E66771" w:rsidRPr="00150CF3">
        <w:rPr>
          <w:sz w:val="52"/>
          <w:szCs w:val="52"/>
        </w:rPr>
        <w:t>ligibility</w:t>
      </w:r>
      <w:bookmarkEnd w:id="27"/>
      <w:bookmarkEnd w:id="28"/>
    </w:p>
    <w:p w:rsidR="00E66771" w:rsidRPr="003D2F00" w:rsidRDefault="00E66771" w:rsidP="00346DFC">
      <w:pPr>
        <w:pStyle w:val="Heading1"/>
        <w:ind w:hanging="1000"/>
      </w:pPr>
      <w:bookmarkStart w:id="29" w:name="_Ref389782737"/>
      <w:bookmarkStart w:id="30" w:name="_Toc393908553"/>
      <w:bookmarkStart w:id="31" w:name="_Toc405380418"/>
      <w:bookmarkStart w:id="32" w:name="_Toc407007230"/>
      <w:r w:rsidRPr="003D2F00">
        <w:t>Eligibility criteria</w:t>
      </w:r>
      <w:bookmarkEnd w:id="29"/>
      <w:bookmarkEnd w:id="30"/>
      <w:bookmarkEnd w:id="31"/>
      <w:bookmarkEnd w:id="32"/>
    </w:p>
    <w:p w:rsidR="00E66771" w:rsidRDefault="00E66771" w:rsidP="00F11BA8">
      <w:pPr>
        <w:pStyle w:val="Heading2"/>
        <w:ind w:hanging="1145"/>
      </w:pPr>
      <w:bookmarkStart w:id="33" w:name="_Toc393908554"/>
      <w:bookmarkStart w:id="34" w:name="_Toc405380419"/>
      <w:bookmarkStart w:id="35" w:name="_Toc407007231"/>
      <w:r>
        <w:t>Eligible applicants</w:t>
      </w:r>
      <w:bookmarkEnd w:id="33"/>
      <w:bookmarkEnd w:id="34"/>
      <w:bookmarkEnd w:id="35"/>
    </w:p>
    <w:p w:rsidR="00E66771" w:rsidRPr="00003D4E" w:rsidRDefault="00EB6877" w:rsidP="00890E6F">
      <w:pPr>
        <w:pStyle w:val="Bodynumbered-Level1"/>
        <w:ind w:left="709" w:hanging="709"/>
      </w:pPr>
      <w:bookmarkStart w:id="36" w:name="_Ref389836929"/>
      <w:r>
        <w:t>2.1.1</w:t>
      </w:r>
      <w:r>
        <w:tab/>
      </w:r>
      <w:r w:rsidR="00E66771" w:rsidRPr="00003D4E">
        <w:t xml:space="preserve">To be eligible for funding under the Mobile Black Spot Programme, an applicant must be a national </w:t>
      </w:r>
      <w:r w:rsidR="00E66771">
        <w:t>M</w:t>
      </w:r>
      <w:r w:rsidR="00E66771" w:rsidRPr="00003D4E">
        <w:t xml:space="preserve">obile </w:t>
      </w:r>
      <w:r w:rsidR="00E66771">
        <w:t>N</w:t>
      </w:r>
      <w:r w:rsidR="00E66771" w:rsidRPr="00003D4E">
        <w:t xml:space="preserve">etwork </w:t>
      </w:r>
      <w:r w:rsidR="00E66771">
        <w:t>O</w:t>
      </w:r>
      <w:r w:rsidR="00E66771" w:rsidRPr="00003D4E">
        <w:t>perator</w:t>
      </w:r>
      <w:r w:rsidR="00E66771">
        <w:t xml:space="preserve"> </w:t>
      </w:r>
      <w:r w:rsidR="00E66771" w:rsidRPr="00003D4E">
        <w:t xml:space="preserve">or a </w:t>
      </w:r>
      <w:r w:rsidR="00E66771">
        <w:t>M</w:t>
      </w:r>
      <w:r w:rsidR="00E66771" w:rsidRPr="00003D4E">
        <w:t xml:space="preserve">obile </w:t>
      </w:r>
      <w:r w:rsidR="00E66771">
        <w:t>N</w:t>
      </w:r>
      <w:r w:rsidR="00E66771" w:rsidRPr="00003D4E">
        <w:t xml:space="preserve">etwork </w:t>
      </w:r>
      <w:r w:rsidR="00E66771">
        <w:t>I</w:t>
      </w:r>
      <w:r w:rsidR="00E66771" w:rsidRPr="00003D4E">
        <w:t xml:space="preserve">nfrastructure </w:t>
      </w:r>
      <w:r w:rsidR="00E66771">
        <w:t>P</w:t>
      </w:r>
      <w:r w:rsidR="00E66771" w:rsidRPr="00003D4E">
        <w:t>rovider</w:t>
      </w:r>
      <w:r w:rsidR="00E66771">
        <w:t>.</w:t>
      </w:r>
      <w:bookmarkEnd w:id="36"/>
    </w:p>
    <w:p w:rsidR="00E66771" w:rsidRDefault="00EB6877" w:rsidP="00890E6F">
      <w:pPr>
        <w:pStyle w:val="Bodynumbered-Level1"/>
        <w:ind w:left="709" w:hanging="709"/>
      </w:pPr>
      <w:bookmarkStart w:id="37" w:name="_Ref389836927"/>
      <w:r>
        <w:t>2.1.2</w:t>
      </w:r>
      <w:r>
        <w:tab/>
      </w:r>
      <w:r w:rsidR="00E66771">
        <w:t xml:space="preserve">For the purposes of the Programme, a </w:t>
      </w:r>
      <w:r w:rsidR="00E66771" w:rsidRPr="00003D4E">
        <w:t xml:space="preserve">Mobile </w:t>
      </w:r>
      <w:r w:rsidR="00E66771">
        <w:t>N</w:t>
      </w:r>
      <w:r w:rsidR="00E66771" w:rsidRPr="00003D4E">
        <w:t xml:space="preserve">etwork </w:t>
      </w:r>
      <w:r w:rsidR="00E66771">
        <w:t>O</w:t>
      </w:r>
      <w:r w:rsidR="00E66771" w:rsidRPr="00003D4E">
        <w:t xml:space="preserve">perator </w:t>
      </w:r>
      <w:r w:rsidR="00E66771">
        <w:t>(</w:t>
      </w:r>
      <w:r w:rsidR="00E66771" w:rsidRPr="003D2F00">
        <w:rPr>
          <w:b/>
        </w:rPr>
        <w:t>MNO</w:t>
      </w:r>
      <w:r w:rsidR="00E66771">
        <w:t>) means</w:t>
      </w:r>
      <w:r w:rsidR="00E66771" w:rsidRPr="00003D4E">
        <w:t xml:space="preserve"> a company, other than a </w:t>
      </w:r>
      <w:r w:rsidR="00E66771">
        <w:t>M</w:t>
      </w:r>
      <w:r w:rsidR="00E66771" w:rsidRPr="00003D4E">
        <w:t xml:space="preserve">obile </w:t>
      </w:r>
      <w:r w:rsidR="00E66771">
        <w:t>N</w:t>
      </w:r>
      <w:r w:rsidR="00E66771" w:rsidRPr="00003D4E">
        <w:t xml:space="preserve">etwork </w:t>
      </w:r>
      <w:r w:rsidR="00E66771">
        <w:t>I</w:t>
      </w:r>
      <w:r w:rsidR="00E66771" w:rsidRPr="00003D4E">
        <w:t xml:space="preserve">nfrastructure </w:t>
      </w:r>
      <w:r w:rsidR="00E66771">
        <w:t>P</w:t>
      </w:r>
      <w:r w:rsidR="00E66771" w:rsidRPr="00003D4E">
        <w:t>rovider, that</w:t>
      </w:r>
      <w:r w:rsidR="00E66771">
        <w:t>:</w:t>
      </w:r>
      <w:bookmarkEnd w:id="37"/>
    </w:p>
    <w:p w:rsidR="00EC3996" w:rsidRDefault="00F31703" w:rsidP="00A17362">
      <w:pPr>
        <w:pStyle w:val="Bodynumbered-Level3"/>
        <w:numPr>
          <w:ilvl w:val="0"/>
          <w:numId w:val="0"/>
        </w:numPr>
        <w:ind w:left="1276" w:right="-306" w:hanging="567"/>
      </w:pPr>
      <w:r>
        <w:t>(a)</w:t>
      </w:r>
      <w:r>
        <w:tab/>
      </w:r>
      <w:r w:rsidRPr="003B5277">
        <w:t xml:space="preserve">supplies a public mobile telecommunications service within the meaning of </w:t>
      </w:r>
      <w:r w:rsidRPr="00EF7D45">
        <w:rPr>
          <w:i/>
        </w:rPr>
        <w:t>the Telecommunications Act 1997</w:t>
      </w:r>
      <w:r w:rsidR="00D578B4">
        <w:rPr>
          <w:i/>
        </w:rPr>
        <w:t>;</w:t>
      </w:r>
      <w:r w:rsidR="003F0E35">
        <w:t xml:space="preserve"> </w:t>
      </w:r>
      <w:r w:rsidR="00EC3996">
        <w:t>and</w:t>
      </w:r>
    </w:p>
    <w:p w:rsidR="00E66771" w:rsidRPr="003B5277" w:rsidRDefault="00970D38" w:rsidP="00A17362">
      <w:pPr>
        <w:pStyle w:val="Bodynumbered-Level3"/>
        <w:numPr>
          <w:ilvl w:val="0"/>
          <w:numId w:val="0"/>
        </w:numPr>
        <w:ind w:left="1276" w:right="-188" w:hanging="567"/>
      </w:pPr>
      <w:r>
        <w:t>(b)</w:t>
      </w:r>
      <w:r>
        <w:tab/>
      </w:r>
      <w:r w:rsidR="00E66771" w:rsidRPr="003B5277">
        <w:t xml:space="preserve">holds an apparatus or a spectrum licence </w:t>
      </w:r>
      <w:r w:rsidR="00E66771">
        <w:t xml:space="preserve">(or both) </w:t>
      </w:r>
      <w:r w:rsidR="00E66771" w:rsidRPr="003B5277">
        <w:t xml:space="preserve">for the supply of public mobile telecommunications services under </w:t>
      </w:r>
      <w:r w:rsidR="00E66771" w:rsidRPr="0018433C">
        <w:rPr>
          <w:i/>
        </w:rPr>
        <w:t>the Radiocommunications</w:t>
      </w:r>
      <w:r w:rsidR="00E66771" w:rsidRPr="007A240E">
        <w:rPr>
          <w:i/>
        </w:rPr>
        <w:t xml:space="preserve"> Act 1992</w:t>
      </w:r>
      <w:r w:rsidR="00E66771" w:rsidRPr="003B5277">
        <w:t>.</w:t>
      </w:r>
    </w:p>
    <w:p w:rsidR="00E66771" w:rsidRPr="0035161C" w:rsidRDefault="00EB6877" w:rsidP="00FF6A7C">
      <w:pPr>
        <w:pStyle w:val="Bodynumbered-Level1"/>
        <w:ind w:left="709" w:right="-188" w:hanging="709"/>
      </w:pPr>
      <w:r>
        <w:t>2.1.3</w:t>
      </w:r>
      <w:r>
        <w:tab/>
      </w:r>
      <w:r w:rsidR="00E66771">
        <w:t xml:space="preserve">For the purposes of the Programme, a </w:t>
      </w:r>
      <w:r w:rsidR="00E66771" w:rsidRPr="00003D4E">
        <w:t xml:space="preserve">Mobile </w:t>
      </w:r>
      <w:r w:rsidR="00E66771">
        <w:t>N</w:t>
      </w:r>
      <w:r w:rsidR="00E66771" w:rsidRPr="00003D4E">
        <w:t xml:space="preserve">etwork </w:t>
      </w:r>
      <w:r w:rsidR="00E66771">
        <w:t>I</w:t>
      </w:r>
      <w:r w:rsidR="00E66771" w:rsidRPr="00003D4E">
        <w:t xml:space="preserve">nfrastructure </w:t>
      </w:r>
      <w:r w:rsidR="00E66771">
        <w:t>P</w:t>
      </w:r>
      <w:r w:rsidR="00E66771" w:rsidRPr="00003D4E">
        <w:t xml:space="preserve">rovider </w:t>
      </w:r>
      <w:r w:rsidR="00E66771">
        <w:t>(</w:t>
      </w:r>
      <w:r w:rsidR="00E66771" w:rsidRPr="003D2F00">
        <w:rPr>
          <w:b/>
        </w:rPr>
        <w:t>MNIP</w:t>
      </w:r>
      <w:r w:rsidR="00E66771">
        <w:t xml:space="preserve">) means </w:t>
      </w:r>
      <w:r w:rsidR="00E66771" w:rsidRPr="00003D4E">
        <w:t xml:space="preserve">a company, other than a </w:t>
      </w:r>
      <w:r w:rsidR="00E66771">
        <w:t>M</w:t>
      </w:r>
      <w:r w:rsidR="00E66771" w:rsidRPr="00003D4E">
        <w:t xml:space="preserve">obile </w:t>
      </w:r>
      <w:r w:rsidR="00E66771">
        <w:t>N</w:t>
      </w:r>
      <w:r w:rsidR="00E66771" w:rsidRPr="00003D4E">
        <w:t xml:space="preserve">etwork </w:t>
      </w:r>
      <w:r w:rsidR="00E66771">
        <w:t>O</w:t>
      </w:r>
      <w:r w:rsidR="00E66771" w:rsidRPr="00003D4E">
        <w:t>perator, that</w:t>
      </w:r>
      <w:r w:rsidR="00E66771">
        <w:t xml:space="preserve"> </w:t>
      </w:r>
      <w:r w:rsidR="00E66771" w:rsidRPr="00003D4E">
        <w:t>provid</w:t>
      </w:r>
      <w:r w:rsidR="00E66771">
        <w:t>es</w:t>
      </w:r>
      <w:r w:rsidR="00E66771" w:rsidRPr="00003D4E">
        <w:t xml:space="preserve"> communications infrastructure in Australia or overseas, including the installation</w:t>
      </w:r>
      <w:r w:rsidR="00E66771">
        <w:t xml:space="preserve"> and</w:t>
      </w:r>
      <w:r w:rsidR="00E66771" w:rsidRPr="00003D4E">
        <w:t xml:space="preserve"> operation of infrastructure to be used by one or more </w:t>
      </w:r>
      <w:r w:rsidR="00E66771">
        <w:t>M</w:t>
      </w:r>
      <w:r w:rsidR="00E66771" w:rsidRPr="00003D4E">
        <w:t xml:space="preserve">obile </w:t>
      </w:r>
      <w:r w:rsidR="00E66771">
        <w:t>N</w:t>
      </w:r>
      <w:r w:rsidR="00E66771" w:rsidRPr="00003D4E">
        <w:t xml:space="preserve">etwork </w:t>
      </w:r>
      <w:r w:rsidR="00E66771">
        <w:t>O</w:t>
      </w:r>
      <w:r w:rsidR="00E66771" w:rsidRPr="00003D4E">
        <w:t>perators to provide public mobile telecommunications services</w:t>
      </w:r>
      <w:r w:rsidR="00E66771" w:rsidRPr="0035161C">
        <w:t>.</w:t>
      </w:r>
    </w:p>
    <w:p w:rsidR="00E66771" w:rsidRPr="00EF7D45" w:rsidRDefault="00EB6877" w:rsidP="00890E6F">
      <w:pPr>
        <w:pStyle w:val="Bodynumbered-Level1"/>
        <w:ind w:left="709" w:hanging="709"/>
      </w:pPr>
      <w:r>
        <w:t>2.1.4</w:t>
      </w:r>
      <w:r>
        <w:tab/>
      </w:r>
      <w:r w:rsidR="00E66771" w:rsidRPr="00003D4E">
        <w:t xml:space="preserve">MNOs and MNIPs may also apply jointly for funding through the Programme. Joint </w:t>
      </w:r>
      <w:r w:rsidR="00E66771">
        <w:t xml:space="preserve">applications </w:t>
      </w:r>
      <w:r w:rsidR="00E66771" w:rsidRPr="00003D4E">
        <w:t>must be underpinned by commercially binding arrangements or the clear intention to enter into such arrangements</w:t>
      </w:r>
      <w:r w:rsidR="00E66771">
        <w:t xml:space="preserve"> should the application be successful</w:t>
      </w:r>
      <w:r w:rsidR="00E66771" w:rsidRPr="00003D4E">
        <w:t>.</w:t>
      </w:r>
      <w:r w:rsidR="00E66771">
        <w:t xml:space="preserve"> Awards to joint applicants may be granted on the condition that the parties would enter into a binding arrangement approved by the Department prior to finalisation of the </w:t>
      </w:r>
      <w:r w:rsidR="00E66771" w:rsidRPr="003D2F00">
        <w:rPr>
          <w:b/>
        </w:rPr>
        <w:t>Funding Agreement</w:t>
      </w:r>
      <w:r w:rsidR="00E66771">
        <w:t>.</w:t>
      </w:r>
    </w:p>
    <w:p w:rsidR="00E66771" w:rsidRDefault="00E66771" w:rsidP="00A06684">
      <w:pPr>
        <w:pStyle w:val="Heading2"/>
        <w:ind w:hanging="1144"/>
      </w:pPr>
      <w:bookmarkStart w:id="38" w:name="_Toc393908555"/>
      <w:bookmarkStart w:id="39" w:name="_Toc405380420"/>
      <w:bookmarkStart w:id="40" w:name="_Toc407007232"/>
      <w:r>
        <w:t>Eligible locations</w:t>
      </w:r>
      <w:bookmarkEnd w:id="38"/>
      <w:bookmarkEnd w:id="39"/>
      <w:bookmarkEnd w:id="40"/>
    </w:p>
    <w:p w:rsidR="00E66771" w:rsidRDefault="00EB6877" w:rsidP="00890E6F">
      <w:pPr>
        <w:pStyle w:val="Bodynumbered-Level1"/>
        <w:ind w:left="709" w:hanging="709"/>
      </w:pPr>
      <w:r>
        <w:t>2.2.1</w:t>
      </w:r>
      <w:r>
        <w:tab/>
      </w:r>
      <w:r w:rsidR="00E66771">
        <w:t xml:space="preserve">Between </w:t>
      </w:r>
      <w:r w:rsidR="00E66771" w:rsidRPr="00793422">
        <w:t xml:space="preserve">December 2013 and </w:t>
      </w:r>
      <w:r w:rsidR="00E66771">
        <w:t>1</w:t>
      </w:r>
      <w:r w:rsidR="00E66771" w:rsidRPr="00793422">
        <w:t xml:space="preserve"> </w:t>
      </w:r>
      <w:r w:rsidR="00E66771">
        <w:t>August</w:t>
      </w:r>
      <w:r w:rsidR="00E66771" w:rsidRPr="00793422">
        <w:t xml:space="preserve"> 2014, </w:t>
      </w:r>
      <w:r w:rsidR="00E66771">
        <w:t>approximately</w:t>
      </w:r>
      <w:r w:rsidR="00E66771" w:rsidRPr="00793422">
        <w:t xml:space="preserve"> </w:t>
      </w:r>
      <w:r w:rsidR="00E66771" w:rsidRPr="007D3CF4">
        <w:t>6</w:t>
      </w:r>
      <w:r w:rsidR="00E66771">
        <w:t>,</w:t>
      </w:r>
      <w:r w:rsidR="00E66771" w:rsidRPr="007D3CF4">
        <w:t>000</w:t>
      </w:r>
      <w:r w:rsidR="00E66771" w:rsidRPr="00793422">
        <w:t xml:space="preserve"> individual regional locations had been reported to the Department as having in</w:t>
      </w:r>
      <w:r w:rsidR="00E66771">
        <w:t>adequate mobile phone coverage.</w:t>
      </w:r>
    </w:p>
    <w:p w:rsidR="00E66771" w:rsidRDefault="00EB6877" w:rsidP="00890E6F">
      <w:pPr>
        <w:pStyle w:val="Bodynumbered-Level1"/>
        <w:ind w:left="709" w:hanging="709"/>
      </w:pPr>
      <w:r>
        <w:t>2.2.2</w:t>
      </w:r>
      <w:r>
        <w:tab/>
      </w:r>
      <w:r w:rsidR="00E66771" w:rsidRPr="00793422">
        <w:t>It will only be possible to address a portion of these reported locations through the Programme, and therefore it is very important that the areas of highest need are identified</w:t>
      </w:r>
      <w:r w:rsidR="00E66771">
        <w:t>.</w:t>
      </w:r>
    </w:p>
    <w:p w:rsidR="00E66771" w:rsidRDefault="00EB6877" w:rsidP="00890E6F">
      <w:pPr>
        <w:pStyle w:val="Bodynumbered-Level1"/>
        <w:ind w:left="709" w:hanging="709"/>
      </w:pPr>
      <w:r>
        <w:t>2.2.3</w:t>
      </w:r>
      <w:r>
        <w:tab/>
      </w:r>
      <w:r w:rsidR="00E66771" w:rsidRPr="00003D4E">
        <w:t xml:space="preserve">To be eligible for consideration </w:t>
      </w:r>
      <w:r w:rsidR="00E66771">
        <w:t xml:space="preserve">for </w:t>
      </w:r>
      <w:r w:rsidR="00E66771" w:rsidRPr="00003D4E">
        <w:t xml:space="preserve">funding under the Programme, a new or upgraded </w:t>
      </w:r>
      <w:r w:rsidR="00E66771" w:rsidRPr="003D2F00">
        <w:rPr>
          <w:b/>
        </w:rPr>
        <w:t>Proposed Base Station</w:t>
      </w:r>
      <w:r w:rsidR="00E66771" w:rsidRPr="00003D4E">
        <w:t xml:space="preserve"> must deliver improved mobile coverage to an area identified in the </w:t>
      </w:r>
      <w:r w:rsidR="00E66771" w:rsidRPr="003D2F00">
        <w:rPr>
          <w:b/>
        </w:rPr>
        <w:t>Database of Reported Locations</w:t>
      </w:r>
      <w:r w:rsidR="00E66771">
        <w:t>.</w:t>
      </w:r>
    </w:p>
    <w:p w:rsidR="00E66771" w:rsidRPr="00003D4E" w:rsidRDefault="00EB6877" w:rsidP="00E204B4">
      <w:pPr>
        <w:pStyle w:val="Bodynumbered-Level1"/>
        <w:keepNext/>
        <w:keepLines/>
        <w:ind w:left="709" w:hanging="709"/>
      </w:pPr>
      <w:r>
        <w:t>2.2.4</w:t>
      </w:r>
      <w:r>
        <w:tab/>
      </w:r>
      <w:r w:rsidR="00E66771" w:rsidRPr="00003D4E">
        <w:t xml:space="preserve">The following areas will be ineligible under the </w:t>
      </w:r>
      <w:r w:rsidR="00E66771">
        <w:t>P</w:t>
      </w:r>
      <w:r w:rsidR="00E66771" w:rsidRPr="00003D4E">
        <w:t>rogramme:</w:t>
      </w:r>
    </w:p>
    <w:p w:rsidR="00E66771" w:rsidRPr="00003D4E" w:rsidRDefault="00970D38" w:rsidP="00E204B4">
      <w:pPr>
        <w:pStyle w:val="Bodynumbered-Level3"/>
        <w:keepNext/>
        <w:keepLines/>
        <w:numPr>
          <w:ilvl w:val="0"/>
          <w:numId w:val="0"/>
        </w:numPr>
        <w:ind w:left="1276" w:hanging="567"/>
      </w:pPr>
      <w:r>
        <w:t>(a)</w:t>
      </w:r>
      <w:r>
        <w:tab/>
      </w:r>
      <w:r w:rsidR="00E66771" w:rsidRPr="00003D4E">
        <w:t xml:space="preserve">areas located within the Urban Centres and Localities geographical units classified by the Australian Bureau of Statistics as ‘Major Urban’, i.e. with a population of 100,000 </w:t>
      </w:r>
      <w:r w:rsidR="00E66771" w:rsidRPr="00003D4E">
        <w:lastRenderedPageBreak/>
        <w:t>or more (the Department will provide map overlays to eligible appli</w:t>
      </w:r>
      <w:r w:rsidR="00EC3996">
        <w:t>cants showing ineligible areas)</w:t>
      </w:r>
      <w:r w:rsidR="00E311E6">
        <w:t>;</w:t>
      </w:r>
    </w:p>
    <w:p w:rsidR="00E66771" w:rsidRPr="00003D4E" w:rsidRDefault="00970D38" w:rsidP="00A17362">
      <w:pPr>
        <w:pStyle w:val="Bodynumbered-Level3"/>
        <w:numPr>
          <w:ilvl w:val="0"/>
          <w:numId w:val="0"/>
        </w:numPr>
        <w:ind w:left="1276" w:hanging="567"/>
      </w:pPr>
      <w:r>
        <w:t>(b)</w:t>
      </w:r>
      <w:r>
        <w:tab/>
      </w:r>
      <w:r w:rsidR="00E66771" w:rsidRPr="00003D4E">
        <w:t xml:space="preserve">part of any MNO’s existing </w:t>
      </w:r>
      <w:r w:rsidR="00E66771" w:rsidRPr="00970D38">
        <w:rPr>
          <w:b/>
        </w:rPr>
        <w:t>Handheld Coverage</w:t>
      </w:r>
      <w:r w:rsidR="003F0E35">
        <w:t xml:space="preserve"> area</w:t>
      </w:r>
      <w:r w:rsidR="00E311E6">
        <w:t>;</w:t>
      </w:r>
      <w:r w:rsidR="003F0E35">
        <w:t xml:space="preserve"> </w:t>
      </w:r>
      <w:r w:rsidR="00E66771" w:rsidRPr="00003D4E">
        <w:t>or</w:t>
      </w:r>
    </w:p>
    <w:p w:rsidR="00E66771" w:rsidRDefault="00970D38" w:rsidP="00A17362">
      <w:pPr>
        <w:pStyle w:val="Bodynumbered-Level3"/>
        <w:numPr>
          <w:ilvl w:val="0"/>
          <w:numId w:val="0"/>
        </w:numPr>
        <w:ind w:left="1276" w:hanging="567"/>
      </w:pPr>
      <w:r>
        <w:t>(c)</w:t>
      </w:r>
      <w:r>
        <w:tab/>
      </w:r>
      <w:r w:rsidR="00E66771" w:rsidRPr="00003D4E">
        <w:t>an area that is part of the eligible applicant’s existing three-year forward-build network coverage plans</w:t>
      </w:r>
      <w:r w:rsidR="00E66771">
        <w:t>.</w:t>
      </w:r>
    </w:p>
    <w:p w:rsidR="00E66771" w:rsidRPr="008E3258" w:rsidRDefault="00E66771" w:rsidP="00A17362">
      <w:pPr>
        <w:pStyle w:val="Bodynumbered-Level1"/>
        <w:ind w:left="1276" w:hanging="1276"/>
      </w:pPr>
      <w:r w:rsidRPr="003D2F00">
        <w:rPr>
          <w:b/>
          <w:bCs/>
          <w:color w:val="000000"/>
        </w:rPr>
        <w:t>Note:</w:t>
      </w:r>
      <w:r w:rsidR="00E03BF5">
        <w:rPr>
          <w:bCs/>
          <w:color w:val="000000"/>
        </w:rPr>
        <w:tab/>
        <w:t>T</w:t>
      </w:r>
      <w:r w:rsidR="00EC3996">
        <w:rPr>
          <w:bCs/>
          <w:color w:val="000000"/>
        </w:rPr>
        <w:t>he t</w:t>
      </w:r>
      <w:r w:rsidRPr="00044B42">
        <w:rPr>
          <w:bCs/>
          <w:color w:val="000000"/>
        </w:rPr>
        <w:t xml:space="preserve">erm </w:t>
      </w:r>
      <w:r w:rsidR="00E03BF5">
        <w:rPr>
          <w:bCs/>
          <w:color w:val="000000"/>
        </w:rPr>
        <w:t>‘</w:t>
      </w:r>
      <w:r w:rsidRPr="00044B42">
        <w:rPr>
          <w:bCs/>
          <w:color w:val="000000"/>
        </w:rPr>
        <w:t>Han</w:t>
      </w:r>
      <w:r>
        <w:rPr>
          <w:bCs/>
          <w:color w:val="000000"/>
        </w:rPr>
        <w:t>d</w:t>
      </w:r>
      <w:r w:rsidRPr="00044B42">
        <w:rPr>
          <w:bCs/>
          <w:color w:val="000000"/>
        </w:rPr>
        <w:t>held Coverage</w:t>
      </w:r>
      <w:r w:rsidR="00E03BF5">
        <w:rPr>
          <w:bCs/>
          <w:color w:val="000000"/>
        </w:rPr>
        <w:t>’</w:t>
      </w:r>
      <w:r w:rsidRPr="00044B42">
        <w:rPr>
          <w:bCs/>
          <w:color w:val="000000"/>
        </w:rPr>
        <w:t xml:space="preserve"> </w:t>
      </w:r>
      <w:r>
        <w:rPr>
          <w:bCs/>
          <w:color w:val="000000"/>
        </w:rPr>
        <w:t>used in</w:t>
      </w:r>
      <w:r w:rsidRPr="00044B42">
        <w:rPr>
          <w:bCs/>
          <w:color w:val="000000"/>
        </w:rPr>
        <w:t xml:space="preserve"> </w:t>
      </w:r>
      <w:r>
        <w:rPr>
          <w:bCs/>
          <w:color w:val="000000"/>
        </w:rPr>
        <w:t xml:space="preserve">2.2.4(b) </w:t>
      </w:r>
      <w:r w:rsidR="00EB6877">
        <w:rPr>
          <w:bCs/>
          <w:color w:val="000000"/>
        </w:rPr>
        <w:t>has a different meaning to the h</w:t>
      </w:r>
      <w:r>
        <w:rPr>
          <w:bCs/>
          <w:color w:val="000000"/>
        </w:rPr>
        <w:t>andheld coverage modelling requirements specified at 4.2.3(b)</w:t>
      </w:r>
      <w:r w:rsidRPr="00044B42">
        <w:rPr>
          <w:bCs/>
          <w:color w:val="000000"/>
        </w:rPr>
        <w:t>.</w:t>
      </w:r>
    </w:p>
    <w:p w:rsidR="00E66771" w:rsidRPr="00EF7D45" w:rsidRDefault="00EB6877" w:rsidP="00890E6F">
      <w:pPr>
        <w:pStyle w:val="Bodynumbered-Level1"/>
        <w:ind w:left="709" w:hanging="709"/>
      </w:pPr>
      <w:r>
        <w:t>2.2.5</w:t>
      </w:r>
      <w:r>
        <w:tab/>
      </w:r>
      <w:r w:rsidR="00E66771" w:rsidRPr="00003D4E">
        <w:t>To the extent that a Proposed Base Station provides coverage to both eligible and ineligible areas, the ineligible portion of coverage will not be considered in the assessment of applications.</w:t>
      </w:r>
    </w:p>
    <w:p w:rsidR="00E66771" w:rsidRPr="00E04541" w:rsidRDefault="00E66771" w:rsidP="00A06684">
      <w:pPr>
        <w:pStyle w:val="Heading2"/>
        <w:ind w:hanging="1144"/>
      </w:pPr>
      <w:bookmarkStart w:id="41" w:name="_Toc386635486"/>
      <w:bookmarkStart w:id="42" w:name="_Ref389830818"/>
      <w:bookmarkStart w:id="43" w:name="_Toc393908556"/>
      <w:bookmarkStart w:id="44" w:name="_Toc405380421"/>
      <w:bookmarkStart w:id="45" w:name="_Toc407007233"/>
      <w:r w:rsidRPr="00E04541">
        <w:t>Existing network plans</w:t>
      </w:r>
      <w:bookmarkEnd w:id="41"/>
      <w:bookmarkEnd w:id="42"/>
      <w:bookmarkEnd w:id="43"/>
      <w:bookmarkEnd w:id="44"/>
      <w:bookmarkEnd w:id="45"/>
    </w:p>
    <w:p w:rsidR="00E66771" w:rsidRPr="00165610" w:rsidRDefault="00EB6877" w:rsidP="00890E6F">
      <w:pPr>
        <w:pStyle w:val="Bodynumbered-Level1"/>
        <w:ind w:left="709" w:hanging="709"/>
      </w:pPr>
      <w:r>
        <w:t>2.3.1</w:t>
      </w:r>
      <w:r>
        <w:tab/>
      </w:r>
      <w:r w:rsidR="00E66771" w:rsidRPr="00165610">
        <w:t xml:space="preserve">To ensure that applicants do not seek Commonwealth funding for Proposed Base Stations where they have already planned to invest commercially, all applicants </w:t>
      </w:r>
      <w:r w:rsidR="00E66771">
        <w:t xml:space="preserve">(including MNIPs) </w:t>
      </w:r>
      <w:r w:rsidR="00E66771" w:rsidRPr="00165610">
        <w:t>must provide the Commonwealth (in-confidence) with their network expansion plans (locations and costs) for 2014-15 to 2016-17, as well as information on the locations and costs of the mobile coverage improvements provided in the preceding three financial years.</w:t>
      </w:r>
    </w:p>
    <w:p w:rsidR="00E66771" w:rsidRPr="00165610" w:rsidRDefault="00EB6877" w:rsidP="00890E6F">
      <w:pPr>
        <w:pStyle w:val="Bodynumbered-Level1"/>
        <w:ind w:left="709" w:hanging="709"/>
      </w:pPr>
      <w:r>
        <w:t>2.3.2</w:t>
      </w:r>
      <w:r>
        <w:tab/>
      </w:r>
      <w:r w:rsidR="00E66771" w:rsidRPr="00165610">
        <w:t xml:space="preserve">Additionally, applicants must certify that any Proposed Base Stations for which </w:t>
      </w:r>
      <w:r w:rsidR="00E66771" w:rsidRPr="00C34CFE">
        <w:t xml:space="preserve">Commonwealth funds are being sought were </w:t>
      </w:r>
      <w:r w:rsidR="00E66771" w:rsidRPr="00DD65AB">
        <w:t>not at any time part of their 2014-15 to 2016-17 forward</w:t>
      </w:r>
      <w:r w:rsidR="00E66771" w:rsidRPr="00DD65AB">
        <w:noBreakHyphen/>
        <w:t>build network expansion plans.</w:t>
      </w:r>
    </w:p>
    <w:p w:rsidR="00E66771" w:rsidRPr="00EF7D45" w:rsidRDefault="00EB6877" w:rsidP="00890E6F">
      <w:pPr>
        <w:pStyle w:val="Bodynumbered-Level1"/>
        <w:ind w:left="709" w:hanging="709"/>
      </w:pPr>
      <w:r>
        <w:t>2.3.3</w:t>
      </w:r>
      <w:r>
        <w:tab/>
      </w:r>
      <w:r w:rsidR="00E66771" w:rsidRPr="00165610">
        <w:t>On request, applicants must also make this information available on an in</w:t>
      </w:r>
      <w:r w:rsidR="00E66771" w:rsidRPr="00165610">
        <w:noBreakHyphen/>
        <w:t>confidence basis to State/Territory governments.</w:t>
      </w:r>
    </w:p>
    <w:p w:rsidR="00E66771" w:rsidRPr="00EF7D45" w:rsidRDefault="00EB6877" w:rsidP="00890E6F">
      <w:pPr>
        <w:pStyle w:val="Bodynumbered-Level1"/>
        <w:ind w:left="709" w:hanging="709"/>
      </w:pPr>
      <w:r>
        <w:t>2.3.4</w:t>
      </w:r>
      <w:r>
        <w:tab/>
      </w:r>
      <w:r w:rsidR="00E66771" w:rsidRPr="00165610">
        <w:t>The Department will monitor and reconcile current mobile coverage expansion plans of MNOs with the actual build in any future Commonwealth programme to expand mobile coverage. The Government will have regard to the extent to which the actual build of an MNO correlates with the network expansion plans provided to the Department by that MNO under the Programme.</w:t>
      </w:r>
    </w:p>
    <w:p w:rsidR="00E66771" w:rsidRPr="00150CF3" w:rsidRDefault="00E66771" w:rsidP="00FF6A7C">
      <w:pPr>
        <w:pStyle w:val="Heading1"/>
        <w:numPr>
          <w:ilvl w:val="0"/>
          <w:numId w:val="0"/>
        </w:numPr>
        <w:ind w:left="1843" w:hanging="1843"/>
        <w:rPr>
          <w:sz w:val="52"/>
          <w:szCs w:val="52"/>
        </w:rPr>
      </w:pPr>
      <w:r>
        <w:br w:type="page"/>
      </w:r>
      <w:bookmarkStart w:id="46" w:name="_Toc393908557"/>
      <w:bookmarkStart w:id="47" w:name="_Toc405380422"/>
      <w:bookmarkStart w:id="48" w:name="_Toc407007234"/>
      <w:r w:rsidRPr="00150CF3">
        <w:rPr>
          <w:sz w:val="52"/>
          <w:szCs w:val="52"/>
        </w:rPr>
        <w:lastRenderedPageBreak/>
        <w:t>Part B – Programme requirements and considerations</w:t>
      </w:r>
      <w:bookmarkEnd w:id="46"/>
      <w:bookmarkEnd w:id="47"/>
      <w:bookmarkEnd w:id="48"/>
    </w:p>
    <w:p w:rsidR="00E66771" w:rsidRDefault="00E66771" w:rsidP="00346DFC">
      <w:pPr>
        <w:pStyle w:val="Heading1"/>
        <w:ind w:hanging="1000"/>
      </w:pPr>
      <w:bookmarkStart w:id="49" w:name="_Toc393908558"/>
      <w:bookmarkStart w:id="50" w:name="_Toc405380423"/>
      <w:bookmarkStart w:id="51" w:name="_Toc407007235"/>
      <w:r>
        <w:t>Funding Agreements</w:t>
      </w:r>
      <w:bookmarkEnd w:id="49"/>
      <w:bookmarkEnd w:id="50"/>
      <w:bookmarkEnd w:id="51"/>
    </w:p>
    <w:p w:rsidR="00E66771" w:rsidRPr="00D05E5E" w:rsidRDefault="00E66771" w:rsidP="00A06684">
      <w:pPr>
        <w:pStyle w:val="Heading2"/>
        <w:ind w:hanging="1144"/>
      </w:pPr>
      <w:bookmarkStart w:id="52" w:name="_Toc393908559"/>
      <w:bookmarkStart w:id="53" w:name="_Toc405380424"/>
      <w:bookmarkStart w:id="54" w:name="_Toc407007236"/>
      <w:r w:rsidRPr="00D05E5E">
        <w:t>Introduction</w:t>
      </w:r>
      <w:bookmarkEnd w:id="52"/>
      <w:bookmarkEnd w:id="53"/>
      <w:bookmarkEnd w:id="54"/>
    </w:p>
    <w:p w:rsidR="00E66771" w:rsidRDefault="00EB6877" w:rsidP="00890E6F">
      <w:pPr>
        <w:pStyle w:val="Bodynumbered-Level1"/>
        <w:ind w:left="709" w:hanging="709"/>
      </w:pPr>
      <w:r>
        <w:t>3.1.1</w:t>
      </w:r>
      <w:r>
        <w:tab/>
      </w:r>
      <w:r w:rsidR="00E66771">
        <w:t xml:space="preserve">Each </w:t>
      </w:r>
      <w:r w:rsidR="00E66771" w:rsidRPr="003D2F00">
        <w:rPr>
          <w:b/>
        </w:rPr>
        <w:t>Funding</w:t>
      </w:r>
      <w:r w:rsidR="00E66771" w:rsidRPr="002C176B">
        <w:t xml:space="preserve"> </w:t>
      </w:r>
      <w:r w:rsidR="00E66771" w:rsidRPr="003D2F00">
        <w:rPr>
          <w:b/>
        </w:rPr>
        <w:t>Recipient</w:t>
      </w:r>
      <w:r w:rsidR="00E66771" w:rsidRPr="006222CD">
        <w:t xml:space="preserve"> </w:t>
      </w:r>
      <w:r w:rsidR="00E66771">
        <w:t xml:space="preserve">will be required to enter into </w:t>
      </w:r>
      <w:r w:rsidR="00E66771" w:rsidRPr="006222CD">
        <w:t xml:space="preserve">a </w:t>
      </w:r>
      <w:r w:rsidR="00E66771" w:rsidRPr="001470A7">
        <w:t>Funding Agreement</w:t>
      </w:r>
      <w:r w:rsidR="00E66771" w:rsidRPr="00002067">
        <w:t xml:space="preserve"> </w:t>
      </w:r>
      <w:r w:rsidR="00E66771">
        <w:t>with the Commonwealth.</w:t>
      </w:r>
    </w:p>
    <w:p w:rsidR="00E66771" w:rsidRPr="003F7B9F" w:rsidRDefault="00EB6877" w:rsidP="00890E6F">
      <w:pPr>
        <w:pStyle w:val="Bodynumbered-Level1"/>
        <w:ind w:left="709" w:hanging="709"/>
      </w:pPr>
      <w:r>
        <w:t>3.1.2</w:t>
      </w:r>
      <w:r>
        <w:tab/>
      </w:r>
      <w:r w:rsidR="00E66771" w:rsidRPr="006222CD">
        <w:t xml:space="preserve">A draft Funding Agreement is at </w:t>
      </w:r>
      <w:r w:rsidR="00E66771" w:rsidRPr="003F7B9F">
        <w:t>Attachment A</w:t>
      </w:r>
      <w:r w:rsidR="00E66771" w:rsidRPr="006222CD">
        <w:t xml:space="preserve"> of these Guidelines</w:t>
      </w:r>
      <w:r w:rsidR="00E66771">
        <w:t>.</w:t>
      </w:r>
    </w:p>
    <w:p w:rsidR="00E66771" w:rsidRPr="008D5A45" w:rsidRDefault="00EB6877" w:rsidP="00890E6F">
      <w:pPr>
        <w:pStyle w:val="Bodynumbered-Level1"/>
        <w:ind w:left="709" w:hanging="709"/>
      </w:pPr>
      <w:r>
        <w:t>3.1.3</w:t>
      </w:r>
      <w:r>
        <w:tab/>
      </w:r>
      <w:r w:rsidR="00E66771">
        <w:t xml:space="preserve">Commonwealth funding under the Programme will be for the </w:t>
      </w:r>
      <w:r w:rsidR="00E66771" w:rsidRPr="00397919">
        <w:t xml:space="preserve">capital </w:t>
      </w:r>
      <w:r w:rsidR="00E66771">
        <w:t>costs</w:t>
      </w:r>
      <w:r w:rsidR="00E66771" w:rsidRPr="00397919">
        <w:t xml:space="preserve"> of </w:t>
      </w:r>
      <w:r w:rsidR="00E66771">
        <w:t xml:space="preserve">building </w:t>
      </w:r>
      <w:r w:rsidR="00E66771" w:rsidRPr="003D2F00">
        <w:rPr>
          <w:b/>
        </w:rPr>
        <w:t>Funded</w:t>
      </w:r>
      <w:r w:rsidR="00E66771" w:rsidRPr="002C176B">
        <w:t xml:space="preserve"> </w:t>
      </w:r>
      <w:r w:rsidR="00E66771" w:rsidRPr="003D2F00">
        <w:rPr>
          <w:b/>
        </w:rPr>
        <w:t>Base</w:t>
      </w:r>
      <w:r w:rsidR="00E66771" w:rsidRPr="002C176B">
        <w:t xml:space="preserve"> </w:t>
      </w:r>
      <w:r w:rsidR="00E66771" w:rsidRPr="003D2F00">
        <w:rPr>
          <w:b/>
        </w:rPr>
        <w:t>Stations</w:t>
      </w:r>
      <w:r w:rsidR="00E66771">
        <w:t xml:space="preserve"> only</w:t>
      </w:r>
      <w:r w:rsidR="00E66771" w:rsidRPr="00397919">
        <w:t>.</w:t>
      </w:r>
      <w:r w:rsidR="00E66771">
        <w:t xml:space="preserve"> </w:t>
      </w:r>
      <w:r w:rsidR="00E66771" w:rsidRPr="008D5A45">
        <w:t xml:space="preserve">All operating costs </w:t>
      </w:r>
      <w:r w:rsidR="00E66771">
        <w:t xml:space="preserve">for Funded Base Stations </w:t>
      </w:r>
      <w:r w:rsidR="00E66771" w:rsidRPr="008D5A45">
        <w:t>will be the responsibility of each Funding Recipient.</w:t>
      </w:r>
    </w:p>
    <w:p w:rsidR="00E66771" w:rsidRPr="00D05E5E" w:rsidRDefault="00E66771" w:rsidP="00A06684">
      <w:pPr>
        <w:pStyle w:val="Heading2"/>
        <w:ind w:hanging="1144"/>
      </w:pPr>
      <w:bookmarkStart w:id="55" w:name="_Toc393908560"/>
      <w:bookmarkStart w:id="56" w:name="_Toc405380425"/>
      <w:bookmarkStart w:id="57" w:name="_Toc407007237"/>
      <w:r w:rsidRPr="00D05E5E">
        <w:t>Co-contributions</w:t>
      </w:r>
      <w:bookmarkEnd w:id="55"/>
      <w:bookmarkEnd w:id="56"/>
      <w:bookmarkEnd w:id="57"/>
    </w:p>
    <w:p w:rsidR="00E66771" w:rsidRDefault="00EB6877" w:rsidP="00890E6F">
      <w:pPr>
        <w:pStyle w:val="Bodynumbered-Level1"/>
        <w:ind w:left="709" w:hanging="709"/>
      </w:pPr>
      <w:r>
        <w:t>3.2.1</w:t>
      </w:r>
      <w:r>
        <w:tab/>
      </w:r>
      <w:r w:rsidR="00E66771" w:rsidRPr="00397919">
        <w:t>All Funding Recipients will be required to make a substantial co-contribution to the capital costs of building each Funded Base Station.</w:t>
      </w:r>
    </w:p>
    <w:p w:rsidR="00E66771" w:rsidRDefault="00EC3996" w:rsidP="00890E6F">
      <w:pPr>
        <w:pStyle w:val="Bodynumbered-Level1"/>
        <w:ind w:left="709" w:hanging="709"/>
      </w:pPr>
      <w:r>
        <w:t>3.2.2</w:t>
      </w:r>
      <w:r w:rsidR="00EB6877">
        <w:tab/>
      </w:r>
      <w:r w:rsidR="00E66771">
        <w:t xml:space="preserve">As noted in section </w:t>
      </w:r>
      <w:r w:rsidR="00E66771">
        <w:fldChar w:fldCharType="begin"/>
      </w:r>
      <w:r w:rsidR="00E66771">
        <w:instrText xml:space="preserve"> REF _Ref389773188 \r \h  \* MERGEFORMAT </w:instrText>
      </w:r>
      <w:r w:rsidR="00E66771">
        <w:fldChar w:fldCharType="separate"/>
      </w:r>
      <w:r w:rsidR="00BB1979">
        <w:t>5.1</w:t>
      </w:r>
      <w:r w:rsidR="00E66771">
        <w:fldChar w:fldCharType="end"/>
      </w:r>
      <w:r w:rsidR="00E66771">
        <w:t xml:space="preserve"> below, the Department also expects that there will be contributions to the Programme from some State, T</w:t>
      </w:r>
      <w:r w:rsidR="00E66771" w:rsidRPr="006222CD">
        <w:t xml:space="preserve">erritory </w:t>
      </w:r>
      <w:r w:rsidR="00E66771">
        <w:t xml:space="preserve">and local </w:t>
      </w:r>
      <w:r w:rsidR="00E66771" w:rsidRPr="006222CD">
        <w:t>government</w:t>
      </w:r>
      <w:r w:rsidR="00E66771">
        <w:t>s.</w:t>
      </w:r>
    </w:p>
    <w:p w:rsidR="00E66771" w:rsidRDefault="00EB6877" w:rsidP="00890E6F">
      <w:pPr>
        <w:pStyle w:val="Bodynumbered-Level1"/>
        <w:ind w:left="709" w:hanging="709"/>
      </w:pPr>
      <w:r>
        <w:t>3.2.3</w:t>
      </w:r>
      <w:r>
        <w:tab/>
      </w:r>
      <w:r w:rsidR="00E66771" w:rsidRPr="006222CD">
        <w:t xml:space="preserve">For Funded Base Stations that include a co-contribution from a </w:t>
      </w:r>
      <w:r w:rsidR="00E66771">
        <w:t>S</w:t>
      </w:r>
      <w:r w:rsidR="00E66771" w:rsidRPr="006222CD">
        <w:t xml:space="preserve">tate or </w:t>
      </w:r>
      <w:r w:rsidR="00E66771">
        <w:t>T</w:t>
      </w:r>
      <w:r w:rsidR="00E66771" w:rsidRPr="006222CD">
        <w:t xml:space="preserve">erritory government, </w:t>
      </w:r>
      <w:r w:rsidR="00E66771">
        <w:t>the Department expects that Funding Recipients will be required to enter into either</w:t>
      </w:r>
      <w:r w:rsidR="008E3631">
        <w:t xml:space="preserve"> a</w:t>
      </w:r>
      <w:r w:rsidR="00E66771">
        <w:t>:</w:t>
      </w:r>
    </w:p>
    <w:p w:rsidR="00E66771" w:rsidRDefault="008E3631" w:rsidP="00810192">
      <w:pPr>
        <w:pStyle w:val="Bodynumbered-Level3"/>
        <w:numPr>
          <w:ilvl w:val="0"/>
          <w:numId w:val="0"/>
        </w:numPr>
        <w:ind w:left="1276" w:hanging="567"/>
      </w:pPr>
      <w:r>
        <w:t>(a)</w:t>
      </w:r>
      <w:r>
        <w:tab/>
      </w:r>
      <w:r w:rsidR="00E66771" w:rsidRPr="006222CD">
        <w:t xml:space="preserve">Funding Agreement </w:t>
      </w:r>
      <w:r w:rsidR="00E66771">
        <w:t>with</w:t>
      </w:r>
      <w:r w:rsidR="00E66771" w:rsidRPr="006222CD">
        <w:t xml:space="preserve"> the respective </w:t>
      </w:r>
      <w:r w:rsidR="00E66771">
        <w:t>S</w:t>
      </w:r>
      <w:r w:rsidR="00E66771" w:rsidRPr="006222CD">
        <w:t xml:space="preserve">tate or </w:t>
      </w:r>
      <w:r w:rsidR="00E66771">
        <w:t>T</w:t>
      </w:r>
      <w:r w:rsidR="00E66771" w:rsidRPr="006222CD">
        <w:t>erritory government and the Commonwealth</w:t>
      </w:r>
      <w:r w:rsidR="00FF6A7C">
        <w:t>;</w:t>
      </w:r>
      <w:r w:rsidR="00D51DBD">
        <w:t xml:space="preserve"> or</w:t>
      </w:r>
    </w:p>
    <w:p w:rsidR="00EC3996" w:rsidRDefault="00BB608B" w:rsidP="00810192">
      <w:pPr>
        <w:pStyle w:val="Bodynumbered-Level3"/>
        <w:numPr>
          <w:ilvl w:val="0"/>
          <w:numId w:val="0"/>
        </w:numPr>
        <w:ind w:left="1276" w:hanging="567"/>
      </w:pPr>
      <w:r>
        <w:t>(b)</w:t>
      </w:r>
      <w:r w:rsidR="008E3631">
        <w:tab/>
      </w:r>
      <w:r w:rsidR="00E66771">
        <w:t xml:space="preserve">Funding Agreement with the Commonwealth and a separate agreement with </w:t>
      </w:r>
      <w:r w:rsidR="00E66771" w:rsidRPr="006222CD">
        <w:t xml:space="preserve">the respective </w:t>
      </w:r>
      <w:r w:rsidR="00E66771">
        <w:t>S</w:t>
      </w:r>
      <w:r w:rsidR="00E66771" w:rsidRPr="006222CD">
        <w:t xml:space="preserve">tate or </w:t>
      </w:r>
      <w:r w:rsidR="00EC3996">
        <w:t>Territory government</w:t>
      </w:r>
      <w:r w:rsidR="000A3884">
        <w:t>;</w:t>
      </w:r>
      <w:r w:rsidR="003F0E35">
        <w:t xml:space="preserve"> </w:t>
      </w:r>
      <w:r w:rsidR="00EC3996">
        <w:t>o</w:t>
      </w:r>
      <w:r w:rsidR="007C7339">
        <w:t>r</w:t>
      </w:r>
    </w:p>
    <w:p w:rsidR="00E66771" w:rsidRPr="001D088D" w:rsidRDefault="008E3631" w:rsidP="00810192">
      <w:pPr>
        <w:pStyle w:val="Bodynumbered-Level3"/>
        <w:numPr>
          <w:ilvl w:val="0"/>
          <w:numId w:val="0"/>
        </w:numPr>
        <w:ind w:left="1276" w:hanging="567"/>
      </w:pPr>
      <w:r>
        <w:t>(c)</w:t>
      </w:r>
      <w:r>
        <w:tab/>
      </w:r>
      <w:r w:rsidR="00E66771">
        <w:t>Funding Agreement with the Commonwealth and a separate agreement with a local government (who would have separate agreements with the respective State or Territory government).</w:t>
      </w:r>
    </w:p>
    <w:p w:rsidR="00E66771" w:rsidRDefault="001840BC" w:rsidP="00890E6F">
      <w:pPr>
        <w:pStyle w:val="Bodynumbered-Level1"/>
        <w:ind w:left="709" w:hanging="709"/>
      </w:pPr>
      <w:r>
        <w:t>3.2.4</w:t>
      </w:r>
      <w:r>
        <w:tab/>
      </w:r>
      <w:r w:rsidR="00E66771" w:rsidRPr="006222CD">
        <w:t>For Funded Base Stations that include co-contributions from other third part</w:t>
      </w:r>
      <w:r w:rsidR="00E66771">
        <w:t>ies</w:t>
      </w:r>
      <w:r w:rsidR="00E66771" w:rsidRPr="006222CD">
        <w:t xml:space="preserve">, a copy of the </w:t>
      </w:r>
      <w:r w:rsidR="00E66771">
        <w:t xml:space="preserve">terms of the </w:t>
      </w:r>
      <w:r w:rsidR="00E66771" w:rsidRPr="006222CD">
        <w:t>third part</w:t>
      </w:r>
      <w:r w:rsidR="00E66771">
        <w:t>ies’</w:t>
      </w:r>
      <w:r w:rsidR="00E66771" w:rsidRPr="006222CD">
        <w:t xml:space="preserve"> separate and binding commitment to the </w:t>
      </w:r>
      <w:r w:rsidR="00E66771">
        <w:t xml:space="preserve">Funding Recipient </w:t>
      </w:r>
      <w:r w:rsidR="00E66771" w:rsidRPr="006222CD">
        <w:t xml:space="preserve">is to be attached to the Funding Agreement prior to it being executed by the Commonwealth. </w:t>
      </w:r>
      <w:r w:rsidR="00E66771">
        <w:t>Prior to agreeing any relevant third party terms, the Funding Recipient must, if required by the Department:</w:t>
      </w:r>
    </w:p>
    <w:p w:rsidR="00EC3996" w:rsidRDefault="000A3884" w:rsidP="00810192">
      <w:pPr>
        <w:pStyle w:val="Bodynumbered-Level3"/>
        <w:numPr>
          <w:ilvl w:val="0"/>
          <w:numId w:val="0"/>
        </w:numPr>
        <w:ind w:left="1276" w:hanging="567"/>
      </w:pPr>
      <w:r>
        <w:t>(a)</w:t>
      </w:r>
      <w:r>
        <w:tab/>
      </w:r>
      <w:r w:rsidR="00E66771">
        <w:t>provide a copy of t</w:t>
      </w:r>
      <w:r w:rsidR="00EC3996">
        <w:t>he agreement to the Department</w:t>
      </w:r>
      <w:r w:rsidR="003F0E35">
        <w:t xml:space="preserve">; </w:t>
      </w:r>
      <w:r w:rsidR="00EC3996">
        <w:t>and</w:t>
      </w:r>
    </w:p>
    <w:p w:rsidR="00E66771" w:rsidRDefault="000A3884" w:rsidP="00810192">
      <w:pPr>
        <w:pStyle w:val="Bodynumbered-Level3"/>
        <w:numPr>
          <w:ilvl w:val="0"/>
          <w:numId w:val="0"/>
        </w:numPr>
        <w:ind w:left="1276" w:hanging="567"/>
      </w:pPr>
      <w:r>
        <w:t>(b)</w:t>
      </w:r>
      <w:r>
        <w:tab/>
      </w:r>
      <w:r w:rsidR="00E66771" w:rsidRPr="0011529B">
        <w:t>consult with the Department on the agreement terms.</w:t>
      </w:r>
      <w:bookmarkStart w:id="58" w:name="_Toc386635522"/>
      <w:bookmarkStart w:id="59" w:name="_Toc395884298"/>
      <w:bookmarkEnd w:id="59"/>
    </w:p>
    <w:p w:rsidR="00E66771" w:rsidRPr="0031276D" w:rsidRDefault="00E66771" w:rsidP="00A06684">
      <w:pPr>
        <w:pStyle w:val="Heading2"/>
        <w:ind w:hanging="1144"/>
      </w:pPr>
      <w:bookmarkStart w:id="60" w:name="_Toc393908561"/>
      <w:bookmarkStart w:id="61" w:name="_Toc405380426"/>
      <w:bookmarkStart w:id="62" w:name="_Toc407007238"/>
      <w:r w:rsidRPr="0031276D">
        <w:lastRenderedPageBreak/>
        <w:t>Programme evaluation</w:t>
      </w:r>
      <w:bookmarkEnd w:id="58"/>
      <w:bookmarkEnd w:id="60"/>
      <w:bookmarkEnd w:id="61"/>
      <w:bookmarkEnd w:id="62"/>
    </w:p>
    <w:p w:rsidR="00E66771" w:rsidRPr="002B50C5" w:rsidRDefault="001840BC" w:rsidP="00890E6F">
      <w:pPr>
        <w:pStyle w:val="Bodynumbered-Level1"/>
        <w:ind w:left="709" w:hanging="709"/>
      </w:pPr>
      <w:r>
        <w:t>3.3.1</w:t>
      </w:r>
      <w:r>
        <w:tab/>
      </w:r>
      <w:r w:rsidR="00E66771" w:rsidRPr="002B50C5">
        <w:t xml:space="preserve">The Programme will be evaluated by the Department against key performance indicators (KPIs) as agreed with the </w:t>
      </w:r>
      <w:r w:rsidR="00E66771">
        <w:t>F</w:t>
      </w:r>
      <w:r w:rsidR="00E66771" w:rsidRPr="002B50C5">
        <w:t xml:space="preserve">unding </w:t>
      </w:r>
      <w:r w:rsidR="00E66771">
        <w:t>R</w:t>
      </w:r>
      <w:r w:rsidR="00E66771" w:rsidRPr="002B50C5">
        <w:t>ecipient/s. The Department will use the KPIs to monitor, measure and report on progress, outputs, outcomes</w:t>
      </w:r>
      <w:r w:rsidR="00E66771">
        <w:t xml:space="preserve"> and benefits of the Programme.</w:t>
      </w:r>
    </w:p>
    <w:p w:rsidR="00E66771" w:rsidRDefault="001840BC" w:rsidP="000A3884">
      <w:pPr>
        <w:pStyle w:val="Bodynumbered-Level1"/>
        <w:ind w:left="709" w:right="-188" w:hanging="709"/>
      </w:pPr>
      <w:r>
        <w:t>3.3.2</w:t>
      </w:r>
      <w:r>
        <w:tab/>
      </w:r>
      <w:r w:rsidR="00E66771">
        <w:t xml:space="preserve">Funding </w:t>
      </w:r>
      <w:r w:rsidR="00E66771" w:rsidRPr="002B50C5">
        <w:t xml:space="preserve">Recipients will be required to participate in Programme reviews and evaluations. Funding </w:t>
      </w:r>
      <w:r w:rsidR="00E66771">
        <w:t>R</w:t>
      </w:r>
      <w:r w:rsidR="00E66771" w:rsidRPr="002B50C5">
        <w:t xml:space="preserve">ecipients will need to establish baseline data for measuring project and Programme progress. This baseline data will be provided by </w:t>
      </w:r>
      <w:r w:rsidR="00E66771">
        <w:t xml:space="preserve">the applicant </w:t>
      </w:r>
      <w:r w:rsidR="00E66771" w:rsidRPr="002B50C5">
        <w:t>in their application, which will subsequently form the basis of project progress reports.</w:t>
      </w:r>
    </w:p>
    <w:p w:rsidR="00E66771" w:rsidRPr="00FC6486" w:rsidRDefault="00E66771" w:rsidP="00346DFC">
      <w:pPr>
        <w:pStyle w:val="Heading1"/>
        <w:ind w:hanging="1000"/>
      </w:pPr>
      <w:bookmarkStart w:id="63" w:name="_Ref389782744"/>
      <w:bookmarkStart w:id="64" w:name="_Toc393908562"/>
      <w:bookmarkStart w:id="65" w:name="_Toc378930080"/>
      <w:bookmarkStart w:id="66" w:name="_Toc378930204"/>
      <w:bookmarkStart w:id="67" w:name="_Toc386635485"/>
      <w:bookmarkStart w:id="68" w:name="_Toc405380427"/>
      <w:bookmarkStart w:id="69" w:name="_Toc407007239"/>
      <w:r>
        <w:t>Operational</w:t>
      </w:r>
      <w:r w:rsidRPr="00FC6486">
        <w:t xml:space="preserve"> Agreement</w:t>
      </w:r>
      <w:r>
        <w:t>s</w:t>
      </w:r>
      <w:bookmarkEnd w:id="63"/>
      <w:bookmarkEnd w:id="64"/>
      <w:bookmarkEnd w:id="68"/>
      <w:bookmarkEnd w:id="69"/>
    </w:p>
    <w:p w:rsidR="00E66771" w:rsidRPr="002B50C5" w:rsidRDefault="00E66771" w:rsidP="00A06684">
      <w:pPr>
        <w:pStyle w:val="Heading2"/>
        <w:ind w:hanging="1144"/>
      </w:pPr>
      <w:bookmarkStart w:id="70" w:name="_Toc393908563"/>
      <w:bookmarkStart w:id="71" w:name="_Toc405380428"/>
      <w:bookmarkStart w:id="72" w:name="_Toc407007240"/>
      <w:r w:rsidRPr="002B50C5">
        <w:t>Introduction</w:t>
      </w:r>
      <w:bookmarkEnd w:id="70"/>
      <w:bookmarkEnd w:id="71"/>
      <w:bookmarkEnd w:id="72"/>
    </w:p>
    <w:p w:rsidR="00E66771" w:rsidRDefault="001840BC" w:rsidP="00050301">
      <w:pPr>
        <w:pStyle w:val="Bodynumbered-Level1"/>
        <w:ind w:left="709" w:right="-46" w:hanging="709"/>
      </w:pPr>
      <w:r>
        <w:t>4.1.1</w:t>
      </w:r>
      <w:r>
        <w:tab/>
      </w:r>
      <w:r w:rsidR="00E66771">
        <w:t>Each Funding Agreement will include operational agreements setting out the Funding Recipient’s obligations in respect of the roll out, co-location and open access terms and service terms for each Funded Base Station.</w:t>
      </w:r>
    </w:p>
    <w:p w:rsidR="00E66771" w:rsidRDefault="001840BC" w:rsidP="002E2E3C">
      <w:pPr>
        <w:pStyle w:val="Bodynumbered-Level1"/>
        <w:ind w:left="709" w:right="-188" w:hanging="709"/>
      </w:pPr>
      <w:r>
        <w:t>4.1.2</w:t>
      </w:r>
      <w:r>
        <w:tab/>
      </w:r>
      <w:r w:rsidR="00E66771" w:rsidRPr="00FC6486">
        <w:t xml:space="preserve">The </w:t>
      </w:r>
      <w:r w:rsidR="00E66771">
        <w:t xml:space="preserve">Department anticipates that the </w:t>
      </w:r>
      <w:r w:rsidR="00E66771" w:rsidRPr="00FC6486">
        <w:t xml:space="preserve">draft terms for these </w:t>
      </w:r>
      <w:r w:rsidR="00E66771">
        <w:t>operational</w:t>
      </w:r>
      <w:r w:rsidR="00E66771" w:rsidRPr="00FC6486">
        <w:t xml:space="preserve"> </w:t>
      </w:r>
      <w:r w:rsidR="00E66771">
        <w:t xml:space="preserve">agreements </w:t>
      </w:r>
      <w:r w:rsidR="00E66771" w:rsidRPr="00FC6486">
        <w:t xml:space="preserve">will be </w:t>
      </w:r>
      <w:r w:rsidR="00E66771">
        <w:t>released to applicants prior to commencement of Funding Agreement negotiations.</w:t>
      </w:r>
    </w:p>
    <w:p w:rsidR="00E66771" w:rsidRDefault="001840BC" w:rsidP="00890E6F">
      <w:pPr>
        <w:pStyle w:val="Bodynumbered-Level1"/>
        <w:ind w:left="709" w:hanging="709"/>
      </w:pPr>
      <w:r>
        <w:t>4.1.3</w:t>
      </w:r>
      <w:r>
        <w:tab/>
      </w:r>
      <w:r w:rsidR="00E66771">
        <w:t xml:space="preserve">Unless indicated otherwise in these Guidelines, sections </w:t>
      </w:r>
      <w:r w:rsidR="00E66771">
        <w:fldChar w:fldCharType="begin"/>
      </w:r>
      <w:r w:rsidR="00E66771">
        <w:instrText xml:space="preserve"> REF _Ref389773733 \r \h  \* MERGEFORMAT </w:instrText>
      </w:r>
      <w:r w:rsidR="00E66771">
        <w:fldChar w:fldCharType="separate"/>
      </w:r>
      <w:r w:rsidR="00BB1979">
        <w:t>4.2</w:t>
      </w:r>
      <w:r w:rsidR="00E66771">
        <w:fldChar w:fldCharType="end"/>
      </w:r>
      <w:r w:rsidR="00E66771">
        <w:t xml:space="preserve"> to </w:t>
      </w:r>
      <w:r w:rsidR="00E66771">
        <w:fldChar w:fldCharType="begin"/>
      </w:r>
      <w:r w:rsidR="00E66771">
        <w:instrText xml:space="preserve"> REF _Ref383513493 \r \h  \* MERGEFORMAT </w:instrText>
      </w:r>
      <w:r w:rsidR="00E66771">
        <w:fldChar w:fldCharType="separate"/>
      </w:r>
      <w:r w:rsidR="00BB1979">
        <w:t>4.5</w:t>
      </w:r>
      <w:r w:rsidR="00E66771">
        <w:fldChar w:fldCharType="end"/>
      </w:r>
      <w:r w:rsidR="00E66771">
        <w:t xml:space="preserve"> (inclusive) set out the minimum requirements that Funding Recipie</w:t>
      </w:r>
      <w:r w:rsidR="00EC3996">
        <w:t xml:space="preserve">nts would need to comply with. </w:t>
      </w:r>
      <w:r w:rsidR="00E66771">
        <w:t>These requirements will be reflected through the operational agreements which will be included as schedules to the Funding Agreement. Under section 7.3.2, applications that do not meet the minimum requirements may, at the Department’s absolute discretion, be excluded from further consideration.</w:t>
      </w:r>
    </w:p>
    <w:p w:rsidR="00BB608B" w:rsidRPr="00FC6486" w:rsidRDefault="001840BC" w:rsidP="00BB608B">
      <w:pPr>
        <w:pStyle w:val="Bodynumbered-Level1"/>
        <w:ind w:left="709" w:hanging="709"/>
      </w:pPr>
      <w:r>
        <w:t>4.1.4</w:t>
      </w:r>
      <w:r>
        <w:tab/>
      </w:r>
      <w:r w:rsidR="00E66771">
        <w:t xml:space="preserve">Section </w:t>
      </w:r>
      <w:r w:rsidR="00E66771" w:rsidRPr="0031276D">
        <w:fldChar w:fldCharType="begin"/>
      </w:r>
      <w:r w:rsidR="00E66771">
        <w:instrText xml:space="preserve"> REF _Ref389773770 \r \h  \* MERGEFORMAT </w:instrText>
      </w:r>
      <w:r w:rsidR="00E66771" w:rsidRPr="0031276D">
        <w:fldChar w:fldCharType="separate"/>
      </w:r>
      <w:r w:rsidR="00BB1979">
        <w:t>4.6</w:t>
      </w:r>
      <w:r w:rsidR="00E66771" w:rsidRPr="0031276D">
        <w:fldChar w:fldCharType="end"/>
      </w:r>
      <w:r w:rsidR="00E66771">
        <w:t xml:space="preserve"> sets out optional services which applicants may elect to include as part of their application.</w:t>
      </w:r>
    </w:p>
    <w:p w:rsidR="00E66771" w:rsidRPr="0031276D" w:rsidRDefault="00E66771" w:rsidP="00A06684">
      <w:pPr>
        <w:pStyle w:val="Heading2"/>
        <w:ind w:hanging="1144"/>
      </w:pPr>
      <w:bookmarkStart w:id="73" w:name="_Ref389773733"/>
      <w:bookmarkStart w:id="74" w:name="_Toc393908564"/>
      <w:bookmarkStart w:id="75" w:name="_Toc405380429"/>
      <w:bookmarkStart w:id="76" w:name="_Toc407007241"/>
      <w:r w:rsidRPr="00EE5F16">
        <w:t>Services required</w:t>
      </w:r>
      <w:bookmarkEnd w:id="65"/>
      <w:bookmarkEnd w:id="66"/>
      <w:bookmarkEnd w:id="67"/>
      <w:bookmarkEnd w:id="73"/>
      <w:bookmarkEnd w:id="74"/>
      <w:bookmarkEnd w:id="75"/>
      <w:bookmarkEnd w:id="76"/>
    </w:p>
    <w:p w:rsidR="00E66771" w:rsidRDefault="001840BC" w:rsidP="001B1F1A">
      <w:pPr>
        <w:pStyle w:val="Bodynumbered-Level1"/>
        <w:ind w:left="709" w:right="-188" w:hanging="709"/>
      </w:pPr>
      <w:r>
        <w:t>4.2.1</w:t>
      </w:r>
      <w:r>
        <w:tab/>
      </w:r>
      <w:r w:rsidR="00E66771" w:rsidRPr="00002067">
        <w:t xml:space="preserve">All Funded Base Stations (including individual base stations within a </w:t>
      </w:r>
      <w:r w:rsidR="00E66771" w:rsidRPr="003D2F00">
        <w:rPr>
          <w:b/>
        </w:rPr>
        <w:t>cluster</w:t>
      </w:r>
      <w:r w:rsidR="00E66771" w:rsidRPr="00002067">
        <w:t xml:space="preserve">) </w:t>
      </w:r>
      <w:r w:rsidR="00E66771">
        <w:t xml:space="preserve">must </w:t>
      </w:r>
      <w:r w:rsidR="00E66771" w:rsidRPr="00002067">
        <w:t>deliver improved mobile coverage and potential for competition to eligible location</w:t>
      </w:r>
      <w:r w:rsidR="00E66771">
        <w:t>/</w:t>
      </w:r>
      <w:r w:rsidR="00E66771" w:rsidRPr="00002067">
        <w:t>s</w:t>
      </w:r>
      <w:r w:rsidR="00E66771">
        <w:t>.</w:t>
      </w:r>
    </w:p>
    <w:p w:rsidR="00E66771" w:rsidRPr="0031276D" w:rsidRDefault="001840BC" w:rsidP="00890E6F">
      <w:pPr>
        <w:pStyle w:val="Bodynumbered-Level1"/>
        <w:ind w:left="709" w:hanging="709"/>
      </w:pPr>
      <w:r>
        <w:t>4.2.2</w:t>
      </w:r>
      <w:r>
        <w:tab/>
      </w:r>
      <w:r w:rsidR="00E66771" w:rsidRPr="00002067">
        <w:t>The Government’s expectation is that consumers will be able to perform a range of functions using mobile devices, such as making and receiving phone calls, sending emails and text messages, browsing the internet, accessing online services, downloadi</w:t>
      </w:r>
      <w:r w:rsidR="00E66771">
        <w:t>ng files and using mobile apps.</w:t>
      </w:r>
    </w:p>
    <w:p w:rsidR="00E66771" w:rsidRDefault="001840BC" w:rsidP="00890E6F">
      <w:pPr>
        <w:pStyle w:val="Bodynumbered-Level1"/>
        <w:ind w:left="709" w:hanging="709"/>
      </w:pPr>
      <w:r>
        <w:t>4.2.3</w:t>
      </w:r>
      <w:r>
        <w:tab/>
      </w:r>
      <w:r w:rsidR="00E66771" w:rsidRPr="00002067">
        <w:t>To meet this expectation</w:t>
      </w:r>
      <w:r w:rsidR="00E66771">
        <w:t>:</w:t>
      </w:r>
    </w:p>
    <w:p w:rsidR="00E66771" w:rsidRDefault="00BB608B" w:rsidP="00CA6777">
      <w:pPr>
        <w:pStyle w:val="Bodynumbered-Level3"/>
        <w:numPr>
          <w:ilvl w:val="0"/>
          <w:numId w:val="0"/>
        </w:numPr>
        <w:ind w:left="1134" w:hanging="425"/>
      </w:pPr>
      <w:r>
        <w:t xml:space="preserve">(a) </w:t>
      </w:r>
      <w:r w:rsidR="00C10997">
        <w:tab/>
        <w:t>a</w:t>
      </w:r>
      <w:r w:rsidR="00E66771" w:rsidRPr="00002067">
        <w:t xml:space="preserve">ll Funded Base Stations will </w:t>
      </w:r>
      <w:r w:rsidR="00E66771">
        <w:t xml:space="preserve">be required to </w:t>
      </w:r>
      <w:r w:rsidR="00E66771" w:rsidRPr="00002067">
        <w:t xml:space="preserve">deliver mobile voice and broadband data services using </w:t>
      </w:r>
      <w:r w:rsidR="00E66771">
        <w:t xml:space="preserve">at least </w:t>
      </w:r>
      <w:r w:rsidR="00E66771" w:rsidRPr="003D2F00">
        <w:rPr>
          <w:b/>
        </w:rPr>
        <w:t>3G</w:t>
      </w:r>
      <w:r w:rsidR="00E66771" w:rsidRPr="00CA6777">
        <w:rPr>
          <w:b/>
        </w:rPr>
        <w:t> </w:t>
      </w:r>
      <w:r w:rsidR="00E66771" w:rsidRPr="003D2F00">
        <w:rPr>
          <w:b/>
        </w:rPr>
        <w:t>HSPA+</w:t>
      </w:r>
      <w:r w:rsidR="00E66771" w:rsidRPr="00002067">
        <w:t xml:space="preserve"> technology</w:t>
      </w:r>
      <w:r w:rsidR="003F0E35">
        <w:t>;</w:t>
      </w:r>
    </w:p>
    <w:p w:rsidR="00E66771" w:rsidRDefault="00C10997" w:rsidP="00C10997">
      <w:pPr>
        <w:pStyle w:val="Bodynumbered-Level3"/>
        <w:numPr>
          <w:ilvl w:val="0"/>
          <w:numId w:val="0"/>
        </w:numPr>
        <w:ind w:left="1134" w:hanging="425"/>
      </w:pPr>
      <w:r>
        <w:t>(b)</w:t>
      </w:r>
      <w:r>
        <w:tab/>
        <w:t>p</w:t>
      </w:r>
      <w:r w:rsidR="00E66771">
        <w:t>roposed h</w:t>
      </w:r>
      <w:r w:rsidR="00E66771" w:rsidRPr="00002067">
        <w:t xml:space="preserve">andheld </w:t>
      </w:r>
      <w:r w:rsidR="00E66771">
        <w:t>c</w:t>
      </w:r>
      <w:r w:rsidR="00E66771" w:rsidRPr="00002067">
        <w:t xml:space="preserve">overage modelling </w:t>
      </w:r>
      <w:r w:rsidR="00E66771">
        <w:t xml:space="preserve">must </w:t>
      </w:r>
      <w:r w:rsidR="00E66771" w:rsidRPr="00002067">
        <w:t xml:space="preserve">be based on outdoor Received Signal Code Power (RSCP) greater than </w:t>
      </w:r>
      <w:r w:rsidR="00E66771" w:rsidRPr="00002067">
        <w:noBreakHyphen/>
      </w:r>
      <w:r w:rsidR="00E66771">
        <w:t>90</w:t>
      </w:r>
      <w:r w:rsidR="00E66771" w:rsidRPr="00002067">
        <w:t> </w:t>
      </w:r>
      <w:proofErr w:type="spellStart"/>
      <w:r w:rsidR="00E66771" w:rsidRPr="00002067">
        <w:t>dBm</w:t>
      </w:r>
      <w:proofErr w:type="spellEnd"/>
      <w:r w:rsidR="00E66771">
        <w:t xml:space="preserve"> at a 90 per cent confidence level for the cell area</w:t>
      </w:r>
      <w:r w:rsidR="00E66771" w:rsidRPr="00B02349">
        <w:t xml:space="preserve">, </w:t>
      </w:r>
      <w:r w:rsidR="00E66771" w:rsidRPr="00537F7A">
        <w:t xml:space="preserve">and a </w:t>
      </w:r>
      <w:r w:rsidR="00E66771" w:rsidRPr="003D2F00">
        <w:rPr>
          <w:b/>
        </w:rPr>
        <w:t>MATPL</w:t>
      </w:r>
      <w:r w:rsidR="00E66771" w:rsidRPr="00537F7A">
        <w:t xml:space="preserve"> of 145 dB</w:t>
      </w:r>
      <w:r w:rsidR="003F0E35">
        <w:t xml:space="preserve">; </w:t>
      </w:r>
      <w:r w:rsidR="00E66771">
        <w:t>and</w:t>
      </w:r>
    </w:p>
    <w:p w:rsidR="00E66771" w:rsidRDefault="00C10997" w:rsidP="00C10997">
      <w:pPr>
        <w:pStyle w:val="Bodynumbered-Level3"/>
        <w:numPr>
          <w:ilvl w:val="0"/>
          <w:numId w:val="0"/>
        </w:numPr>
        <w:ind w:left="1134" w:hanging="425"/>
      </w:pPr>
      <w:r>
        <w:lastRenderedPageBreak/>
        <w:t>(c)</w:t>
      </w:r>
      <w:r>
        <w:tab/>
        <w:t>p</w:t>
      </w:r>
      <w:r w:rsidR="00E66771">
        <w:t xml:space="preserve">roposed </w:t>
      </w:r>
      <w:r w:rsidR="00E66771" w:rsidRPr="003D2F00">
        <w:rPr>
          <w:b/>
        </w:rPr>
        <w:t>external</w:t>
      </w:r>
      <w:r w:rsidR="00E66771" w:rsidRPr="00C10997">
        <w:rPr>
          <w:b/>
        </w:rPr>
        <w:t xml:space="preserve"> </w:t>
      </w:r>
      <w:r w:rsidR="00E66771" w:rsidRPr="003D2F00">
        <w:rPr>
          <w:b/>
        </w:rPr>
        <w:t>antenna</w:t>
      </w:r>
      <w:r w:rsidR="00E66771" w:rsidRPr="00C10997">
        <w:rPr>
          <w:b/>
        </w:rPr>
        <w:t xml:space="preserve"> </w:t>
      </w:r>
      <w:r w:rsidR="00E66771" w:rsidRPr="003D2F00">
        <w:rPr>
          <w:b/>
        </w:rPr>
        <w:t>coverage</w:t>
      </w:r>
      <w:r w:rsidR="00E66771" w:rsidRPr="00002067">
        <w:t xml:space="preserve"> modelling </w:t>
      </w:r>
      <w:r w:rsidR="00E66771">
        <w:t xml:space="preserve">must </w:t>
      </w:r>
      <w:r w:rsidR="00E66771" w:rsidRPr="00002067">
        <w:t xml:space="preserve">be based on </w:t>
      </w:r>
      <w:r w:rsidR="00E66771">
        <w:t>outdoor</w:t>
      </w:r>
      <w:r w:rsidR="00E66771" w:rsidRPr="00002067">
        <w:t xml:space="preserve"> RSCP </w:t>
      </w:r>
      <w:r w:rsidR="00E66771">
        <w:t xml:space="preserve">greater than -111 </w:t>
      </w:r>
      <w:proofErr w:type="spellStart"/>
      <w:r w:rsidR="00E66771">
        <w:t>dBm</w:t>
      </w:r>
      <w:proofErr w:type="spellEnd"/>
      <w:r w:rsidR="00E66771">
        <w:t xml:space="preserve"> at a 90 per cent confidence level for the cell area, and a MATPL of 166 </w:t>
      </w:r>
      <w:proofErr w:type="spellStart"/>
      <w:r w:rsidR="00E66771">
        <w:t>dB.</w:t>
      </w:r>
      <w:proofErr w:type="spellEnd"/>
    </w:p>
    <w:p w:rsidR="00E66771" w:rsidRDefault="001840BC" w:rsidP="00890E6F">
      <w:pPr>
        <w:pStyle w:val="Bodynumbered-Level1"/>
        <w:ind w:left="709" w:hanging="709"/>
      </w:pPr>
      <w:r>
        <w:t>4.2.4</w:t>
      </w:r>
      <w:r>
        <w:tab/>
      </w:r>
      <w:r w:rsidR="00E66771" w:rsidRPr="00002067">
        <w:t xml:space="preserve">All Funded Base Stations will </w:t>
      </w:r>
      <w:r w:rsidR="00E66771">
        <w:t xml:space="preserve">be required to </w:t>
      </w:r>
      <w:r w:rsidR="00E66771" w:rsidRPr="00002067">
        <w:t xml:space="preserve">deliver mobile services in accordance with the relevant standards specified in the funded MNOs’ Carrier Licence Conditions and as specified under </w:t>
      </w:r>
      <w:r w:rsidR="00E66771" w:rsidRPr="0006685B">
        <w:rPr>
          <w:i/>
        </w:rPr>
        <w:t xml:space="preserve">the </w:t>
      </w:r>
      <w:r w:rsidR="00E66771" w:rsidRPr="00406FE1">
        <w:rPr>
          <w:i/>
        </w:rPr>
        <w:t>Telecommunications Act 1997</w:t>
      </w:r>
      <w:r w:rsidR="00E66771">
        <w:t>.</w:t>
      </w:r>
      <w:bookmarkStart w:id="77" w:name="_Toc388963695"/>
      <w:bookmarkStart w:id="78" w:name="_Toc389122733"/>
      <w:bookmarkStart w:id="79" w:name="_Toc388963696"/>
      <w:bookmarkStart w:id="80" w:name="_Toc389122734"/>
      <w:bookmarkStart w:id="81" w:name="_Toc388963697"/>
      <w:bookmarkStart w:id="82" w:name="_Toc389122735"/>
      <w:bookmarkStart w:id="83" w:name="_Toc388963698"/>
      <w:bookmarkStart w:id="84" w:name="_Toc389122736"/>
      <w:bookmarkStart w:id="85" w:name="_Toc388963699"/>
      <w:bookmarkStart w:id="86" w:name="_Toc389122737"/>
      <w:bookmarkStart w:id="87" w:name="_Toc388963700"/>
      <w:bookmarkStart w:id="88" w:name="_Toc389122738"/>
      <w:bookmarkStart w:id="89" w:name="_Toc388963701"/>
      <w:bookmarkStart w:id="90" w:name="_Toc389122739"/>
      <w:bookmarkStart w:id="91" w:name="_Toc388963702"/>
      <w:bookmarkStart w:id="92" w:name="_Toc389122740"/>
      <w:bookmarkStart w:id="93" w:name="_Toc388963703"/>
      <w:bookmarkStart w:id="94" w:name="_Toc389122741"/>
      <w:bookmarkStart w:id="95" w:name="_Toc388963704"/>
      <w:bookmarkStart w:id="96" w:name="_Toc38912274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66771" w:rsidRDefault="001840BC" w:rsidP="00890E6F">
      <w:pPr>
        <w:pStyle w:val="Bodynumbered-Level1"/>
        <w:ind w:left="709" w:hanging="709"/>
      </w:pPr>
      <w:r>
        <w:t>4.2.5</w:t>
      </w:r>
      <w:r>
        <w:tab/>
      </w:r>
      <w:r w:rsidR="00E66771">
        <w:t xml:space="preserve">In addition, applicants </w:t>
      </w:r>
      <w:r w:rsidR="00E66771" w:rsidRPr="00002067">
        <w:t xml:space="preserve">may propose the use of </w:t>
      </w:r>
      <w:r w:rsidR="00E66771">
        <w:t xml:space="preserve">specific </w:t>
      </w:r>
      <w:r w:rsidR="00E66771" w:rsidRPr="00002067">
        <w:t xml:space="preserve">technologies such as </w:t>
      </w:r>
      <w:r w:rsidR="00E66771" w:rsidRPr="003D2F00">
        <w:rPr>
          <w:b/>
        </w:rPr>
        <w:t>Microcells</w:t>
      </w:r>
      <w:r w:rsidR="00E66771" w:rsidRPr="00002067">
        <w:t xml:space="preserve"> and </w:t>
      </w:r>
      <w:proofErr w:type="spellStart"/>
      <w:r w:rsidR="00E66771" w:rsidRPr="003D2F00">
        <w:rPr>
          <w:b/>
        </w:rPr>
        <w:t>Picocells</w:t>
      </w:r>
      <w:proofErr w:type="spellEnd"/>
      <w:r w:rsidR="00E66771" w:rsidRPr="00002067">
        <w:t xml:space="preserve"> to improve</w:t>
      </w:r>
      <w:r w:rsidR="00E66771">
        <w:t xml:space="preserve"> services for particular areas.</w:t>
      </w:r>
    </w:p>
    <w:p w:rsidR="00E66771" w:rsidRPr="00DD1B36" w:rsidRDefault="001840BC" w:rsidP="00972777">
      <w:pPr>
        <w:pStyle w:val="Bodynumbered-Level1"/>
        <w:ind w:left="709" w:right="-330" w:hanging="709"/>
      </w:pPr>
      <w:r>
        <w:t>4.2.6</w:t>
      </w:r>
      <w:r>
        <w:tab/>
      </w:r>
      <w:r w:rsidR="00E66771">
        <w:t>Funding Recipients will be required to deliver the mobile services specified in the Funding Agreement on a commercial basis for a minimum of ten years, commencing from when initial services commence to be delivered from each Proposed Base Station.</w:t>
      </w:r>
    </w:p>
    <w:p w:rsidR="00E66771" w:rsidRPr="0031276D" w:rsidRDefault="00E66771" w:rsidP="00A06684">
      <w:pPr>
        <w:pStyle w:val="Heading2"/>
        <w:ind w:hanging="1144"/>
      </w:pPr>
      <w:bookmarkStart w:id="97" w:name="_Toc378930081"/>
      <w:bookmarkStart w:id="98" w:name="_Toc378930205"/>
      <w:bookmarkStart w:id="99" w:name="_Toc386635487"/>
      <w:bookmarkStart w:id="100" w:name="_Toc393908565"/>
      <w:bookmarkStart w:id="101" w:name="_Toc405380430"/>
      <w:bookmarkStart w:id="102" w:name="_Toc407007242"/>
      <w:r w:rsidRPr="008770C0">
        <w:t>Open access and co-location</w:t>
      </w:r>
      <w:bookmarkEnd w:id="97"/>
      <w:bookmarkEnd w:id="98"/>
      <w:bookmarkEnd w:id="99"/>
      <w:bookmarkEnd w:id="100"/>
      <w:bookmarkEnd w:id="101"/>
      <w:bookmarkEnd w:id="102"/>
    </w:p>
    <w:p w:rsidR="00E66771" w:rsidRPr="00D62F90" w:rsidRDefault="001840BC" w:rsidP="00972777">
      <w:pPr>
        <w:pStyle w:val="Bodynumbered-Level1"/>
        <w:ind w:left="709" w:right="-188" w:hanging="709"/>
      </w:pPr>
      <w:r>
        <w:t>4.3.1</w:t>
      </w:r>
      <w:r>
        <w:tab/>
      </w:r>
      <w:r w:rsidR="00E66771" w:rsidRPr="00D62F90">
        <w:t>A key objective of the Programme is to maximise the choice of mobile service provider for consumers. To achieve this objective, applications for Proposed Base Stations where there is an expressed willingness from two or more MNOs to co</w:t>
      </w:r>
      <w:r w:rsidR="00E66771" w:rsidRPr="00D62F90">
        <w:noBreakHyphen/>
        <w:t>build and co</w:t>
      </w:r>
      <w:r w:rsidR="00E66771" w:rsidRPr="00D62F90">
        <w:noBreakHyphen/>
        <w:t xml:space="preserve">locate, or applications from an MNIP for Proposed Base Stations which two or more MNOs have committed to use, have been given weighting in the </w:t>
      </w:r>
      <w:r w:rsidR="00E66771" w:rsidRPr="003D2F00">
        <w:rPr>
          <w:b/>
        </w:rPr>
        <w:t>Assessment</w:t>
      </w:r>
      <w:r w:rsidR="00E66771" w:rsidRPr="00090C98">
        <w:t xml:space="preserve"> </w:t>
      </w:r>
      <w:r w:rsidR="00E66771" w:rsidRPr="003D2F00">
        <w:rPr>
          <w:b/>
        </w:rPr>
        <w:t>Criteria</w:t>
      </w:r>
      <w:r w:rsidR="00E66771">
        <w:t>.</w:t>
      </w:r>
    </w:p>
    <w:p w:rsidR="00E66771" w:rsidRPr="00D62F90" w:rsidRDefault="001840BC" w:rsidP="00890E6F">
      <w:pPr>
        <w:pStyle w:val="Bodynumbered-Level1"/>
        <w:ind w:left="709" w:hanging="709"/>
      </w:pPr>
      <w:r>
        <w:t>4.3.2</w:t>
      </w:r>
      <w:r>
        <w:tab/>
      </w:r>
      <w:r w:rsidR="00E66771" w:rsidRPr="00D62F90">
        <w:t>Once an MNO is selected to build a Funded Base Station, it must give other MNOs the opportunity to co-locate (and to participate in the design) using the s</w:t>
      </w:r>
      <w:r w:rsidR="00E66771">
        <w:t>pecified process and timelines set out in the operational agreement.</w:t>
      </w:r>
    </w:p>
    <w:p w:rsidR="00E66771" w:rsidRPr="00D62F90" w:rsidRDefault="001840BC" w:rsidP="00890E6F">
      <w:pPr>
        <w:pStyle w:val="Bodynumbered-Level1"/>
        <w:ind w:left="709" w:hanging="709"/>
      </w:pPr>
      <w:r>
        <w:t>4.3.3</w:t>
      </w:r>
      <w:r>
        <w:tab/>
      </w:r>
      <w:r w:rsidR="00E66771" w:rsidRPr="00D62F90">
        <w:t xml:space="preserve">For </w:t>
      </w:r>
      <w:r w:rsidR="00E66771">
        <w:t xml:space="preserve">Proposed Base Stations where other MNOs are interested in co-locating, the costs can be shared more broadly and efficiencies achieved if the interested MNOs can participate in the design and build phases. </w:t>
      </w:r>
      <w:r w:rsidR="00E66771" w:rsidRPr="00D62F90">
        <w:t xml:space="preserve">This opportunity relates to all the requirements necessary for co-location to efficiently occur, including (but not limited to) site space for housing equipment and access to power and </w:t>
      </w:r>
      <w:r w:rsidR="00E66771" w:rsidRPr="003D2F00">
        <w:rPr>
          <w:b/>
        </w:rPr>
        <w:t>backhaul</w:t>
      </w:r>
      <w:r w:rsidR="00E66771">
        <w:t>.</w:t>
      </w:r>
    </w:p>
    <w:p w:rsidR="00E66771" w:rsidRDefault="001840BC" w:rsidP="00890E6F">
      <w:pPr>
        <w:pStyle w:val="Bodynumbered-Level1"/>
        <w:ind w:left="709" w:hanging="709"/>
      </w:pPr>
      <w:r>
        <w:t>4.3.4</w:t>
      </w:r>
      <w:r>
        <w:tab/>
      </w:r>
      <w:r w:rsidR="00E66771">
        <w:t>For the pur</w:t>
      </w:r>
      <w:r w:rsidR="00EC3996">
        <w:t>poses of Assessment Criterion 7</w:t>
      </w:r>
      <w:r w:rsidR="00E66771">
        <w:t>(b), a Proposed Base Station must meet the following minimum specifications to be considered capable of supporting two or more MNOs:</w:t>
      </w:r>
    </w:p>
    <w:p w:rsidR="00E66771" w:rsidRPr="00A14BD3" w:rsidRDefault="00BB608B" w:rsidP="00972777">
      <w:pPr>
        <w:pStyle w:val="Bodynumbered-Level3"/>
        <w:numPr>
          <w:ilvl w:val="0"/>
          <w:numId w:val="0"/>
        </w:numPr>
        <w:ind w:left="1134" w:hanging="425"/>
      </w:pPr>
      <w:r>
        <w:t>(a)</w:t>
      </w:r>
      <w:r w:rsidR="00972777">
        <w:tab/>
      </w:r>
      <w:r w:rsidR="00E66771">
        <w:t xml:space="preserve">The </w:t>
      </w:r>
      <w:r w:rsidR="00E66771" w:rsidRPr="00A14BD3">
        <w:t xml:space="preserve">structure </w:t>
      </w:r>
      <w:r w:rsidR="00E66771">
        <w:t>is of sufficient height and robustness for accommodating and supporting</w:t>
      </w:r>
      <w:r w:rsidR="00E66771" w:rsidRPr="00A14BD3">
        <w:t xml:space="preserve"> additional equipment required by additional MNO</w:t>
      </w:r>
      <w:r w:rsidR="00E66771">
        <w:t>(s).</w:t>
      </w:r>
    </w:p>
    <w:p w:rsidR="00E66771" w:rsidRPr="00A14BD3" w:rsidRDefault="00BB608B" w:rsidP="00972777">
      <w:pPr>
        <w:pStyle w:val="Bodynumbered-Level3"/>
        <w:numPr>
          <w:ilvl w:val="0"/>
          <w:numId w:val="0"/>
        </w:numPr>
        <w:ind w:left="1134" w:hanging="425"/>
      </w:pPr>
      <w:bookmarkStart w:id="103" w:name="_Ref397579508"/>
      <w:r>
        <w:t>(b)</w:t>
      </w:r>
      <w:r w:rsidR="00972777">
        <w:tab/>
      </w:r>
      <w:r w:rsidR="00E66771" w:rsidRPr="00A14BD3">
        <w:t xml:space="preserve">There </w:t>
      </w:r>
      <w:r w:rsidR="00E66771">
        <w:t>are</w:t>
      </w:r>
      <w:r w:rsidR="00E66771" w:rsidRPr="00A14BD3">
        <w:t xml:space="preserve"> sufficient mains AC power provisions to support the requirement</w:t>
      </w:r>
      <w:r w:rsidR="00E66771">
        <w:t xml:space="preserve">s of </w:t>
      </w:r>
      <w:r w:rsidR="00E66771" w:rsidRPr="00A14BD3">
        <w:t>additional MNO equipment</w:t>
      </w:r>
      <w:r w:rsidR="00E66771">
        <w:t>. This section 4.3.4(b) does n</w:t>
      </w:r>
      <w:r w:rsidR="00EC3996">
        <w:t>ot apply to solar powered sites,</w:t>
      </w:r>
      <w:r w:rsidR="00E66771">
        <w:t xml:space="preserve"> however solar powered sites must have sufficient space for the </w:t>
      </w:r>
      <w:r w:rsidR="00EC3996">
        <w:rPr>
          <w:b/>
        </w:rPr>
        <w:t>C</w:t>
      </w:r>
      <w:r w:rsidR="00E66771" w:rsidRPr="003D2F00">
        <w:rPr>
          <w:b/>
        </w:rPr>
        <w:t>o-locating</w:t>
      </w:r>
      <w:r w:rsidR="00E66771" w:rsidRPr="00972777">
        <w:rPr>
          <w:b/>
        </w:rPr>
        <w:t xml:space="preserve"> </w:t>
      </w:r>
      <w:r w:rsidR="00E66771" w:rsidRPr="003D2F00">
        <w:rPr>
          <w:b/>
        </w:rPr>
        <w:t>MNO</w:t>
      </w:r>
      <w:r w:rsidR="00E66771" w:rsidRPr="00A207C8">
        <w:t>/s</w:t>
      </w:r>
      <w:r w:rsidR="00E66771">
        <w:t xml:space="preserve"> to install additional solar panels</w:t>
      </w:r>
      <w:r w:rsidR="00E66771" w:rsidRPr="00A14BD3">
        <w:t>.</w:t>
      </w:r>
      <w:bookmarkEnd w:id="103"/>
    </w:p>
    <w:p w:rsidR="00E66771" w:rsidRPr="00A14BD3" w:rsidRDefault="00BB608B" w:rsidP="00972777">
      <w:pPr>
        <w:pStyle w:val="Bodynumbered-Level3"/>
        <w:numPr>
          <w:ilvl w:val="0"/>
          <w:numId w:val="0"/>
        </w:numPr>
        <w:ind w:left="1134" w:hanging="425"/>
      </w:pPr>
      <w:r>
        <w:t>(c)</w:t>
      </w:r>
      <w:r w:rsidR="00972777">
        <w:tab/>
      </w:r>
      <w:r w:rsidR="00E66771">
        <w:t>There is a c</w:t>
      </w:r>
      <w:r w:rsidR="00E66771" w:rsidRPr="00A14BD3">
        <w:t xml:space="preserve">ommunications hut </w:t>
      </w:r>
      <w:r w:rsidR="00E66771">
        <w:t>of sufficient size (</w:t>
      </w:r>
      <w:r w:rsidR="00E66771" w:rsidRPr="00A14BD3">
        <w:t xml:space="preserve">or space </w:t>
      </w:r>
      <w:r w:rsidR="00E66771">
        <w:t xml:space="preserve">available </w:t>
      </w:r>
      <w:r w:rsidR="00E66771" w:rsidRPr="00A14BD3">
        <w:t xml:space="preserve">on the site for </w:t>
      </w:r>
      <w:r w:rsidR="00E66771">
        <w:t>further</w:t>
      </w:r>
      <w:r w:rsidR="00E66771" w:rsidRPr="00A14BD3">
        <w:t xml:space="preserve"> huts</w:t>
      </w:r>
      <w:r w:rsidR="00E66771">
        <w:t>) to</w:t>
      </w:r>
      <w:r w:rsidR="00E66771" w:rsidRPr="00A14BD3">
        <w:t xml:space="preserve"> accommodate additional MNO equipment</w:t>
      </w:r>
      <w:r w:rsidR="00E66771">
        <w:t>.</w:t>
      </w:r>
    </w:p>
    <w:p w:rsidR="00E66771" w:rsidRPr="00D62F90" w:rsidRDefault="001840BC" w:rsidP="00890E6F">
      <w:pPr>
        <w:pStyle w:val="Bodynumbered-Level1"/>
        <w:ind w:left="709" w:hanging="709"/>
      </w:pPr>
      <w:r>
        <w:t>4.3.5</w:t>
      </w:r>
      <w:r>
        <w:tab/>
      </w:r>
      <w:r w:rsidR="00E66771">
        <w:t xml:space="preserve">Funding Recipients and MNOs interested in co-locating on a Funded Base Station </w:t>
      </w:r>
      <w:r w:rsidR="00E66771" w:rsidRPr="00D62F90">
        <w:t xml:space="preserve">will have until the start of the detailed design stage </w:t>
      </w:r>
      <w:r w:rsidR="00E66771">
        <w:t xml:space="preserve">for that Funded Base Station </w:t>
      </w:r>
      <w:r w:rsidR="00E66771" w:rsidRPr="00D62F90">
        <w:t>(</w:t>
      </w:r>
      <w:r w:rsidR="00E66771">
        <w:t>and in any event at least two months from when the list of Funded Base Stations are announced</w:t>
      </w:r>
      <w:r w:rsidR="00E66771" w:rsidRPr="00D62F90">
        <w:t xml:space="preserve">) to negotiate in good faith with each other in relation to the Funded Base Station access and price terms and </w:t>
      </w:r>
      <w:r w:rsidR="00E66771" w:rsidRPr="00D62F90">
        <w:lastRenderedPageBreak/>
        <w:t xml:space="preserve">enter into commercial co-build arrangements with other MNOs. </w:t>
      </w:r>
      <w:r w:rsidR="00E66771">
        <w:t>The capital contribution to be made by the co-locating parties in respect of a Funded Base Station must, at least, equal the incremental cost incurred by reason of provisioning co-location for that Funded Base Station.</w:t>
      </w:r>
    </w:p>
    <w:p w:rsidR="00E66771" w:rsidRPr="00D62F90" w:rsidRDefault="001840BC" w:rsidP="00890E6F">
      <w:pPr>
        <w:pStyle w:val="Bodynumbered-Level1"/>
        <w:ind w:left="709" w:hanging="709"/>
      </w:pPr>
      <w:r>
        <w:t>4.3.6</w:t>
      </w:r>
      <w:r>
        <w:tab/>
      </w:r>
      <w:r w:rsidR="00E66771" w:rsidRPr="00D62F90">
        <w:t xml:space="preserve">In accordance with the dispute resolution process outlined at section </w:t>
      </w:r>
      <w:r w:rsidR="00E66771" w:rsidRPr="00D62F90">
        <w:fldChar w:fldCharType="begin"/>
      </w:r>
      <w:r w:rsidR="00E66771" w:rsidRPr="00D62F90">
        <w:instrText xml:space="preserve"> REF _Ref383513493 \r \h </w:instrText>
      </w:r>
      <w:r w:rsidR="00E66771">
        <w:instrText xml:space="preserve"> \* MERGEFORMAT </w:instrText>
      </w:r>
      <w:r w:rsidR="00E66771" w:rsidRPr="00D62F90">
        <w:fldChar w:fldCharType="separate"/>
      </w:r>
      <w:r w:rsidR="00BB1979">
        <w:t>4.5</w:t>
      </w:r>
      <w:r w:rsidR="00E66771" w:rsidRPr="00D62F90">
        <w:fldChar w:fldCharType="end"/>
      </w:r>
      <w:r w:rsidR="00E66771" w:rsidRPr="00D62F90">
        <w:t xml:space="preserve"> of these Guidelines, any disagreements regarding open access and co-location matters will be arbitrated by an independent third party, to be appointed at the MNOs/MNIPs’ shared cost, and in accordance with the dispute resolution process.</w:t>
      </w:r>
    </w:p>
    <w:p w:rsidR="00E66771" w:rsidRPr="00D62F90" w:rsidRDefault="001840BC" w:rsidP="00890E6F">
      <w:pPr>
        <w:pStyle w:val="Bodynumbered-Level1"/>
        <w:ind w:left="709" w:hanging="709"/>
      </w:pPr>
      <w:r>
        <w:t>4.3.7</w:t>
      </w:r>
      <w:r>
        <w:tab/>
      </w:r>
      <w:r w:rsidR="00E66771" w:rsidRPr="00D62F90">
        <w:t xml:space="preserve">For </w:t>
      </w:r>
      <w:r w:rsidR="00E66771" w:rsidRPr="003D2F00">
        <w:rPr>
          <w:b/>
        </w:rPr>
        <w:t>Greenfield</w:t>
      </w:r>
      <w:r w:rsidR="00E66771" w:rsidRPr="00B86232">
        <w:t xml:space="preserve"> </w:t>
      </w:r>
      <w:r w:rsidR="00E66771" w:rsidRPr="003D2F00">
        <w:rPr>
          <w:b/>
        </w:rPr>
        <w:t>Sites</w:t>
      </w:r>
      <w:r w:rsidR="00E66771" w:rsidRPr="00D62F90">
        <w:t xml:space="preserve">, </w:t>
      </w:r>
      <w:r w:rsidR="00E66771">
        <w:t>co-location</w:t>
      </w:r>
      <w:r w:rsidR="00E66771" w:rsidRPr="00D62F90">
        <w:t xml:space="preserve"> negotiations are to occur at the earliest possible opportunity after the successful sites are known (before the start of the detailed site design phase</w:t>
      </w:r>
      <w:r w:rsidR="00E66771">
        <w:t xml:space="preserve"> begins for an individual base station</w:t>
      </w:r>
      <w:r w:rsidR="00E66771" w:rsidRPr="00D62F90">
        <w:t xml:space="preserve">). It is accepted that in some circumstances it may not be possible for </w:t>
      </w:r>
      <w:r w:rsidR="00E66771" w:rsidRPr="003D2F00">
        <w:rPr>
          <w:b/>
        </w:rPr>
        <w:t>Brownfield</w:t>
      </w:r>
      <w:r w:rsidR="00E66771" w:rsidRPr="00090C98">
        <w:t xml:space="preserve"> </w:t>
      </w:r>
      <w:r w:rsidR="00E66771" w:rsidRPr="003D2F00">
        <w:rPr>
          <w:b/>
        </w:rPr>
        <w:t>Sites</w:t>
      </w:r>
      <w:r w:rsidR="00E66771" w:rsidRPr="00D62F90">
        <w:t xml:space="preserve"> to be upgraded to meet this requirement. Brownfield </w:t>
      </w:r>
      <w:r w:rsidR="00E66771">
        <w:t>S</w:t>
      </w:r>
      <w:r w:rsidR="00E66771" w:rsidRPr="00D62F90">
        <w:t>ites will be considered on a case</w:t>
      </w:r>
      <w:r w:rsidR="00E66771">
        <w:noBreakHyphen/>
      </w:r>
      <w:r w:rsidR="00E66771" w:rsidRPr="00D62F90">
        <w:t>by</w:t>
      </w:r>
      <w:r w:rsidR="00E66771">
        <w:noBreakHyphen/>
      </w:r>
      <w:r w:rsidR="00E66771" w:rsidRPr="00D62F90">
        <w:t>case basis i</w:t>
      </w:r>
      <w:r w:rsidR="00E66771">
        <w:t>n the assessment process.</w:t>
      </w:r>
    </w:p>
    <w:p w:rsidR="00E66771" w:rsidRPr="00D62F90" w:rsidRDefault="001840BC" w:rsidP="00890E6F">
      <w:pPr>
        <w:pStyle w:val="Bodynumbered-Level1"/>
        <w:ind w:left="709" w:hanging="709"/>
      </w:pPr>
      <w:r>
        <w:t>4.3.8</w:t>
      </w:r>
      <w:r>
        <w:tab/>
      </w:r>
      <w:r w:rsidR="00E66771" w:rsidRPr="00D62F90">
        <w:t>These negotiations will be on the basis that net costs will be appropriately shared between MNOs</w:t>
      </w:r>
      <w:r w:rsidR="00E66771">
        <w:t xml:space="preserve"> and</w:t>
      </w:r>
      <w:r w:rsidR="00E66771" w:rsidRPr="00D62F90">
        <w:t xml:space="preserve"> MNIPs </w:t>
      </w:r>
      <w:r w:rsidR="00E66771">
        <w:t>(where applicable)</w:t>
      </w:r>
      <w:r w:rsidR="00E66771" w:rsidRPr="00D62F90">
        <w:t xml:space="preserve">. However, the overall cost to the Commonwealth and third party co-contributors for each </w:t>
      </w:r>
      <w:r w:rsidR="00E66771">
        <w:t xml:space="preserve">Funded </w:t>
      </w:r>
      <w:r w:rsidR="00E66771" w:rsidRPr="00D62F90">
        <w:t>Base Station is capped at the level agreed during the appli</w:t>
      </w:r>
      <w:r w:rsidR="00E66771">
        <w:t>cation and assessment process. If the actual cost of a Funded Base Station exceeds the estimated cost for that base station provided by the applicant under section 6</w:t>
      </w:r>
      <w:r w:rsidR="00EC3996">
        <w:t>.1.2</w:t>
      </w:r>
      <w:r w:rsidR="00E66771">
        <w:t>, the difference between the actual cost and the estimated cost must be met by the applicant.</w:t>
      </w:r>
    </w:p>
    <w:p w:rsidR="00E66771" w:rsidRPr="00D62F90" w:rsidRDefault="001840BC" w:rsidP="004A07EA">
      <w:pPr>
        <w:pStyle w:val="Bodynumbered-Level1"/>
        <w:ind w:left="709" w:right="-164" w:hanging="709"/>
      </w:pPr>
      <w:r>
        <w:t>4.3.9</w:t>
      </w:r>
      <w:r>
        <w:tab/>
      </w:r>
      <w:r w:rsidR="00E66771" w:rsidRPr="00D62F90">
        <w:t xml:space="preserve">To continue to maximise co-build opportunities after Funding Agreements are signed, but before the detailed design phase has started for each Funded Base Station, </w:t>
      </w:r>
      <w:r w:rsidR="00E66771">
        <w:t>F</w:t>
      </w:r>
      <w:r w:rsidR="00E66771" w:rsidRPr="00D62F90">
        <w:t xml:space="preserve">unding </w:t>
      </w:r>
      <w:r w:rsidR="00E66771">
        <w:t>R</w:t>
      </w:r>
      <w:r w:rsidR="00E66771" w:rsidRPr="00D62F90">
        <w:t xml:space="preserve">ecipients will be required to maintain a publicly available online database for the four year construction phase of the Programme, which includes information regarding the status and progress of Funded Base Stations. This information will include the Funded Base Station location, key build milestones, and expected go-live dates. The database will assist interested MNOs and </w:t>
      </w:r>
      <w:r w:rsidR="00E66771">
        <w:t xml:space="preserve">other parties </w:t>
      </w:r>
      <w:r w:rsidR="00E66771" w:rsidRPr="00D62F90">
        <w:t>to progressively make informed decisions about co-locating equipment to deliver services where possib</w:t>
      </w:r>
      <w:r w:rsidR="00E66771">
        <w:t>le.</w:t>
      </w:r>
    </w:p>
    <w:p w:rsidR="00E66771" w:rsidRPr="00D62F90" w:rsidRDefault="001840BC" w:rsidP="00890E6F">
      <w:pPr>
        <w:pStyle w:val="Bodynumbered-Level1"/>
        <w:ind w:left="709" w:hanging="709"/>
      </w:pPr>
      <w:r>
        <w:t>4.3.10</w:t>
      </w:r>
      <w:r>
        <w:tab/>
      </w:r>
      <w:r w:rsidR="00E66771" w:rsidRPr="00D62F90">
        <w:t>Following the process specified above whereby a successful applicant selected to build a Funded Base Station is required to test with other MNOs their intent to co</w:t>
      </w:r>
      <w:r w:rsidR="00E66771" w:rsidRPr="00D62F90">
        <w:noBreakHyphen/>
        <w:t xml:space="preserve">locate on the Funded Base </w:t>
      </w:r>
      <w:r w:rsidR="00E66771">
        <w:t>S</w:t>
      </w:r>
      <w:r w:rsidR="00E66771" w:rsidRPr="00D62F90">
        <w:t xml:space="preserve">tation </w:t>
      </w:r>
      <w:r w:rsidR="00E66771">
        <w:t xml:space="preserve">and, if </w:t>
      </w:r>
      <w:r w:rsidR="00E66771" w:rsidRPr="00D62F90">
        <w:t>it is ascertained that there is no interest in co</w:t>
      </w:r>
      <w:r w:rsidR="00E66771" w:rsidRPr="00D62F90">
        <w:noBreakHyphen/>
        <w:t xml:space="preserve">building from another MNO or </w:t>
      </w:r>
      <w:r w:rsidR="00E66771" w:rsidRPr="003D2F00">
        <w:rPr>
          <w:b/>
        </w:rPr>
        <w:t>NBN</w:t>
      </w:r>
      <w:r w:rsidR="00E66771" w:rsidRPr="00A4510D">
        <w:t xml:space="preserve"> </w:t>
      </w:r>
      <w:r w:rsidR="00E66771" w:rsidRPr="003D2F00">
        <w:rPr>
          <w:b/>
        </w:rPr>
        <w:t>Co</w:t>
      </w:r>
      <w:r w:rsidR="00E66771" w:rsidRPr="00D62F90">
        <w:t xml:space="preserve">, the </w:t>
      </w:r>
      <w:r w:rsidR="00E66771">
        <w:t>Funding Recipient</w:t>
      </w:r>
      <w:r w:rsidR="00E66771" w:rsidRPr="00D62F90">
        <w:t xml:space="preserve"> will not be required to design or build the</w:t>
      </w:r>
      <w:r w:rsidR="00E66771">
        <w:t xml:space="preserve"> site to allow for co</w:t>
      </w:r>
      <w:r w:rsidR="00E66771">
        <w:noBreakHyphen/>
        <w:t>location.</w:t>
      </w:r>
    </w:p>
    <w:p w:rsidR="00E66771" w:rsidRPr="0031276D" w:rsidRDefault="00E66771" w:rsidP="00A06684">
      <w:pPr>
        <w:pStyle w:val="Heading2"/>
        <w:ind w:hanging="1144"/>
      </w:pPr>
      <w:bookmarkStart w:id="104" w:name="_Toc386635488"/>
      <w:bookmarkStart w:id="105" w:name="_Toc393908566"/>
      <w:bookmarkStart w:id="106" w:name="_Toc405380431"/>
      <w:bookmarkStart w:id="107" w:name="_Toc407007243"/>
      <w:r w:rsidRPr="008770C0">
        <w:t>Backhaul access and pricing</w:t>
      </w:r>
      <w:bookmarkEnd w:id="104"/>
      <w:bookmarkEnd w:id="105"/>
      <w:bookmarkEnd w:id="106"/>
      <w:bookmarkEnd w:id="107"/>
    </w:p>
    <w:p w:rsidR="00E66771" w:rsidRDefault="001840BC" w:rsidP="00972777">
      <w:pPr>
        <w:pStyle w:val="Bodynumbered-Level1"/>
        <w:ind w:left="709" w:right="-188" w:hanging="709"/>
      </w:pPr>
      <w:r>
        <w:t>4.4.1</w:t>
      </w:r>
      <w:r>
        <w:tab/>
      </w:r>
      <w:r w:rsidR="00E66771">
        <w:t>Where an MNO selected to build a Funded Base Station (</w:t>
      </w:r>
      <w:r w:rsidR="00E66771" w:rsidRPr="00A207C8">
        <w:t>the</w:t>
      </w:r>
      <w:r w:rsidR="00E66771" w:rsidRPr="00FC1816">
        <w:t xml:space="preserve"> </w:t>
      </w:r>
      <w:r w:rsidR="00E66771" w:rsidRPr="003D2F00">
        <w:rPr>
          <w:b/>
        </w:rPr>
        <w:t>Building</w:t>
      </w:r>
      <w:r w:rsidR="00E66771" w:rsidRPr="00FC1816">
        <w:t xml:space="preserve"> </w:t>
      </w:r>
      <w:r w:rsidR="00E66771" w:rsidRPr="003D2F00">
        <w:rPr>
          <w:b/>
        </w:rPr>
        <w:t>MNO</w:t>
      </w:r>
      <w:r w:rsidR="00E66771">
        <w:t>) reaches an agreement under section 4.3 of these Guidelines for another MNO (</w:t>
      </w:r>
      <w:r w:rsidR="00E66771" w:rsidRPr="00FC1816">
        <w:t xml:space="preserve">the </w:t>
      </w:r>
      <w:r w:rsidR="00E66771" w:rsidRPr="00831DCC">
        <w:t>Co</w:t>
      </w:r>
      <w:r w:rsidR="00972777">
        <w:noBreakHyphen/>
      </w:r>
      <w:r w:rsidR="00E66771" w:rsidRPr="00831DCC">
        <w:t>locating MNO</w:t>
      </w:r>
      <w:r w:rsidR="00E66771">
        <w:t>) to co-locate on the Funded Base Station, the Building MNO must sell backhaul to the Co-locating MNO if the Building MNO is in a position to do so.</w:t>
      </w:r>
    </w:p>
    <w:p w:rsidR="00E66771" w:rsidRPr="005B1B5C" w:rsidRDefault="001840BC" w:rsidP="00890E6F">
      <w:pPr>
        <w:pStyle w:val="Bodynumbered-Level1"/>
        <w:ind w:left="709" w:hanging="709"/>
      </w:pPr>
      <w:r>
        <w:t>4.4.2</w:t>
      </w:r>
      <w:r>
        <w:tab/>
      </w:r>
      <w:r w:rsidR="00E66771">
        <w:t>The Building MNO will be taken to be in a position to sell backhaul to the Co-locating MNO if the Building MNO owns or controls an optical fibre which connects the Funded Base Station to the Building MNO’s network.</w:t>
      </w:r>
    </w:p>
    <w:p w:rsidR="00E66771" w:rsidRPr="005B1B5C" w:rsidRDefault="001840BC" w:rsidP="00890E6F">
      <w:pPr>
        <w:pStyle w:val="Bodynumbered-Level1"/>
        <w:ind w:left="709" w:hanging="709"/>
      </w:pPr>
      <w:r>
        <w:lastRenderedPageBreak/>
        <w:t>4.4.3</w:t>
      </w:r>
      <w:r>
        <w:tab/>
      </w:r>
      <w:r w:rsidR="00E66771" w:rsidRPr="006F0BB5">
        <w:t>For more remote locations where existing fibre or microwave backhaul (or a combination of both) is not available or readily accessible, satellite backhaul technology may be utilised to deliver the mobile services. If satellite backhaul technology is proposed for a Proposed Base Station, the applicant should clearly define the level of service to be provided.</w:t>
      </w:r>
    </w:p>
    <w:p w:rsidR="00E66771" w:rsidRDefault="001840BC" w:rsidP="00C81201">
      <w:pPr>
        <w:pStyle w:val="Bodynumbered-Level1"/>
        <w:ind w:left="709" w:right="-22" w:hanging="709"/>
      </w:pPr>
      <w:r>
        <w:t>4.4.4</w:t>
      </w:r>
      <w:r>
        <w:tab/>
      </w:r>
      <w:r w:rsidR="00E66771">
        <w:t xml:space="preserve">The price at which the Building MNO sells backhaul to the Co-locating MNO must be determined in accordance with the principle that it is a price which is demonstrably less than a standard ‘rate card’ pricing for backhaul currently prevailing in the market, by at least a magnitude which is </w:t>
      </w:r>
      <w:proofErr w:type="spellStart"/>
      <w:r w:rsidR="00E66771">
        <w:t>referable</w:t>
      </w:r>
      <w:proofErr w:type="spellEnd"/>
      <w:r w:rsidR="00E66771">
        <w:t xml:space="preserve"> to the total amount received by the Building MNO in respect of a Funded Base Station, from the Commonwealth under the Programme, and from any third party under section 5.1 of these Guidelines (except to the extent that a third party expressly indicates in writing to the Commonwealth that it does not wish its contribution to be reflected in a reduced backhaul price charged by a Building MNO to a Co-locating MNO under this section 4.4.4.)</w:t>
      </w:r>
    </w:p>
    <w:p w:rsidR="00E66771" w:rsidRPr="00D979AD" w:rsidRDefault="001840BC" w:rsidP="00890E6F">
      <w:pPr>
        <w:pStyle w:val="Bodynumbered-Level1"/>
        <w:ind w:left="709" w:hanging="709"/>
      </w:pPr>
      <w:r>
        <w:t>4.4.5</w:t>
      </w:r>
      <w:r>
        <w:tab/>
      </w:r>
      <w:r w:rsidR="00E66771">
        <w:t>Where a Building MNO chooses to provide backhaul to a Funded Base Station using an optical fi</w:t>
      </w:r>
      <w:r w:rsidR="00831DCC">
        <w:t xml:space="preserve">bre connection, it must ensure </w:t>
      </w:r>
      <w:r w:rsidR="00E66771">
        <w:t>that it provides sufficient backhaul capacity, transmission and interfacing equipment to meet the backhaul requirements of any Co</w:t>
      </w:r>
      <w:r w:rsidR="00601C11">
        <w:noBreakHyphen/>
      </w:r>
      <w:r w:rsidR="00E66771">
        <w:t>locating MNO on the Funded Base Station. This requirement does not apply to a Brownfield Site.</w:t>
      </w:r>
    </w:p>
    <w:p w:rsidR="00E66771" w:rsidRPr="00AE6923" w:rsidRDefault="001840BC" w:rsidP="00890E6F">
      <w:pPr>
        <w:pStyle w:val="Bodynumbered-Level1"/>
        <w:ind w:left="709" w:hanging="709"/>
      </w:pPr>
      <w:r>
        <w:t>4.4.6</w:t>
      </w:r>
      <w:r>
        <w:tab/>
      </w:r>
      <w:r w:rsidR="00E66771">
        <w:t>Where a B</w:t>
      </w:r>
      <w:r w:rsidR="00E66771" w:rsidRPr="00AE6923">
        <w:t>uilding MNO chooses to provide backhaul to a Funded Base Stati</w:t>
      </w:r>
      <w:r w:rsidR="00E66771">
        <w:t>on using a microwave connection, t</w:t>
      </w:r>
      <w:r w:rsidR="00E66771" w:rsidRPr="00AE6923">
        <w:t xml:space="preserve">he Building MNO </w:t>
      </w:r>
      <w:r w:rsidR="00E66771">
        <w:t>must</w:t>
      </w:r>
      <w:r w:rsidR="00E66771" w:rsidRPr="00AE6923">
        <w:t xml:space="preserve"> provide backhaul </w:t>
      </w:r>
      <w:r w:rsidR="00E66771">
        <w:t>services</w:t>
      </w:r>
      <w:r w:rsidR="00E66771" w:rsidRPr="00AE6923">
        <w:t xml:space="preserve"> to a Co</w:t>
      </w:r>
      <w:r w:rsidR="00343577">
        <w:noBreakHyphen/>
      </w:r>
      <w:r w:rsidR="00E66771" w:rsidRPr="00AE6923">
        <w:t>locating MNO over th</w:t>
      </w:r>
      <w:r w:rsidR="00E66771">
        <w:t>at</w:t>
      </w:r>
      <w:r w:rsidR="00E66771" w:rsidRPr="00AE6923">
        <w:t xml:space="preserve"> microwave </w:t>
      </w:r>
      <w:r w:rsidR="00E66771">
        <w:t>connection, unless</w:t>
      </w:r>
      <w:r w:rsidR="00343577">
        <w:t>:</w:t>
      </w:r>
    </w:p>
    <w:p w:rsidR="00E66771" w:rsidRDefault="00BB608B" w:rsidP="00C81201">
      <w:pPr>
        <w:pStyle w:val="Bodynumbered-Level3"/>
        <w:numPr>
          <w:ilvl w:val="0"/>
          <w:numId w:val="0"/>
        </w:numPr>
        <w:spacing w:after="120"/>
        <w:ind w:left="1134" w:hanging="425"/>
      </w:pPr>
      <w:r>
        <w:t>(a)</w:t>
      </w:r>
      <w:r w:rsidR="00343577">
        <w:tab/>
        <w:t>t</w:t>
      </w:r>
      <w:r w:rsidR="00E66771" w:rsidRPr="00FD112F">
        <w:t xml:space="preserve">he Funded Base Station </w:t>
      </w:r>
      <w:r w:rsidR="00E66771">
        <w:t xml:space="preserve">is designed and built </w:t>
      </w:r>
      <w:r w:rsidR="00E66771" w:rsidRPr="00FD112F">
        <w:t xml:space="preserve">to allow </w:t>
      </w:r>
      <w:r w:rsidR="00E66771">
        <w:t xml:space="preserve">the </w:t>
      </w:r>
      <w:r w:rsidR="00E66771" w:rsidRPr="00FD112F">
        <w:t xml:space="preserve">Co-locating MNO to </w:t>
      </w:r>
      <w:r w:rsidR="00E66771">
        <w:t xml:space="preserve">install, operate and maintain </w:t>
      </w:r>
      <w:r w:rsidR="00E66771" w:rsidRPr="00FD112F">
        <w:t>its own microwave backhaul equipment on the Funded Base Station</w:t>
      </w:r>
      <w:r w:rsidR="00343577">
        <w:t>;</w:t>
      </w:r>
      <w:r w:rsidR="003F0E35">
        <w:t xml:space="preserve"> </w:t>
      </w:r>
      <w:r w:rsidR="00E66771">
        <w:t>and</w:t>
      </w:r>
    </w:p>
    <w:p w:rsidR="00E66771" w:rsidRPr="00E07E3A" w:rsidRDefault="00BB608B" w:rsidP="00C81201">
      <w:pPr>
        <w:pStyle w:val="Bodynumbered-Level3"/>
        <w:numPr>
          <w:ilvl w:val="0"/>
          <w:numId w:val="0"/>
        </w:numPr>
        <w:spacing w:after="120"/>
        <w:ind w:left="1134" w:hanging="425"/>
      </w:pPr>
      <w:r>
        <w:t>(b)</w:t>
      </w:r>
      <w:r w:rsidR="00343577">
        <w:tab/>
        <w:t>t</w:t>
      </w:r>
      <w:r w:rsidR="00E66771">
        <w:t xml:space="preserve">he </w:t>
      </w:r>
      <w:r w:rsidR="00E66771" w:rsidRPr="00FD112F">
        <w:t>Co-locating MNO</w:t>
      </w:r>
      <w:r w:rsidR="00E66771">
        <w:t xml:space="preserve"> is permitted to </w:t>
      </w:r>
      <w:r w:rsidR="00E66771" w:rsidRPr="00FD112F">
        <w:t>install</w:t>
      </w:r>
      <w:r w:rsidR="00E66771">
        <w:t>, operate and maintain</w:t>
      </w:r>
      <w:r w:rsidR="00E66771" w:rsidRPr="00FD112F">
        <w:t xml:space="preserve"> its own microwave backhaul equipment on the Funded Base Station.</w:t>
      </w:r>
    </w:p>
    <w:p w:rsidR="00E66771" w:rsidRPr="00AE6923" w:rsidRDefault="001840BC" w:rsidP="00601C11">
      <w:pPr>
        <w:pStyle w:val="Bodynumbered-Level1"/>
        <w:ind w:left="709" w:right="-306" w:hanging="709"/>
      </w:pPr>
      <w:r>
        <w:t>4.4.7</w:t>
      </w:r>
      <w:r>
        <w:tab/>
      </w:r>
      <w:r w:rsidR="00E66771">
        <w:t>The terms and pricing of backhaul services pro</w:t>
      </w:r>
      <w:r w:rsidR="00831DCC">
        <w:t>vided by a Building MNO to a Co</w:t>
      </w:r>
      <w:r w:rsidR="00911A97">
        <w:noBreakHyphen/>
      </w:r>
      <w:r w:rsidR="00E66771">
        <w:t>locating MNO must be negotiated commercially between the Building MNO and Co-locating MNO</w:t>
      </w:r>
    </w:p>
    <w:p w:rsidR="00E66771" w:rsidRPr="00B62778" w:rsidRDefault="00BB608B" w:rsidP="00C81201">
      <w:pPr>
        <w:pStyle w:val="Bodynumbered-Level3"/>
        <w:numPr>
          <w:ilvl w:val="0"/>
          <w:numId w:val="0"/>
        </w:numPr>
        <w:spacing w:after="120"/>
        <w:ind w:left="1134" w:hanging="425"/>
      </w:pPr>
      <w:r>
        <w:t>(a)</w:t>
      </w:r>
      <w:r w:rsidR="00911A97">
        <w:tab/>
      </w:r>
      <w:r w:rsidR="00E66771">
        <w:t>in accordance with the principl</w:t>
      </w:r>
      <w:r w:rsidR="00831DCC">
        <w:t>es set out in this secti</w:t>
      </w:r>
      <w:r w:rsidR="003F0E35">
        <w:t xml:space="preserve">on 4.4; </w:t>
      </w:r>
      <w:r w:rsidR="00E66771">
        <w:t xml:space="preserve">and </w:t>
      </w:r>
    </w:p>
    <w:p w:rsidR="00E66771" w:rsidRPr="00D450FB" w:rsidRDefault="00BB608B" w:rsidP="00C81201">
      <w:pPr>
        <w:pStyle w:val="Bodynumbered-Level3"/>
        <w:numPr>
          <w:ilvl w:val="0"/>
          <w:numId w:val="0"/>
        </w:numPr>
        <w:spacing w:after="120"/>
        <w:ind w:left="1134" w:hanging="425"/>
      </w:pPr>
      <w:r>
        <w:t>(b)</w:t>
      </w:r>
      <w:r w:rsidR="00911A97">
        <w:tab/>
      </w:r>
      <w:r w:rsidR="00E66771">
        <w:t>having regard to a starting principle that backhaul costs are shared equally between all MNOs using this service.</w:t>
      </w:r>
    </w:p>
    <w:p w:rsidR="00E66771" w:rsidRPr="00E04541" w:rsidRDefault="00E66771" w:rsidP="00A06684">
      <w:pPr>
        <w:pStyle w:val="Heading2"/>
        <w:ind w:hanging="1144"/>
      </w:pPr>
      <w:bookmarkStart w:id="108" w:name="_Toc397462767"/>
      <w:bookmarkStart w:id="109" w:name="_Toc397501039"/>
      <w:bookmarkStart w:id="110" w:name="_Toc397501516"/>
      <w:bookmarkStart w:id="111" w:name="_Toc397462768"/>
      <w:bookmarkStart w:id="112" w:name="_Toc397501040"/>
      <w:bookmarkStart w:id="113" w:name="_Toc397501517"/>
      <w:bookmarkStart w:id="114" w:name="_Toc397462769"/>
      <w:bookmarkStart w:id="115" w:name="_Toc397501041"/>
      <w:bookmarkStart w:id="116" w:name="_Toc397501518"/>
      <w:bookmarkStart w:id="117" w:name="_Toc397462770"/>
      <w:bookmarkStart w:id="118" w:name="_Toc397501042"/>
      <w:bookmarkStart w:id="119" w:name="_Toc397501519"/>
      <w:bookmarkStart w:id="120" w:name="_Ref383513493"/>
      <w:bookmarkStart w:id="121" w:name="_Toc386635489"/>
      <w:bookmarkStart w:id="122" w:name="_Toc393908567"/>
      <w:bookmarkStart w:id="123" w:name="_Toc405380432"/>
      <w:bookmarkStart w:id="124" w:name="_Toc407007244"/>
      <w:bookmarkEnd w:id="108"/>
      <w:bookmarkEnd w:id="109"/>
      <w:bookmarkEnd w:id="110"/>
      <w:bookmarkEnd w:id="111"/>
      <w:bookmarkEnd w:id="112"/>
      <w:bookmarkEnd w:id="113"/>
      <w:bookmarkEnd w:id="114"/>
      <w:bookmarkEnd w:id="115"/>
      <w:bookmarkEnd w:id="116"/>
      <w:bookmarkEnd w:id="117"/>
      <w:bookmarkEnd w:id="118"/>
      <w:bookmarkEnd w:id="119"/>
      <w:r w:rsidRPr="008770C0">
        <w:t>Dispute resolution</w:t>
      </w:r>
      <w:bookmarkEnd w:id="120"/>
      <w:bookmarkEnd w:id="121"/>
      <w:bookmarkEnd w:id="122"/>
      <w:bookmarkEnd w:id="123"/>
      <w:bookmarkEnd w:id="124"/>
    </w:p>
    <w:p w:rsidR="00E66771" w:rsidRPr="009B4BEF" w:rsidRDefault="001840BC" w:rsidP="00890E6F">
      <w:pPr>
        <w:pStyle w:val="Bodynumbered-Level1"/>
        <w:ind w:left="709" w:hanging="709"/>
      </w:pPr>
      <w:r>
        <w:t>4.5.1</w:t>
      </w:r>
      <w:r>
        <w:tab/>
      </w:r>
      <w:r w:rsidR="00E66771" w:rsidRPr="009B4BEF">
        <w:t>MNOs will be given the opportunity to appoint, at their own shared cost, an independent third party to arbitrate any disputes</w:t>
      </w:r>
      <w:r w:rsidR="00E66771">
        <w:t xml:space="preserve"> </w:t>
      </w:r>
      <w:r w:rsidR="00E66771" w:rsidRPr="00FE299F">
        <w:t>that may arise in relation to Funded Base Stations (for example disputes related to technical or pricing matters)</w:t>
      </w:r>
      <w:r w:rsidR="00E66771" w:rsidRPr="009B4BEF">
        <w:t xml:space="preserve">. </w:t>
      </w:r>
      <w:r w:rsidR="00E66771">
        <w:t xml:space="preserve">Applicants should identify their preferred third party arbitrator at the time of application. </w:t>
      </w:r>
      <w:r w:rsidR="00E66771" w:rsidRPr="009B4BEF">
        <w:t>If there is disagreement on the selection of the independent third party, the matter will be referred to the Department for a decision on the appointment of the arbitrator.</w:t>
      </w:r>
    </w:p>
    <w:p w:rsidR="00E66771" w:rsidRPr="009B4BEF" w:rsidRDefault="001840BC" w:rsidP="00890E6F">
      <w:pPr>
        <w:pStyle w:val="Bodynumbered-Level1"/>
        <w:ind w:left="709" w:hanging="709"/>
      </w:pPr>
      <w:r>
        <w:t>4.5.2</w:t>
      </w:r>
      <w:r>
        <w:tab/>
      </w:r>
      <w:r w:rsidR="00E66771" w:rsidRPr="00FE299F">
        <w:t>The views of the independent third party arbitrator must be accepted. Contractual penalties will apply to an MNO that does not comply with this requirement</w:t>
      </w:r>
      <w:r w:rsidR="00E66771">
        <w:t>.</w:t>
      </w:r>
    </w:p>
    <w:p w:rsidR="00E66771" w:rsidRPr="0031276D" w:rsidRDefault="001840BC" w:rsidP="00601C11">
      <w:pPr>
        <w:pStyle w:val="Bodynumbered-Level1"/>
        <w:ind w:left="709" w:right="-306" w:hanging="709"/>
      </w:pPr>
      <w:r>
        <w:lastRenderedPageBreak/>
        <w:t>4.5.3</w:t>
      </w:r>
      <w:r>
        <w:tab/>
      </w:r>
      <w:r w:rsidR="00831DCC">
        <w:t xml:space="preserve">In the event a </w:t>
      </w:r>
      <w:r w:rsidR="00601C11">
        <w:t>B</w:t>
      </w:r>
      <w:r w:rsidR="00831DCC">
        <w:t>uilding</w:t>
      </w:r>
      <w:r w:rsidR="00E66771" w:rsidRPr="009B4BEF">
        <w:t xml:space="preserve"> MNO which is charging a </w:t>
      </w:r>
      <w:r w:rsidR="00601C11">
        <w:t>C</w:t>
      </w:r>
      <w:r w:rsidR="00E66771" w:rsidRPr="009B4BEF">
        <w:t xml:space="preserve">o-locating MNO for </w:t>
      </w:r>
      <w:r w:rsidR="00E66771">
        <w:t>b</w:t>
      </w:r>
      <w:r w:rsidR="00E66771" w:rsidRPr="009B4BEF">
        <w:t xml:space="preserve">ackhaul does not accept the pricing determined by the </w:t>
      </w:r>
      <w:r w:rsidR="00E66771">
        <w:t>independent third party</w:t>
      </w:r>
      <w:r w:rsidR="00E66771" w:rsidRPr="009B4BEF">
        <w:t xml:space="preserve"> and charge the </w:t>
      </w:r>
      <w:r w:rsidR="00601C11">
        <w:t>C</w:t>
      </w:r>
      <w:r w:rsidR="00E66771" w:rsidRPr="009B4BEF">
        <w:t>o</w:t>
      </w:r>
      <w:r w:rsidR="001E0075">
        <w:noBreakHyphen/>
      </w:r>
      <w:r w:rsidR="00E66771" w:rsidRPr="009B4BEF">
        <w:t>locating MNO accordingly, that MNO will be liable to repay the Commonwealth the total amount it received from the Commonwealth in respect of that Funded Base Station.</w:t>
      </w:r>
    </w:p>
    <w:p w:rsidR="00E66771" w:rsidRPr="008770C0" w:rsidRDefault="00E66771" w:rsidP="00A06684">
      <w:pPr>
        <w:pStyle w:val="Heading2"/>
        <w:ind w:hanging="1144"/>
      </w:pPr>
      <w:bookmarkStart w:id="125" w:name="_Ref389773770"/>
      <w:bookmarkStart w:id="126" w:name="_Toc393908568"/>
      <w:bookmarkStart w:id="127" w:name="_Toc405380433"/>
      <w:bookmarkStart w:id="128" w:name="_Toc407007245"/>
      <w:r w:rsidRPr="008770C0">
        <w:t xml:space="preserve">Additional </w:t>
      </w:r>
      <w:bookmarkEnd w:id="125"/>
      <w:r>
        <w:t>s</w:t>
      </w:r>
      <w:r w:rsidRPr="008770C0">
        <w:t>ervices</w:t>
      </w:r>
      <w:bookmarkEnd w:id="126"/>
      <w:bookmarkEnd w:id="127"/>
      <w:bookmarkEnd w:id="128"/>
    </w:p>
    <w:p w:rsidR="00E66771" w:rsidRPr="00D017F1" w:rsidRDefault="00E66771" w:rsidP="00E66771">
      <w:pPr>
        <w:rPr>
          <w:rFonts w:eastAsia="Times New Roman"/>
          <w:b/>
          <w:sz w:val="24"/>
          <w:szCs w:val="24"/>
        </w:rPr>
      </w:pPr>
      <w:r w:rsidRPr="00D017F1">
        <w:rPr>
          <w:rFonts w:eastAsia="Times New Roman"/>
          <w:b/>
          <w:sz w:val="24"/>
          <w:szCs w:val="24"/>
        </w:rPr>
        <w:t>4G services</w:t>
      </w:r>
    </w:p>
    <w:p w:rsidR="00E66771" w:rsidRDefault="00F12602" w:rsidP="001E0075">
      <w:pPr>
        <w:pStyle w:val="Bodynumbered-Level1"/>
        <w:ind w:left="709" w:right="-188" w:hanging="709"/>
      </w:pPr>
      <w:r>
        <w:t>4.6.1</w:t>
      </w:r>
      <w:r>
        <w:tab/>
      </w:r>
      <w:r w:rsidR="00E66771" w:rsidRPr="00002067">
        <w:t xml:space="preserve">Additional weighting has been included in the </w:t>
      </w:r>
      <w:r w:rsidR="00E66771">
        <w:t>A</w:t>
      </w:r>
      <w:r w:rsidR="00E66771" w:rsidRPr="00002067">
        <w:t xml:space="preserve">ssessment </w:t>
      </w:r>
      <w:r w:rsidR="00E66771">
        <w:t>C</w:t>
      </w:r>
      <w:r w:rsidR="00E66771" w:rsidRPr="00002067">
        <w:t xml:space="preserve">riteria for Proposed Base Stations that will deliver </w:t>
      </w:r>
      <w:r w:rsidR="00E66771" w:rsidRPr="003D2F00">
        <w:rPr>
          <w:b/>
        </w:rPr>
        <w:t>4G</w:t>
      </w:r>
      <w:r w:rsidR="00E66771" w:rsidRPr="00732C14">
        <w:t xml:space="preserve"> </w:t>
      </w:r>
      <w:r w:rsidR="00E66771" w:rsidRPr="003D2F00">
        <w:rPr>
          <w:b/>
        </w:rPr>
        <w:t>services</w:t>
      </w:r>
      <w:r w:rsidR="00E66771" w:rsidRPr="00002067">
        <w:t xml:space="preserve"> in addition to the</w:t>
      </w:r>
      <w:r w:rsidR="00E66771">
        <w:t xml:space="preserve"> m</w:t>
      </w:r>
      <w:r w:rsidR="00831DCC">
        <w:t>inimum</w:t>
      </w:r>
      <w:r w:rsidR="00E66771">
        <w:t xml:space="preserve"> 3G HSPA+ technology.</w:t>
      </w:r>
    </w:p>
    <w:p w:rsidR="00E66771" w:rsidRPr="00D017F1" w:rsidRDefault="00E66771" w:rsidP="00E66771">
      <w:pPr>
        <w:rPr>
          <w:rFonts w:eastAsia="Times New Roman"/>
        </w:rPr>
      </w:pPr>
      <w:r w:rsidRPr="00D017F1">
        <w:rPr>
          <w:rFonts w:eastAsia="Times New Roman"/>
          <w:b/>
          <w:sz w:val="24"/>
          <w:szCs w:val="24"/>
        </w:rPr>
        <w:t>Roaming services</w:t>
      </w:r>
    </w:p>
    <w:p w:rsidR="00E66771" w:rsidRDefault="00F12602" w:rsidP="00890E6F">
      <w:pPr>
        <w:pStyle w:val="Bodynumbered-Level1"/>
        <w:ind w:left="709" w:hanging="709"/>
      </w:pPr>
      <w:r>
        <w:t>4.6.2</w:t>
      </w:r>
      <w:r>
        <w:tab/>
      </w:r>
      <w:r w:rsidR="00E66771" w:rsidRPr="00D63C4A">
        <w:t xml:space="preserve">Additional weighting has been included in the </w:t>
      </w:r>
      <w:r w:rsidR="00E66771">
        <w:t>A</w:t>
      </w:r>
      <w:r w:rsidR="00E66771" w:rsidRPr="00D63C4A">
        <w:t xml:space="preserve">ssessment </w:t>
      </w:r>
      <w:r w:rsidR="00E66771">
        <w:t>C</w:t>
      </w:r>
      <w:r w:rsidR="00E66771" w:rsidRPr="00D63C4A">
        <w:t xml:space="preserve">riteria for Proposed Base Stations for which MNOs offer to make inter-carrier roaming available </w:t>
      </w:r>
      <w:r w:rsidR="00E66771">
        <w:t xml:space="preserve">to all MNOs </w:t>
      </w:r>
      <w:r w:rsidR="00E66771" w:rsidRPr="00D63C4A">
        <w:t>(although this is not a mandatory requirement).</w:t>
      </w:r>
    </w:p>
    <w:p w:rsidR="00E66771" w:rsidRPr="00D63C4A" w:rsidRDefault="00F12602" w:rsidP="00890E6F">
      <w:pPr>
        <w:pStyle w:val="Bodynumbered-Level1"/>
        <w:ind w:left="709" w:hanging="709"/>
      </w:pPr>
      <w:r>
        <w:t>4.6.3</w:t>
      </w:r>
      <w:r>
        <w:tab/>
      </w:r>
      <w:r w:rsidR="00E66771">
        <w:t>S</w:t>
      </w:r>
      <w:r w:rsidR="00E66771" w:rsidRPr="00D63C4A">
        <w:t>uch a Proposed Base Station will have the potential to deliver greater public benefit for the amount of public money contributed than a similar Proposed Base Station which does not support roaming, as it would provide coverage not just to customers of the MNO which owns and operates it, but a</w:t>
      </w:r>
      <w:r w:rsidR="00E66771">
        <w:t>lso to customers of other MNOs.</w:t>
      </w:r>
    </w:p>
    <w:p w:rsidR="00E66771" w:rsidRDefault="00F12602" w:rsidP="00890E6F">
      <w:pPr>
        <w:pStyle w:val="Bodynumbered-Level1"/>
        <w:ind w:left="709" w:hanging="709"/>
      </w:pPr>
      <w:r>
        <w:t>4.6.4</w:t>
      </w:r>
      <w:r>
        <w:tab/>
      </w:r>
      <w:r w:rsidR="00E66771" w:rsidRPr="00D63C4A">
        <w:t xml:space="preserve">In offering to make roaming available, applicants will agree to negotiate with </w:t>
      </w:r>
      <w:r w:rsidR="00E66771">
        <w:t xml:space="preserve">the </w:t>
      </w:r>
      <w:r w:rsidR="00E66771" w:rsidRPr="00D63C4A">
        <w:t>other MNOs on reasonable terms and conditions and implement such arrangements within a reasonable timeframe from entering into negotiations.</w:t>
      </w:r>
    </w:p>
    <w:p w:rsidR="00E66771" w:rsidRPr="00D017F1" w:rsidRDefault="00E66771" w:rsidP="00346DFC">
      <w:pPr>
        <w:pStyle w:val="Heading1"/>
        <w:ind w:left="998" w:hanging="1000"/>
      </w:pPr>
      <w:bookmarkStart w:id="129" w:name="_Toc397501522"/>
      <w:bookmarkStart w:id="130" w:name="_Toc393908569"/>
      <w:bookmarkStart w:id="131" w:name="_Toc405380434"/>
      <w:bookmarkStart w:id="132" w:name="_Toc407007246"/>
      <w:bookmarkEnd w:id="129"/>
      <w:r w:rsidRPr="00346DFC">
        <w:t>Other considerations</w:t>
      </w:r>
      <w:bookmarkEnd w:id="130"/>
      <w:bookmarkEnd w:id="131"/>
      <w:bookmarkEnd w:id="132"/>
    </w:p>
    <w:p w:rsidR="00E66771" w:rsidRPr="0031276D" w:rsidRDefault="00E66771" w:rsidP="00890E6F">
      <w:pPr>
        <w:pStyle w:val="Heading2"/>
        <w:ind w:left="709" w:hanging="709"/>
      </w:pPr>
      <w:bookmarkStart w:id="133" w:name="_Toc378930082"/>
      <w:bookmarkStart w:id="134" w:name="_Toc378930206"/>
      <w:bookmarkStart w:id="135" w:name="_Toc386635490"/>
      <w:bookmarkStart w:id="136" w:name="_Ref389773188"/>
      <w:bookmarkStart w:id="137" w:name="_Toc393908570"/>
      <w:bookmarkStart w:id="138" w:name="_Toc405380435"/>
      <w:bookmarkStart w:id="139" w:name="_Toc407007247"/>
      <w:r w:rsidRPr="00E04541">
        <w:t>Third-</w:t>
      </w:r>
      <w:r w:rsidRPr="0031276D">
        <w:t>party co-contributions</w:t>
      </w:r>
      <w:bookmarkEnd w:id="133"/>
      <w:bookmarkEnd w:id="134"/>
      <w:bookmarkEnd w:id="135"/>
      <w:bookmarkEnd w:id="136"/>
      <w:bookmarkEnd w:id="137"/>
      <w:bookmarkEnd w:id="138"/>
      <w:bookmarkEnd w:id="139"/>
    </w:p>
    <w:p w:rsidR="00E66771" w:rsidRPr="00FC4691" w:rsidRDefault="00831DCC" w:rsidP="00890E6F">
      <w:pPr>
        <w:pStyle w:val="Bodynumbered-Level1"/>
        <w:ind w:left="709" w:hanging="709"/>
      </w:pPr>
      <w:bookmarkStart w:id="140" w:name="_Toc378930083"/>
      <w:bookmarkStart w:id="141" w:name="_Toc378930207"/>
      <w:r>
        <w:t>5.1.1</w:t>
      </w:r>
      <w:r w:rsidR="00F12602">
        <w:tab/>
      </w:r>
      <w:r w:rsidR="00E66771" w:rsidRPr="00FC4691">
        <w:t>Of the $100 million allocated to this Programme by the Commonwealth, $20 million will be reserved for the construction of Funded Base Stations which address specific local issues and have a co</w:t>
      </w:r>
      <w:r w:rsidR="00E66771" w:rsidRPr="00FC4691">
        <w:noBreakHyphen/>
        <w:t>contribution (cash or in-kind) from State</w:t>
      </w:r>
      <w:r w:rsidR="00E66771">
        <w:t>,</w:t>
      </w:r>
      <w:r w:rsidR="00E66771" w:rsidRPr="00FC4691">
        <w:t xml:space="preserve"> Territory </w:t>
      </w:r>
      <w:r w:rsidR="00E66771">
        <w:t xml:space="preserve">or local </w:t>
      </w:r>
      <w:r w:rsidR="00E66771" w:rsidRPr="00FC4691">
        <w:t>governments, local communities or ot</w:t>
      </w:r>
      <w:r w:rsidR="00E66771">
        <w:t>her contributing third-parties.</w:t>
      </w:r>
    </w:p>
    <w:p w:rsidR="00E66771" w:rsidRPr="00FC4691" w:rsidRDefault="00F12602" w:rsidP="00C81201">
      <w:pPr>
        <w:pStyle w:val="Bodynumbered-Level1"/>
        <w:ind w:left="709" w:right="-306" w:hanging="709"/>
      </w:pPr>
      <w:r>
        <w:t>5.1.2</w:t>
      </w:r>
      <w:r>
        <w:tab/>
      </w:r>
      <w:r w:rsidR="00E66771" w:rsidRPr="00FC4691">
        <w:t>In addition to a financial (cash) co-contribution, third parties will also be able to provide in</w:t>
      </w:r>
      <w:r w:rsidR="00E66771" w:rsidRPr="00FC4691">
        <w:noBreakHyphen/>
        <w:t>kind co</w:t>
      </w:r>
      <w:r w:rsidR="00E66771" w:rsidRPr="00FC4691">
        <w:noBreakHyphen/>
        <w:t>contributions (or a combination of both).</w:t>
      </w:r>
      <w:r w:rsidR="00E66771">
        <w:t xml:space="preserve"> </w:t>
      </w:r>
      <w:r w:rsidR="00E66771" w:rsidRPr="00FC4691">
        <w:t>The local governments that have to date indicated an intention to make a co</w:t>
      </w:r>
      <w:r w:rsidR="00E66771" w:rsidRPr="00FC4691">
        <w:noBreakHyphen/>
        <w:t xml:space="preserve">contribution, are identified at </w:t>
      </w:r>
      <w:r w:rsidR="00E66771" w:rsidRPr="0006134A">
        <w:t>Attachment B.</w:t>
      </w:r>
    </w:p>
    <w:p w:rsidR="00E66771" w:rsidRPr="00D93780" w:rsidRDefault="00F12602" w:rsidP="00890E6F">
      <w:pPr>
        <w:pStyle w:val="Bodynumbered-Level1"/>
        <w:ind w:left="709" w:hanging="709"/>
      </w:pPr>
      <w:r>
        <w:t>5.1.3</w:t>
      </w:r>
      <w:r>
        <w:tab/>
      </w:r>
      <w:r w:rsidR="00E66771" w:rsidRPr="00FC4691">
        <w:t xml:space="preserve">In-kind contributions which could potentially be provided by local </w:t>
      </w:r>
      <w:r w:rsidR="00E66771">
        <w:t>governments</w:t>
      </w:r>
      <w:r w:rsidR="007743A2">
        <w:t xml:space="preserve"> and/or </w:t>
      </w:r>
      <w:r w:rsidR="00E66771" w:rsidRPr="00FC4691">
        <w:t>communities include:</w:t>
      </w:r>
    </w:p>
    <w:p w:rsidR="00E66771" w:rsidRPr="008E3258" w:rsidRDefault="007743A2" w:rsidP="00C81201">
      <w:pPr>
        <w:pStyle w:val="Bodynumbered-Level3"/>
        <w:numPr>
          <w:ilvl w:val="0"/>
          <w:numId w:val="0"/>
        </w:numPr>
        <w:spacing w:after="120"/>
        <w:ind w:left="1134" w:right="-613" w:hanging="425"/>
      </w:pPr>
      <w:r>
        <w:t>(a)</w:t>
      </w:r>
      <w:r>
        <w:tab/>
      </w:r>
      <w:r w:rsidR="00E66771" w:rsidRPr="008E3258">
        <w:t>assistance with identifying and consultin</w:t>
      </w:r>
      <w:r w:rsidR="00BB608B">
        <w:t xml:space="preserve">g with the local community on a </w:t>
      </w:r>
      <w:r w:rsidR="00E66771" w:rsidRPr="008E3258">
        <w:t>suitable site</w:t>
      </w:r>
    </w:p>
    <w:p w:rsidR="00E66771" w:rsidRPr="008E3258" w:rsidRDefault="007743A2" w:rsidP="00C81201">
      <w:pPr>
        <w:pStyle w:val="Bodynumbered-Level3"/>
        <w:numPr>
          <w:ilvl w:val="0"/>
          <w:numId w:val="0"/>
        </w:numPr>
        <w:spacing w:after="120"/>
        <w:ind w:left="1134" w:hanging="425"/>
      </w:pPr>
      <w:r>
        <w:t>(b)</w:t>
      </w:r>
      <w:r>
        <w:tab/>
      </w:r>
      <w:r w:rsidR="00E66771" w:rsidRPr="008E3258">
        <w:t>securing the necessary planning and site approvals</w:t>
      </w:r>
    </w:p>
    <w:p w:rsidR="00E66771" w:rsidRPr="008E3258" w:rsidRDefault="007743A2" w:rsidP="00C81201">
      <w:pPr>
        <w:pStyle w:val="Bodynumbered-Level3"/>
        <w:numPr>
          <w:ilvl w:val="0"/>
          <w:numId w:val="0"/>
        </w:numPr>
        <w:spacing w:after="120"/>
        <w:ind w:left="1134" w:hanging="425"/>
      </w:pPr>
      <w:r>
        <w:t>(c)</w:t>
      </w:r>
      <w:r>
        <w:tab/>
      </w:r>
      <w:r w:rsidR="00E66771" w:rsidRPr="008E3258">
        <w:t>lease arrangements</w:t>
      </w:r>
    </w:p>
    <w:p w:rsidR="00E66771" w:rsidRPr="008E3258" w:rsidRDefault="007743A2" w:rsidP="00C81201">
      <w:pPr>
        <w:pStyle w:val="Bodynumbered-Level3"/>
        <w:numPr>
          <w:ilvl w:val="0"/>
          <w:numId w:val="0"/>
        </w:numPr>
        <w:spacing w:after="120"/>
        <w:ind w:left="1134" w:hanging="425"/>
      </w:pPr>
      <w:r>
        <w:t>(d)</w:t>
      </w:r>
      <w:r>
        <w:tab/>
      </w:r>
      <w:r w:rsidR="00E66771" w:rsidRPr="008E3258">
        <w:t xml:space="preserve">civil works required for access to </w:t>
      </w:r>
      <w:r w:rsidR="009032C5">
        <w:t xml:space="preserve">the </w:t>
      </w:r>
      <w:r w:rsidR="00E66771" w:rsidRPr="008E3258">
        <w:t>site</w:t>
      </w:r>
    </w:p>
    <w:p w:rsidR="00E66771" w:rsidRPr="008E3258" w:rsidRDefault="007743A2" w:rsidP="00C81201">
      <w:pPr>
        <w:pStyle w:val="Bodynumbered-Level3"/>
        <w:numPr>
          <w:ilvl w:val="0"/>
          <w:numId w:val="0"/>
        </w:numPr>
        <w:spacing w:after="120"/>
        <w:ind w:left="1134" w:hanging="425"/>
      </w:pPr>
      <w:r>
        <w:t>(e)</w:t>
      </w:r>
      <w:r>
        <w:tab/>
      </w:r>
      <w:r w:rsidR="00E66771" w:rsidRPr="008E3258">
        <w:t xml:space="preserve">assistance with coordinating power to </w:t>
      </w:r>
      <w:r w:rsidR="009032C5">
        <w:t xml:space="preserve">the </w:t>
      </w:r>
      <w:r w:rsidR="00E66771" w:rsidRPr="008E3258">
        <w:t>site</w:t>
      </w:r>
    </w:p>
    <w:p w:rsidR="00E66771" w:rsidRPr="008E3258" w:rsidRDefault="007743A2" w:rsidP="00C81201">
      <w:pPr>
        <w:pStyle w:val="Bodynumbered-Level3"/>
        <w:numPr>
          <w:ilvl w:val="0"/>
          <w:numId w:val="0"/>
        </w:numPr>
        <w:spacing w:after="120"/>
        <w:ind w:left="1134" w:hanging="425"/>
      </w:pPr>
      <w:r>
        <w:lastRenderedPageBreak/>
        <w:t>(f)</w:t>
      </w:r>
      <w:r>
        <w:tab/>
      </w:r>
      <w:r w:rsidR="00E66771" w:rsidRPr="008E3258">
        <w:t>access to existing infrastructure</w:t>
      </w:r>
    </w:p>
    <w:p w:rsidR="00E66771" w:rsidRDefault="00F12602" w:rsidP="00890E6F">
      <w:pPr>
        <w:pStyle w:val="Bodynumbered-Level1"/>
        <w:ind w:left="709" w:hanging="709"/>
      </w:pPr>
      <w:r>
        <w:t>5.1.4</w:t>
      </w:r>
      <w:r>
        <w:tab/>
      </w:r>
      <w:r w:rsidR="00E66771" w:rsidRPr="00FC4691">
        <w:t>During the application process, applicants are strongly encouraged to consult with State</w:t>
      </w:r>
      <w:r w:rsidR="00E66771">
        <w:t xml:space="preserve">, </w:t>
      </w:r>
      <w:r w:rsidR="00E66771" w:rsidRPr="00FC4691">
        <w:t xml:space="preserve">Territory </w:t>
      </w:r>
      <w:r w:rsidR="00E66771">
        <w:t xml:space="preserve">and local </w:t>
      </w:r>
      <w:r w:rsidR="00E66771" w:rsidRPr="00FC4691">
        <w:t>governments and local communities regarding the locations for which they intend to build Proposed Base Stations. Where applicants can confirm the level of co</w:t>
      </w:r>
      <w:r w:rsidR="00E66771" w:rsidRPr="00FC4691">
        <w:noBreakHyphen/>
        <w:t>contribution that State</w:t>
      </w:r>
      <w:r w:rsidR="00E66771">
        <w:t xml:space="preserve">, </w:t>
      </w:r>
      <w:r w:rsidR="00E66771" w:rsidRPr="00FC4691">
        <w:t xml:space="preserve">Territory </w:t>
      </w:r>
      <w:r w:rsidR="00E66771">
        <w:t xml:space="preserve">or local </w:t>
      </w:r>
      <w:r w:rsidR="00E66771" w:rsidRPr="00FC4691">
        <w:t>governments or other third</w:t>
      </w:r>
      <w:r w:rsidR="009032C5">
        <w:noBreakHyphen/>
      </w:r>
      <w:r w:rsidR="00E66771" w:rsidRPr="00FC4691">
        <w:t>parties propose to make, applicants should include this in their application in respect of the relevant Proposed Base Station.</w:t>
      </w:r>
    </w:p>
    <w:p w:rsidR="00E66771" w:rsidRPr="00FC4691" w:rsidRDefault="00F12602" w:rsidP="00890E6F">
      <w:pPr>
        <w:pStyle w:val="Bodynumbered-Level1"/>
        <w:ind w:left="709" w:hanging="709"/>
      </w:pPr>
      <w:r>
        <w:t>5.1.5</w:t>
      </w:r>
      <w:r>
        <w:tab/>
      </w:r>
      <w:r w:rsidR="00E66771" w:rsidRPr="00FC4691">
        <w:t>The</w:t>
      </w:r>
      <w:r w:rsidR="00E66771">
        <w:t xml:space="preserve"> </w:t>
      </w:r>
      <w:r w:rsidR="00E66771" w:rsidRPr="00FC4691">
        <w:t>appropriate contact details for each State</w:t>
      </w:r>
      <w:r w:rsidR="00E66771">
        <w:t xml:space="preserve"> and</w:t>
      </w:r>
      <w:r w:rsidR="00E66771" w:rsidRPr="00FC4691">
        <w:t xml:space="preserve"> T</w:t>
      </w:r>
      <w:r w:rsidR="00E66771">
        <w:t xml:space="preserve">erritory government and NBN Co are at </w:t>
      </w:r>
      <w:r w:rsidR="00E66771" w:rsidRPr="0006134A">
        <w:t>Attachment D</w:t>
      </w:r>
      <w:r w:rsidR="00E66771">
        <w:t>. Applicants are solely responsible for forming relationships and negotiating contributions with any relevant parties, and for testing or verifying any advice received from these parties.</w:t>
      </w:r>
    </w:p>
    <w:p w:rsidR="00E66771" w:rsidRPr="00FC4691" w:rsidRDefault="00F12602" w:rsidP="00C81201">
      <w:pPr>
        <w:pStyle w:val="Bodynumbered-Level1"/>
        <w:ind w:left="709" w:right="-22" w:hanging="709"/>
      </w:pPr>
      <w:r>
        <w:t>5.1.6</w:t>
      </w:r>
      <w:r>
        <w:tab/>
      </w:r>
      <w:r w:rsidR="00E66771" w:rsidRPr="00FC4691">
        <w:t>Where a co-contribution is to be ‘in-kind’, applicants must agree on a monetary value for this co-contribution with the co-contributor, including how this monetary estimate was determined. Independent advice on this estimate may be sought by the Department. Commitments to co-contribute will only be taken up for Funded Base Stations selected as part of the assessment process.</w:t>
      </w:r>
      <w:r w:rsidR="00E66771">
        <w:t xml:space="preserve"> In-kind capital costs will be given weighting in the assessment process. In-kind concessional lease costs are the only operational cost that will be given weighting in the assessment process and must be monetised using a net present value calculation with a discount rate equivalent to the 10-year Treasury Bond rate. The total monetised value of in-kind contributions for any individual base station is capped at $50,000.</w:t>
      </w:r>
    </w:p>
    <w:p w:rsidR="00E66771" w:rsidRDefault="00F12602" w:rsidP="00C81201">
      <w:pPr>
        <w:pStyle w:val="Bodynumbered-Level1"/>
        <w:ind w:left="709" w:right="-164" w:hanging="709"/>
      </w:pPr>
      <w:r>
        <w:t>5.1.7</w:t>
      </w:r>
      <w:r>
        <w:tab/>
      </w:r>
      <w:r w:rsidR="00E66771" w:rsidRPr="00FC4691">
        <w:t>Many State</w:t>
      </w:r>
      <w:r w:rsidR="00E66771">
        <w:t xml:space="preserve">, </w:t>
      </w:r>
      <w:r w:rsidR="00E66771" w:rsidRPr="00FC4691">
        <w:t xml:space="preserve">Territory </w:t>
      </w:r>
      <w:r w:rsidR="00E66771">
        <w:t xml:space="preserve">and local </w:t>
      </w:r>
      <w:r w:rsidR="00E66771" w:rsidRPr="00FC4691">
        <w:t xml:space="preserve">governments own infrastructure in regional Australia that could potentially be used for some Funded Base Stations. </w:t>
      </w:r>
      <w:r w:rsidR="00E66771">
        <w:t>These</w:t>
      </w:r>
      <w:r w:rsidR="00E66771" w:rsidRPr="00FC4691">
        <w:t xml:space="preserve"> governments may have specific requirements that will need to be reflected in the bids put forward by applicants, particularly where these governments propose to make co</w:t>
      </w:r>
      <w:r w:rsidR="00E66771" w:rsidRPr="00FC4691">
        <w:noBreakHyphen/>
        <w:t>contributions. These requirements should be reflected in applications for each Proposed Base Station.</w:t>
      </w:r>
    </w:p>
    <w:p w:rsidR="00E66771" w:rsidRPr="00FC4691" w:rsidRDefault="00E66771" w:rsidP="00A06684">
      <w:pPr>
        <w:pStyle w:val="Heading2"/>
        <w:ind w:hanging="1144"/>
      </w:pPr>
      <w:bookmarkStart w:id="142" w:name="_Toc393908571"/>
      <w:bookmarkStart w:id="143" w:name="_Toc405380436"/>
      <w:bookmarkStart w:id="144" w:name="_Toc407007248"/>
      <w:r w:rsidRPr="00E04541">
        <w:t>MP priority locations</w:t>
      </w:r>
      <w:bookmarkEnd w:id="142"/>
      <w:bookmarkEnd w:id="143"/>
      <w:bookmarkEnd w:id="144"/>
    </w:p>
    <w:p w:rsidR="00E66771" w:rsidRDefault="00F12602" w:rsidP="00890E6F">
      <w:pPr>
        <w:pStyle w:val="Bodynumbered-Level1"/>
        <w:ind w:left="709" w:hanging="709"/>
      </w:pPr>
      <w:r>
        <w:t>5.2.1</w:t>
      </w:r>
      <w:r>
        <w:tab/>
      </w:r>
      <w:r w:rsidR="00E66771">
        <w:t>M</w:t>
      </w:r>
      <w:r w:rsidR="00E66771" w:rsidRPr="00FC4691">
        <w:t xml:space="preserve">any Federal Members of Parliament (MPs) whose electorates include eligible areas will have information regarding the specific </w:t>
      </w:r>
      <w:r w:rsidR="00E66771">
        <w:t xml:space="preserve">local issues and the </w:t>
      </w:r>
      <w:r w:rsidR="00E66771" w:rsidRPr="00FC4691">
        <w:t>locations within their electorates that are in greatest need of mobile coverage.</w:t>
      </w:r>
    </w:p>
    <w:p w:rsidR="00E66771" w:rsidRPr="00D93780" w:rsidRDefault="00F12602" w:rsidP="009032C5">
      <w:pPr>
        <w:pStyle w:val="Bodynumbered-Level1"/>
        <w:ind w:left="709" w:right="-188" w:hanging="709"/>
      </w:pPr>
      <w:r>
        <w:t>5.2.2</w:t>
      </w:r>
      <w:r>
        <w:tab/>
      </w:r>
      <w:r w:rsidR="00E66771" w:rsidRPr="005C69D7">
        <w:t>Accordingly, those Federal MPs who represent electorates where less than 50 per</w:t>
      </w:r>
      <w:r w:rsidR="009032C5">
        <w:t> </w:t>
      </w:r>
      <w:r w:rsidR="00E66771" w:rsidRPr="005C69D7">
        <w:t xml:space="preserve">cent of the electorate area is defined by the Australian Bureau of Statistics as part of a Major Urban Centre with a population of 100,000 or more, and which are not designated by the Australian Electoral Commission as </w:t>
      </w:r>
      <w:r w:rsidR="00673487">
        <w:t>‘</w:t>
      </w:r>
      <w:r w:rsidR="00E66771" w:rsidRPr="005C69D7">
        <w:t>Inner Metropolitan</w:t>
      </w:r>
      <w:r w:rsidR="00673487">
        <w:t>’</w:t>
      </w:r>
      <w:r w:rsidR="00E66771" w:rsidRPr="005C69D7">
        <w:t>, have been invited to nominate up to three priority locations within their electorates to be considered for funding under the Programme. Nominated priority locations must not be within such Major Urban Centres.</w:t>
      </w:r>
    </w:p>
    <w:p w:rsidR="00E66771" w:rsidRPr="00FC4691" w:rsidRDefault="00F12602" w:rsidP="00890E6F">
      <w:pPr>
        <w:pStyle w:val="Bodynumbered-Level1"/>
        <w:ind w:left="709" w:hanging="709"/>
      </w:pPr>
      <w:r>
        <w:t>5.2.3</w:t>
      </w:r>
      <w:r>
        <w:tab/>
      </w:r>
      <w:r w:rsidR="00E66771" w:rsidRPr="00FC4691">
        <w:t xml:space="preserve">As part of the </w:t>
      </w:r>
      <w:r w:rsidR="00E66771">
        <w:t>assessment</w:t>
      </w:r>
      <w:r w:rsidR="00E66771" w:rsidRPr="00FC4691">
        <w:t xml:space="preserve"> process to determine which </w:t>
      </w:r>
      <w:r w:rsidR="00E66771">
        <w:t>Proposed</w:t>
      </w:r>
      <w:r w:rsidR="00E66771" w:rsidRPr="00FC4691">
        <w:t xml:space="preserve"> </w:t>
      </w:r>
      <w:r w:rsidR="00E66771">
        <w:t>B</w:t>
      </w:r>
      <w:r w:rsidR="00E66771" w:rsidRPr="00FC4691">
        <w:t xml:space="preserve">ase </w:t>
      </w:r>
      <w:r w:rsidR="00E66771">
        <w:t>S</w:t>
      </w:r>
      <w:r w:rsidR="00E66771" w:rsidRPr="00FC4691">
        <w:t>tations are recommended for funding under the Programme, the Assessment Criteria includes five points being awarded to each Proposed Base Station delivering services to an MP</w:t>
      </w:r>
      <w:r w:rsidR="00E66771" w:rsidRPr="00FC4691" w:rsidDel="00B60C6B">
        <w:t xml:space="preserve"> </w:t>
      </w:r>
      <w:r w:rsidR="00E66771" w:rsidRPr="00FC4691">
        <w:t>priority location.</w:t>
      </w:r>
      <w:bookmarkStart w:id="145" w:name="_Toc388004244"/>
      <w:bookmarkEnd w:id="145"/>
    </w:p>
    <w:p w:rsidR="00E66771" w:rsidRPr="0031276D" w:rsidRDefault="00E66771" w:rsidP="00A06684">
      <w:pPr>
        <w:pStyle w:val="Heading2"/>
        <w:ind w:hanging="1144"/>
      </w:pPr>
      <w:bookmarkStart w:id="146" w:name="_Toc396747101"/>
      <w:bookmarkStart w:id="147" w:name="_Toc397462776"/>
      <w:bookmarkStart w:id="148" w:name="_Toc397501048"/>
      <w:bookmarkStart w:id="149" w:name="_Toc397501526"/>
      <w:bookmarkStart w:id="150" w:name="_Toc387156034"/>
      <w:bookmarkStart w:id="151" w:name="_Toc387156087"/>
      <w:bookmarkStart w:id="152" w:name="_Toc386620963"/>
      <w:bookmarkStart w:id="153" w:name="_Toc386635491"/>
      <w:bookmarkStart w:id="154" w:name="_Toc393908572"/>
      <w:bookmarkStart w:id="155" w:name="_Toc405380437"/>
      <w:bookmarkStart w:id="156" w:name="_Toc407007249"/>
      <w:bookmarkEnd w:id="146"/>
      <w:bookmarkEnd w:id="147"/>
      <w:bookmarkEnd w:id="148"/>
      <w:bookmarkEnd w:id="149"/>
      <w:bookmarkEnd w:id="150"/>
      <w:bookmarkEnd w:id="151"/>
      <w:bookmarkEnd w:id="152"/>
      <w:r w:rsidRPr="00E04541">
        <w:t xml:space="preserve">Utilising NBN </w:t>
      </w:r>
      <w:proofErr w:type="spellStart"/>
      <w:r w:rsidRPr="00E04541">
        <w:t>Co’s</w:t>
      </w:r>
      <w:proofErr w:type="spellEnd"/>
      <w:r w:rsidRPr="00E04541">
        <w:t xml:space="preserve"> fixed wireless network</w:t>
      </w:r>
      <w:bookmarkEnd w:id="153"/>
      <w:bookmarkEnd w:id="154"/>
      <w:bookmarkEnd w:id="155"/>
      <w:bookmarkEnd w:id="156"/>
    </w:p>
    <w:p w:rsidR="00E66771" w:rsidRPr="00FC4691" w:rsidRDefault="00F12602" w:rsidP="00890E6F">
      <w:pPr>
        <w:pStyle w:val="Bodynumbered-Level1"/>
        <w:ind w:left="709" w:hanging="709"/>
      </w:pPr>
      <w:r>
        <w:lastRenderedPageBreak/>
        <w:t>5.3.1</w:t>
      </w:r>
      <w:r>
        <w:tab/>
      </w:r>
      <w:r w:rsidR="00E66771" w:rsidRPr="00FC4691">
        <w:t xml:space="preserve">In some circumstances actual or planned </w:t>
      </w:r>
      <w:r w:rsidR="00E66771" w:rsidRPr="004D1954">
        <w:rPr>
          <w:b/>
        </w:rPr>
        <w:t>National Broadband Network (NBN)</w:t>
      </w:r>
      <w:r w:rsidR="00E66771" w:rsidRPr="00FC4691">
        <w:t xml:space="preserve"> facilities may offer applicants an opportunity to provide coverage in a location more </w:t>
      </w:r>
      <w:r w:rsidR="00E66771">
        <w:t>cheaply</w:t>
      </w:r>
      <w:r w:rsidR="00E66771" w:rsidRPr="00FC4691">
        <w:t xml:space="preserve"> than would otherwise be the case, including:</w:t>
      </w:r>
    </w:p>
    <w:p w:rsidR="00E66771" w:rsidRPr="008E3258" w:rsidRDefault="009032C5" w:rsidP="00912669">
      <w:pPr>
        <w:pStyle w:val="Bodynumbered-Level3"/>
        <w:numPr>
          <w:ilvl w:val="0"/>
          <w:numId w:val="0"/>
        </w:numPr>
        <w:spacing w:after="120"/>
        <w:ind w:left="1134" w:right="-187" w:hanging="425"/>
        <w:rPr>
          <w:rFonts w:cs="Calibri"/>
        </w:rPr>
      </w:pPr>
      <w:r>
        <w:t>(a)</w:t>
      </w:r>
      <w:r>
        <w:tab/>
      </w:r>
      <w:r w:rsidR="00E66771" w:rsidRPr="009032C5">
        <w:t>where NBN Co has already built a fixed wire</w:t>
      </w:r>
      <w:r w:rsidR="00BB608B" w:rsidRPr="009032C5">
        <w:t xml:space="preserve">less base station in or near an </w:t>
      </w:r>
      <w:r w:rsidR="00E66771" w:rsidRPr="009032C5">
        <w:t>area that has been identified as l</w:t>
      </w:r>
      <w:r w:rsidR="00667EFC">
        <w:rPr>
          <w:rFonts w:cs="Calibri"/>
        </w:rPr>
        <w:t>acking adequate mobile coverage</w:t>
      </w:r>
      <w:r w:rsidR="003F0E35">
        <w:rPr>
          <w:rFonts w:cs="Calibri"/>
        </w:rPr>
        <w:t>;</w:t>
      </w:r>
    </w:p>
    <w:p w:rsidR="00E66771" w:rsidRPr="008E3258" w:rsidRDefault="009032C5" w:rsidP="00912669">
      <w:pPr>
        <w:pStyle w:val="Bodynumbered-Level3"/>
        <w:numPr>
          <w:ilvl w:val="0"/>
          <w:numId w:val="0"/>
        </w:numPr>
        <w:spacing w:after="120"/>
        <w:ind w:left="1134" w:right="-187" w:hanging="425"/>
        <w:rPr>
          <w:rFonts w:cs="Calibri"/>
        </w:rPr>
      </w:pPr>
      <w:r>
        <w:t>(b)</w:t>
      </w:r>
      <w:r>
        <w:tab/>
      </w:r>
      <w:r w:rsidR="00E66771" w:rsidRPr="009032C5">
        <w:t>where NBN Co can provide backhaul on a commercial basis that would reduce the cost of deploying a Funded Base Station in an area that has been identified as lacking adequate mobile coverag</w:t>
      </w:r>
      <w:r w:rsidR="00667EFC">
        <w:rPr>
          <w:rFonts w:cs="Calibri"/>
        </w:rPr>
        <w:t>e</w:t>
      </w:r>
      <w:r w:rsidR="003F0E35">
        <w:rPr>
          <w:rFonts w:cs="Calibri"/>
        </w:rPr>
        <w:t>;</w:t>
      </w:r>
    </w:p>
    <w:p w:rsidR="00E66771" w:rsidRPr="003F0E35" w:rsidRDefault="009032C5" w:rsidP="00912669">
      <w:pPr>
        <w:pStyle w:val="Bodynumbered-Level3"/>
        <w:numPr>
          <w:ilvl w:val="0"/>
          <w:numId w:val="0"/>
        </w:numPr>
        <w:spacing w:after="120"/>
        <w:ind w:left="1134" w:right="-187" w:hanging="425"/>
        <w:rPr>
          <w:rFonts w:cs="Calibri"/>
        </w:rPr>
      </w:pPr>
      <w:r>
        <w:t>(c)</w:t>
      </w:r>
      <w:r>
        <w:tab/>
      </w:r>
      <w:r w:rsidR="00E66771" w:rsidRPr="009032C5">
        <w:t>where NBN Co has already acquired land for a fixed wireless base station in an area that has been identified as la</w:t>
      </w:r>
      <w:r w:rsidR="00667EFC">
        <w:rPr>
          <w:rFonts w:cs="Calibri"/>
        </w:rPr>
        <w:t>cking adequate mobile coverage</w:t>
      </w:r>
      <w:r w:rsidR="003F0E35">
        <w:rPr>
          <w:rFonts w:cs="Calibri"/>
        </w:rPr>
        <w:t xml:space="preserve">; </w:t>
      </w:r>
      <w:r w:rsidR="00E66771" w:rsidRPr="003F0E35">
        <w:rPr>
          <w:rFonts w:cs="Calibri"/>
        </w:rPr>
        <w:t>and</w:t>
      </w:r>
    </w:p>
    <w:p w:rsidR="00E66771" w:rsidRPr="009032C5" w:rsidRDefault="009032C5" w:rsidP="00912669">
      <w:pPr>
        <w:pStyle w:val="Bodynumbered-Level3"/>
        <w:numPr>
          <w:ilvl w:val="0"/>
          <w:numId w:val="0"/>
        </w:numPr>
        <w:spacing w:after="120"/>
        <w:ind w:left="1134" w:right="-187" w:hanging="425"/>
      </w:pPr>
      <w:r>
        <w:t>(d)</w:t>
      </w:r>
      <w:r>
        <w:tab/>
      </w:r>
      <w:r w:rsidR="00E66771" w:rsidRPr="009032C5">
        <w:t>where NBN Co has plans for a fixed wireless base station in an area that has been identified as lacking adequate mobile coverage.</w:t>
      </w:r>
    </w:p>
    <w:p w:rsidR="00E66771" w:rsidRPr="00FC4691" w:rsidRDefault="00F12602" w:rsidP="008C4FBC">
      <w:pPr>
        <w:pStyle w:val="Bodynumbered-Level1"/>
        <w:ind w:left="709" w:right="-188" w:hanging="709"/>
      </w:pPr>
      <w:r>
        <w:t>5.3.2</w:t>
      </w:r>
      <w:r>
        <w:tab/>
      </w:r>
      <w:r w:rsidR="00E66771" w:rsidRPr="00FC4691">
        <w:t>NBN Co has established a contact point for applicants to discuss possible opportunities for co</w:t>
      </w:r>
      <w:r w:rsidR="00E66771" w:rsidRPr="00FC4691">
        <w:noBreakHyphen/>
        <w:t>location of equipment and possible joint participation in the Programme</w:t>
      </w:r>
      <w:r w:rsidR="00E66771">
        <w:t xml:space="preserve"> (see Attachment D).</w:t>
      </w:r>
    </w:p>
    <w:p w:rsidR="00E66771" w:rsidRPr="00FC4691" w:rsidRDefault="00F12602" w:rsidP="00890E6F">
      <w:pPr>
        <w:pStyle w:val="Bodynumbered-Level1"/>
        <w:ind w:left="709" w:hanging="709"/>
      </w:pPr>
      <w:r>
        <w:t>5.3.3</w:t>
      </w:r>
      <w:r>
        <w:tab/>
      </w:r>
      <w:r w:rsidR="00E66771" w:rsidRPr="00FC4691">
        <w:t>Applicants are strongly encouraged to consult with NBN Co to identify all possible opportunities to achieve mutually beneficial outcomes via the</w:t>
      </w:r>
      <w:r w:rsidR="00E66771">
        <w:t xml:space="preserve"> use of NBN network facilities.</w:t>
      </w:r>
    </w:p>
    <w:p w:rsidR="00E66771" w:rsidRPr="00FC4691" w:rsidRDefault="00F12602" w:rsidP="00890E6F">
      <w:pPr>
        <w:pStyle w:val="Bodynumbered-Level1"/>
        <w:ind w:left="709" w:hanging="709"/>
      </w:pPr>
      <w:r>
        <w:t>5.3.4</w:t>
      </w:r>
      <w:r>
        <w:tab/>
      </w:r>
      <w:r w:rsidR="00E66771" w:rsidRPr="00FC4691">
        <w:t xml:space="preserve">Should mutually suitable locations be identified, the potential applicant (or applicants) should reach agreement with NBN Co on the planned use of NBN facilities. Such an arrangement should be specified </w:t>
      </w:r>
      <w:r w:rsidR="00E66771">
        <w:t>in the application for funding.</w:t>
      </w:r>
    </w:p>
    <w:p w:rsidR="00E66771" w:rsidRDefault="00F12602" w:rsidP="00890E6F">
      <w:pPr>
        <w:pStyle w:val="Bodynumbered-Level1"/>
        <w:ind w:left="709" w:hanging="709"/>
      </w:pPr>
      <w:r>
        <w:t>5.3.5</w:t>
      </w:r>
      <w:r>
        <w:tab/>
      </w:r>
      <w:r w:rsidR="00E66771" w:rsidRPr="00FC4691">
        <w:t xml:space="preserve">Alternatively, where the Proposed Base Station is in an area for which NBN Co has plans to construct network facilities (but has not yet) such as a base station or fibre optic or microwave </w:t>
      </w:r>
      <w:r w:rsidR="00E66771">
        <w:t>b</w:t>
      </w:r>
      <w:r w:rsidR="00E66771" w:rsidRPr="00FC4691">
        <w:t xml:space="preserve">ackhaul, the applicant and NBN Co may choose to specify that the application include a co-contribution from NBN Co (on the basis that the Proposed Base Station to be built will be of use to both NBN Co and the </w:t>
      </w:r>
      <w:r w:rsidR="00E66771">
        <w:t>applicant</w:t>
      </w:r>
      <w:r w:rsidR="00E66771" w:rsidRPr="00FC4691">
        <w:t>).</w:t>
      </w:r>
    </w:p>
    <w:p w:rsidR="00E66771" w:rsidRPr="004B4466" w:rsidRDefault="00E66771" w:rsidP="00E66771"/>
    <w:bookmarkEnd w:id="140"/>
    <w:bookmarkEnd w:id="141"/>
    <w:p w:rsidR="00E66771" w:rsidRPr="00150CF3" w:rsidRDefault="00E66771" w:rsidP="00150CF3">
      <w:pPr>
        <w:pStyle w:val="Heading3"/>
        <w:rPr>
          <w:sz w:val="52"/>
          <w:szCs w:val="52"/>
        </w:rPr>
      </w:pPr>
      <w:r w:rsidRPr="00FC4691">
        <w:br w:type="page"/>
      </w:r>
      <w:r w:rsidRPr="00150CF3">
        <w:rPr>
          <w:sz w:val="52"/>
          <w:szCs w:val="52"/>
        </w:rPr>
        <w:lastRenderedPageBreak/>
        <w:t xml:space="preserve">Part C – Application and </w:t>
      </w:r>
      <w:r w:rsidR="008C4FBC">
        <w:rPr>
          <w:sz w:val="52"/>
          <w:szCs w:val="52"/>
        </w:rPr>
        <w:t>A</w:t>
      </w:r>
      <w:r w:rsidRPr="00150CF3">
        <w:rPr>
          <w:sz w:val="52"/>
          <w:szCs w:val="52"/>
        </w:rPr>
        <w:t>ssessment</w:t>
      </w:r>
    </w:p>
    <w:p w:rsidR="00E66771" w:rsidRPr="00D017F1" w:rsidRDefault="00E66771" w:rsidP="00346DFC">
      <w:pPr>
        <w:pStyle w:val="Heading1"/>
        <w:ind w:left="998" w:hanging="1000"/>
      </w:pPr>
      <w:bookmarkStart w:id="157" w:name="_Toc378930104"/>
      <w:bookmarkStart w:id="158" w:name="_Toc378930228"/>
      <w:bookmarkStart w:id="159" w:name="_Toc386635493"/>
      <w:bookmarkStart w:id="160" w:name="_Ref387754741"/>
      <w:bookmarkStart w:id="161" w:name="_Ref389783536"/>
      <w:bookmarkStart w:id="162" w:name="_Toc393908574"/>
      <w:bookmarkStart w:id="163" w:name="_Toc405380438"/>
      <w:bookmarkStart w:id="164" w:name="_Toc407007250"/>
      <w:r w:rsidRPr="00D017F1">
        <w:t xml:space="preserve">Application </w:t>
      </w:r>
      <w:bookmarkEnd w:id="157"/>
      <w:bookmarkEnd w:id="158"/>
      <w:bookmarkEnd w:id="159"/>
      <w:bookmarkEnd w:id="160"/>
      <w:r w:rsidRPr="00D017F1">
        <w:t>process</w:t>
      </w:r>
      <w:bookmarkEnd w:id="161"/>
      <w:bookmarkEnd w:id="162"/>
      <w:bookmarkEnd w:id="163"/>
      <w:bookmarkEnd w:id="164"/>
    </w:p>
    <w:p w:rsidR="00E66771" w:rsidRPr="0031276D" w:rsidRDefault="00E66771" w:rsidP="00A06684">
      <w:pPr>
        <w:pStyle w:val="Heading2"/>
        <w:ind w:hanging="1144"/>
      </w:pPr>
      <w:bookmarkStart w:id="165" w:name="_Toc393908575"/>
      <w:bookmarkStart w:id="166" w:name="_Toc378930106"/>
      <w:bookmarkStart w:id="167" w:name="_Toc378930230"/>
      <w:bookmarkStart w:id="168" w:name="_Toc378930105"/>
      <w:bookmarkStart w:id="169" w:name="_Toc378930229"/>
      <w:bookmarkStart w:id="170" w:name="_Toc405380439"/>
      <w:bookmarkStart w:id="171" w:name="_Toc407007251"/>
      <w:r w:rsidRPr="00E04541">
        <w:t xml:space="preserve">Completing and lodging </w:t>
      </w:r>
      <w:r w:rsidRPr="0031276D">
        <w:t xml:space="preserve">an </w:t>
      </w:r>
      <w:r w:rsidRPr="00C8626D">
        <w:t>application</w:t>
      </w:r>
      <w:bookmarkEnd w:id="165"/>
      <w:bookmarkEnd w:id="170"/>
      <w:bookmarkEnd w:id="171"/>
    </w:p>
    <w:p w:rsidR="00E66771" w:rsidRPr="00B3346F" w:rsidRDefault="00F12602" w:rsidP="00890E6F">
      <w:pPr>
        <w:pStyle w:val="Bodynumbered-Level1"/>
        <w:ind w:left="709" w:hanging="709"/>
      </w:pPr>
      <w:r>
        <w:t>6.1.1</w:t>
      </w:r>
      <w:r>
        <w:tab/>
      </w:r>
      <w:r w:rsidR="00E66771">
        <w:t>A</w:t>
      </w:r>
      <w:r w:rsidR="00E66771" w:rsidRPr="00B3346F">
        <w:t xml:space="preserve">pplications </w:t>
      </w:r>
      <w:r w:rsidR="00E66771">
        <w:t xml:space="preserve">for funding must </w:t>
      </w:r>
      <w:r w:rsidR="00E66771" w:rsidRPr="00B3346F">
        <w:t xml:space="preserve">be lodged using the Application Pack provided at </w:t>
      </w:r>
      <w:r w:rsidR="00E66771" w:rsidRPr="0006134A">
        <w:t>Attachment C</w:t>
      </w:r>
      <w:r w:rsidR="00E66771" w:rsidRPr="00B3346F">
        <w:t xml:space="preserve"> of these </w:t>
      </w:r>
      <w:r w:rsidR="00E66771">
        <w:t xml:space="preserve">Guidelines. </w:t>
      </w:r>
    </w:p>
    <w:p w:rsidR="00E66771" w:rsidRPr="004A2BFF" w:rsidRDefault="00F12602" w:rsidP="00890E6F">
      <w:pPr>
        <w:pStyle w:val="Bodynumbered-Level1"/>
        <w:ind w:left="709" w:hanging="709"/>
      </w:pPr>
      <w:r>
        <w:t>6.1.2</w:t>
      </w:r>
      <w:r>
        <w:tab/>
      </w:r>
      <w:r w:rsidR="00E66771" w:rsidRPr="00B3346F">
        <w:t xml:space="preserve">To seek funding under the Programme, </w:t>
      </w:r>
      <w:r w:rsidR="00E66771">
        <w:t>a</w:t>
      </w:r>
      <w:r w:rsidR="00E66771" w:rsidRPr="004A2BFF">
        <w:t>pplicant</w:t>
      </w:r>
      <w:r w:rsidR="00E66771">
        <w:t>s</w:t>
      </w:r>
      <w:r w:rsidR="00E66771" w:rsidRPr="004A2BFF">
        <w:t xml:space="preserve"> </w:t>
      </w:r>
      <w:r w:rsidR="00E66771">
        <w:t xml:space="preserve">must </w:t>
      </w:r>
      <w:r w:rsidR="00E66771" w:rsidRPr="004A2BFF">
        <w:t xml:space="preserve">provide </w:t>
      </w:r>
      <w:r w:rsidR="00E66771">
        <w:t>information for each</w:t>
      </w:r>
      <w:r w:rsidR="00E66771" w:rsidRPr="004A2BFF">
        <w:t xml:space="preserve"> Proposed Base Station for which it is seeking funding, specifying in each case:</w:t>
      </w:r>
    </w:p>
    <w:p w:rsidR="00E66771" w:rsidRPr="008E3258" w:rsidRDefault="008C4FBC" w:rsidP="008C4FBC">
      <w:pPr>
        <w:pStyle w:val="Bodynumbered-Level3"/>
        <w:numPr>
          <w:ilvl w:val="0"/>
          <w:numId w:val="0"/>
        </w:numPr>
        <w:ind w:left="1134" w:right="-188" w:hanging="425"/>
        <w:rPr>
          <w:rFonts w:cs="Calibri"/>
        </w:rPr>
      </w:pPr>
      <w:r>
        <w:t>(a)</w:t>
      </w:r>
      <w:r>
        <w:tab/>
      </w:r>
      <w:r w:rsidR="003D6B74">
        <w:t xml:space="preserve">the </w:t>
      </w:r>
      <w:r w:rsidR="00E66771" w:rsidRPr="008C4FBC">
        <w:t>location</w:t>
      </w:r>
      <w:r w:rsidR="003F0E35">
        <w:rPr>
          <w:rFonts w:cs="Calibri"/>
        </w:rPr>
        <w:t>;</w:t>
      </w:r>
    </w:p>
    <w:p w:rsidR="00E66771" w:rsidRPr="007B6810" w:rsidRDefault="008C4FBC" w:rsidP="008C4FBC">
      <w:pPr>
        <w:pStyle w:val="Bodynumbered-Level3"/>
        <w:numPr>
          <w:ilvl w:val="0"/>
          <w:numId w:val="0"/>
        </w:numPr>
        <w:ind w:left="1134" w:right="-188" w:hanging="425"/>
        <w:rPr>
          <w:rFonts w:cs="Calibri"/>
        </w:rPr>
      </w:pPr>
      <w:r>
        <w:t>(b)</w:t>
      </w:r>
      <w:r>
        <w:tab/>
      </w:r>
      <w:r w:rsidR="003D6B74">
        <w:t xml:space="preserve">the </w:t>
      </w:r>
      <w:r w:rsidR="00E66771" w:rsidRPr="007B6810">
        <w:t xml:space="preserve">year in which </w:t>
      </w:r>
      <w:r w:rsidR="00E66771">
        <w:t>it</w:t>
      </w:r>
      <w:r w:rsidR="00E66771" w:rsidRPr="007B6810">
        <w:t xml:space="preserve"> is </w:t>
      </w:r>
      <w:r w:rsidR="00E66771">
        <w:t xml:space="preserve">proposed </w:t>
      </w:r>
      <w:r w:rsidR="00E66771" w:rsidRPr="007B6810">
        <w:t>to be built</w:t>
      </w:r>
      <w:r w:rsidR="003F0E35">
        <w:t>;</w:t>
      </w:r>
    </w:p>
    <w:p w:rsidR="00E66771" w:rsidRPr="008E3258" w:rsidRDefault="008C4FBC" w:rsidP="005219B8">
      <w:pPr>
        <w:pStyle w:val="Bodynumbered-Level3"/>
        <w:numPr>
          <w:ilvl w:val="0"/>
          <w:numId w:val="0"/>
        </w:numPr>
        <w:ind w:left="1134" w:right="-472" w:hanging="425"/>
        <w:rPr>
          <w:rFonts w:cs="Calibri"/>
        </w:rPr>
      </w:pPr>
      <w:r>
        <w:t>(c)</w:t>
      </w:r>
      <w:r>
        <w:tab/>
      </w:r>
      <w:r w:rsidR="003D6B74">
        <w:t xml:space="preserve">the </w:t>
      </w:r>
      <w:r w:rsidR="00E66771" w:rsidRPr="008C4FBC">
        <w:t>total estimated all-up capital cost of construction (including backhaul and power)</w:t>
      </w:r>
      <w:r w:rsidR="003F0E35">
        <w:rPr>
          <w:rFonts w:cs="Calibri"/>
        </w:rPr>
        <w:t>;</w:t>
      </w:r>
    </w:p>
    <w:p w:rsidR="00E66771" w:rsidRDefault="008C4FBC" w:rsidP="008C4FBC">
      <w:pPr>
        <w:pStyle w:val="Bodynumbered-Level3"/>
        <w:numPr>
          <w:ilvl w:val="0"/>
          <w:numId w:val="0"/>
        </w:numPr>
        <w:ind w:left="1134" w:right="-472" w:hanging="425"/>
        <w:rPr>
          <w:rFonts w:cs="Calibri"/>
        </w:rPr>
      </w:pPr>
      <w:r>
        <w:t>(d)</w:t>
      </w:r>
      <w:r w:rsidR="005219B8">
        <w:tab/>
      </w:r>
      <w:r w:rsidR="003D6B74">
        <w:t xml:space="preserve">the </w:t>
      </w:r>
      <w:r w:rsidR="00E66771" w:rsidRPr="008C4FBC">
        <w:t xml:space="preserve">amount of co-contribution (cash and/or in-kind) </w:t>
      </w:r>
      <w:r w:rsidR="00667EFC" w:rsidRPr="008C4FBC">
        <w:t>being provided by the applicant</w:t>
      </w:r>
      <w:r w:rsidR="003F0E35">
        <w:rPr>
          <w:rFonts w:cs="Calibri"/>
        </w:rPr>
        <w:t>;</w:t>
      </w:r>
    </w:p>
    <w:p w:rsidR="00E66771" w:rsidRPr="00073D26" w:rsidRDefault="008C4FBC" w:rsidP="008C4FBC">
      <w:pPr>
        <w:pStyle w:val="Bodynumbered-Level3"/>
        <w:numPr>
          <w:ilvl w:val="0"/>
          <w:numId w:val="0"/>
        </w:numPr>
        <w:ind w:left="1134" w:right="-188" w:hanging="425"/>
        <w:rPr>
          <w:rFonts w:cs="Calibri"/>
        </w:rPr>
      </w:pPr>
      <w:r>
        <w:t>(e)</w:t>
      </w:r>
      <w:r>
        <w:tab/>
      </w:r>
      <w:r w:rsidR="003D6B74">
        <w:t xml:space="preserve">the </w:t>
      </w:r>
      <w:r w:rsidR="00E66771" w:rsidRPr="008C4FBC">
        <w:t xml:space="preserve">amount of Commonwealth co-contribution sought under the Programme – capped at $500,000 per Proposed Base Station (subject to </w:t>
      </w:r>
      <w:r w:rsidR="00E66771" w:rsidRPr="00073D26">
        <w:rPr>
          <w:rFonts w:cs="Calibri"/>
        </w:rPr>
        <w:t xml:space="preserve">section </w:t>
      </w:r>
      <w:r w:rsidR="00667EFC">
        <w:rPr>
          <w:rFonts w:cs="Calibri"/>
        </w:rPr>
        <w:t>7.3.14)</w:t>
      </w:r>
      <w:r w:rsidR="003F0E35">
        <w:rPr>
          <w:rFonts w:cs="Calibri"/>
        </w:rPr>
        <w:t>;</w:t>
      </w:r>
    </w:p>
    <w:p w:rsidR="00E66771" w:rsidRPr="00B93FCF" w:rsidRDefault="008C4FBC" w:rsidP="008C4FBC">
      <w:pPr>
        <w:pStyle w:val="Bodynumbered-Level3"/>
        <w:numPr>
          <w:ilvl w:val="0"/>
          <w:numId w:val="0"/>
        </w:numPr>
        <w:ind w:left="1134" w:right="-188" w:hanging="425"/>
        <w:rPr>
          <w:rFonts w:cs="Calibri"/>
        </w:rPr>
      </w:pPr>
      <w:r>
        <w:t>(f)</w:t>
      </w:r>
      <w:r>
        <w:tab/>
      </w:r>
      <w:r w:rsidR="003D6B74">
        <w:t xml:space="preserve">the </w:t>
      </w:r>
      <w:r w:rsidR="00E66771" w:rsidRPr="008C4FBC">
        <w:t>amount (if any) of co-contributions (cash and/or in-kind) to be received from third parties such as State, Territory or local governments, local communities and NBN Co and any specific requirements or condition</w:t>
      </w:r>
      <w:r w:rsidR="00667EFC">
        <w:rPr>
          <w:rFonts w:cs="Calibri"/>
        </w:rPr>
        <w:t>s tied to such co-contributions</w:t>
      </w:r>
      <w:r w:rsidR="003F0E35">
        <w:rPr>
          <w:rFonts w:cs="Calibri"/>
        </w:rPr>
        <w:t>;</w:t>
      </w:r>
    </w:p>
    <w:p w:rsidR="00E66771" w:rsidRPr="003F0E35" w:rsidRDefault="008C4FBC" w:rsidP="008C4FBC">
      <w:pPr>
        <w:pStyle w:val="Bodynumbered-Level3"/>
        <w:numPr>
          <w:ilvl w:val="0"/>
          <w:numId w:val="0"/>
        </w:numPr>
        <w:ind w:left="1134" w:right="-188" w:hanging="425"/>
        <w:rPr>
          <w:rFonts w:cs="Calibri"/>
        </w:rPr>
      </w:pPr>
      <w:r>
        <w:t>(g)</w:t>
      </w:r>
      <w:r>
        <w:tab/>
      </w:r>
      <w:r w:rsidR="003D6B74">
        <w:t xml:space="preserve">the </w:t>
      </w:r>
      <w:r w:rsidR="00E66771" w:rsidRPr="008C4FBC">
        <w:t>extent to which it meets the Assessment Criteria</w:t>
      </w:r>
      <w:r w:rsidR="003F0E35">
        <w:rPr>
          <w:rFonts w:cs="Calibri"/>
        </w:rPr>
        <w:t xml:space="preserve">; </w:t>
      </w:r>
      <w:r w:rsidR="00E66771" w:rsidRPr="003F0E35">
        <w:rPr>
          <w:rFonts w:cs="Calibri"/>
        </w:rPr>
        <w:t>and</w:t>
      </w:r>
    </w:p>
    <w:p w:rsidR="00E66771" w:rsidRPr="004B4466" w:rsidRDefault="008C4FBC" w:rsidP="008C4FBC">
      <w:pPr>
        <w:pStyle w:val="Bodynumbered-Level3"/>
        <w:numPr>
          <w:ilvl w:val="0"/>
          <w:numId w:val="0"/>
        </w:numPr>
        <w:ind w:left="1134" w:right="-188" w:hanging="425"/>
        <w:rPr>
          <w:rFonts w:cs="Calibri"/>
        </w:rPr>
      </w:pPr>
      <w:r>
        <w:t>(h)</w:t>
      </w:r>
      <w:r>
        <w:tab/>
      </w:r>
      <w:r w:rsidR="003D6B74">
        <w:t xml:space="preserve">the </w:t>
      </w:r>
      <w:r w:rsidR="00E66771" w:rsidRPr="008C4FBC">
        <w:t xml:space="preserve">applicant’s network expansion plans in accordance with section </w:t>
      </w:r>
      <w:r w:rsidR="00E66771" w:rsidRPr="007B6810">
        <w:rPr>
          <w:rFonts w:cs="Calibri"/>
        </w:rPr>
        <w:fldChar w:fldCharType="begin"/>
      </w:r>
      <w:r w:rsidR="00E66771" w:rsidRPr="007B6810">
        <w:rPr>
          <w:rFonts w:cs="Calibri"/>
        </w:rPr>
        <w:instrText xml:space="preserve"> REF _Ref389830818 \r \h </w:instrText>
      </w:r>
      <w:r w:rsidR="00E66771">
        <w:rPr>
          <w:rFonts w:cs="Calibri"/>
        </w:rPr>
        <w:instrText xml:space="preserve"> \* MERGEFORMAT </w:instrText>
      </w:r>
      <w:r w:rsidR="00E66771" w:rsidRPr="007B6810">
        <w:rPr>
          <w:rFonts w:cs="Calibri"/>
        </w:rPr>
      </w:r>
      <w:r w:rsidR="00E66771" w:rsidRPr="007B6810">
        <w:rPr>
          <w:rFonts w:cs="Calibri"/>
        </w:rPr>
        <w:fldChar w:fldCharType="separate"/>
      </w:r>
      <w:r w:rsidR="00BB1979">
        <w:rPr>
          <w:rFonts w:cs="Calibri"/>
        </w:rPr>
        <w:t>2.3</w:t>
      </w:r>
      <w:r w:rsidR="00E66771" w:rsidRPr="007B6810">
        <w:rPr>
          <w:rFonts w:cs="Calibri"/>
        </w:rPr>
        <w:fldChar w:fldCharType="end"/>
      </w:r>
      <w:r w:rsidR="00E66771" w:rsidRPr="007B6810">
        <w:rPr>
          <w:rFonts w:cs="Calibri"/>
        </w:rPr>
        <w:t>.</w:t>
      </w:r>
    </w:p>
    <w:p w:rsidR="00E66771" w:rsidRDefault="00F12602" w:rsidP="00890E6F">
      <w:pPr>
        <w:pStyle w:val="Bodynumbered-Level1"/>
        <w:ind w:left="709" w:hanging="709"/>
      </w:pPr>
      <w:r>
        <w:t>6.1.3</w:t>
      </w:r>
      <w:r>
        <w:tab/>
      </w:r>
      <w:r w:rsidR="00E66771" w:rsidRPr="00B3346F">
        <w:t xml:space="preserve">Details for contacting the Department to seek assistance with completing an application are at section </w:t>
      </w:r>
      <w:r w:rsidR="00E66771" w:rsidRPr="00B3346F">
        <w:fldChar w:fldCharType="begin"/>
      </w:r>
      <w:r w:rsidR="00E66771" w:rsidRPr="00B3346F">
        <w:instrText xml:space="preserve"> REF _Ref389781679 \r \h </w:instrText>
      </w:r>
      <w:r w:rsidR="00E66771">
        <w:instrText xml:space="preserve"> \* MERGEFORMAT </w:instrText>
      </w:r>
      <w:r w:rsidR="00E66771" w:rsidRPr="00B3346F">
        <w:fldChar w:fldCharType="separate"/>
      </w:r>
      <w:r w:rsidR="00BB1979">
        <w:t>1.4</w:t>
      </w:r>
      <w:r w:rsidR="00E66771" w:rsidRPr="00B3346F">
        <w:fldChar w:fldCharType="end"/>
      </w:r>
      <w:r w:rsidR="00E66771" w:rsidRPr="00B3346F">
        <w:t xml:space="preserve"> of these </w:t>
      </w:r>
      <w:r w:rsidR="00E66771">
        <w:t>Guidelines.</w:t>
      </w:r>
    </w:p>
    <w:p w:rsidR="00E66771" w:rsidRDefault="00F12602" w:rsidP="00890E6F">
      <w:pPr>
        <w:pStyle w:val="Bodynumbered-Level1"/>
        <w:ind w:left="709" w:hanging="709"/>
      </w:pPr>
      <w:r>
        <w:t>6.1.4</w:t>
      </w:r>
      <w:r>
        <w:tab/>
      </w:r>
      <w:r w:rsidR="00E66771">
        <w:t xml:space="preserve">Applications can be lodged using </w:t>
      </w:r>
      <w:proofErr w:type="spellStart"/>
      <w:r w:rsidR="00E66771">
        <w:t>Govdex</w:t>
      </w:r>
      <w:proofErr w:type="spellEnd"/>
      <w:r w:rsidR="00E66771">
        <w:t xml:space="preserve">, the Australian Government’s secure online document sharing and project management system. Applicants should contact the Department for information about lodging applications using </w:t>
      </w:r>
      <w:proofErr w:type="spellStart"/>
      <w:r w:rsidR="00E66771">
        <w:t>Govdex</w:t>
      </w:r>
      <w:proofErr w:type="spellEnd"/>
      <w:r w:rsidR="00E66771">
        <w:t xml:space="preserve"> (refer to section 1.4).</w:t>
      </w:r>
    </w:p>
    <w:p w:rsidR="00E66771" w:rsidRPr="00205F8B" w:rsidRDefault="00F12602" w:rsidP="00890E6F">
      <w:pPr>
        <w:pStyle w:val="Bodynumbered-Level1"/>
        <w:ind w:left="709" w:hanging="709"/>
      </w:pPr>
      <w:r>
        <w:t>6.1.5</w:t>
      </w:r>
      <w:r>
        <w:tab/>
      </w:r>
      <w:r w:rsidR="00E66771" w:rsidRPr="00205F8B">
        <w:t xml:space="preserve">All electronic files, regardless of transmission method, should be provided in a Microsoft compatible format. Geo-spatial information such as maps should be provided in either </w:t>
      </w:r>
      <w:proofErr w:type="spellStart"/>
      <w:r w:rsidR="00E66771">
        <w:t>M</w:t>
      </w:r>
      <w:r w:rsidR="00E66771" w:rsidRPr="00205F8B">
        <w:t>apinfo</w:t>
      </w:r>
      <w:proofErr w:type="spellEnd"/>
      <w:r w:rsidR="00E66771" w:rsidRPr="00205F8B">
        <w:t xml:space="preserve"> TAB or MID/MIF; ESRI Shape; GML; or</w:t>
      </w:r>
      <w:r w:rsidR="00E66771">
        <w:t xml:space="preserve"> </w:t>
      </w:r>
      <w:r w:rsidR="00E66771" w:rsidRPr="00205F8B">
        <w:t>KML</w:t>
      </w:r>
      <w:r w:rsidR="00E66771">
        <w:t xml:space="preserve"> format</w:t>
      </w:r>
      <w:r w:rsidR="00E66771" w:rsidRPr="00205F8B">
        <w:t>.</w:t>
      </w:r>
    </w:p>
    <w:p w:rsidR="00E66771" w:rsidRPr="00D52517" w:rsidRDefault="00F12602" w:rsidP="005219B8">
      <w:pPr>
        <w:pStyle w:val="Bodynumbered-Level1"/>
        <w:ind w:left="709" w:right="-330" w:hanging="709"/>
      </w:pPr>
      <w:r>
        <w:t>6.1.6</w:t>
      </w:r>
      <w:r>
        <w:tab/>
      </w:r>
      <w:r w:rsidR="00E66771">
        <w:t>The Department may also accept applications via hard copy and/or physical electronic media, in addition to electronic applications (refer to sections 6.1.7 and 6.1.8).</w:t>
      </w:r>
    </w:p>
    <w:p w:rsidR="00E66771" w:rsidRPr="009F131B" w:rsidRDefault="00F12602" w:rsidP="00890E6F">
      <w:pPr>
        <w:pStyle w:val="Bodynumbered-Level1"/>
        <w:ind w:left="709" w:hanging="709"/>
      </w:pPr>
      <w:r>
        <w:t>6.1.7</w:t>
      </w:r>
      <w:r>
        <w:tab/>
      </w:r>
      <w:r w:rsidR="00E66771">
        <w:t>Should applicants wish to submit</w:t>
      </w:r>
      <w:r w:rsidR="00E66771" w:rsidRPr="009F131B">
        <w:t xml:space="preserve"> hard copy documents, </w:t>
      </w:r>
      <w:r w:rsidR="00E66771">
        <w:t>a</w:t>
      </w:r>
      <w:r w:rsidR="00E66771" w:rsidRPr="009F131B">
        <w:t xml:space="preserve">pplicants should provide the original hard copy plus </w:t>
      </w:r>
      <w:r w:rsidR="00E66771">
        <w:t>three</w:t>
      </w:r>
      <w:r w:rsidR="00E66771" w:rsidRPr="009F131B">
        <w:t xml:space="preserve"> copies (unbound). The original document should be marked </w:t>
      </w:r>
      <w:r w:rsidR="00A85135">
        <w:t>‘Original’</w:t>
      </w:r>
      <w:r w:rsidR="00E66771" w:rsidRPr="009F131B">
        <w:t>, and be signed and dated. The copies should be nu</w:t>
      </w:r>
      <w:r w:rsidR="00667EFC">
        <w:t>mbered sequentially and marked ‘Copy 1’, ‘Copy 2’</w:t>
      </w:r>
      <w:r w:rsidR="00E66771">
        <w:t xml:space="preserve"> and</w:t>
      </w:r>
      <w:r w:rsidR="00E66771" w:rsidRPr="009F131B">
        <w:t xml:space="preserve"> </w:t>
      </w:r>
      <w:r w:rsidR="00667EFC">
        <w:t>‘Copy 3’</w:t>
      </w:r>
      <w:r w:rsidR="00E66771">
        <w:t>.</w:t>
      </w:r>
    </w:p>
    <w:p w:rsidR="00E66771" w:rsidRPr="009F131B" w:rsidRDefault="00F12602" w:rsidP="00890E6F">
      <w:pPr>
        <w:pStyle w:val="Bodynumbered-Level1"/>
        <w:ind w:left="709" w:hanging="709"/>
      </w:pPr>
      <w:r>
        <w:lastRenderedPageBreak/>
        <w:t>6.1.8</w:t>
      </w:r>
      <w:r>
        <w:tab/>
      </w:r>
      <w:r w:rsidR="00E66771" w:rsidRPr="009F131B">
        <w:t>Where physical electronic media is to be provided, such as CD-ROM or DVD-ROM, the media must be PC-formatted. Applicants should include an index of all electronic documents on the CD-ROM or DVD-ROM. In addition, the Department should also be provided with a separate PDF ver</w:t>
      </w:r>
      <w:r w:rsidR="00E66771">
        <w:t>sion of all printable material.</w:t>
      </w:r>
    </w:p>
    <w:p w:rsidR="00E66771" w:rsidRDefault="00F12602" w:rsidP="002B2AAD">
      <w:pPr>
        <w:pStyle w:val="Bodynumbered-Level1"/>
        <w:ind w:left="709" w:right="-306" w:hanging="709"/>
      </w:pPr>
      <w:r>
        <w:t>6.1.9</w:t>
      </w:r>
      <w:r>
        <w:tab/>
      </w:r>
      <w:r w:rsidR="00E66771" w:rsidRPr="009F131B">
        <w:t>Submissions</w:t>
      </w:r>
      <w:r w:rsidR="00E66771">
        <w:t xml:space="preserve"> provided</w:t>
      </w:r>
      <w:r w:rsidR="00E66771" w:rsidRPr="009F131B">
        <w:t xml:space="preserve"> in either hard copy or physical electronic media formats should be</w:t>
      </w:r>
      <w:r w:rsidR="00E66771">
        <w:t xml:space="preserve"> </w:t>
      </w:r>
      <w:r w:rsidR="00E66771" w:rsidRPr="009F131B">
        <w:t xml:space="preserve">delivered </w:t>
      </w:r>
      <w:r w:rsidR="00E66771">
        <w:t>via registered post or by hand</w:t>
      </w:r>
      <w:r w:rsidR="00E66771" w:rsidRPr="009F131B">
        <w:t xml:space="preserve"> </w:t>
      </w:r>
      <w:r w:rsidR="00E66771">
        <w:t>prior to the closing date (refer to section 6.2.1).</w:t>
      </w:r>
    </w:p>
    <w:p w:rsidR="00E66771" w:rsidRPr="009F131B" w:rsidRDefault="00F12602" w:rsidP="00890E6F">
      <w:pPr>
        <w:pStyle w:val="Bodynumbered-Level1"/>
        <w:ind w:left="709" w:hanging="709"/>
      </w:pPr>
      <w:r>
        <w:t>6.1.10</w:t>
      </w:r>
      <w:r>
        <w:tab/>
      </w:r>
      <w:r w:rsidR="00E66771" w:rsidRPr="009F131B">
        <w:t xml:space="preserve">Applications are to be addressed </w:t>
      </w:r>
      <w:r w:rsidR="00E66771">
        <w:t>and delivered</w:t>
      </w:r>
      <w:r w:rsidR="00E66771" w:rsidRPr="009F131B">
        <w:t xml:space="preserve"> to:</w:t>
      </w:r>
    </w:p>
    <w:p w:rsidR="00E66771" w:rsidRPr="009F131B" w:rsidRDefault="00E66771" w:rsidP="00346DFC">
      <w:pPr>
        <w:pStyle w:val="Bodynumbered-Level1"/>
        <w:ind w:left="1440" w:firstLine="0"/>
      </w:pPr>
      <w:r>
        <w:t xml:space="preserve">Director, </w:t>
      </w:r>
      <w:r w:rsidRPr="004B4466">
        <w:t>Mobile Black Spot Programme</w:t>
      </w:r>
      <w:r w:rsidR="00D37777">
        <w:br/>
        <w:t>Department of Communications</w:t>
      </w:r>
      <w:r w:rsidR="00D37777">
        <w:br/>
        <w:t xml:space="preserve">38 Sydney Avenue, Forrest </w:t>
      </w:r>
      <w:r w:rsidR="00D37777">
        <w:br/>
      </w:r>
      <w:r w:rsidRPr="004B4466">
        <w:t>C</w:t>
      </w:r>
      <w:r>
        <w:t>ANBERRA  ACT  2615</w:t>
      </w:r>
    </w:p>
    <w:p w:rsidR="00E66771" w:rsidRPr="0060542E" w:rsidRDefault="00F12602" w:rsidP="00890E6F">
      <w:pPr>
        <w:pStyle w:val="Bodynumbered-Level1"/>
        <w:ind w:left="709" w:hanging="709"/>
      </w:pPr>
      <w:r>
        <w:t>6.1.11</w:t>
      </w:r>
      <w:r>
        <w:tab/>
      </w:r>
      <w:r w:rsidR="00E66771" w:rsidRPr="00B3346F">
        <w:t xml:space="preserve">The Department will acknowledge receipt of </w:t>
      </w:r>
      <w:r w:rsidR="00E66771">
        <w:t xml:space="preserve">all </w:t>
      </w:r>
      <w:r w:rsidR="00E66771" w:rsidRPr="00B3346F">
        <w:t>applications by email.</w:t>
      </w:r>
    </w:p>
    <w:p w:rsidR="00E66771" w:rsidRPr="00E04541" w:rsidRDefault="00E66771" w:rsidP="00A06684">
      <w:pPr>
        <w:pStyle w:val="Heading2"/>
        <w:ind w:hanging="1144"/>
      </w:pPr>
      <w:bookmarkStart w:id="172" w:name="_Toc393908576"/>
      <w:bookmarkStart w:id="173" w:name="_Toc405380440"/>
      <w:bookmarkStart w:id="174" w:name="_Toc407007252"/>
      <w:r w:rsidRPr="00E04541">
        <w:t>Closing date</w:t>
      </w:r>
      <w:bookmarkEnd w:id="172"/>
      <w:bookmarkEnd w:id="173"/>
      <w:bookmarkEnd w:id="174"/>
    </w:p>
    <w:p w:rsidR="00E66771" w:rsidRPr="004A2BFF" w:rsidRDefault="00F12602" w:rsidP="00890E6F">
      <w:pPr>
        <w:pStyle w:val="Bodynumbered-Level1"/>
        <w:ind w:left="709" w:hanging="709"/>
      </w:pPr>
      <w:r>
        <w:t>6.2.1</w:t>
      </w:r>
      <w:r>
        <w:tab/>
      </w:r>
      <w:r w:rsidR="00E66771" w:rsidRPr="004A2BFF">
        <w:t xml:space="preserve">The closing date for submitting an application for funding under the Programme is </w:t>
      </w:r>
      <w:r w:rsidR="00E66771" w:rsidRPr="004D1954">
        <w:rPr>
          <w:b/>
        </w:rPr>
        <w:t>5.</w:t>
      </w:r>
      <w:r w:rsidR="00E66771" w:rsidRPr="00CB140A">
        <w:rPr>
          <w:b/>
        </w:rPr>
        <w:t xml:space="preserve">00pm </w:t>
      </w:r>
      <w:r w:rsidR="005B3FC2">
        <w:rPr>
          <w:b/>
        </w:rPr>
        <w:t>Thursday 16 April</w:t>
      </w:r>
      <w:r w:rsidR="00E66771" w:rsidRPr="00CB140A">
        <w:rPr>
          <w:b/>
        </w:rPr>
        <w:t xml:space="preserve"> 2015</w:t>
      </w:r>
      <w:r w:rsidR="00E66771">
        <w:t xml:space="preserve"> </w:t>
      </w:r>
      <w:r w:rsidR="00E66771" w:rsidRPr="0006134A">
        <w:t>(Canberra time).</w:t>
      </w:r>
    </w:p>
    <w:p w:rsidR="00E66771" w:rsidRPr="00E04541" w:rsidRDefault="00E66771" w:rsidP="00A06684">
      <w:pPr>
        <w:pStyle w:val="Heading2"/>
        <w:ind w:hanging="1144"/>
      </w:pPr>
      <w:bookmarkStart w:id="175" w:name="_Toc393908577"/>
      <w:bookmarkStart w:id="176" w:name="_Toc405380441"/>
      <w:bookmarkStart w:id="177" w:name="_Toc407007253"/>
      <w:r w:rsidRPr="00E04541">
        <w:t>Late applications</w:t>
      </w:r>
      <w:bookmarkEnd w:id="175"/>
      <w:bookmarkEnd w:id="176"/>
      <w:bookmarkEnd w:id="177"/>
    </w:p>
    <w:p w:rsidR="00E66771" w:rsidRPr="004A2BFF" w:rsidRDefault="00F12602" w:rsidP="00890E6F">
      <w:pPr>
        <w:pStyle w:val="Bodynumbered-Level1"/>
        <w:ind w:left="709" w:hanging="709"/>
      </w:pPr>
      <w:r>
        <w:t>6.3.1</w:t>
      </w:r>
      <w:r>
        <w:tab/>
      </w:r>
      <w:r w:rsidR="00E66771" w:rsidRPr="004A2BFF">
        <w:t>Any decision by the Department on whether or not to admit a late application to the asse</w:t>
      </w:r>
      <w:r w:rsidR="00E66771">
        <w:t>ssment process shall be final.</w:t>
      </w:r>
    </w:p>
    <w:p w:rsidR="00E66771" w:rsidRPr="0031276D" w:rsidRDefault="00E66771" w:rsidP="00A06684">
      <w:pPr>
        <w:pStyle w:val="Heading2"/>
        <w:ind w:hanging="1144"/>
      </w:pPr>
      <w:bookmarkStart w:id="178" w:name="_Toc393908578"/>
      <w:bookmarkStart w:id="179" w:name="_Toc405380442"/>
      <w:bookmarkStart w:id="180" w:name="_Toc407007254"/>
      <w:r w:rsidRPr="00E04541">
        <w:t xml:space="preserve">Further </w:t>
      </w:r>
      <w:r w:rsidRPr="0031276D">
        <w:t>information about the application</w:t>
      </w:r>
      <w:bookmarkEnd w:id="178"/>
      <w:bookmarkEnd w:id="179"/>
      <w:bookmarkEnd w:id="180"/>
    </w:p>
    <w:p w:rsidR="00E66771" w:rsidRPr="004A2BFF" w:rsidRDefault="00F12602" w:rsidP="00C65758">
      <w:pPr>
        <w:pStyle w:val="Bodynumbered-Level1"/>
        <w:tabs>
          <w:tab w:val="left" w:pos="709"/>
        </w:tabs>
        <w:ind w:left="709" w:hanging="709"/>
      </w:pPr>
      <w:bookmarkStart w:id="181" w:name="OLE_LINK5"/>
      <w:bookmarkStart w:id="182" w:name="OLE_LINK6"/>
      <w:r>
        <w:t>6.4.1</w:t>
      </w:r>
      <w:r>
        <w:tab/>
      </w:r>
      <w:r w:rsidR="00E66771">
        <w:t xml:space="preserve">At any time during the due diligence assessment or the assessment proper, </w:t>
      </w:r>
      <w:r w:rsidR="00E66771" w:rsidRPr="004A2BFF">
        <w:t>the Department</w:t>
      </w:r>
      <w:r w:rsidR="00E66771">
        <w:t xml:space="preserve"> </w:t>
      </w:r>
      <w:r w:rsidR="00E66771" w:rsidRPr="004A2BFF">
        <w:t>may:</w:t>
      </w:r>
    </w:p>
    <w:p w:rsidR="00E66771" w:rsidRDefault="005219B8" w:rsidP="00C81201">
      <w:pPr>
        <w:pStyle w:val="Bodynumbered-Level3"/>
        <w:numPr>
          <w:ilvl w:val="0"/>
          <w:numId w:val="0"/>
        </w:numPr>
        <w:spacing w:after="120"/>
        <w:ind w:left="1134" w:right="-187" w:hanging="425"/>
        <w:rPr>
          <w:rFonts w:cs="Calibri"/>
        </w:rPr>
      </w:pPr>
      <w:r>
        <w:t>(a)</w:t>
      </w:r>
      <w:r>
        <w:tab/>
      </w:r>
      <w:r w:rsidR="00E66771" w:rsidRPr="005219B8">
        <w:t>contact applicants to check information t</w:t>
      </w:r>
      <w:r w:rsidR="00C65758">
        <w:rPr>
          <w:rFonts w:cs="Calibri"/>
        </w:rPr>
        <w:t>hat may be ambiguous or unclear</w:t>
      </w:r>
      <w:r w:rsidR="003F0E35">
        <w:rPr>
          <w:rFonts w:cs="Calibri"/>
        </w:rPr>
        <w:t>;</w:t>
      </w:r>
    </w:p>
    <w:p w:rsidR="00C65758" w:rsidRPr="00C65758" w:rsidRDefault="005219B8" w:rsidP="00C81201">
      <w:pPr>
        <w:pStyle w:val="Bodynumbered-Level3"/>
        <w:numPr>
          <w:ilvl w:val="0"/>
          <w:numId w:val="0"/>
        </w:numPr>
        <w:spacing w:after="120"/>
        <w:ind w:left="1134" w:right="-187" w:hanging="425"/>
        <w:rPr>
          <w:rFonts w:cs="Calibri"/>
        </w:rPr>
      </w:pPr>
      <w:r>
        <w:t>(b)</w:t>
      </w:r>
      <w:r>
        <w:tab/>
      </w:r>
      <w:r w:rsidR="00E66771" w:rsidRPr="0071228C">
        <w:t>seek either additional information or seek clarification of certain information to assist its assessment of applications</w:t>
      </w:r>
      <w:r w:rsidR="003F0E35">
        <w:t>; and</w:t>
      </w:r>
      <w:r w:rsidR="003D6B74">
        <w:t>/or</w:t>
      </w:r>
    </w:p>
    <w:p w:rsidR="00E66771" w:rsidRPr="007A0F01" w:rsidRDefault="005219B8" w:rsidP="00C81201">
      <w:pPr>
        <w:pStyle w:val="Bodynumbered-Level3"/>
        <w:numPr>
          <w:ilvl w:val="0"/>
          <w:numId w:val="0"/>
        </w:numPr>
        <w:spacing w:after="120"/>
        <w:ind w:left="1134" w:right="-187" w:hanging="425"/>
        <w:rPr>
          <w:rFonts w:cs="Calibri"/>
        </w:rPr>
      </w:pPr>
      <w:r>
        <w:t>(c)</w:t>
      </w:r>
      <w:r>
        <w:tab/>
      </w:r>
      <w:r w:rsidR="00E66771" w:rsidRPr="005219B8">
        <w:t>seek expert advice to verify claims made.</w:t>
      </w:r>
    </w:p>
    <w:p w:rsidR="00E66771" w:rsidRPr="004A42B3" w:rsidRDefault="00E66771" w:rsidP="00346DFC">
      <w:pPr>
        <w:pStyle w:val="Heading1"/>
        <w:ind w:left="998" w:hanging="1000"/>
      </w:pPr>
      <w:bookmarkStart w:id="183" w:name="_Toc393904253"/>
      <w:bookmarkStart w:id="184" w:name="_Toc390632794"/>
      <w:bookmarkStart w:id="185" w:name="_Toc390637639"/>
      <w:bookmarkStart w:id="186" w:name="_Toc390637740"/>
      <w:bookmarkStart w:id="187" w:name="_Toc390637819"/>
      <w:bookmarkStart w:id="188" w:name="_Toc390637901"/>
      <w:bookmarkStart w:id="189" w:name="_Toc390639086"/>
      <w:bookmarkStart w:id="190" w:name="_Toc390640641"/>
      <w:bookmarkStart w:id="191" w:name="_Ref390200173"/>
      <w:bookmarkStart w:id="192" w:name="_Toc393908579"/>
      <w:bookmarkStart w:id="193" w:name="_Toc405380443"/>
      <w:bookmarkStart w:id="194" w:name="_Toc407007255"/>
      <w:bookmarkEnd w:id="181"/>
      <w:bookmarkEnd w:id="182"/>
      <w:bookmarkEnd w:id="183"/>
      <w:bookmarkEnd w:id="184"/>
      <w:bookmarkEnd w:id="185"/>
      <w:bookmarkEnd w:id="186"/>
      <w:bookmarkEnd w:id="187"/>
      <w:bookmarkEnd w:id="188"/>
      <w:bookmarkEnd w:id="189"/>
      <w:bookmarkEnd w:id="190"/>
      <w:r>
        <w:t>Assessment process</w:t>
      </w:r>
      <w:bookmarkEnd w:id="191"/>
      <w:bookmarkEnd w:id="192"/>
      <w:bookmarkEnd w:id="193"/>
      <w:bookmarkEnd w:id="194"/>
    </w:p>
    <w:p w:rsidR="00E66771" w:rsidRPr="00E04541" w:rsidRDefault="00E66771" w:rsidP="00A06684">
      <w:pPr>
        <w:pStyle w:val="Heading2"/>
        <w:ind w:hanging="1144"/>
      </w:pPr>
      <w:bookmarkStart w:id="195" w:name="_Toc388444093"/>
      <w:bookmarkStart w:id="196" w:name="_Toc388453731"/>
      <w:bookmarkStart w:id="197" w:name="_Toc388523556"/>
      <w:bookmarkStart w:id="198" w:name="_Toc388524863"/>
      <w:bookmarkStart w:id="199" w:name="_Toc388525272"/>
      <w:bookmarkStart w:id="200" w:name="_Toc388963716"/>
      <w:bookmarkStart w:id="201" w:name="_Toc389122754"/>
      <w:bookmarkStart w:id="202" w:name="_Toc386635495"/>
      <w:bookmarkStart w:id="203" w:name="_Toc393908580"/>
      <w:bookmarkStart w:id="204" w:name="_Toc405380444"/>
      <w:bookmarkStart w:id="205" w:name="_Toc407007256"/>
      <w:bookmarkEnd w:id="195"/>
      <w:bookmarkEnd w:id="196"/>
      <w:bookmarkEnd w:id="197"/>
      <w:bookmarkEnd w:id="198"/>
      <w:bookmarkEnd w:id="199"/>
      <w:bookmarkEnd w:id="200"/>
      <w:bookmarkEnd w:id="201"/>
      <w:r w:rsidRPr="00E04541">
        <w:t>Initial eligibility check</w:t>
      </w:r>
      <w:bookmarkEnd w:id="202"/>
      <w:bookmarkEnd w:id="203"/>
      <w:bookmarkEnd w:id="204"/>
      <w:bookmarkEnd w:id="205"/>
    </w:p>
    <w:p w:rsidR="00E66771" w:rsidRPr="004A2BFF" w:rsidRDefault="00F12602" w:rsidP="00890E6F">
      <w:pPr>
        <w:pStyle w:val="Bodynumbered-Level1"/>
        <w:ind w:left="709" w:hanging="709"/>
      </w:pPr>
      <w:bookmarkStart w:id="206" w:name="OLE_LINK1"/>
      <w:bookmarkStart w:id="207" w:name="OLE_LINK2"/>
      <w:r>
        <w:t>7.1.1</w:t>
      </w:r>
      <w:r>
        <w:tab/>
      </w:r>
      <w:r w:rsidR="00E66771" w:rsidRPr="004A2BFF">
        <w:t xml:space="preserve">Following the closing date for applications, the Department will undertake an initial check to ensure each application complies with the eligibility requirements set out in section </w:t>
      </w:r>
      <w:r w:rsidR="00E66771" w:rsidRPr="004A2BFF">
        <w:fldChar w:fldCharType="begin"/>
      </w:r>
      <w:r w:rsidR="00E66771" w:rsidRPr="004A2BFF">
        <w:instrText xml:space="preserve"> REF _Ref389782737 \r \h </w:instrText>
      </w:r>
      <w:r w:rsidR="00E66771">
        <w:instrText xml:space="preserve"> \* MERGEFORMAT </w:instrText>
      </w:r>
      <w:r w:rsidR="00E66771" w:rsidRPr="004A2BFF">
        <w:fldChar w:fldCharType="separate"/>
      </w:r>
      <w:r w:rsidR="00BB1979">
        <w:t>2</w:t>
      </w:r>
      <w:r w:rsidR="00E66771" w:rsidRPr="004A2BFF">
        <w:fldChar w:fldCharType="end"/>
      </w:r>
      <w:r w:rsidR="00E66771" w:rsidRPr="004A2BFF">
        <w:t xml:space="preserve"> of these Guidelines. </w:t>
      </w:r>
      <w:r w:rsidR="00E66771">
        <w:t>T</w:t>
      </w:r>
      <w:r w:rsidR="00E66771" w:rsidRPr="004A2BFF">
        <w:t xml:space="preserve">he Department may at its discretion contact </w:t>
      </w:r>
      <w:r w:rsidR="00E66771">
        <w:t>an</w:t>
      </w:r>
      <w:r w:rsidR="00E66771" w:rsidRPr="004A2BFF">
        <w:t xml:space="preserve"> applican</w:t>
      </w:r>
      <w:r w:rsidR="00E66771">
        <w:t>t to request missing information.</w:t>
      </w:r>
    </w:p>
    <w:bookmarkEnd w:id="206"/>
    <w:bookmarkEnd w:id="207"/>
    <w:p w:rsidR="00E66771" w:rsidRDefault="00F12602" w:rsidP="00890E6F">
      <w:pPr>
        <w:pStyle w:val="Bodynumbered-Level1"/>
        <w:ind w:left="709" w:hanging="709"/>
      </w:pPr>
      <w:r>
        <w:t>7.1.2</w:t>
      </w:r>
      <w:r>
        <w:tab/>
      </w:r>
      <w:r w:rsidR="00E66771" w:rsidRPr="004A2BFF">
        <w:t xml:space="preserve">Applications that do not meet the </w:t>
      </w:r>
      <w:r w:rsidR="00E66771">
        <w:t xml:space="preserve">eligibility </w:t>
      </w:r>
      <w:r w:rsidR="00E66771" w:rsidRPr="004A2BFF">
        <w:t xml:space="preserve">requirements </w:t>
      </w:r>
      <w:r w:rsidR="00E66771">
        <w:t>may, at the Department’s absolute discretion,</w:t>
      </w:r>
      <w:r w:rsidR="00E66771" w:rsidRPr="004A2BFF">
        <w:t xml:space="preserve"> be excluded from further consideration.</w:t>
      </w:r>
    </w:p>
    <w:p w:rsidR="00E66771" w:rsidRPr="004C24B9" w:rsidRDefault="00E66771" w:rsidP="00A06684">
      <w:pPr>
        <w:pStyle w:val="Heading2"/>
        <w:ind w:hanging="1144"/>
      </w:pPr>
      <w:bookmarkStart w:id="208" w:name="_Toc405380445"/>
      <w:bookmarkStart w:id="209" w:name="_Toc407007257"/>
      <w:r w:rsidRPr="004C24B9">
        <w:lastRenderedPageBreak/>
        <w:t>Risk assessment</w:t>
      </w:r>
      <w:bookmarkEnd w:id="208"/>
      <w:bookmarkEnd w:id="209"/>
    </w:p>
    <w:p w:rsidR="00E66771" w:rsidRPr="004C24B9" w:rsidRDefault="00F12602" w:rsidP="00890E6F">
      <w:pPr>
        <w:pStyle w:val="Bodynumbered-Level1"/>
        <w:ind w:left="709" w:hanging="709"/>
      </w:pPr>
      <w:r>
        <w:t>7.2.1</w:t>
      </w:r>
      <w:r>
        <w:tab/>
      </w:r>
      <w:r w:rsidR="00E66771" w:rsidRPr="004C24B9">
        <w:t>The Department will conduct an overall risk assessment in rela</w:t>
      </w:r>
      <w:r w:rsidR="00C65758">
        <w:t>tion to the suitability of the a</w:t>
      </w:r>
      <w:r w:rsidR="00E66771" w:rsidRPr="004C24B9">
        <w:t>pplicants (and applications) for funding under the Programme.</w:t>
      </w:r>
    </w:p>
    <w:p w:rsidR="00E66771" w:rsidRPr="00671139" w:rsidRDefault="00E66771" w:rsidP="00A06684">
      <w:pPr>
        <w:pStyle w:val="Heading2"/>
        <w:ind w:hanging="1144"/>
      </w:pPr>
      <w:bookmarkStart w:id="210" w:name="_Toc404350984"/>
      <w:bookmarkStart w:id="211" w:name="_Toc393904257"/>
      <w:bookmarkStart w:id="212" w:name="_Toc393904258"/>
      <w:bookmarkStart w:id="213" w:name="_Toc386635497"/>
      <w:bookmarkStart w:id="214" w:name="_Toc393908581"/>
      <w:bookmarkStart w:id="215" w:name="_Toc405380446"/>
      <w:bookmarkStart w:id="216" w:name="_Toc407007258"/>
      <w:bookmarkEnd w:id="210"/>
      <w:bookmarkEnd w:id="211"/>
      <w:bookmarkEnd w:id="212"/>
      <w:r w:rsidRPr="00E04541">
        <w:t>Initial assessment</w:t>
      </w:r>
      <w:bookmarkEnd w:id="213"/>
      <w:bookmarkEnd w:id="214"/>
      <w:bookmarkEnd w:id="215"/>
      <w:bookmarkEnd w:id="216"/>
    </w:p>
    <w:p w:rsidR="00E66771" w:rsidRPr="00923B7D" w:rsidRDefault="00F12602" w:rsidP="003D6B74">
      <w:pPr>
        <w:pStyle w:val="Bodynumbered-Level1"/>
        <w:ind w:left="709" w:right="-306" w:hanging="709"/>
      </w:pPr>
      <w:r>
        <w:t>7.3.1</w:t>
      </w:r>
      <w:r>
        <w:tab/>
      </w:r>
      <w:r w:rsidR="00E66771" w:rsidRPr="004A2BFF">
        <w:t>The Assessment Criteria will be used by the Depa</w:t>
      </w:r>
      <w:r w:rsidR="00BB608B">
        <w:t xml:space="preserve">rtment to undertake the initial </w:t>
      </w:r>
      <w:r w:rsidR="00E66771" w:rsidRPr="004A2BFF">
        <w:t>evaluation of applicati</w:t>
      </w:r>
      <w:r w:rsidR="00E66771">
        <w:t>ons received for the Programme, including an assessment of whether the minimum requirements set out in section 4 of these Guidelines have been satisfied.</w:t>
      </w:r>
    </w:p>
    <w:p w:rsidR="00E66771" w:rsidRPr="004A2BFF" w:rsidRDefault="00F12602" w:rsidP="00794708">
      <w:pPr>
        <w:pStyle w:val="Bodynumbered-Level1"/>
        <w:tabs>
          <w:tab w:val="left" w:pos="851"/>
        </w:tabs>
        <w:ind w:left="709" w:right="-330" w:hanging="709"/>
      </w:pPr>
      <w:r>
        <w:t>7.3.2</w:t>
      </w:r>
      <w:r>
        <w:tab/>
      </w:r>
      <w:r w:rsidR="00E66771" w:rsidRPr="004A2BFF">
        <w:t xml:space="preserve">Applications that do not meet the </w:t>
      </w:r>
      <w:r w:rsidR="00E66771">
        <w:t xml:space="preserve">minimum </w:t>
      </w:r>
      <w:r w:rsidR="00E66771" w:rsidRPr="004A2BFF">
        <w:t xml:space="preserve">requirements </w:t>
      </w:r>
      <w:r w:rsidR="00E66771">
        <w:t>may, at the Department’s absolute discretion,</w:t>
      </w:r>
      <w:r w:rsidR="00E66771" w:rsidRPr="004A2BFF">
        <w:t xml:space="preserve"> be excluded from further consideration.</w:t>
      </w:r>
      <w:r w:rsidR="00E66771">
        <w:t xml:space="preserve"> In addition, t</w:t>
      </w:r>
      <w:r w:rsidR="00E66771" w:rsidRPr="004A2BFF">
        <w:t xml:space="preserve">he Department will review each Proposed Base Station against the Assessment Criteria, and will assign a points score to each based on the application of the Assessment Criteria. Applicants must provide evidence to back up claims made against each criterion, including mapping data on coverage claims in a format </w:t>
      </w:r>
      <w:r w:rsidR="00E66771">
        <w:t>required by the Department.</w:t>
      </w:r>
    </w:p>
    <w:p w:rsidR="00E66771" w:rsidRDefault="00F12602" w:rsidP="00794708">
      <w:pPr>
        <w:pStyle w:val="Bodynumbered-Level1"/>
        <w:tabs>
          <w:tab w:val="left" w:pos="851"/>
        </w:tabs>
        <w:ind w:left="709" w:right="-188" w:hanging="709"/>
      </w:pPr>
      <w:bookmarkStart w:id="217" w:name="_Ref389785158"/>
      <w:r>
        <w:t>7.3.3</w:t>
      </w:r>
      <w:r>
        <w:tab/>
      </w:r>
      <w:r w:rsidR="00E66771" w:rsidRPr="004A2BFF">
        <w:t>Following this review process, the Department will prepare a list of all Proposed Base Stations, from all applicants, ranked in order from the Proposed Base Station with the highest score to the Proposed Base Station with the lowest score (</w:t>
      </w:r>
      <w:r w:rsidR="00E66771" w:rsidRPr="004D1954">
        <w:rPr>
          <w:b/>
        </w:rPr>
        <w:t>Draft Merit List</w:t>
      </w:r>
      <w:r w:rsidR="00E66771" w:rsidRPr="004A2BFF">
        <w:t>).</w:t>
      </w:r>
    </w:p>
    <w:p w:rsidR="00E66771" w:rsidRPr="00F12602" w:rsidRDefault="00E66771" w:rsidP="00F12602">
      <w:pPr>
        <w:pStyle w:val="Heading3"/>
      </w:pPr>
      <w:r w:rsidRPr="00F12602">
        <w:t>Establish funding cut-off point</w:t>
      </w:r>
    </w:p>
    <w:p w:rsidR="00E66771" w:rsidRPr="00974B15" w:rsidRDefault="00F12602" w:rsidP="00CD04A0">
      <w:pPr>
        <w:pStyle w:val="Bodynumbered-Level1"/>
        <w:ind w:left="709" w:hanging="709"/>
      </w:pPr>
      <w:r>
        <w:t>7.3.4</w:t>
      </w:r>
      <w:r>
        <w:tab/>
      </w:r>
      <w:r w:rsidR="00E66771">
        <w:t xml:space="preserve">The Department will review the Draft Merit List and establish a cut-off </w:t>
      </w:r>
      <w:r w:rsidR="00E66771" w:rsidRPr="00974B15">
        <w:t>point in the order of the Draft Merit List</w:t>
      </w:r>
      <w:r w:rsidR="00E66771" w:rsidRPr="00B26EC6">
        <w:t>, being the point at which the available Commonwealth funding is expected to be exhauste</w:t>
      </w:r>
      <w:r w:rsidR="00E66771">
        <w:t>d.</w:t>
      </w:r>
    </w:p>
    <w:bookmarkEnd w:id="217"/>
    <w:p w:rsidR="00E66771" w:rsidRPr="00B4284B" w:rsidRDefault="00E66771" w:rsidP="00F12602">
      <w:pPr>
        <w:pStyle w:val="Heading3"/>
      </w:pPr>
      <w:r w:rsidRPr="00245A2D">
        <w:t xml:space="preserve">Application of </w:t>
      </w:r>
      <w:r>
        <w:t>equitable distribution principles</w:t>
      </w:r>
      <w:r w:rsidRPr="00245A2D">
        <w:t xml:space="preserve"> </w:t>
      </w:r>
    </w:p>
    <w:p w:rsidR="00E66771" w:rsidRDefault="00F12602" w:rsidP="00CD04A0">
      <w:pPr>
        <w:pStyle w:val="Bodynumbered-Level1"/>
        <w:ind w:left="709" w:hanging="709"/>
      </w:pPr>
      <w:bookmarkStart w:id="218" w:name="_Ref389784915"/>
      <w:r>
        <w:t>7.3.5</w:t>
      </w:r>
      <w:r>
        <w:tab/>
      </w:r>
      <w:r w:rsidR="00E66771" w:rsidRPr="004A2BFF">
        <w:t xml:space="preserve">To allow for an equitable distribution of </w:t>
      </w:r>
      <w:r w:rsidR="00E66771">
        <w:t>Funded Base Stations under the Programme across Australia</w:t>
      </w:r>
      <w:r w:rsidR="00E66771" w:rsidRPr="004A2BFF">
        <w:t xml:space="preserve">, </w:t>
      </w:r>
      <w:r w:rsidR="00E66771">
        <w:t>the Department will have regard to the principles set out in sections 7.3</w:t>
      </w:r>
      <w:r w:rsidR="00E66771" w:rsidRPr="008D763B">
        <w:t xml:space="preserve">.6 to </w:t>
      </w:r>
      <w:r w:rsidR="00E66771">
        <w:t>7.3</w:t>
      </w:r>
      <w:r w:rsidR="00E66771" w:rsidRPr="008D763B">
        <w:t>.</w:t>
      </w:r>
      <w:r w:rsidR="00E66771">
        <w:t>10 (inclusive).</w:t>
      </w:r>
    </w:p>
    <w:p w:rsidR="00E66771" w:rsidRPr="00F12602" w:rsidRDefault="00E66771" w:rsidP="00F12602">
      <w:pPr>
        <w:pStyle w:val="Heading4"/>
      </w:pPr>
      <w:r w:rsidRPr="00F12602">
        <w:t>Principle 1:  Equal distribution across States and the Northern Territory</w:t>
      </w:r>
    </w:p>
    <w:p w:rsidR="00E66771" w:rsidRPr="004A2BFF" w:rsidRDefault="00F12602" w:rsidP="00CD04A0">
      <w:pPr>
        <w:pStyle w:val="Bodynumbered-Level1"/>
        <w:ind w:left="709" w:hanging="709"/>
      </w:pPr>
      <w:bookmarkStart w:id="219" w:name="_Ref390189851"/>
      <w:r>
        <w:t>7.3.6</w:t>
      </w:r>
      <w:r>
        <w:tab/>
      </w:r>
      <w:r w:rsidR="00E66771">
        <w:t>Subject to section 7.3</w:t>
      </w:r>
      <w:r w:rsidR="00E66771" w:rsidRPr="00F53F94">
        <w:t>.7</w:t>
      </w:r>
      <w:r w:rsidR="00E66771">
        <w:t xml:space="preserve">, </w:t>
      </w:r>
      <w:r w:rsidR="00E66771" w:rsidRPr="004A2BFF">
        <w:t xml:space="preserve">the </w:t>
      </w:r>
      <w:r w:rsidR="00E66771">
        <w:t>Department</w:t>
      </w:r>
      <w:r w:rsidR="00E66771" w:rsidRPr="004A2BFF">
        <w:t xml:space="preserve"> will ensure that at least ten </w:t>
      </w:r>
      <w:r w:rsidR="00E66771">
        <w:t>Proposed B</w:t>
      </w:r>
      <w:r w:rsidR="00E66771" w:rsidRPr="004A2BFF">
        <w:t xml:space="preserve">ase </w:t>
      </w:r>
      <w:r w:rsidR="00E66771">
        <w:t>S</w:t>
      </w:r>
      <w:r w:rsidR="00E66771" w:rsidRPr="004A2BFF">
        <w:t xml:space="preserve">tations are recommended for </w:t>
      </w:r>
      <w:r w:rsidR="00E66771">
        <w:t xml:space="preserve">each of </w:t>
      </w:r>
      <w:r w:rsidR="00E66771" w:rsidRPr="004A2BFF">
        <w:t>New South Wales,</w:t>
      </w:r>
      <w:r w:rsidR="00E66771" w:rsidRPr="004A2BFF" w:rsidDel="00F52F5E">
        <w:t xml:space="preserve"> </w:t>
      </w:r>
      <w:r w:rsidR="00E66771" w:rsidRPr="004A2BFF">
        <w:t xml:space="preserve">Queensland, South Australia, Tasmania, Victoria and Western Australia; and at least five base stations are recommended for the Northern Territory (assuming sufficient eligible applications are received for </w:t>
      </w:r>
      <w:r w:rsidR="00E66771">
        <w:t>Proposed B</w:t>
      </w:r>
      <w:r w:rsidR="00E66771" w:rsidRPr="004A2BFF">
        <w:t xml:space="preserve">ase </w:t>
      </w:r>
      <w:r w:rsidR="00E66771">
        <w:t>S</w:t>
      </w:r>
      <w:r w:rsidR="00E66771" w:rsidRPr="004A2BFF">
        <w:t>tations located in these States</w:t>
      </w:r>
      <w:r w:rsidR="00E66771">
        <w:t xml:space="preserve"> or the Northern </w:t>
      </w:r>
      <w:r w:rsidR="00E66771" w:rsidRPr="004A2BFF">
        <w:t>T</w:t>
      </w:r>
      <w:r w:rsidR="00E66771">
        <w:t>erritory, as applicable</w:t>
      </w:r>
      <w:bookmarkEnd w:id="218"/>
      <w:bookmarkEnd w:id="219"/>
      <w:r w:rsidR="00E66771">
        <w:t>).</w:t>
      </w:r>
    </w:p>
    <w:p w:rsidR="00E66771" w:rsidRDefault="00F12602" w:rsidP="00CD04A0">
      <w:pPr>
        <w:pStyle w:val="Bodynumbered-Level1"/>
        <w:ind w:left="709" w:hanging="709"/>
      </w:pPr>
      <w:bookmarkStart w:id="220" w:name="_Ref390189764"/>
      <w:r>
        <w:t>7.3.7</w:t>
      </w:r>
      <w:r>
        <w:tab/>
      </w:r>
      <w:r w:rsidR="00E66771" w:rsidRPr="004A2BFF">
        <w:t xml:space="preserve">The </w:t>
      </w:r>
      <w:r w:rsidR="00E66771">
        <w:t>Department</w:t>
      </w:r>
      <w:r w:rsidR="00E66771" w:rsidRPr="004A2BFF">
        <w:t xml:space="preserve"> may recommend </w:t>
      </w:r>
      <w:r w:rsidR="00E66771">
        <w:t xml:space="preserve">that the </w:t>
      </w:r>
      <w:r w:rsidR="00E66771" w:rsidRPr="004A2BFF">
        <w:t xml:space="preserve">number of </w:t>
      </w:r>
      <w:r w:rsidR="00E66771">
        <w:t>Funded B</w:t>
      </w:r>
      <w:r w:rsidR="00E66771" w:rsidRPr="004A2BFF">
        <w:t xml:space="preserve">ase </w:t>
      </w:r>
      <w:r w:rsidR="00E66771">
        <w:t>S</w:t>
      </w:r>
      <w:r w:rsidR="00E66771" w:rsidRPr="004A2BFF">
        <w:t xml:space="preserve">tations in a State or the Northern Territory </w:t>
      </w:r>
      <w:r w:rsidR="00E66771">
        <w:t xml:space="preserve">be less than the minimum specified in section 7.3.6, </w:t>
      </w:r>
      <w:r w:rsidR="00E66771" w:rsidRPr="004A2BFF">
        <w:t>if it considers that the Proposed Base Stations for the respective jurisdictions do not represent value</w:t>
      </w:r>
      <w:r w:rsidR="00E66771">
        <w:t xml:space="preserve"> for money to the Commonwealth</w:t>
      </w:r>
      <w:bookmarkEnd w:id="220"/>
      <w:r w:rsidR="00E66771">
        <w:t>.</w:t>
      </w:r>
    </w:p>
    <w:p w:rsidR="00E66771" w:rsidRPr="00A87EA6" w:rsidRDefault="00E66771" w:rsidP="00E204B4">
      <w:pPr>
        <w:pStyle w:val="Heading4"/>
        <w:keepNext/>
      </w:pPr>
      <w:r w:rsidRPr="00A87EA6">
        <w:t>Principle 2:  Equal distribution within States and the Northern Territory</w:t>
      </w:r>
    </w:p>
    <w:p w:rsidR="00E66771" w:rsidRPr="004A2BFF" w:rsidRDefault="00F12602" w:rsidP="00CD04A0">
      <w:pPr>
        <w:pStyle w:val="Bodynumbered-Level1"/>
        <w:ind w:left="709" w:hanging="709"/>
      </w:pPr>
      <w:bookmarkStart w:id="221" w:name="_Ref389784814"/>
      <w:r>
        <w:lastRenderedPageBreak/>
        <w:t>7.3.8</w:t>
      </w:r>
      <w:r>
        <w:tab/>
      </w:r>
      <w:r w:rsidR="00E66771">
        <w:t>T</w:t>
      </w:r>
      <w:r w:rsidR="00E66771" w:rsidRPr="004A2BFF">
        <w:t xml:space="preserve">he </w:t>
      </w:r>
      <w:r w:rsidR="00E66771">
        <w:t>Department</w:t>
      </w:r>
      <w:r w:rsidR="00E66771" w:rsidRPr="004A2BFF">
        <w:t xml:space="preserve"> will ensure, subject to receipt of a valid application for a </w:t>
      </w:r>
      <w:r w:rsidR="00E66771">
        <w:t>Proposed B</w:t>
      </w:r>
      <w:r w:rsidR="00E66771" w:rsidRPr="004A2BFF">
        <w:t xml:space="preserve">ase </w:t>
      </w:r>
      <w:r w:rsidR="00E66771">
        <w:t>S</w:t>
      </w:r>
      <w:r w:rsidR="00E66771" w:rsidRPr="004A2BFF">
        <w:t xml:space="preserve">tation in the electorate, that funding is recommended for at least one </w:t>
      </w:r>
      <w:r w:rsidR="00E66771">
        <w:t>Proposed B</w:t>
      </w:r>
      <w:r w:rsidR="00E66771" w:rsidRPr="004A2BFF">
        <w:t xml:space="preserve">ase </w:t>
      </w:r>
      <w:r w:rsidR="00E66771">
        <w:t>S</w:t>
      </w:r>
      <w:r w:rsidR="00E66771" w:rsidRPr="004A2BFF">
        <w:t>tation in eac</w:t>
      </w:r>
      <w:r w:rsidR="00E66771">
        <w:t>h eligible Federal electorate.</w:t>
      </w:r>
      <w:bookmarkEnd w:id="221"/>
    </w:p>
    <w:p w:rsidR="00E66771" w:rsidRPr="004A2BFF" w:rsidRDefault="00F12602" w:rsidP="00CD04A0">
      <w:pPr>
        <w:pStyle w:val="Bodynumbered-Level1"/>
        <w:ind w:left="709" w:hanging="709"/>
      </w:pPr>
      <w:bookmarkStart w:id="222" w:name="_Ref390203151"/>
      <w:r>
        <w:t>7.3.9</w:t>
      </w:r>
      <w:r>
        <w:tab/>
      </w:r>
      <w:r w:rsidR="00E66771" w:rsidRPr="004A2BFF">
        <w:t xml:space="preserve">Electorates eligible under the </w:t>
      </w:r>
      <w:r w:rsidR="00E66771">
        <w:t>P</w:t>
      </w:r>
      <w:r w:rsidR="00E66771" w:rsidRPr="004A2BFF">
        <w:t xml:space="preserve">rogramme are those which have less than 50 per cent of the electorate area as part of a Major Urban Centre </w:t>
      </w:r>
      <w:r w:rsidR="00E66771">
        <w:t>(</w:t>
      </w:r>
      <w:r w:rsidR="00E66771" w:rsidRPr="004A2BFF">
        <w:t>defined by the Australian Bureau of Statistics</w:t>
      </w:r>
      <w:r w:rsidR="00E66771">
        <w:t>)</w:t>
      </w:r>
      <w:r w:rsidR="00E66771" w:rsidRPr="004A2BFF">
        <w:t xml:space="preserve"> with a population of 100,000 or more, and which are not designated by the Australian Electoral Commi</w:t>
      </w:r>
      <w:r w:rsidR="00C65758">
        <w:t>ssion as ‘Inner Metropolitan’</w:t>
      </w:r>
      <w:r w:rsidR="00E66771">
        <w:t>.</w:t>
      </w:r>
      <w:bookmarkEnd w:id="222"/>
    </w:p>
    <w:p w:rsidR="00E66771" w:rsidRDefault="00F12602" w:rsidP="00CD04A0">
      <w:pPr>
        <w:pStyle w:val="Bodynumbered-Level1"/>
        <w:ind w:left="709" w:hanging="709"/>
      </w:pPr>
      <w:bookmarkStart w:id="223" w:name="_Ref390203221"/>
      <w:r>
        <w:t>7.3.10</w:t>
      </w:r>
      <w:r>
        <w:tab/>
      </w:r>
      <w:r w:rsidR="00E66771" w:rsidRPr="004A2BFF">
        <w:t xml:space="preserve">The </w:t>
      </w:r>
      <w:r w:rsidR="00E66771">
        <w:t>Department</w:t>
      </w:r>
      <w:r w:rsidR="00E66771" w:rsidRPr="004A2BFF">
        <w:t xml:space="preserve"> may recommend that </w:t>
      </w:r>
      <w:r w:rsidR="00E66771">
        <w:t>section 7.3</w:t>
      </w:r>
      <w:r w:rsidR="00E66771" w:rsidRPr="008D763B">
        <w:t>.8</w:t>
      </w:r>
      <w:r w:rsidR="00E66771">
        <w:t xml:space="preserve"> </w:t>
      </w:r>
      <w:r w:rsidR="00E66771" w:rsidRPr="004A2BFF">
        <w:t>above not be applied to an eligible electorate if it considers that the Proposed Base Station for the respective electorate do</w:t>
      </w:r>
      <w:r w:rsidR="00E66771">
        <w:t>es</w:t>
      </w:r>
      <w:r w:rsidR="00E66771" w:rsidRPr="004A2BFF">
        <w:t xml:space="preserve"> not represent value for money to</w:t>
      </w:r>
      <w:r w:rsidR="00E66771">
        <w:t xml:space="preserve"> the Commonwealth.</w:t>
      </w:r>
      <w:bookmarkEnd w:id="223"/>
    </w:p>
    <w:p w:rsidR="00E66771" w:rsidRDefault="00E66771" w:rsidP="00F12602">
      <w:pPr>
        <w:pStyle w:val="Heading4"/>
      </w:pPr>
      <w:r w:rsidRPr="000C1A50">
        <w:t xml:space="preserve">Principle 3: </w:t>
      </w:r>
      <w:r>
        <w:t xml:space="preserve"> </w:t>
      </w:r>
      <w:r w:rsidRPr="000C1A50">
        <w:t>Addressing specific local issues</w:t>
      </w:r>
    </w:p>
    <w:p w:rsidR="00E66771" w:rsidRPr="000B1330" w:rsidRDefault="00F12602" w:rsidP="001735BD">
      <w:pPr>
        <w:pStyle w:val="Bodynumbered-Level1"/>
        <w:ind w:left="709" w:right="-330" w:hanging="709"/>
      </w:pPr>
      <w:r>
        <w:t>7.3.11</w:t>
      </w:r>
      <w:r>
        <w:tab/>
      </w:r>
      <w:r w:rsidR="00E66771">
        <w:t>Subject to section 7.3</w:t>
      </w:r>
      <w:r w:rsidR="00E66771" w:rsidRPr="000B1330">
        <w:t>.12, the Department will ensure that $20 million of Programme funding is recommended for Proposed Base Stations which address specific local issues and have a co-contribution (cash or in-kind) from State, Territory or local governments, local communities or other contributing third parties, in accordance with section 5.1.1.</w:t>
      </w:r>
    </w:p>
    <w:p w:rsidR="00E66771" w:rsidRPr="000B1330" w:rsidRDefault="00F12602" w:rsidP="00CD04A0">
      <w:pPr>
        <w:pStyle w:val="Bodynumbered-Level1"/>
        <w:ind w:left="709" w:hanging="709"/>
      </w:pPr>
      <w:r>
        <w:t>7.3.12</w:t>
      </w:r>
      <w:r>
        <w:tab/>
      </w:r>
      <w:r w:rsidR="00E66771" w:rsidRPr="000B1330">
        <w:t xml:space="preserve">In the event that there are insufficient Proposed Base Stations to give effect to </w:t>
      </w:r>
      <w:r w:rsidR="00E66771">
        <w:t>section 5.1.1 and section 7.3</w:t>
      </w:r>
      <w:r w:rsidR="00E66771" w:rsidRPr="000B1330">
        <w:t>.11, and as a consequence the total amount allocate</w:t>
      </w:r>
      <w:r w:rsidR="00E66771">
        <w:t>d in accordance with section 7.3</w:t>
      </w:r>
      <w:r w:rsidR="00E66771" w:rsidRPr="000B1330">
        <w:t xml:space="preserve">.11 is less than $20 million, the Department will recommend that the balance of the $20 million of Programme funding allocated to address specific local issues be allocated to fund Proposed Base Stations which have been nominated by an MP (as contemplated by Assessment Criterion 3), with the funding to be allocated first to the next highest ranking </w:t>
      </w:r>
      <w:r w:rsidR="00E66771">
        <w:t xml:space="preserve">nominated </w:t>
      </w:r>
      <w:r w:rsidR="00E66771" w:rsidRPr="000B1330">
        <w:t xml:space="preserve">Proposed Base Station, then to the </w:t>
      </w:r>
      <w:r w:rsidR="00E66771">
        <w:t xml:space="preserve">following </w:t>
      </w:r>
      <w:r w:rsidR="00E66771" w:rsidRPr="000B1330">
        <w:t xml:space="preserve">highest ranking </w:t>
      </w:r>
      <w:r w:rsidR="00E66771">
        <w:t xml:space="preserve">nominated </w:t>
      </w:r>
      <w:r w:rsidR="00E66771" w:rsidRPr="000B1330">
        <w:t>Proposed Base Station, and so on</w:t>
      </w:r>
      <w:r w:rsidR="00E66771">
        <w:t>, until the sum of funding allocated under sections 5.1.1 and 7.3</w:t>
      </w:r>
      <w:r w:rsidR="00E66771" w:rsidRPr="000B1330">
        <w:t>.11</w:t>
      </w:r>
      <w:r w:rsidR="00E66771">
        <w:t>, and this section 7.3.12, is equal to, or greater than $20 million</w:t>
      </w:r>
      <w:r w:rsidR="00E66771" w:rsidRPr="000B1330">
        <w:t>.</w:t>
      </w:r>
    </w:p>
    <w:p w:rsidR="00E66771" w:rsidRPr="000C1A50" w:rsidRDefault="00F12602" w:rsidP="00CD04A0">
      <w:pPr>
        <w:pStyle w:val="Bodynumbered-Level1"/>
        <w:ind w:left="709" w:hanging="709"/>
      </w:pPr>
      <w:r>
        <w:t>7.3.13</w:t>
      </w:r>
      <w:r>
        <w:tab/>
      </w:r>
      <w:r w:rsidR="00E66771" w:rsidRPr="000B1330">
        <w:t>The Departmen</w:t>
      </w:r>
      <w:r w:rsidR="00E66771">
        <w:t>t may recommend that section 7.3</w:t>
      </w:r>
      <w:r w:rsidR="00E66771" w:rsidRPr="000B1330">
        <w:t>.12 not be applied in respect of a Proposed Base Station which would other</w:t>
      </w:r>
      <w:r w:rsidR="00E66771">
        <w:t>wise be funded under section 7.3</w:t>
      </w:r>
      <w:r w:rsidR="00E66771" w:rsidRPr="000B1330">
        <w:t>.12 if it considers that the Proposed Base Station does not represent value for money to the Commonwealth.</w:t>
      </w:r>
    </w:p>
    <w:p w:rsidR="00E66771" w:rsidRPr="00A87EA6" w:rsidRDefault="00E66771" w:rsidP="00F12602">
      <w:pPr>
        <w:pStyle w:val="Heading4"/>
      </w:pPr>
      <w:r w:rsidRPr="00A87EA6">
        <w:t xml:space="preserve">Principle </w:t>
      </w:r>
      <w:r>
        <w:t>4</w:t>
      </w:r>
      <w:r w:rsidRPr="00A87EA6">
        <w:t>:</w:t>
      </w:r>
      <w:r>
        <w:t xml:space="preserve"> </w:t>
      </w:r>
      <w:r w:rsidRPr="00A87EA6">
        <w:t xml:space="preserve"> Cap adjustment</w:t>
      </w:r>
    </w:p>
    <w:p w:rsidR="00E66771" w:rsidRPr="006D4F26" w:rsidRDefault="00F12602" w:rsidP="00CD04A0">
      <w:pPr>
        <w:pStyle w:val="Bodynumbered-Level1"/>
        <w:ind w:left="709" w:hanging="709"/>
      </w:pPr>
      <w:bookmarkStart w:id="224" w:name="_Ref390189407"/>
      <w:r>
        <w:t>7.3.14</w:t>
      </w:r>
      <w:r>
        <w:tab/>
      </w:r>
      <w:r w:rsidR="00CD04A0">
        <w:t>I</w:t>
      </w:r>
      <w:r w:rsidR="00E66771" w:rsidRPr="006D4F26">
        <w:t>n ensuring there are a sufficient number of Proposed Base Stations recommended for funding under sections</w:t>
      </w:r>
      <w:r w:rsidR="00E66771">
        <w:t xml:space="preserve"> 7.3</w:t>
      </w:r>
      <w:r w:rsidR="00E66771" w:rsidRPr="006D4F26">
        <w:t xml:space="preserve">.6 and </w:t>
      </w:r>
      <w:r w:rsidR="00E66771">
        <w:t>7.3</w:t>
      </w:r>
      <w:r w:rsidR="00E66771" w:rsidRPr="006D4F26">
        <w:t>.8 or if not all of the Commonwealth’s $100</w:t>
      </w:r>
      <w:r w:rsidR="001735BD">
        <w:t> </w:t>
      </w:r>
      <w:r w:rsidR="00E66771" w:rsidRPr="006D4F26">
        <w:t>million is allocated, the Department may recommend an increase in the level of Commonwealth funding per Proposed Base Station above the $500,000 cap.</w:t>
      </w:r>
      <w:bookmarkEnd w:id="224"/>
    </w:p>
    <w:p w:rsidR="00E66771" w:rsidRPr="00A87EA6" w:rsidRDefault="00E66771" w:rsidP="00F12602">
      <w:pPr>
        <w:pStyle w:val="Heading4"/>
      </w:pPr>
      <w:r w:rsidRPr="00A87EA6">
        <w:t xml:space="preserve">Principle </w:t>
      </w:r>
      <w:r>
        <w:t>5</w:t>
      </w:r>
      <w:r w:rsidRPr="00A87EA6">
        <w:t>:</w:t>
      </w:r>
      <w:r>
        <w:t xml:space="preserve"> </w:t>
      </w:r>
      <w:r w:rsidRPr="00A87EA6">
        <w:t xml:space="preserve"> Multiple nominations</w:t>
      </w:r>
    </w:p>
    <w:p w:rsidR="00E66771" w:rsidRDefault="00F12602" w:rsidP="00F97421">
      <w:pPr>
        <w:pStyle w:val="Bodynumbered-Level1"/>
        <w:ind w:left="709" w:right="-188" w:hanging="709"/>
      </w:pPr>
      <w:bookmarkStart w:id="225" w:name="_Ref390200909"/>
      <w:r>
        <w:t>7.3.15</w:t>
      </w:r>
      <w:r>
        <w:tab/>
      </w:r>
      <w:r w:rsidR="00E66771" w:rsidRPr="004A2BFF">
        <w:t xml:space="preserve">If two or more applicants nominate a Proposed Base Station for the same (or very similar) location, the </w:t>
      </w:r>
      <w:r w:rsidR="00E66771">
        <w:t>Department</w:t>
      </w:r>
      <w:r w:rsidR="00E66771" w:rsidRPr="004A2BFF">
        <w:t xml:space="preserve"> will recommend funding for only the highest ranked Proposed Base Station for that location.</w:t>
      </w:r>
      <w:bookmarkEnd w:id="225"/>
    </w:p>
    <w:p w:rsidR="00E66771" w:rsidRPr="00B4284B" w:rsidRDefault="00E66771" w:rsidP="00F12602">
      <w:pPr>
        <w:pStyle w:val="Heading3"/>
      </w:pPr>
      <w:r w:rsidRPr="00B4284B">
        <w:t>Merit List</w:t>
      </w:r>
    </w:p>
    <w:p w:rsidR="00E66771" w:rsidRDefault="00F12602" w:rsidP="001735BD">
      <w:pPr>
        <w:pStyle w:val="Bodynumbered-Level1"/>
        <w:ind w:left="709" w:right="-188" w:hanging="709"/>
      </w:pPr>
      <w:r>
        <w:t>7.3.16</w:t>
      </w:r>
      <w:r>
        <w:tab/>
      </w:r>
      <w:r w:rsidR="00E66771" w:rsidRPr="004A2BFF">
        <w:t xml:space="preserve">The list of Proposed Base Stations </w:t>
      </w:r>
      <w:r w:rsidR="00E66771">
        <w:t xml:space="preserve">that the Department will recommend </w:t>
      </w:r>
      <w:r w:rsidR="00E66771" w:rsidRPr="004A2BFF">
        <w:t xml:space="preserve">to </w:t>
      </w:r>
      <w:r w:rsidR="00E66771">
        <w:t xml:space="preserve">be Funded Base Stations </w:t>
      </w:r>
      <w:r w:rsidR="00E66771" w:rsidRPr="004A2BFF">
        <w:t>when th</w:t>
      </w:r>
      <w:r w:rsidR="00E66771">
        <w:t>e</w:t>
      </w:r>
      <w:r w:rsidR="00E66771" w:rsidRPr="004A2BFF">
        <w:t xml:space="preserve"> process </w:t>
      </w:r>
      <w:r w:rsidR="00E66771">
        <w:t xml:space="preserve">set out in this section </w:t>
      </w:r>
      <w:r w:rsidR="00E66771" w:rsidRPr="00B207E3">
        <w:t>7</w:t>
      </w:r>
      <w:r w:rsidR="00E66771">
        <w:t xml:space="preserve"> </w:t>
      </w:r>
      <w:r w:rsidR="00E66771" w:rsidRPr="004A2BFF">
        <w:t xml:space="preserve">is completed is the </w:t>
      </w:r>
      <w:r w:rsidR="00E66771" w:rsidRPr="004D1954">
        <w:rPr>
          <w:b/>
        </w:rPr>
        <w:t>Merit List</w:t>
      </w:r>
      <w:r w:rsidR="00E66771" w:rsidRPr="004A2BFF">
        <w:t>.</w:t>
      </w:r>
    </w:p>
    <w:p w:rsidR="00E66771" w:rsidRPr="00974B15" w:rsidRDefault="00F12602" w:rsidP="001735BD">
      <w:pPr>
        <w:pStyle w:val="Bodynumbered-Level1"/>
        <w:ind w:left="709" w:right="-330" w:hanging="709"/>
      </w:pPr>
      <w:r>
        <w:lastRenderedPageBreak/>
        <w:t>7.3.17</w:t>
      </w:r>
      <w:r>
        <w:tab/>
      </w:r>
      <w:r w:rsidR="00E66771">
        <w:t xml:space="preserve">Subject to section </w:t>
      </w:r>
      <w:r w:rsidR="00E66771" w:rsidRPr="00B207E3">
        <w:t>7.</w:t>
      </w:r>
      <w:r w:rsidR="00E66771">
        <w:t>3.</w:t>
      </w:r>
      <w:r w:rsidR="00E66771" w:rsidRPr="00B207E3">
        <w:t>3</w:t>
      </w:r>
      <w:r w:rsidR="00E66771">
        <w:t xml:space="preserve">, the Department will provide the Merit List to the Parliamentary Secretary to the Minister for Communications for review, as part of his responsibility for implementing the Programme, and subsequently to the </w:t>
      </w:r>
      <w:r w:rsidR="00E66771" w:rsidRPr="004D1954">
        <w:rPr>
          <w:b/>
        </w:rPr>
        <w:t>Decision Maker</w:t>
      </w:r>
      <w:r w:rsidR="00E66771">
        <w:t>.</w:t>
      </w:r>
    </w:p>
    <w:p w:rsidR="00E66771" w:rsidRDefault="00F12602" w:rsidP="00CD04A0">
      <w:pPr>
        <w:pStyle w:val="Bodynumbered-Level1"/>
        <w:ind w:left="709" w:hanging="709"/>
      </w:pPr>
      <w:r>
        <w:t>7.3.18</w:t>
      </w:r>
      <w:r>
        <w:tab/>
      </w:r>
      <w:r w:rsidR="00E66771">
        <w:t>In establishing the Merit List, the Department will exercise its own judgement in determining if any changes are required to apply the equitable principles set out in sections 7.3</w:t>
      </w:r>
      <w:r w:rsidR="00E66771" w:rsidRPr="00B207E3">
        <w:t xml:space="preserve">.6 to </w:t>
      </w:r>
      <w:r w:rsidR="00C65758">
        <w:t>7.3.10 (inclusive)</w:t>
      </w:r>
      <w:r w:rsidR="00E66771">
        <w:t>, and give best effect to the overall Programme objectives regarding improved coverage and competition.</w:t>
      </w:r>
    </w:p>
    <w:p w:rsidR="00E66771" w:rsidRPr="00E04541" w:rsidRDefault="00E66771" w:rsidP="00A06684">
      <w:pPr>
        <w:pStyle w:val="Heading2"/>
        <w:ind w:hanging="1144"/>
      </w:pPr>
      <w:bookmarkStart w:id="226" w:name="_Toc393904260"/>
      <w:bookmarkStart w:id="227" w:name="_Toc393904261"/>
      <w:bookmarkStart w:id="228" w:name="_Ref390201163"/>
      <w:bookmarkStart w:id="229" w:name="_Toc393908582"/>
      <w:bookmarkStart w:id="230" w:name="_Toc405380447"/>
      <w:bookmarkStart w:id="231" w:name="_Toc407007259"/>
      <w:bookmarkEnd w:id="226"/>
      <w:bookmarkEnd w:id="227"/>
      <w:r>
        <w:t>Clusters of</w:t>
      </w:r>
      <w:r w:rsidRPr="00E04541">
        <w:t xml:space="preserve"> Proposed Base Stations</w:t>
      </w:r>
      <w:bookmarkEnd w:id="228"/>
      <w:bookmarkEnd w:id="229"/>
      <w:bookmarkEnd w:id="230"/>
      <w:bookmarkEnd w:id="231"/>
    </w:p>
    <w:p w:rsidR="00E66771" w:rsidRPr="00825DF5" w:rsidRDefault="00C610BE" w:rsidP="00CD04A0">
      <w:pPr>
        <w:pStyle w:val="Bodynumbered-Level1"/>
        <w:ind w:left="709" w:hanging="709"/>
      </w:pPr>
      <w:r>
        <w:t>7.4.1</w:t>
      </w:r>
      <w:r>
        <w:tab/>
      </w:r>
      <w:r w:rsidR="00E66771" w:rsidRPr="004A2BFF">
        <w:t xml:space="preserve">An applicant may specify that two or more </w:t>
      </w:r>
      <w:r w:rsidR="00E66771">
        <w:t xml:space="preserve">(to a maximum of ten) </w:t>
      </w:r>
      <w:r w:rsidR="00E66771" w:rsidRPr="004A2BFF">
        <w:t xml:space="preserve">Proposed Base Stations form part of a cluster. </w:t>
      </w:r>
      <w:r w:rsidR="00E66771" w:rsidRPr="00825DF5">
        <w:t xml:space="preserve">The </w:t>
      </w:r>
      <w:r w:rsidR="00E66771">
        <w:t xml:space="preserve">Department </w:t>
      </w:r>
      <w:r w:rsidR="00E66771" w:rsidRPr="00825DF5">
        <w:t xml:space="preserve">will consider proposals to cluster Proposed Base Stations and </w:t>
      </w:r>
      <w:r w:rsidR="00E66771">
        <w:t xml:space="preserve">recommend whether </w:t>
      </w:r>
      <w:r w:rsidR="00E66771" w:rsidRPr="00825DF5">
        <w:t>a proposed cluster should be assessed accordingly.</w:t>
      </w:r>
    </w:p>
    <w:p w:rsidR="00E66771" w:rsidRPr="004A2BFF" w:rsidRDefault="00C610BE" w:rsidP="00CD04A0">
      <w:pPr>
        <w:pStyle w:val="Bodynumbered-Level1"/>
        <w:ind w:left="709" w:hanging="709"/>
      </w:pPr>
      <w:r>
        <w:t>7.4.2</w:t>
      </w:r>
      <w:r>
        <w:tab/>
      </w:r>
      <w:r w:rsidR="00E66771" w:rsidRPr="004A2BFF">
        <w:t xml:space="preserve">If so, the points score for each individual Proposed Base Station in the </w:t>
      </w:r>
      <w:r w:rsidR="00E66771">
        <w:t>cluster</w:t>
      </w:r>
      <w:r w:rsidR="00E66771" w:rsidRPr="004A2BFF">
        <w:t xml:space="preserve"> is to be determined; an average points score for all of the Proposed Base Stations in the </w:t>
      </w:r>
      <w:r w:rsidR="00E66771">
        <w:t>cluster</w:t>
      </w:r>
      <w:r w:rsidR="00E66771" w:rsidRPr="004A2BFF">
        <w:t xml:space="preserve"> is to be calculated; and the average is to be used in determining the placement of each of the Proposed Ba</w:t>
      </w:r>
      <w:r w:rsidR="00E66771">
        <w:t>se Stations in the Merit List.</w:t>
      </w:r>
    </w:p>
    <w:p w:rsidR="00E66771" w:rsidRDefault="00E66771" w:rsidP="00A06684">
      <w:pPr>
        <w:pStyle w:val="Heading2"/>
        <w:ind w:hanging="1144"/>
      </w:pPr>
      <w:bookmarkStart w:id="232" w:name="_Toc397462788"/>
      <w:bookmarkStart w:id="233" w:name="_Toc397501060"/>
      <w:bookmarkStart w:id="234" w:name="_Toc397501538"/>
      <w:bookmarkStart w:id="235" w:name="_Toc397462789"/>
      <w:bookmarkStart w:id="236" w:name="_Toc397501061"/>
      <w:bookmarkStart w:id="237" w:name="_Toc397501539"/>
      <w:bookmarkStart w:id="238" w:name="_Toc393908583"/>
      <w:bookmarkStart w:id="239" w:name="_Toc405380448"/>
      <w:bookmarkStart w:id="240" w:name="_Toc407007260"/>
      <w:bookmarkEnd w:id="232"/>
      <w:bookmarkEnd w:id="233"/>
      <w:bookmarkEnd w:id="234"/>
      <w:bookmarkEnd w:id="235"/>
      <w:bookmarkEnd w:id="236"/>
      <w:bookmarkEnd w:id="237"/>
      <w:r>
        <w:t>Use of satellite backhaul</w:t>
      </w:r>
      <w:bookmarkEnd w:id="238"/>
      <w:bookmarkEnd w:id="239"/>
      <w:bookmarkEnd w:id="240"/>
    </w:p>
    <w:p w:rsidR="00E66771" w:rsidRPr="00625E41" w:rsidRDefault="00C610BE" w:rsidP="00CD04A0">
      <w:pPr>
        <w:pStyle w:val="Bodynumbered-Level1"/>
        <w:ind w:left="709" w:hanging="709"/>
      </w:pPr>
      <w:r>
        <w:t>7.5.1</w:t>
      </w:r>
      <w:r>
        <w:tab/>
      </w:r>
      <w:r w:rsidR="00E66771" w:rsidRPr="00625E41">
        <w:t xml:space="preserve">It is acknowledged that </w:t>
      </w:r>
      <w:r w:rsidR="00E66771" w:rsidRPr="00836840">
        <w:t xml:space="preserve">satellite backhaul </w:t>
      </w:r>
      <w:r w:rsidR="00E66771">
        <w:t xml:space="preserve">has limitations in regards to the level </w:t>
      </w:r>
      <w:r w:rsidR="00E66771" w:rsidRPr="00625E41">
        <w:t xml:space="preserve">of </w:t>
      </w:r>
      <w:r w:rsidR="00E66771">
        <w:t xml:space="preserve">mobile </w:t>
      </w:r>
      <w:r w:rsidR="00E66771" w:rsidRPr="00625E41">
        <w:t xml:space="preserve">service </w:t>
      </w:r>
      <w:r w:rsidR="00E66771">
        <w:t xml:space="preserve">it can provide </w:t>
      </w:r>
      <w:r w:rsidR="00E66771" w:rsidRPr="00983713">
        <w:t xml:space="preserve">to consumers </w:t>
      </w:r>
      <w:r w:rsidR="00E66771">
        <w:t xml:space="preserve">(as compared with </w:t>
      </w:r>
      <w:r w:rsidR="00E66771" w:rsidRPr="00625E41">
        <w:t>fibre and/or microwave backhaul</w:t>
      </w:r>
      <w:r w:rsidR="00E66771">
        <w:t>)</w:t>
      </w:r>
      <w:r w:rsidR="00E66771" w:rsidRPr="00625E41">
        <w:t>.</w:t>
      </w:r>
    </w:p>
    <w:p w:rsidR="00E66771" w:rsidRDefault="00C610BE" w:rsidP="00CD04A0">
      <w:pPr>
        <w:pStyle w:val="Bodynumbered-Level1"/>
        <w:ind w:left="709" w:hanging="709"/>
      </w:pPr>
      <w:r>
        <w:t>7.5.2</w:t>
      </w:r>
      <w:r>
        <w:tab/>
      </w:r>
      <w:r w:rsidR="00E66771" w:rsidRPr="00625E41">
        <w:t xml:space="preserve">In the event that a </w:t>
      </w:r>
      <w:r w:rsidR="00E66771">
        <w:t>location</w:t>
      </w:r>
      <w:r w:rsidR="00E66771" w:rsidRPr="00625E41">
        <w:t xml:space="preserve"> is </w:t>
      </w:r>
      <w:r w:rsidR="00E66771">
        <w:t xml:space="preserve">proposed </w:t>
      </w:r>
      <w:r w:rsidR="00E66771" w:rsidRPr="00625E41">
        <w:t xml:space="preserve">to be served by </w:t>
      </w:r>
      <w:r w:rsidR="00E66771">
        <w:t xml:space="preserve">one applicant using </w:t>
      </w:r>
      <w:r w:rsidR="00E66771" w:rsidRPr="00625E41">
        <w:t xml:space="preserve">satellite backhaul and by another applicant by fibre and/or microwave backhaul, the </w:t>
      </w:r>
      <w:r w:rsidR="00E66771">
        <w:t>Department</w:t>
      </w:r>
      <w:r w:rsidR="00E66771" w:rsidRPr="00625E41">
        <w:t xml:space="preserve"> will consider the respective levels of service to be provided in assessing the two applications.</w:t>
      </w:r>
    </w:p>
    <w:p w:rsidR="00E66771" w:rsidRPr="00011C59" w:rsidRDefault="00E66771" w:rsidP="00B835BA">
      <w:pPr>
        <w:pStyle w:val="Heading1"/>
        <w:tabs>
          <w:tab w:val="left" w:pos="709"/>
        </w:tabs>
        <w:ind w:left="998" w:hanging="1000"/>
      </w:pPr>
      <w:bookmarkStart w:id="241" w:name="_Toc378930107"/>
      <w:bookmarkStart w:id="242" w:name="_Toc378930231"/>
      <w:bookmarkStart w:id="243" w:name="_Toc386635499"/>
      <w:bookmarkStart w:id="244" w:name="_Ref387753323"/>
      <w:bookmarkStart w:id="245" w:name="_Ref388446483"/>
      <w:bookmarkStart w:id="246" w:name="_Ref389783847"/>
      <w:bookmarkStart w:id="247" w:name="_Ref389785016"/>
      <w:bookmarkStart w:id="248" w:name="_Toc393908584"/>
      <w:bookmarkStart w:id="249" w:name="_Toc405380449"/>
      <w:bookmarkStart w:id="250" w:name="_Toc407007261"/>
      <w:bookmarkEnd w:id="166"/>
      <w:bookmarkEnd w:id="167"/>
      <w:bookmarkEnd w:id="168"/>
      <w:bookmarkEnd w:id="169"/>
      <w:r w:rsidRPr="00011C59">
        <w:t xml:space="preserve">Assessment </w:t>
      </w:r>
      <w:bookmarkEnd w:id="241"/>
      <w:bookmarkEnd w:id="242"/>
      <w:bookmarkEnd w:id="243"/>
      <w:bookmarkEnd w:id="244"/>
      <w:bookmarkEnd w:id="245"/>
      <w:r w:rsidRPr="00011C59">
        <w:t>Criteria</w:t>
      </w:r>
      <w:bookmarkEnd w:id="246"/>
      <w:bookmarkEnd w:id="247"/>
      <w:bookmarkEnd w:id="248"/>
      <w:bookmarkEnd w:id="249"/>
      <w:bookmarkEnd w:id="250"/>
    </w:p>
    <w:p w:rsidR="00E66771" w:rsidRPr="008E3258" w:rsidRDefault="00E66771" w:rsidP="00C610BE">
      <w:pPr>
        <w:pStyle w:val="Bodytext-Indent"/>
      </w:pPr>
      <w:r w:rsidRPr="004A2BFF">
        <w:t xml:space="preserve">Each Proposed Base Station (or </w:t>
      </w:r>
      <w:r w:rsidR="00C65758">
        <w:t>cluster</w:t>
      </w:r>
      <w:r w:rsidRPr="004A2BFF">
        <w:t xml:space="preserve"> of Proposed Base Stations) will be assessed against the following </w:t>
      </w:r>
      <w:r>
        <w:t>Assessment C</w:t>
      </w:r>
      <w:r w:rsidRPr="004A2BFF">
        <w:t>riteria:</w:t>
      </w:r>
    </w:p>
    <w:p w:rsidR="00E66771" w:rsidRPr="00C610BE" w:rsidRDefault="00E66771" w:rsidP="00C610BE">
      <w:pPr>
        <w:pStyle w:val="Bodynumbered-Level2"/>
      </w:pPr>
      <w:r w:rsidRPr="00C610BE">
        <w:t>New coverage (score out of 10)</w:t>
      </w:r>
    </w:p>
    <w:p w:rsidR="00E66771" w:rsidRPr="003D46A5" w:rsidRDefault="00F50D49" w:rsidP="000958D6">
      <w:pPr>
        <w:pStyle w:val="Bodynumbered-Level3"/>
        <w:numPr>
          <w:ilvl w:val="0"/>
          <w:numId w:val="0"/>
        </w:numPr>
        <w:ind w:left="1134" w:right="-22" w:hanging="425"/>
      </w:pPr>
      <w:r>
        <w:t>(a)</w:t>
      </w:r>
      <w:r w:rsidR="001735BD">
        <w:tab/>
      </w:r>
      <w:r w:rsidR="00E66771" w:rsidRPr="003D46A5">
        <w:t>The size (in square kilometres) of the mobile coverage footprint area which will receive new handheld coverage where previously there was no coverage at all from any MNO (score out of 6, where one point is awarded for every 200 square kilometres of new handheld coverage, rounded to the nearest 200 square kilometres).</w:t>
      </w:r>
    </w:p>
    <w:p w:rsidR="00E66771" w:rsidRPr="003D46A5" w:rsidRDefault="00F50D49" w:rsidP="001735BD">
      <w:pPr>
        <w:pStyle w:val="Bodynumbered-Level3"/>
        <w:numPr>
          <w:ilvl w:val="0"/>
          <w:numId w:val="0"/>
        </w:numPr>
        <w:ind w:left="1134" w:right="-46" w:hanging="425"/>
      </w:pPr>
      <w:r>
        <w:t>(b)</w:t>
      </w:r>
      <w:r w:rsidR="001735BD">
        <w:tab/>
      </w:r>
      <w:r w:rsidR="00E66771" w:rsidRPr="003D46A5">
        <w:t>The size (in square kilometres) of the mobile coverage footprint area which will receive new external antenna coverage where previously there was no coverage at all from any MNO (score out of 3, where one point is awarded for every 400</w:t>
      </w:r>
      <w:r w:rsidR="001735BD">
        <w:t> </w:t>
      </w:r>
      <w:r w:rsidR="00E66771" w:rsidRPr="003D46A5">
        <w:t>square</w:t>
      </w:r>
      <w:r w:rsidR="001735BD">
        <w:t> </w:t>
      </w:r>
      <w:r w:rsidR="00E66771" w:rsidRPr="003D46A5">
        <w:t>kilometres of new external antenna coverage, rounded to the nearest 400</w:t>
      </w:r>
      <w:r w:rsidR="001735BD">
        <w:t> </w:t>
      </w:r>
      <w:r w:rsidR="00E66771" w:rsidRPr="003D46A5">
        <w:t>square</w:t>
      </w:r>
      <w:r w:rsidR="001735BD">
        <w:t> </w:t>
      </w:r>
      <w:r w:rsidR="00E66771" w:rsidRPr="003D46A5">
        <w:t>kilometres).</w:t>
      </w:r>
    </w:p>
    <w:p w:rsidR="00E66771" w:rsidRPr="003D46A5" w:rsidRDefault="00F50D49" w:rsidP="001735BD">
      <w:pPr>
        <w:pStyle w:val="Bodynumbered-Level3"/>
        <w:numPr>
          <w:ilvl w:val="0"/>
          <w:numId w:val="0"/>
        </w:numPr>
        <w:ind w:left="1134" w:right="-46" w:hanging="425"/>
      </w:pPr>
      <w:r>
        <w:t>(c)</w:t>
      </w:r>
      <w:r w:rsidR="001735BD">
        <w:tab/>
      </w:r>
      <w:r w:rsidR="00E66771" w:rsidRPr="003D46A5">
        <w:t xml:space="preserve">The size (in square kilometres) of the mobile coverage footprint area currently receiving External Antenna Coverage from any MNO which will receive new handheld coverage </w:t>
      </w:r>
      <w:r w:rsidR="00E66771" w:rsidRPr="003D46A5">
        <w:lastRenderedPageBreak/>
        <w:t>(score of 1, if an area greater than 100 square kilometres which currently receives External Antenna Coverage will receive handheld coverage, rounded to the nearest 100 square kilometres).</w:t>
      </w:r>
    </w:p>
    <w:p w:rsidR="00E66771" w:rsidRPr="008E3258" w:rsidRDefault="00E66771" w:rsidP="00C610BE">
      <w:pPr>
        <w:pStyle w:val="Bodynumbered-Level2"/>
      </w:pPr>
      <w:r w:rsidRPr="008E3258">
        <w:t>Coverage benefit (uncapped score)</w:t>
      </w:r>
    </w:p>
    <w:p w:rsidR="00E66771" w:rsidRPr="00B4284B" w:rsidRDefault="00F50D49" w:rsidP="001735BD">
      <w:pPr>
        <w:pStyle w:val="Bodynumbered-Level3"/>
        <w:numPr>
          <w:ilvl w:val="0"/>
          <w:numId w:val="0"/>
        </w:numPr>
        <w:ind w:left="1134" w:right="-46" w:hanging="425"/>
      </w:pPr>
      <w:r>
        <w:t>(a)</w:t>
      </w:r>
      <w:r w:rsidR="001735BD">
        <w:tab/>
      </w:r>
      <w:r w:rsidR="00E66771" w:rsidRPr="00B4284B">
        <w:t xml:space="preserve">The number of premises located within the new </w:t>
      </w:r>
      <w:r w:rsidR="00E66771">
        <w:t>h</w:t>
      </w:r>
      <w:r w:rsidR="00E66771" w:rsidRPr="00B4284B">
        <w:t xml:space="preserve">andheld </w:t>
      </w:r>
      <w:r w:rsidR="00E66771">
        <w:t>c</w:t>
      </w:r>
      <w:r w:rsidR="00E66771" w:rsidRPr="00B4284B">
        <w:t xml:space="preserve">overage footprint as assessed </w:t>
      </w:r>
      <w:r w:rsidR="00E66771">
        <w:t xml:space="preserve">by the Department </w:t>
      </w:r>
      <w:r w:rsidR="00E66771" w:rsidRPr="00B4284B">
        <w:t>using G</w:t>
      </w:r>
      <w:r w:rsidR="00E66771" w:rsidRPr="00B4284B">
        <w:noBreakHyphen/>
        <w:t>NAF</w:t>
      </w:r>
      <w:r w:rsidR="00E66771">
        <w:t xml:space="preserve"> version 2014.05</w:t>
      </w:r>
      <w:r w:rsidR="00E66771" w:rsidRPr="00B4284B" w:rsidDel="00AF2697">
        <w:t xml:space="preserve"> </w:t>
      </w:r>
      <w:r w:rsidR="00E66771" w:rsidRPr="00B4284B">
        <w:t xml:space="preserve">(one point </w:t>
      </w:r>
      <w:r w:rsidR="00E66771">
        <w:t xml:space="preserve">will be </w:t>
      </w:r>
      <w:r w:rsidR="00E66771" w:rsidRPr="00B4284B">
        <w:t xml:space="preserve">awarded for every </w:t>
      </w:r>
      <w:r w:rsidR="00E66771">
        <w:t>three</w:t>
      </w:r>
      <w:r w:rsidR="00E66771" w:rsidRPr="00B4284B">
        <w:t xml:space="preserve"> premises which previously received no Handheld Coverage that now receive </w:t>
      </w:r>
      <w:r w:rsidR="00E66771">
        <w:t>h</w:t>
      </w:r>
      <w:r w:rsidR="00E66771" w:rsidRPr="00B4284B">
        <w:t xml:space="preserve">andheld </w:t>
      </w:r>
      <w:r w:rsidR="00E66771">
        <w:t>c</w:t>
      </w:r>
      <w:r w:rsidR="00E66771" w:rsidRPr="00B4284B">
        <w:t>overage).</w:t>
      </w:r>
    </w:p>
    <w:p w:rsidR="00E66771" w:rsidRPr="00B4284B" w:rsidRDefault="00F50D49" w:rsidP="001735BD">
      <w:pPr>
        <w:pStyle w:val="Bodynumbered-Level3"/>
        <w:numPr>
          <w:ilvl w:val="0"/>
          <w:numId w:val="0"/>
        </w:numPr>
        <w:ind w:left="1134" w:right="-46" w:hanging="425"/>
      </w:pPr>
      <w:r>
        <w:t>(b)</w:t>
      </w:r>
      <w:r w:rsidR="001735BD">
        <w:tab/>
      </w:r>
      <w:r w:rsidR="00E66771" w:rsidRPr="00B4284B">
        <w:t>The length of major transport routes, including national or State highways and arterial roads</w:t>
      </w:r>
      <w:r w:rsidR="00E66771">
        <w:t xml:space="preserve"> assessed by the Department using </w:t>
      </w:r>
      <w:proofErr w:type="spellStart"/>
      <w:r w:rsidR="00E66771">
        <w:t>StreetPro</w:t>
      </w:r>
      <w:proofErr w:type="spellEnd"/>
      <w:r w:rsidR="00E66771">
        <w:t xml:space="preserve"> Display version 2014.04</w:t>
      </w:r>
      <w:r w:rsidR="00E66771" w:rsidRPr="00B4284B" w:rsidDel="00AF2697">
        <w:t xml:space="preserve"> </w:t>
      </w:r>
      <w:r w:rsidR="00E66771">
        <w:t xml:space="preserve">(based on </w:t>
      </w:r>
      <w:r w:rsidR="00E66771" w:rsidRPr="00B4284B">
        <w:t>PSMA Australia Limited</w:t>
      </w:r>
      <w:r w:rsidR="00E66771">
        <w:t>’s Transport and Topography dataset</w:t>
      </w:r>
      <w:r w:rsidR="00E66771" w:rsidRPr="00B4284B">
        <w:t xml:space="preserve"> and passenger rail corridors, within the new </w:t>
      </w:r>
      <w:r w:rsidR="00E66771">
        <w:t>h</w:t>
      </w:r>
      <w:r w:rsidR="00E66771" w:rsidRPr="00B4284B">
        <w:t xml:space="preserve">andheld </w:t>
      </w:r>
      <w:r w:rsidR="00E66771">
        <w:t>c</w:t>
      </w:r>
      <w:r w:rsidR="00E66771" w:rsidRPr="00B4284B">
        <w:t xml:space="preserve">overage and </w:t>
      </w:r>
      <w:r w:rsidR="00E66771">
        <w:t>e</w:t>
      </w:r>
      <w:r w:rsidR="00E66771" w:rsidRPr="00B4284B">
        <w:t xml:space="preserve">xternal </w:t>
      </w:r>
      <w:r w:rsidR="00E66771">
        <w:t>a</w:t>
      </w:r>
      <w:r w:rsidR="00E66771" w:rsidRPr="00B4284B">
        <w:t xml:space="preserve">ntenna </w:t>
      </w:r>
      <w:r w:rsidR="00E66771">
        <w:t>c</w:t>
      </w:r>
      <w:r w:rsidR="00E66771" w:rsidRPr="00B4284B">
        <w:t>overage (in kilometres) (one point awarded for every five kilometres covered</w:t>
      </w:r>
      <w:r w:rsidR="00E66771">
        <w:t>, rounded to the nearest five kilometres</w:t>
      </w:r>
      <w:r w:rsidR="00E66771" w:rsidRPr="00B4284B">
        <w:t>).</w:t>
      </w:r>
    </w:p>
    <w:p w:rsidR="00E66771" w:rsidRPr="008E3258" w:rsidRDefault="00E66771" w:rsidP="00C610BE">
      <w:pPr>
        <w:pStyle w:val="Bodynumbered-Level2"/>
      </w:pPr>
      <w:r w:rsidRPr="008E3258">
        <w:t>Member of Parliament priority (score of 5)</w:t>
      </w:r>
    </w:p>
    <w:p w:rsidR="00E66771" w:rsidRPr="00DE4968" w:rsidRDefault="00F50D49" w:rsidP="001735BD">
      <w:pPr>
        <w:pStyle w:val="Bodynumbered-Level3"/>
        <w:numPr>
          <w:ilvl w:val="0"/>
          <w:numId w:val="0"/>
        </w:numPr>
        <w:ind w:left="1134" w:right="-46" w:hanging="425"/>
      </w:pPr>
      <w:r>
        <w:t>(a)</w:t>
      </w:r>
      <w:r w:rsidR="001735BD">
        <w:tab/>
      </w:r>
      <w:r w:rsidR="00E66771" w:rsidRPr="00DE4968">
        <w:t>Each Proposed Base Station (or single Proposed Base Station within a cluster) will be assessed according to whether it has been identified as a priority location by a Federal Member of Parliament (MP) who represents an eligible electorate.</w:t>
      </w:r>
    </w:p>
    <w:p w:rsidR="00E66771" w:rsidRPr="00DE4968" w:rsidRDefault="00F50D49" w:rsidP="001735BD">
      <w:pPr>
        <w:pStyle w:val="Bodynumbered-Level3"/>
        <w:numPr>
          <w:ilvl w:val="0"/>
          <w:numId w:val="0"/>
        </w:numPr>
        <w:ind w:left="1134" w:right="-46" w:hanging="425"/>
      </w:pPr>
      <w:r>
        <w:t>(b)</w:t>
      </w:r>
      <w:r w:rsidR="001735BD">
        <w:tab/>
      </w:r>
      <w:r w:rsidR="00E66771" w:rsidRPr="00DE4968">
        <w:t>MPs representing eligible electorates have been asked to nominate up to three priority locations, with each Proposed Base Station delivering services to a</w:t>
      </w:r>
      <w:r w:rsidR="00E66771" w:rsidRPr="00DE4968" w:rsidDel="00B60C6B">
        <w:t xml:space="preserve"> </w:t>
      </w:r>
      <w:r w:rsidR="00E66771" w:rsidRPr="00DE4968">
        <w:t>priority location being awarded five points.</w:t>
      </w:r>
    </w:p>
    <w:p w:rsidR="00E66771" w:rsidRPr="008E3258" w:rsidRDefault="00E66771" w:rsidP="00C610BE">
      <w:pPr>
        <w:pStyle w:val="Bodynumbered-Level2"/>
      </w:pPr>
      <w:r w:rsidRPr="008E3258">
        <w:t>Co-contributions (uncapped score)</w:t>
      </w:r>
    </w:p>
    <w:p w:rsidR="00E66771" w:rsidRPr="00B4284B" w:rsidRDefault="00F50D49" w:rsidP="00D02F9F">
      <w:pPr>
        <w:pStyle w:val="Bodynumbered-Level3"/>
        <w:numPr>
          <w:ilvl w:val="0"/>
          <w:numId w:val="0"/>
        </w:numPr>
        <w:ind w:left="1134" w:right="-306" w:hanging="425"/>
      </w:pPr>
      <w:r>
        <w:t>(a)</w:t>
      </w:r>
      <w:r w:rsidR="00FF2E0E">
        <w:tab/>
      </w:r>
      <w:r w:rsidR="00E66771" w:rsidRPr="00B4284B">
        <w:t xml:space="preserve">The amount of </w:t>
      </w:r>
      <w:r w:rsidR="00E66771">
        <w:t xml:space="preserve">cash </w:t>
      </w:r>
      <w:r w:rsidR="00E66771" w:rsidRPr="00B4284B">
        <w:t>co-contribution being provided by the applicant or consortium of applicants (one point will be awarded or deducted for every $10,000</w:t>
      </w:r>
      <w:r w:rsidR="00D02F9F">
        <w:t> </w:t>
      </w:r>
      <w:r w:rsidR="00E66771" w:rsidRPr="00B4284B">
        <w:t>co</w:t>
      </w:r>
      <w:r w:rsidR="00D02F9F">
        <w:noBreakHyphen/>
      </w:r>
      <w:r w:rsidR="00E66771" w:rsidRPr="00B4284B">
        <w:t>contribution above or below 50 per cent of the total estimated capital cost of the Proposed Base Station).</w:t>
      </w:r>
    </w:p>
    <w:p w:rsidR="00E66771" w:rsidRDefault="00F50D49" w:rsidP="00FF2E0E">
      <w:pPr>
        <w:pStyle w:val="Bodynumbered-Level3"/>
        <w:numPr>
          <w:ilvl w:val="0"/>
          <w:numId w:val="0"/>
        </w:numPr>
        <w:ind w:left="1134" w:right="-188" w:hanging="425"/>
      </w:pPr>
      <w:r>
        <w:t>(b)</w:t>
      </w:r>
      <w:r w:rsidR="00FF2E0E">
        <w:tab/>
      </w:r>
      <w:r w:rsidR="00E66771" w:rsidRPr="00B4284B">
        <w:t xml:space="preserve">The amount of </w:t>
      </w:r>
      <w:r w:rsidR="00E66771">
        <w:t xml:space="preserve">cash </w:t>
      </w:r>
      <w:r w:rsidR="00E66771" w:rsidRPr="00B4284B">
        <w:t>co-contribution being provided by the relevant State, Territory and/or local government or other third party (one point will be awarded for every $10,000 co-contribution). Applicants will need to consult with the relevant State, Territory and/or local government or other third party to determine and secure their level of co</w:t>
      </w:r>
      <w:r w:rsidR="00E66771" w:rsidRPr="00B4284B">
        <w:noBreakHyphen/>
        <w:t>contribution for each Proposed Base Station.</w:t>
      </w:r>
    </w:p>
    <w:p w:rsidR="00E66771" w:rsidRPr="003C2726" w:rsidRDefault="00F50D49" w:rsidP="00FF2E0E">
      <w:pPr>
        <w:pStyle w:val="Bodynumbered-Level3"/>
        <w:numPr>
          <w:ilvl w:val="0"/>
          <w:numId w:val="0"/>
        </w:numPr>
        <w:ind w:left="1134" w:right="-46" w:hanging="425"/>
      </w:pPr>
      <w:r>
        <w:t>(c)</w:t>
      </w:r>
      <w:r w:rsidR="00FF2E0E">
        <w:tab/>
      </w:r>
      <w:r w:rsidR="00E66771" w:rsidRPr="003C2726">
        <w:t xml:space="preserve">The amount of in-kind co-contribution being provided by the relevant State, Territory and/or local government or other third party (one point will be awarded for every $10,000 co-contribution up to a maximum of $50,000, consistent with </w:t>
      </w:r>
      <w:r w:rsidR="00E66771">
        <w:t>section</w:t>
      </w:r>
      <w:r w:rsidR="00E66771" w:rsidRPr="003C2726">
        <w:t xml:space="preserve"> 5.1.6). Applicants will need to consult with the relevant State, Territory and/or local government or other third party to determine and secure their level of co contribution for each Proposed Base Station.</w:t>
      </w:r>
    </w:p>
    <w:p w:rsidR="00E66771" w:rsidRPr="00DE4968" w:rsidRDefault="00E66771" w:rsidP="00D02F9F">
      <w:pPr>
        <w:pStyle w:val="Bodytext-Quote"/>
        <w:ind w:left="1134" w:right="-164" w:hanging="1134"/>
      </w:pPr>
      <w:r w:rsidRPr="00CD04A0">
        <w:rPr>
          <w:b/>
        </w:rPr>
        <w:t>Note:</w:t>
      </w:r>
      <w:r w:rsidRPr="00DE4968">
        <w:t xml:space="preserve">  </w:t>
      </w:r>
      <w:r w:rsidRPr="00DE4968">
        <w:tab/>
        <w:t>The monetary value of in-kind contributions will need to be agreed by the applicant and relevant third party, and may be subject to an independent valuation.</w:t>
      </w:r>
    </w:p>
    <w:p w:rsidR="00E66771" w:rsidRPr="008E3258" w:rsidRDefault="00E66771" w:rsidP="00C610BE">
      <w:pPr>
        <w:pStyle w:val="Bodynumbered-Level2"/>
      </w:pPr>
      <w:r w:rsidRPr="008E3258">
        <w:t>Cost to the Commonwealth (score out of 50)</w:t>
      </w:r>
    </w:p>
    <w:p w:rsidR="00E66771" w:rsidRPr="00B4284B" w:rsidRDefault="00F50D49" w:rsidP="00F97421">
      <w:pPr>
        <w:pStyle w:val="Bodynumbered-Level3"/>
        <w:numPr>
          <w:ilvl w:val="0"/>
          <w:numId w:val="0"/>
        </w:numPr>
        <w:ind w:left="1134" w:right="-46" w:hanging="425"/>
      </w:pPr>
      <w:r>
        <w:lastRenderedPageBreak/>
        <w:t>(a)</w:t>
      </w:r>
      <w:r w:rsidR="00F97421">
        <w:tab/>
      </w:r>
      <w:r w:rsidR="00E66771" w:rsidRPr="00B4284B">
        <w:t>The net cost to the Commonwealth of each Proposed Base Station (from a maximum of 50 points, one point will be deducted for every $10,000 cost to the Commonwealth).</w:t>
      </w:r>
    </w:p>
    <w:p w:rsidR="00E66771" w:rsidRPr="008E3258" w:rsidRDefault="00E66771" w:rsidP="00F97421">
      <w:pPr>
        <w:pStyle w:val="Bodytext-Quote"/>
        <w:ind w:left="1134" w:right="-188" w:hanging="1134"/>
      </w:pPr>
      <w:r w:rsidRPr="00CD04A0">
        <w:rPr>
          <w:b/>
        </w:rPr>
        <w:t>Note:</w:t>
      </w:r>
      <w:r w:rsidRPr="008E3258">
        <w:tab/>
        <w:t xml:space="preserve">The maximum Commonwealth co-contribution to be provided for each </w:t>
      </w:r>
      <w:r>
        <w:t>Proposed B</w:t>
      </w:r>
      <w:r w:rsidRPr="008E3258">
        <w:t xml:space="preserve">ase </w:t>
      </w:r>
      <w:r>
        <w:t>S</w:t>
      </w:r>
      <w:r w:rsidRPr="008E3258">
        <w:t xml:space="preserve">tation is $500,000 (unless the </w:t>
      </w:r>
      <w:r>
        <w:t>Department</w:t>
      </w:r>
      <w:r w:rsidRPr="008E3258">
        <w:t xml:space="preserve"> considers that a higher Commonwealth co</w:t>
      </w:r>
      <w:r w:rsidRPr="008E3258">
        <w:noBreakHyphen/>
        <w:t xml:space="preserve">contribution is merited in order to achieve the minimum number of </w:t>
      </w:r>
      <w:r>
        <w:t>Proposed Base Stations</w:t>
      </w:r>
      <w:r w:rsidRPr="008E3258">
        <w:t xml:space="preserve"> per </w:t>
      </w:r>
      <w:r>
        <w:t>S</w:t>
      </w:r>
      <w:r w:rsidRPr="008E3258">
        <w:t>tate</w:t>
      </w:r>
      <w:r>
        <w:t xml:space="preserve"> and T</w:t>
      </w:r>
      <w:r w:rsidRPr="008E3258">
        <w:t xml:space="preserve">erritory </w:t>
      </w:r>
      <w:r>
        <w:t xml:space="preserve">or eligible electorate </w:t>
      </w:r>
      <w:r w:rsidRPr="008E3258">
        <w:t xml:space="preserve">as specified at </w:t>
      </w:r>
      <w:r>
        <w:t>s</w:t>
      </w:r>
      <w:r w:rsidRPr="008E3258">
        <w:t>ections</w:t>
      </w:r>
      <w:r>
        <w:t xml:space="preserve"> 7.3.6 and 7.3.8</w:t>
      </w:r>
      <w:r w:rsidRPr="008E3258">
        <w:t xml:space="preserve"> </w:t>
      </w:r>
      <w:r>
        <w:t xml:space="preserve">respectively </w:t>
      </w:r>
      <w:r w:rsidRPr="008E3258">
        <w:t>of these Guidelines).</w:t>
      </w:r>
    </w:p>
    <w:p w:rsidR="00E66771" w:rsidRPr="008E3258" w:rsidRDefault="00E66771" w:rsidP="00C610BE">
      <w:pPr>
        <w:pStyle w:val="Bodynumbered-Level2"/>
      </w:pPr>
      <w:r w:rsidRPr="008E3258">
        <w:t>Service offering (score out of 15)</w:t>
      </w:r>
    </w:p>
    <w:p w:rsidR="00E66771" w:rsidRPr="00B4284B" w:rsidRDefault="00F50D49" w:rsidP="00F97421">
      <w:pPr>
        <w:pStyle w:val="Bodynumbered-Level3"/>
        <w:numPr>
          <w:ilvl w:val="0"/>
          <w:numId w:val="0"/>
        </w:numPr>
        <w:ind w:left="1134" w:right="-46" w:hanging="425"/>
      </w:pPr>
      <w:r>
        <w:t>(a)</w:t>
      </w:r>
      <w:r w:rsidR="00F97421">
        <w:tab/>
      </w:r>
      <w:r w:rsidR="00E66771" w:rsidRPr="00B4284B">
        <w:t>The service offered from the Proposed Base Station in addition to the mandatory 3G HSPA+ technology (two points will be awarded if there is a commitment to upgrade the Proposed Base Station to a 4G service within four years of it being built, and five points will be awarded to base stations which propose to provide both 3G HSPA+ technology</w:t>
      </w:r>
      <w:r w:rsidR="00E66771">
        <w:t xml:space="preserve"> </w:t>
      </w:r>
      <w:r w:rsidR="00E66771" w:rsidRPr="00B4284B">
        <w:t>and 4G services from the outset).</w:t>
      </w:r>
    </w:p>
    <w:p w:rsidR="00E66771" w:rsidRPr="00B4284B" w:rsidRDefault="00F50D49" w:rsidP="00F97421">
      <w:pPr>
        <w:pStyle w:val="Bodynumbered-Level3"/>
        <w:numPr>
          <w:ilvl w:val="0"/>
          <w:numId w:val="0"/>
        </w:numPr>
        <w:ind w:left="1134" w:right="-46" w:hanging="425"/>
      </w:pPr>
      <w:r>
        <w:t>(b)</w:t>
      </w:r>
      <w:r w:rsidR="00F97421">
        <w:tab/>
      </w:r>
      <w:r w:rsidR="00E66771" w:rsidRPr="00B4284B">
        <w:t>Ten points will be awarded to base stations where roaming services are offered to all MNOs (that is, services which would allow customers of any Australian MNO other than the MNO which operates that base station, to receive services from that base station).</w:t>
      </w:r>
    </w:p>
    <w:p w:rsidR="00E66771" w:rsidRPr="008E3258" w:rsidRDefault="00E66771" w:rsidP="00C610BE">
      <w:pPr>
        <w:pStyle w:val="Bodynumbered-Level2"/>
      </w:pPr>
      <w:r w:rsidRPr="008E3258">
        <w:t>Commitment of use (score out of 20)</w:t>
      </w:r>
    </w:p>
    <w:p w:rsidR="00E66771" w:rsidRPr="00B4284B" w:rsidRDefault="00F50D49" w:rsidP="00916F53">
      <w:pPr>
        <w:pStyle w:val="Bodynumbered-Level3"/>
        <w:numPr>
          <w:ilvl w:val="0"/>
          <w:numId w:val="0"/>
        </w:numPr>
        <w:ind w:left="1134" w:right="-46" w:hanging="425"/>
      </w:pPr>
      <w:r>
        <w:t>(a)</w:t>
      </w:r>
      <w:r w:rsidR="00916F53">
        <w:tab/>
      </w:r>
      <w:r w:rsidR="00E66771" w:rsidRPr="00B4284B">
        <w:t>The number of MNOs, in addition to the MNO proposing to build the Proposed Base Station, that have committed to utilising the Proposed Base Station/s to deliver the specified services on a commercial basis for a minimum of ten years (ten points will be awarded per additional MNO).</w:t>
      </w:r>
    </w:p>
    <w:p w:rsidR="00E66771" w:rsidRPr="00B4284B" w:rsidRDefault="00F50D49" w:rsidP="00916F53">
      <w:pPr>
        <w:pStyle w:val="Bodynumbered-Level3"/>
        <w:numPr>
          <w:ilvl w:val="0"/>
          <w:numId w:val="0"/>
        </w:numPr>
        <w:ind w:left="1134" w:right="-46" w:hanging="425"/>
      </w:pPr>
      <w:r>
        <w:t>(b)</w:t>
      </w:r>
      <w:r w:rsidR="00916F53">
        <w:tab/>
      </w:r>
      <w:r w:rsidR="00E66771" w:rsidRPr="00B4284B">
        <w:t>In the event that there is not a commitment from additional MNOs to utilise the Proposed Base Station, applicants will be awarded ten points if the Proposed Base Station will be capable of supporting one or more additional MNOs in the future</w:t>
      </w:r>
      <w:r w:rsidR="00E66771">
        <w:t xml:space="preserve"> (as defined at section 4.3.4)</w:t>
      </w:r>
      <w:r w:rsidR="00E66771" w:rsidRPr="00B4284B">
        <w:t>.</w:t>
      </w:r>
    </w:p>
    <w:p w:rsidR="00E66771" w:rsidRPr="00C65758" w:rsidRDefault="00E66771" w:rsidP="006E1235">
      <w:pPr>
        <w:pStyle w:val="Bodytext-Indent"/>
        <w:ind w:left="1134" w:hanging="1134"/>
      </w:pPr>
      <w:r w:rsidRPr="00CD04A0">
        <w:rPr>
          <w:b/>
        </w:rPr>
        <w:t>Note:</w:t>
      </w:r>
      <w:r w:rsidRPr="008E3258">
        <w:tab/>
        <w:t xml:space="preserve">For MNIP applicants, commitment must have been obtained from at least one MNO to utilise the </w:t>
      </w:r>
      <w:r>
        <w:t>P</w:t>
      </w:r>
      <w:r w:rsidRPr="008E3258">
        <w:t xml:space="preserve">roposed </w:t>
      </w:r>
      <w:r>
        <w:t>B</w:t>
      </w:r>
      <w:r w:rsidRPr="008E3258">
        <w:t xml:space="preserve">ase </w:t>
      </w:r>
      <w:r>
        <w:t>S</w:t>
      </w:r>
      <w:r w:rsidRPr="008E3258">
        <w:t xml:space="preserve">tation/s to deliver the specified services on a commercial basis for a minimum of ten years. Additional weighting will be given to </w:t>
      </w:r>
      <w:r>
        <w:t>Proposed B</w:t>
      </w:r>
      <w:r w:rsidRPr="008E3258">
        <w:t xml:space="preserve">ase </w:t>
      </w:r>
      <w:r>
        <w:t>S</w:t>
      </w:r>
      <w:r w:rsidRPr="008E3258">
        <w:t>tations (or groups of base stations) where more than one MNO has agreed to deliver the services.</w:t>
      </w:r>
      <w:bookmarkStart w:id="251" w:name="_Toc393908585"/>
      <w:bookmarkStart w:id="252" w:name="_Toc386635510"/>
    </w:p>
    <w:p w:rsidR="00E66771" w:rsidRPr="00382DBE" w:rsidRDefault="00E66771" w:rsidP="00346DFC">
      <w:pPr>
        <w:pStyle w:val="Heading1"/>
        <w:ind w:left="998" w:hanging="1000"/>
      </w:pPr>
      <w:bookmarkStart w:id="253" w:name="_Toc405380450"/>
      <w:bookmarkStart w:id="254" w:name="_Toc407007262"/>
      <w:r w:rsidRPr="00382DBE">
        <w:t xml:space="preserve">Decision on </w:t>
      </w:r>
      <w:r>
        <w:t>f</w:t>
      </w:r>
      <w:r w:rsidRPr="00382DBE">
        <w:t>unding</w:t>
      </w:r>
      <w:bookmarkEnd w:id="251"/>
      <w:bookmarkEnd w:id="253"/>
      <w:bookmarkEnd w:id="254"/>
    </w:p>
    <w:p w:rsidR="00E66771" w:rsidRPr="00B4284B" w:rsidRDefault="003D46A5" w:rsidP="00CD04A0">
      <w:pPr>
        <w:pStyle w:val="Bodynumbered-Level1"/>
        <w:ind w:left="709" w:hanging="709"/>
      </w:pPr>
      <w:r>
        <w:t>9.1</w:t>
      </w:r>
      <w:r>
        <w:tab/>
      </w:r>
      <w:r w:rsidR="00E66771" w:rsidRPr="00E62FF5">
        <w:t xml:space="preserve">The Decision Maker will review </w:t>
      </w:r>
      <w:r w:rsidR="00E66771">
        <w:t xml:space="preserve">the recommendations set out in the Merit List, </w:t>
      </w:r>
      <w:r w:rsidR="00E66771" w:rsidRPr="00E62FF5">
        <w:t xml:space="preserve">and </w:t>
      </w:r>
      <w:r w:rsidR="00E66771">
        <w:t>may do one or more of the following:</w:t>
      </w:r>
    </w:p>
    <w:p w:rsidR="00E66771" w:rsidRPr="00A21560" w:rsidRDefault="00F50D49" w:rsidP="00D02F9F">
      <w:pPr>
        <w:pStyle w:val="Bodynumbered-Level3"/>
        <w:numPr>
          <w:ilvl w:val="0"/>
          <w:numId w:val="0"/>
        </w:numPr>
        <w:spacing w:after="120"/>
        <w:ind w:left="1276" w:right="-45" w:hanging="567"/>
      </w:pPr>
      <w:r>
        <w:t>(a)</w:t>
      </w:r>
      <w:r w:rsidR="006E1235">
        <w:tab/>
      </w:r>
      <w:r w:rsidR="00C65758">
        <w:t>approve the recommendations</w:t>
      </w:r>
      <w:r w:rsidR="003F0E35">
        <w:t>;</w:t>
      </w:r>
    </w:p>
    <w:p w:rsidR="00E66771" w:rsidRPr="00A21560" w:rsidRDefault="00F50D49" w:rsidP="00D02F9F">
      <w:pPr>
        <w:pStyle w:val="Bodynumbered-Level3"/>
        <w:numPr>
          <w:ilvl w:val="0"/>
          <w:numId w:val="0"/>
        </w:numPr>
        <w:spacing w:after="120"/>
        <w:ind w:left="1276" w:right="-45" w:hanging="567"/>
      </w:pPr>
      <w:r>
        <w:t>(b)</w:t>
      </w:r>
      <w:r w:rsidR="006E1235">
        <w:tab/>
      </w:r>
      <w:r w:rsidR="00E66771" w:rsidRPr="00A21560">
        <w:t>seek further information from the Parliamentary Secretary to the Minister for Communications, the Depa</w:t>
      </w:r>
      <w:r w:rsidR="003F0E35">
        <w:t xml:space="preserve">rtment and/or relevant experts; </w:t>
      </w:r>
      <w:r w:rsidR="00E66771" w:rsidRPr="00A21560">
        <w:t>and</w:t>
      </w:r>
    </w:p>
    <w:p w:rsidR="00E66771" w:rsidRPr="00A21560" w:rsidRDefault="00F50D49" w:rsidP="00D02F9F">
      <w:pPr>
        <w:pStyle w:val="Bodynumbered-Level3"/>
        <w:numPr>
          <w:ilvl w:val="0"/>
          <w:numId w:val="0"/>
        </w:numPr>
        <w:spacing w:after="120"/>
        <w:ind w:left="1276" w:right="-45" w:hanging="567"/>
      </w:pPr>
      <w:r>
        <w:t>(c)</w:t>
      </w:r>
      <w:r w:rsidR="006E1235">
        <w:tab/>
      </w:r>
      <w:r w:rsidR="00E66771" w:rsidRPr="00A21560">
        <w:t>subject to section 12, make such amendments as the Decision Maker deems necessary.</w:t>
      </w:r>
    </w:p>
    <w:p w:rsidR="00E66771" w:rsidRPr="00C23C9F" w:rsidRDefault="00A21560" w:rsidP="006E1235">
      <w:pPr>
        <w:pStyle w:val="Bodynumbered-Level1"/>
        <w:ind w:left="709" w:right="-472" w:hanging="709"/>
      </w:pPr>
      <w:r>
        <w:lastRenderedPageBreak/>
        <w:t>9.2</w:t>
      </w:r>
      <w:r>
        <w:tab/>
      </w:r>
      <w:r w:rsidR="00E66771">
        <w:t>The Decision Maker will prepare the list of Funded Base Stations (</w:t>
      </w:r>
      <w:r w:rsidR="00E66771" w:rsidRPr="004D1954">
        <w:rPr>
          <w:b/>
        </w:rPr>
        <w:t>Decision Maker’s List</w:t>
      </w:r>
      <w:r w:rsidR="00E66771">
        <w:t>).</w:t>
      </w:r>
    </w:p>
    <w:p w:rsidR="00E66771" w:rsidRDefault="00A21560" w:rsidP="00CD04A0">
      <w:pPr>
        <w:pStyle w:val="Bodynumbered-Level1"/>
        <w:ind w:left="709" w:hanging="709"/>
      </w:pPr>
      <w:r>
        <w:t>9.3</w:t>
      </w:r>
      <w:r>
        <w:tab/>
      </w:r>
      <w:r w:rsidR="00E66771" w:rsidRPr="001F21EB">
        <w:t xml:space="preserve">The Decision Maker will have the final </w:t>
      </w:r>
      <w:r w:rsidR="00E66771">
        <w:t>decision</w:t>
      </w:r>
      <w:r w:rsidR="00E66771" w:rsidRPr="001F21EB">
        <w:t xml:space="preserve"> on all applica</w:t>
      </w:r>
      <w:r w:rsidR="00E66771">
        <w:t>tions</w:t>
      </w:r>
      <w:r w:rsidR="00E66771" w:rsidRPr="001F21EB">
        <w:t xml:space="preserve"> for funding.</w:t>
      </w:r>
    </w:p>
    <w:p w:rsidR="00E66771" w:rsidRPr="00346DFC" w:rsidRDefault="00E66771" w:rsidP="00346DFC">
      <w:pPr>
        <w:pStyle w:val="Heading1"/>
        <w:ind w:left="998" w:hanging="1000"/>
      </w:pPr>
      <w:bookmarkStart w:id="255" w:name="_Toc397462794"/>
      <w:bookmarkStart w:id="256" w:name="_Toc397501066"/>
      <w:bookmarkStart w:id="257" w:name="_Toc397501544"/>
      <w:bookmarkStart w:id="258" w:name="_Toc393908586"/>
      <w:bookmarkStart w:id="259" w:name="_Toc405380451"/>
      <w:bookmarkStart w:id="260" w:name="_Toc407007263"/>
      <w:bookmarkEnd w:id="255"/>
      <w:bookmarkEnd w:id="256"/>
      <w:bookmarkEnd w:id="257"/>
      <w:r w:rsidRPr="00382DBE">
        <w:t>Review of decision</w:t>
      </w:r>
      <w:bookmarkEnd w:id="252"/>
      <w:bookmarkEnd w:id="258"/>
      <w:bookmarkEnd w:id="259"/>
      <w:bookmarkEnd w:id="260"/>
    </w:p>
    <w:p w:rsidR="00E66771" w:rsidRPr="001B1C92" w:rsidRDefault="00A21560" w:rsidP="00CD04A0">
      <w:pPr>
        <w:pStyle w:val="Bodynumbered-Level1"/>
        <w:ind w:left="851" w:hanging="851"/>
      </w:pPr>
      <w:r>
        <w:t>10.1</w:t>
      </w:r>
      <w:r>
        <w:tab/>
      </w:r>
      <w:r w:rsidR="00E66771" w:rsidRPr="001B1C92">
        <w:t xml:space="preserve">An applicant wishing to seek a review of the decision relating to its application for the Programme should contact the Department </w:t>
      </w:r>
      <w:r w:rsidR="0098139B" w:rsidRPr="006E1235">
        <w:t>by email</w:t>
      </w:r>
      <w:r w:rsidR="00E66771" w:rsidRPr="001B1C92">
        <w:t xml:space="preserve"> </w:t>
      </w:r>
      <w:r w:rsidR="006E1235">
        <w:t xml:space="preserve">at </w:t>
      </w:r>
      <w:r w:rsidR="00E66771" w:rsidRPr="001B1C92">
        <w:t>mobilecoverage@communications.gov.au within two weeks of the issue of notification of the decision. The Department will review that decision internally and notify the applicant(s</w:t>
      </w:r>
      <w:r w:rsidR="00E66771">
        <w:t>) of the outcome of the review.</w:t>
      </w:r>
    </w:p>
    <w:p w:rsidR="00E66771" w:rsidRPr="00B4284B" w:rsidRDefault="00A21560" w:rsidP="00CD04A0">
      <w:pPr>
        <w:pStyle w:val="Bodynumbered-Level1"/>
        <w:ind w:left="851" w:hanging="851"/>
      </w:pPr>
      <w:r>
        <w:t>10.2</w:t>
      </w:r>
      <w:r>
        <w:tab/>
      </w:r>
      <w:r w:rsidR="00E66771" w:rsidRPr="001B1C92">
        <w:t>An applicant that is dissatisfied with the review may contact:</w:t>
      </w:r>
    </w:p>
    <w:p w:rsidR="00E66771" w:rsidRPr="00D37777" w:rsidRDefault="00E66771" w:rsidP="002F695D">
      <w:pPr>
        <w:pStyle w:val="Bodynumbered-Level1"/>
        <w:ind w:left="1440" w:firstLine="0"/>
        <w:rPr>
          <w:rFonts w:cs="Calibri"/>
        </w:rPr>
      </w:pPr>
      <w:r w:rsidRPr="008E3258">
        <w:rPr>
          <w:rFonts w:cs="Calibri"/>
        </w:rPr>
        <w:t>The Commonwealth Ombudsm</w:t>
      </w:r>
      <w:r w:rsidR="00D37777">
        <w:rPr>
          <w:rFonts w:cs="Calibri"/>
        </w:rPr>
        <w:t>an</w:t>
      </w:r>
      <w:r w:rsidR="00D37777">
        <w:rPr>
          <w:rFonts w:cs="Calibri"/>
        </w:rPr>
        <w:br/>
        <w:t>GPO Box 44</w:t>
      </w:r>
      <w:r w:rsidR="00A01E7B">
        <w:rPr>
          <w:rFonts w:cs="Calibri"/>
        </w:rPr>
        <w:t>2</w:t>
      </w:r>
      <w:r w:rsidR="00A01E7B">
        <w:rPr>
          <w:rFonts w:cs="Calibri"/>
        </w:rPr>
        <w:br/>
        <w:t>Canberra ACT 2601</w:t>
      </w:r>
      <w:r w:rsidR="00A01E7B">
        <w:rPr>
          <w:rFonts w:cs="Calibri"/>
        </w:rPr>
        <w:br/>
        <w:t>Telephone: 02</w:t>
      </w:r>
      <w:r w:rsidR="00D37777">
        <w:rPr>
          <w:rFonts w:cs="Calibri"/>
        </w:rPr>
        <w:t xml:space="preserve"> 6276 0111</w:t>
      </w:r>
      <w:r w:rsidR="00D37777">
        <w:rPr>
          <w:rFonts w:cs="Calibri"/>
        </w:rPr>
        <w:br/>
        <w:t>Toll free: 1300 362 072</w:t>
      </w:r>
      <w:r w:rsidR="00D37777">
        <w:rPr>
          <w:rFonts w:cs="Calibri"/>
        </w:rPr>
        <w:br/>
      </w:r>
      <w:r w:rsidR="002F695D" w:rsidRPr="002F695D">
        <w:rPr>
          <w:rFonts w:cs="Calibri"/>
          <w:color w:val="000000"/>
        </w:rPr>
        <w:t>Website</w:t>
      </w:r>
      <w:r w:rsidR="002F695D">
        <w:rPr>
          <w:rFonts w:cs="Calibri"/>
          <w:color w:val="000000"/>
        </w:rPr>
        <w:t xml:space="preserve">: </w:t>
      </w:r>
      <w:hyperlink r:id="rId14" w:history="1">
        <w:r w:rsidRPr="00D017F1">
          <w:rPr>
            <w:rFonts w:cs="Calibri"/>
            <w:color w:val="000000"/>
          </w:rPr>
          <w:t>www.ombudsman.gov.au</w:t>
        </w:r>
      </w:hyperlink>
    </w:p>
    <w:p w:rsidR="00E803BC" w:rsidRDefault="00A21560" w:rsidP="00CD04A0">
      <w:pPr>
        <w:pStyle w:val="Bodynumbered-Level1"/>
        <w:ind w:left="851" w:hanging="851"/>
      </w:pPr>
      <w:r>
        <w:t>10.3</w:t>
      </w:r>
      <w:r>
        <w:tab/>
      </w:r>
      <w:r w:rsidR="00E66771" w:rsidRPr="001B1C92">
        <w:t>Applicants should note that the Commonwealth Ombudsman can only review the Programme’s assessment processes and not in relation to any specific funding decision under the Programme.</w:t>
      </w:r>
    </w:p>
    <w:p w:rsidR="00E66771" w:rsidRPr="00150CF3" w:rsidRDefault="00E66771" w:rsidP="00E66771">
      <w:pPr>
        <w:pStyle w:val="Heading1"/>
        <w:numPr>
          <w:ilvl w:val="0"/>
          <w:numId w:val="0"/>
        </w:numPr>
        <w:rPr>
          <w:sz w:val="52"/>
          <w:szCs w:val="52"/>
        </w:rPr>
      </w:pPr>
      <w:r w:rsidRPr="00B4284B">
        <w:br w:type="page"/>
      </w:r>
      <w:bookmarkStart w:id="261" w:name="_Toc393908587"/>
      <w:bookmarkStart w:id="262" w:name="_Toc405380452"/>
      <w:bookmarkStart w:id="263" w:name="_Toc407007264"/>
      <w:r w:rsidRPr="00150CF3">
        <w:rPr>
          <w:sz w:val="52"/>
          <w:szCs w:val="52"/>
        </w:rPr>
        <w:lastRenderedPageBreak/>
        <w:t>Part D – Programme timing</w:t>
      </w:r>
      <w:bookmarkEnd w:id="261"/>
      <w:bookmarkEnd w:id="262"/>
      <w:bookmarkEnd w:id="263"/>
    </w:p>
    <w:p w:rsidR="00E66771" w:rsidRPr="00F8455C" w:rsidRDefault="00E66771" w:rsidP="00E91232">
      <w:pPr>
        <w:pStyle w:val="Heading1"/>
        <w:spacing w:before="240"/>
        <w:ind w:left="851" w:hanging="851"/>
      </w:pPr>
      <w:bookmarkStart w:id="264" w:name="_Toc386635500"/>
      <w:bookmarkStart w:id="265" w:name="_Toc393908588"/>
      <w:bookmarkStart w:id="266" w:name="_Toc405380453"/>
      <w:bookmarkStart w:id="267" w:name="_Toc407007265"/>
      <w:r w:rsidRPr="00F8455C">
        <w:t>Key Programme stages and timing</w:t>
      </w:r>
      <w:bookmarkEnd w:id="264"/>
      <w:bookmarkEnd w:id="265"/>
      <w:bookmarkEnd w:id="266"/>
      <w:bookmarkEnd w:id="267"/>
    </w:p>
    <w:p w:rsidR="00E66771" w:rsidRPr="008E3258" w:rsidRDefault="00E66771" w:rsidP="007244ED">
      <w:pPr>
        <w:pStyle w:val="Bodytext-Indent"/>
        <w:ind w:left="851"/>
      </w:pPr>
      <w:r w:rsidRPr="008E3258">
        <w:t xml:space="preserve">The Programme will be implemented in </w:t>
      </w:r>
      <w:r>
        <w:t xml:space="preserve">seven </w:t>
      </w:r>
      <w:r w:rsidRPr="008E3258">
        <w:t xml:space="preserve">key stages. A </w:t>
      </w:r>
      <w:r w:rsidR="00A21560">
        <w:t xml:space="preserve">summary of each </w:t>
      </w:r>
      <w:r w:rsidRPr="004C24B9">
        <w:t>stage and indicative timing is</w:t>
      </w:r>
      <w:r w:rsidRPr="008E3258">
        <w:t xml:space="preserve"> provided </w:t>
      </w:r>
      <w:r>
        <w:t>below.</w:t>
      </w:r>
    </w:p>
    <w:p w:rsidR="00E66771" w:rsidRPr="00E04541" w:rsidRDefault="00E66771" w:rsidP="00A06684">
      <w:pPr>
        <w:pStyle w:val="Heading2"/>
        <w:tabs>
          <w:tab w:val="left" w:pos="851"/>
        </w:tabs>
        <w:ind w:hanging="1144"/>
      </w:pPr>
      <w:bookmarkStart w:id="268" w:name="_Toc386635501"/>
      <w:bookmarkStart w:id="269" w:name="_Toc393908589"/>
      <w:bookmarkStart w:id="270" w:name="_Toc405380454"/>
      <w:bookmarkStart w:id="271" w:name="_Toc407007266"/>
      <w:r w:rsidRPr="00E04541">
        <w:t xml:space="preserve">Stage 1 – Release of Guidelines and </w:t>
      </w:r>
      <w:r>
        <w:t>c</w:t>
      </w:r>
      <w:r w:rsidRPr="00E04541">
        <w:t>all for Applications</w:t>
      </w:r>
      <w:bookmarkEnd w:id="268"/>
      <w:bookmarkEnd w:id="269"/>
      <w:bookmarkEnd w:id="270"/>
      <w:bookmarkEnd w:id="271"/>
    </w:p>
    <w:p w:rsidR="00E66771" w:rsidRPr="004D1954" w:rsidRDefault="00E66771" w:rsidP="007244ED">
      <w:pPr>
        <w:pStyle w:val="Bodytext-Indent"/>
        <w:ind w:left="851"/>
        <w:rPr>
          <w:b/>
        </w:rPr>
      </w:pPr>
      <w:r w:rsidRPr="00CB140A">
        <w:rPr>
          <w:b/>
        </w:rPr>
        <w:t>Timing:</w:t>
      </w:r>
      <w:r w:rsidR="007244ED" w:rsidRPr="00CB140A">
        <w:rPr>
          <w:b/>
        </w:rPr>
        <w:t xml:space="preserve"> </w:t>
      </w:r>
      <w:r w:rsidRPr="00CB140A">
        <w:rPr>
          <w:b/>
        </w:rPr>
        <w:t xml:space="preserve"> </w:t>
      </w:r>
      <w:r w:rsidR="00CB140A" w:rsidRPr="00CB140A">
        <w:rPr>
          <w:b/>
        </w:rPr>
        <w:t>8</w:t>
      </w:r>
      <w:r w:rsidRPr="00CB140A">
        <w:rPr>
          <w:b/>
        </w:rPr>
        <w:t xml:space="preserve"> December 2014</w:t>
      </w:r>
    </w:p>
    <w:p w:rsidR="00E66771" w:rsidRPr="001B1C92" w:rsidRDefault="00A21560" w:rsidP="00CD04A0">
      <w:pPr>
        <w:pStyle w:val="Bodynumbered-Level1"/>
        <w:ind w:left="851" w:hanging="851"/>
      </w:pPr>
      <w:r>
        <w:t>11.1.1</w:t>
      </w:r>
      <w:r>
        <w:tab/>
      </w:r>
      <w:r w:rsidR="00E66771" w:rsidRPr="001B1C92">
        <w:t>At the same time as releasing these Guidelines, the Government issued a call for applications for funding proposals from eligible MNOs and MNIPs (or consor</w:t>
      </w:r>
      <w:r w:rsidR="00E66771">
        <w:t>tia of both) for the Programme.</w:t>
      </w:r>
    </w:p>
    <w:p w:rsidR="00E66771" w:rsidRPr="001B1C92" w:rsidRDefault="00A21560" w:rsidP="00CD04A0">
      <w:pPr>
        <w:pStyle w:val="Bodynumbered-Level1"/>
        <w:ind w:left="851" w:hanging="851"/>
      </w:pPr>
      <w:r>
        <w:t>11.1.2</w:t>
      </w:r>
      <w:r>
        <w:tab/>
      </w:r>
      <w:r w:rsidR="00E66771" w:rsidRPr="001B1C92">
        <w:t xml:space="preserve">The call for applications includes a list of eligible locations which have been reported to the Department between December 2013 and </w:t>
      </w:r>
      <w:r w:rsidR="00E66771">
        <w:t>1 August</w:t>
      </w:r>
      <w:r w:rsidR="00E66771" w:rsidRPr="001B1C92">
        <w:t xml:space="preserve"> 2014 as having poor or non</w:t>
      </w:r>
      <w:r w:rsidR="00E66771" w:rsidRPr="001B1C92">
        <w:noBreakHyphen/>
        <w:t xml:space="preserve">existent mobile coverage. MNOs and MNIPs must </w:t>
      </w:r>
      <w:r w:rsidR="00E66771">
        <w:t>use</w:t>
      </w:r>
      <w:r w:rsidR="00E66771" w:rsidRPr="001B1C92">
        <w:t xml:space="preserve"> this list of locations to identify areas they wish to include in their funding proposals.</w:t>
      </w:r>
    </w:p>
    <w:p w:rsidR="00E66771" w:rsidRPr="00E04541" w:rsidRDefault="00E66771" w:rsidP="00A06684">
      <w:pPr>
        <w:pStyle w:val="Heading2"/>
        <w:tabs>
          <w:tab w:val="left" w:pos="851"/>
        </w:tabs>
        <w:ind w:hanging="1144"/>
      </w:pPr>
      <w:bookmarkStart w:id="272" w:name="_Toc386635502"/>
      <w:bookmarkStart w:id="273" w:name="_Toc393908590"/>
      <w:bookmarkStart w:id="274" w:name="_Toc405380455"/>
      <w:bookmarkStart w:id="275" w:name="_Toc407007267"/>
      <w:r w:rsidRPr="00E04541">
        <w:t xml:space="preserve">Stage 2 – Preparing and submitting </w:t>
      </w:r>
      <w:bookmarkEnd w:id="272"/>
      <w:r w:rsidRPr="00E04541">
        <w:t>applications</w:t>
      </w:r>
      <w:bookmarkEnd w:id="273"/>
      <w:bookmarkEnd w:id="274"/>
      <w:bookmarkEnd w:id="275"/>
      <w:r w:rsidRPr="00E04541">
        <w:t xml:space="preserve"> </w:t>
      </w:r>
    </w:p>
    <w:p w:rsidR="00E66771" w:rsidRPr="004D1954" w:rsidRDefault="00E66771" w:rsidP="007244ED">
      <w:pPr>
        <w:pStyle w:val="Bodytext-Indent"/>
        <w:ind w:left="851"/>
        <w:rPr>
          <w:b/>
        </w:rPr>
      </w:pPr>
      <w:r w:rsidRPr="004D1954">
        <w:rPr>
          <w:b/>
        </w:rPr>
        <w:t>Timing:</w:t>
      </w:r>
      <w:r w:rsidR="007244ED">
        <w:rPr>
          <w:b/>
        </w:rPr>
        <w:t xml:space="preserve"> </w:t>
      </w:r>
      <w:r w:rsidRPr="004D1954">
        <w:rPr>
          <w:b/>
        </w:rPr>
        <w:t xml:space="preserve"> Applications due by </w:t>
      </w:r>
      <w:r w:rsidRPr="00CB140A">
        <w:rPr>
          <w:b/>
        </w:rPr>
        <w:t>1</w:t>
      </w:r>
      <w:r w:rsidR="00CB140A" w:rsidRPr="00CB140A">
        <w:rPr>
          <w:b/>
        </w:rPr>
        <w:t>6</w:t>
      </w:r>
      <w:r w:rsidRPr="00CB140A">
        <w:rPr>
          <w:b/>
        </w:rPr>
        <w:t xml:space="preserve"> </w:t>
      </w:r>
      <w:r w:rsidR="005B3FC2">
        <w:rPr>
          <w:b/>
        </w:rPr>
        <w:t>April</w:t>
      </w:r>
      <w:r w:rsidR="005B3FC2" w:rsidRPr="00C65758">
        <w:rPr>
          <w:b/>
        </w:rPr>
        <w:t xml:space="preserve"> </w:t>
      </w:r>
      <w:r w:rsidRPr="00C65758">
        <w:rPr>
          <w:b/>
        </w:rPr>
        <w:t>2015</w:t>
      </w:r>
    </w:p>
    <w:p w:rsidR="00E66771" w:rsidRPr="001B1C92" w:rsidRDefault="00A21560" w:rsidP="007244ED">
      <w:pPr>
        <w:pStyle w:val="Bodynumbered-Level1"/>
        <w:ind w:left="851" w:right="-46" w:hanging="851"/>
      </w:pPr>
      <w:r>
        <w:t>11.2.1</w:t>
      </w:r>
      <w:r>
        <w:tab/>
      </w:r>
      <w:r w:rsidR="00E66771" w:rsidRPr="001B1C92">
        <w:t>The application documentation describes in detail the Programme requirements, and outlines the terms and conditions under which Commonwealth funding is to be made available.</w:t>
      </w:r>
    </w:p>
    <w:p w:rsidR="00E66771" w:rsidRDefault="00A21560" w:rsidP="00CD04A0">
      <w:pPr>
        <w:pStyle w:val="Bodynumbered-Level1"/>
        <w:ind w:left="851" w:hanging="851"/>
      </w:pPr>
      <w:r>
        <w:t>11.2.2</w:t>
      </w:r>
      <w:r>
        <w:tab/>
      </w:r>
      <w:r w:rsidR="00E66771">
        <w:t>Each applicant must provide a list of Proposed Base Stations for which it is seeking funding, specifying in each case the information set out in section 6.1.2.</w:t>
      </w:r>
    </w:p>
    <w:p w:rsidR="00E66771" w:rsidRPr="001B1C92" w:rsidRDefault="00A21560" w:rsidP="00851E3F">
      <w:pPr>
        <w:pStyle w:val="Bodynumbered-Level1"/>
        <w:ind w:left="851" w:right="120" w:hanging="851"/>
      </w:pPr>
      <w:r>
        <w:t>11.2.3</w:t>
      </w:r>
      <w:r>
        <w:tab/>
      </w:r>
      <w:r w:rsidR="00E66771">
        <w:t xml:space="preserve">Each </w:t>
      </w:r>
      <w:r w:rsidR="00E66771" w:rsidRPr="001B1C92">
        <w:t xml:space="preserve">applicant must provide data on the level of coverage that each </w:t>
      </w:r>
      <w:r w:rsidR="00E66771">
        <w:t>P</w:t>
      </w:r>
      <w:r w:rsidR="00E66771" w:rsidRPr="001B1C92">
        <w:t xml:space="preserve">roposed </w:t>
      </w:r>
      <w:r w:rsidR="00E66771">
        <w:t>B</w:t>
      </w:r>
      <w:r w:rsidR="00E66771" w:rsidRPr="001B1C92">
        <w:t xml:space="preserve">ase </w:t>
      </w:r>
      <w:r w:rsidR="00E66771">
        <w:t>S</w:t>
      </w:r>
      <w:r w:rsidR="00E66771" w:rsidRPr="001B1C92">
        <w:t>tation will achieve in terms of area</w:t>
      </w:r>
      <w:r w:rsidR="00E66771">
        <w:t>. M</w:t>
      </w:r>
      <w:r w:rsidR="00E66771" w:rsidRPr="001B1C92">
        <w:t xml:space="preserve">apping data must be provided to indicate the area to be covered by </w:t>
      </w:r>
      <w:r w:rsidR="00E66771">
        <w:t>h</w:t>
      </w:r>
      <w:r w:rsidR="00E66771" w:rsidRPr="001B1C92">
        <w:t xml:space="preserve">andheld </w:t>
      </w:r>
      <w:r w:rsidR="00E66771">
        <w:t>c</w:t>
      </w:r>
      <w:r w:rsidR="00E66771" w:rsidRPr="001B1C92">
        <w:t xml:space="preserve">overage and </w:t>
      </w:r>
      <w:r w:rsidR="00E66771">
        <w:t>e</w:t>
      </w:r>
      <w:r w:rsidR="00E66771" w:rsidRPr="001B1C92">
        <w:t xml:space="preserve">xternal </w:t>
      </w:r>
      <w:r w:rsidR="00E66771">
        <w:t>a</w:t>
      </w:r>
      <w:r w:rsidR="00E66771" w:rsidRPr="001B1C92">
        <w:t xml:space="preserve">ntenna </w:t>
      </w:r>
      <w:r w:rsidR="00E66771">
        <w:t>c</w:t>
      </w:r>
      <w:r w:rsidR="00E66771" w:rsidRPr="001B1C92">
        <w:t>overage meeting the required service standards compared to current coverage in the area. The application should also indicate the length of additional coverage of major transport routes (</w:t>
      </w:r>
      <w:r w:rsidR="00D02F9F">
        <w:t>via</w:t>
      </w:r>
      <w:r w:rsidR="00E66771" w:rsidRPr="001B1C92">
        <w:t xml:space="preserve"> external antenna</w:t>
      </w:r>
      <w:r w:rsidR="00C65758">
        <w:t xml:space="preserve"> coverage</w:t>
      </w:r>
      <w:r w:rsidR="00E66771" w:rsidRPr="001B1C92">
        <w:t xml:space="preserve">) and additional premises covered (via </w:t>
      </w:r>
      <w:r w:rsidR="00E66771">
        <w:t>h</w:t>
      </w:r>
      <w:r w:rsidR="00E66771" w:rsidRPr="001B1C92">
        <w:t xml:space="preserve">andheld </w:t>
      </w:r>
      <w:r w:rsidR="00E66771">
        <w:t>coverage).</w:t>
      </w:r>
    </w:p>
    <w:p w:rsidR="00E66771" w:rsidRPr="001B1C92" w:rsidRDefault="00A21560" w:rsidP="00CD04A0">
      <w:pPr>
        <w:pStyle w:val="Bodynumbered-Level1"/>
        <w:ind w:left="851" w:hanging="851"/>
      </w:pPr>
      <w:r>
        <w:t>11.2.4</w:t>
      </w:r>
      <w:r>
        <w:tab/>
      </w:r>
      <w:r w:rsidR="00E66771" w:rsidRPr="001B1C92">
        <w:t xml:space="preserve">An expert engineering </w:t>
      </w:r>
      <w:r w:rsidR="00E66771">
        <w:t>firm appointed by the Department will test coverage claims.</w:t>
      </w:r>
    </w:p>
    <w:p w:rsidR="00E66771" w:rsidRDefault="00A21560" w:rsidP="00CD04A0">
      <w:pPr>
        <w:pStyle w:val="Bodynumbered-Level1"/>
        <w:ind w:left="851" w:hanging="851"/>
      </w:pPr>
      <w:r>
        <w:t>11.2.5</w:t>
      </w:r>
      <w:r>
        <w:tab/>
      </w:r>
      <w:r w:rsidR="00E66771" w:rsidRPr="001B1C92">
        <w:t>Applicants may seek all or part of the total $100 million funding av</w:t>
      </w:r>
      <w:r w:rsidR="00E66771">
        <w:t>ailable through the Programme.</w:t>
      </w:r>
    </w:p>
    <w:p w:rsidR="00E66771" w:rsidRPr="00EF7D45" w:rsidRDefault="00E66771" w:rsidP="00E204B4">
      <w:pPr>
        <w:pStyle w:val="Heading2"/>
        <w:tabs>
          <w:tab w:val="left" w:pos="851"/>
        </w:tabs>
        <w:ind w:hanging="1144"/>
      </w:pPr>
      <w:bookmarkStart w:id="276" w:name="_Toc386620978"/>
      <w:bookmarkStart w:id="277" w:name="_Toc386620979"/>
      <w:bookmarkStart w:id="278" w:name="_Toc386635503"/>
      <w:bookmarkStart w:id="279" w:name="_Toc393908591"/>
      <w:bookmarkStart w:id="280" w:name="_Toc405380456"/>
      <w:bookmarkStart w:id="281" w:name="_Toc407007268"/>
      <w:bookmarkEnd w:id="276"/>
      <w:bookmarkEnd w:id="277"/>
      <w:r w:rsidRPr="00E04541">
        <w:t>Stage 3 – Assessment of Applications</w:t>
      </w:r>
      <w:bookmarkEnd w:id="278"/>
      <w:bookmarkEnd w:id="279"/>
      <w:bookmarkEnd w:id="280"/>
      <w:bookmarkEnd w:id="281"/>
    </w:p>
    <w:p w:rsidR="00E66771" w:rsidRPr="004D1954" w:rsidRDefault="00E66771" w:rsidP="00E204B4">
      <w:pPr>
        <w:pStyle w:val="Bodytext-Indent"/>
        <w:keepNext/>
        <w:ind w:left="851"/>
        <w:rPr>
          <w:b/>
        </w:rPr>
      </w:pPr>
      <w:r w:rsidRPr="004D1954">
        <w:rPr>
          <w:b/>
        </w:rPr>
        <w:lastRenderedPageBreak/>
        <w:t>Timing:</w:t>
      </w:r>
      <w:r w:rsidR="00330BE1">
        <w:rPr>
          <w:b/>
        </w:rPr>
        <w:t xml:space="preserve"> </w:t>
      </w:r>
      <w:r w:rsidRPr="004D1954">
        <w:rPr>
          <w:b/>
        </w:rPr>
        <w:t xml:space="preserve"> </w:t>
      </w:r>
      <w:r w:rsidR="005B3FC2">
        <w:rPr>
          <w:b/>
        </w:rPr>
        <w:t>April</w:t>
      </w:r>
      <w:r w:rsidRPr="004D1954">
        <w:rPr>
          <w:b/>
        </w:rPr>
        <w:t>–</w:t>
      </w:r>
      <w:r w:rsidR="005B3FC2">
        <w:rPr>
          <w:b/>
        </w:rPr>
        <w:t>May</w:t>
      </w:r>
      <w:r w:rsidR="005B3FC2" w:rsidRPr="004D1954">
        <w:rPr>
          <w:b/>
        </w:rPr>
        <w:t xml:space="preserve"> </w:t>
      </w:r>
      <w:r w:rsidRPr="004D1954">
        <w:rPr>
          <w:b/>
        </w:rPr>
        <w:t>2015</w:t>
      </w:r>
    </w:p>
    <w:p w:rsidR="00E66771" w:rsidRPr="00A3591F" w:rsidRDefault="00A21560" w:rsidP="00330BE1">
      <w:pPr>
        <w:pStyle w:val="Bodynumbered-Level1"/>
        <w:ind w:left="851" w:hanging="851"/>
      </w:pPr>
      <w:r>
        <w:t>11.3.1</w:t>
      </w:r>
      <w:r>
        <w:tab/>
      </w:r>
      <w:r w:rsidR="00E66771" w:rsidRPr="004A2BFF">
        <w:t xml:space="preserve">The </w:t>
      </w:r>
      <w:r w:rsidR="00E66771">
        <w:t>Department</w:t>
      </w:r>
      <w:r w:rsidR="00E66771" w:rsidRPr="004A2BFF">
        <w:t xml:space="preserve"> will </w:t>
      </w:r>
      <w:r w:rsidR="00E66771">
        <w:t xml:space="preserve">assess all eligible applications received by the closing date/time </w:t>
      </w:r>
      <w:r w:rsidR="00E66771" w:rsidRPr="004A2BFF">
        <w:t>to determine</w:t>
      </w:r>
      <w:r w:rsidR="00E66771">
        <w:t xml:space="preserve"> </w:t>
      </w:r>
      <w:r w:rsidR="00E66771" w:rsidRPr="00A3591F">
        <w:t>which Proposed Base Stations are to be recommended for Programme funding</w:t>
      </w:r>
      <w:r w:rsidR="00E66771">
        <w:t xml:space="preserve"> using the processes outlined in section 7.</w:t>
      </w:r>
    </w:p>
    <w:p w:rsidR="00E66771" w:rsidRPr="005933C5" w:rsidRDefault="00E66771" w:rsidP="00A06684">
      <w:pPr>
        <w:pStyle w:val="Heading2"/>
        <w:tabs>
          <w:tab w:val="left" w:pos="851"/>
        </w:tabs>
        <w:ind w:hanging="1144"/>
      </w:pPr>
      <w:bookmarkStart w:id="282" w:name="_Toc386635504"/>
      <w:bookmarkStart w:id="283" w:name="_Toc393908592"/>
      <w:bookmarkStart w:id="284" w:name="_Toc405380457"/>
      <w:bookmarkStart w:id="285" w:name="_Toc407007269"/>
      <w:r w:rsidRPr="00E04541">
        <w:t xml:space="preserve">Stage 4 – </w:t>
      </w:r>
      <w:r w:rsidRPr="0031276D">
        <w:t xml:space="preserve">Funding </w:t>
      </w:r>
      <w:r w:rsidRPr="005933C5">
        <w:t>recipients and locations announced</w:t>
      </w:r>
      <w:bookmarkEnd w:id="282"/>
      <w:bookmarkEnd w:id="283"/>
      <w:bookmarkEnd w:id="284"/>
      <w:bookmarkEnd w:id="285"/>
    </w:p>
    <w:p w:rsidR="00E66771" w:rsidRPr="004D1954" w:rsidRDefault="00E66771" w:rsidP="00330BE1">
      <w:pPr>
        <w:pStyle w:val="Bodytext-Indent"/>
        <w:ind w:left="851"/>
        <w:rPr>
          <w:b/>
        </w:rPr>
      </w:pPr>
      <w:r w:rsidRPr="004D1954">
        <w:rPr>
          <w:b/>
        </w:rPr>
        <w:t xml:space="preserve">Timing:  </w:t>
      </w:r>
      <w:r w:rsidR="005B3FC2">
        <w:rPr>
          <w:b/>
        </w:rPr>
        <w:t>June</w:t>
      </w:r>
      <w:r w:rsidR="005B3FC2" w:rsidRPr="004D1954">
        <w:rPr>
          <w:b/>
        </w:rPr>
        <w:t xml:space="preserve"> </w:t>
      </w:r>
      <w:r w:rsidRPr="004D1954">
        <w:rPr>
          <w:b/>
        </w:rPr>
        <w:t>2015</w:t>
      </w:r>
    </w:p>
    <w:p w:rsidR="00E66771" w:rsidRPr="002966D4" w:rsidRDefault="00A21560" w:rsidP="00330BE1">
      <w:pPr>
        <w:pStyle w:val="Bodynumbered-Level1"/>
        <w:ind w:left="851" w:hanging="851"/>
      </w:pPr>
      <w:r>
        <w:t>11.4.1</w:t>
      </w:r>
      <w:r>
        <w:tab/>
      </w:r>
      <w:r w:rsidR="00E66771" w:rsidRPr="002966D4">
        <w:t xml:space="preserve">The Proposed Base Stations selected </w:t>
      </w:r>
      <w:r w:rsidR="00E66771">
        <w:t>through</w:t>
      </w:r>
      <w:r w:rsidR="00E66771" w:rsidRPr="002966D4">
        <w:t xml:space="preserve"> the process described above will be recommended for funding to the </w:t>
      </w:r>
      <w:r w:rsidR="00E66771">
        <w:t>D</w:t>
      </w:r>
      <w:r w:rsidR="00E66771" w:rsidRPr="002966D4">
        <w:t xml:space="preserve">ecision </w:t>
      </w:r>
      <w:r w:rsidR="00E66771">
        <w:t>M</w:t>
      </w:r>
      <w:r w:rsidR="00E66771" w:rsidRPr="002966D4">
        <w:t>aker.</w:t>
      </w:r>
    </w:p>
    <w:p w:rsidR="00E66771" w:rsidRPr="00E04541" w:rsidRDefault="00E66771" w:rsidP="00A06684">
      <w:pPr>
        <w:pStyle w:val="Heading2"/>
        <w:tabs>
          <w:tab w:val="left" w:pos="851"/>
        </w:tabs>
        <w:ind w:hanging="1144"/>
      </w:pPr>
      <w:bookmarkStart w:id="286" w:name="_Toc386635505"/>
      <w:bookmarkStart w:id="287" w:name="_Toc393908593"/>
      <w:bookmarkStart w:id="288" w:name="_Toc405380458"/>
      <w:bookmarkStart w:id="289" w:name="_Toc407007270"/>
      <w:r w:rsidRPr="00E04541">
        <w:t>Stage 5 – Co-build negotiation period</w:t>
      </w:r>
      <w:bookmarkEnd w:id="286"/>
      <w:bookmarkEnd w:id="287"/>
      <w:bookmarkEnd w:id="288"/>
      <w:bookmarkEnd w:id="289"/>
    </w:p>
    <w:p w:rsidR="00E66771" w:rsidRPr="004D1954" w:rsidRDefault="00E66771" w:rsidP="00A95691">
      <w:pPr>
        <w:pStyle w:val="Bodytext-Indent"/>
        <w:ind w:left="851"/>
        <w:rPr>
          <w:b/>
        </w:rPr>
      </w:pPr>
      <w:r w:rsidRPr="004D1954">
        <w:rPr>
          <w:b/>
        </w:rPr>
        <w:t xml:space="preserve">Timing:  Two month negotiation period from </w:t>
      </w:r>
      <w:r w:rsidR="005B3FC2">
        <w:rPr>
          <w:b/>
        </w:rPr>
        <w:t>June–July</w:t>
      </w:r>
      <w:r w:rsidRPr="004D1954">
        <w:rPr>
          <w:b/>
        </w:rPr>
        <w:t xml:space="preserve"> 2015</w:t>
      </w:r>
    </w:p>
    <w:p w:rsidR="00E66771" w:rsidRPr="00B4284B" w:rsidRDefault="00A21560" w:rsidP="00E91232">
      <w:pPr>
        <w:pStyle w:val="Bodynumbered-Level1"/>
        <w:ind w:left="851" w:right="-22" w:hanging="851"/>
      </w:pPr>
      <w:bookmarkStart w:id="290" w:name="_Ref389787122"/>
      <w:r>
        <w:t>11.5.1</w:t>
      </w:r>
      <w:r>
        <w:tab/>
      </w:r>
      <w:r w:rsidR="00E66771" w:rsidRPr="002966D4">
        <w:t xml:space="preserve">The </w:t>
      </w:r>
      <w:r w:rsidR="00E66771" w:rsidRPr="00595CFC">
        <w:t>Decision Maker’s List</w:t>
      </w:r>
      <w:r w:rsidR="00E66771" w:rsidRPr="002966D4">
        <w:t xml:space="preserve"> will be notified to </w:t>
      </w:r>
      <w:r w:rsidR="00E66771">
        <w:t xml:space="preserve">all </w:t>
      </w:r>
      <w:r w:rsidR="00E66771" w:rsidRPr="002966D4">
        <w:t>applicants and other relevant stakeholders. A two</w:t>
      </w:r>
      <w:r w:rsidR="00E66771">
        <w:t>-</w:t>
      </w:r>
      <w:r w:rsidR="00E66771" w:rsidRPr="002966D4">
        <w:t>month period will then begin to allow co</w:t>
      </w:r>
      <w:r w:rsidR="00E66771" w:rsidRPr="002966D4">
        <w:noBreakHyphen/>
        <w:t xml:space="preserve">build negotiations to </w:t>
      </w:r>
      <w:r w:rsidR="00E66771">
        <w:t>commence</w:t>
      </w:r>
      <w:r w:rsidR="00E66771" w:rsidRPr="002966D4">
        <w:t>.</w:t>
      </w:r>
      <w:bookmarkEnd w:id="290"/>
    </w:p>
    <w:p w:rsidR="00E66771" w:rsidRPr="00E04541" w:rsidRDefault="00E66771" w:rsidP="00A06684">
      <w:pPr>
        <w:pStyle w:val="Heading2"/>
        <w:tabs>
          <w:tab w:val="left" w:pos="851"/>
        </w:tabs>
        <w:ind w:hanging="1144"/>
      </w:pPr>
      <w:bookmarkStart w:id="291" w:name="_Toc386635506"/>
      <w:bookmarkStart w:id="292" w:name="_Toc393908594"/>
      <w:bookmarkStart w:id="293" w:name="_Toc405380459"/>
      <w:bookmarkStart w:id="294" w:name="_Toc407007271"/>
      <w:r w:rsidRPr="00E04541">
        <w:t>Stage 6 – Funding arrangements finalised</w:t>
      </w:r>
      <w:bookmarkEnd w:id="291"/>
      <w:bookmarkEnd w:id="292"/>
      <w:bookmarkEnd w:id="293"/>
      <w:bookmarkEnd w:id="294"/>
    </w:p>
    <w:p w:rsidR="00E66771" w:rsidRPr="004D1954" w:rsidRDefault="00E66771" w:rsidP="00A95691">
      <w:pPr>
        <w:pStyle w:val="Bodytext-Indent"/>
        <w:ind w:left="851"/>
        <w:rPr>
          <w:b/>
        </w:rPr>
      </w:pPr>
      <w:r w:rsidRPr="004D1954">
        <w:rPr>
          <w:b/>
        </w:rPr>
        <w:t xml:space="preserve">Timing: Contract negotiations begin </w:t>
      </w:r>
      <w:r w:rsidR="005B3FC2">
        <w:rPr>
          <w:b/>
        </w:rPr>
        <w:t>June</w:t>
      </w:r>
      <w:r w:rsidR="005B3FC2" w:rsidRPr="004D1954">
        <w:rPr>
          <w:b/>
        </w:rPr>
        <w:t xml:space="preserve"> </w:t>
      </w:r>
      <w:r w:rsidRPr="004D1954">
        <w:rPr>
          <w:b/>
        </w:rPr>
        <w:t>2015</w:t>
      </w:r>
    </w:p>
    <w:p w:rsidR="00E66771" w:rsidRPr="002966D4" w:rsidRDefault="00A21560" w:rsidP="006E6AA4">
      <w:pPr>
        <w:pStyle w:val="Bodynumbered-Level1"/>
        <w:ind w:left="851" w:hanging="851"/>
      </w:pPr>
      <w:r>
        <w:t>11.6.1</w:t>
      </w:r>
      <w:r>
        <w:tab/>
      </w:r>
      <w:r w:rsidR="00E66771" w:rsidRPr="002966D4">
        <w:t>To receive funding, approved applicants must enter into a legally binding Funding Agreement</w:t>
      </w:r>
      <w:r w:rsidR="00E66771">
        <w:t xml:space="preserve"> with the Commonwealth</w:t>
      </w:r>
      <w:r w:rsidR="00E66771" w:rsidRPr="002966D4">
        <w:t xml:space="preserve">. Negotiations will initially take place with the </w:t>
      </w:r>
      <w:r w:rsidR="00E66771">
        <w:t xml:space="preserve">Funding Recipients </w:t>
      </w:r>
      <w:r w:rsidR="00E66771" w:rsidRPr="002966D4">
        <w:t xml:space="preserve">for each base station (or group of base stations) included on the Decision Maker’s List. Where base stations include financial co-contributions from </w:t>
      </w:r>
      <w:r w:rsidR="00E66771">
        <w:t>S</w:t>
      </w:r>
      <w:r w:rsidR="00E66771" w:rsidRPr="002966D4">
        <w:t xml:space="preserve">tate or </w:t>
      </w:r>
      <w:r w:rsidR="00E66771">
        <w:t>T</w:t>
      </w:r>
      <w:r w:rsidR="00E66771" w:rsidRPr="002966D4">
        <w:t>erritory governments, these negotiations will be on a tripartite basis.</w:t>
      </w:r>
    </w:p>
    <w:p w:rsidR="00E66771" w:rsidRPr="002966D4" w:rsidRDefault="00A21560" w:rsidP="006E6AA4">
      <w:pPr>
        <w:pStyle w:val="Bodynumbered-Level1"/>
        <w:ind w:left="851" w:hanging="851"/>
      </w:pPr>
      <w:r>
        <w:t>11.6.2</w:t>
      </w:r>
      <w:r>
        <w:tab/>
      </w:r>
      <w:r w:rsidR="00E66771" w:rsidRPr="002966D4">
        <w:t>A draft Funding Agreement is a</w:t>
      </w:r>
      <w:r w:rsidR="00E66771">
        <w:t xml:space="preserve">t </w:t>
      </w:r>
      <w:r w:rsidR="00E66771" w:rsidRPr="006F779C">
        <w:t>Attachment A</w:t>
      </w:r>
      <w:r w:rsidR="00E66771" w:rsidRPr="002966D4">
        <w:t xml:space="preserve"> of the</w:t>
      </w:r>
      <w:r w:rsidR="00E66771">
        <w:t>se</w:t>
      </w:r>
      <w:r w:rsidR="00E66771" w:rsidRPr="002966D4">
        <w:t xml:space="preserve"> </w:t>
      </w:r>
      <w:r w:rsidR="00E66771">
        <w:t>Guidelines. A</w:t>
      </w:r>
      <w:r w:rsidR="00E66771" w:rsidRPr="002966D4">
        <w:t>pplicants will need to complete a statement of compliance with the draft Funding Agreemen</w:t>
      </w:r>
      <w:r w:rsidR="00E66771">
        <w:t>t as part of their application.</w:t>
      </w:r>
    </w:p>
    <w:p w:rsidR="00E66771" w:rsidRPr="008756E0" w:rsidRDefault="00A21560" w:rsidP="006E6AA4">
      <w:pPr>
        <w:pStyle w:val="Bodynumbered-Level1"/>
        <w:ind w:left="851" w:hanging="851"/>
      </w:pPr>
      <w:r>
        <w:t>11.6.3</w:t>
      </w:r>
      <w:r>
        <w:tab/>
      </w:r>
      <w:r w:rsidR="00E66771" w:rsidRPr="002966D4">
        <w:t xml:space="preserve">The outcomes of the first </w:t>
      </w:r>
      <w:r w:rsidR="00E66771">
        <w:t xml:space="preserve">five </w:t>
      </w:r>
      <w:r w:rsidR="00E66771" w:rsidRPr="002966D4">
        <w:t>stages will be integrated into the Funding Agreement, with grant payments linked to the successful achievement of specified project milestones, including</w:t>
      </w:r>
      <w:r w:rsidR="00E66771">
        <w:t xml:space="preserve"> agreed reporting requirements.</w:t>
      </w:r>
    </w:p>
    <w:p w:rsidR="00E66771" w:rsidRPr="002966D4" w:rsidRDefault="00A21560" w:rsidP="006E6AA4">
      <w:pPr>
        <w:pStyle w:val="Bodynumbered-Level1"/>
        <w:ind w:left="851" w:hanging="851"/>
      </w:pPr>
      <w:r>
        <w:t>11.6.4</w:t>
      </w:r>
      <w:r>
        <w:tab/>
      </w:r>
      <w:r w:rsidR="00E66771" w:rsidRPr="002966D4">
        <w:t xml:space="preserve">Once a Funding Agreement has been executed by the Department (and </w:t>
      </w:r>
      <w:r w:rsidR="00E66771">
        <w:t>S</w:t>
      </w:r>
      <w:r w:rsidR="00E66771" w:rsidRPr="002966D4">
        <w:t>tate</w:t>
      </w:r>
      <w:r w:rsidR="00E66771">
        <w:t>, T</w:t>
      </w:r>
      <w:r w:rsidR="00E66771" w:rsidRPr="002966D4">
        <w:t>erritory</w:t>
      </w:r>
      <w:r w:rsidR="00E66771">
        <w:t xml:space="preserve"> or local</w:t>
      </w:r>
      <w:r w:rsidR="00E66771" w:rsidRPr="002966D4">
        <w:t xml:space="preserve"> government where relevant), the </w:t>
      </w:r>
      <w:r w:rsidR="00E66771">
        <w:t>Funding Recipient’s</w:t>
      </w:r>
      <w:r w:rsidR="00E66771" w:rsidRPr="002966D4">
        <w:t xml:space="preserve"> participation in the Programme becomes effective from the date of commencement nominated in the Funding Agreement. Shortly after execution of the Funding Agreement, the </w:t>
      </w:r>
      <w:r w:rsidR="00E66771">
        <w:t>Funding Recipient</w:t>
      </w:r>
      <w:r w:rsidR="00E66771" w:rsidRPr="002966D4">
        <w:t>’s details will be available on the Department’s website in accordance with the Commonwealth’</w:t>
      </w:r>
      <w:r w:rsidR="00E66771">
        <w:t>s grant reporting requirements.</w:t>
      </w:r>
    </w:p>
    <w:p w:rsidR="00E66771" w:rsidRPr="002966D4" w:rsidRDefault="00A21560" w:rsidP="00B835BA">
      <w:pPr>
        <w:pStyle w:val="Bodynumbered-Level1"/>
        <w:ind w:left="851" w:right="-164" w:hanging="851"/>
      </w:pPr>
      <w:r>
        <w:t>11.6.5</w:t>
      </w:r>
      <w:r>
        <w:tab/>
      </w:r>
      <w:r w:rsidR="00E66771" w:rsidRPr="002966D4">
        <w:t xml:space="preserve">If negotiations cannot be satisfactorily concluded for a </w:t>
      </w:r>
      <w:r w:rsidR="00E66771">
        <w:t xml:space="preserve">Funded Base Station on the </w:t>
      </w:r>
      <w:r w:rsidR="00E66771" w:rsidRPr="002966D4">
        <w:t>Decision Maker’s List, (for example due to planning or development approval not being obtained), this</w:t>
      </w:r>
      <w:r w:rsidR="00E66771">
        <w:t xml:space="preserve"> Funded</w:t>
      </w:r>
      <w:r w:rsidR="00E66771" w:rsidRPr="002966D4">
        <w:t xml:space="preserve"> Base Station </w:t>
      </w:r>
      <w:r w:rsidR="00E66771">
        <w:t>may</w:t>
      </w:r>
      <w:r w:rsidR="00E66771" w:rsidRPr="002966D4">
        <w:t xml:space="preserve"> be removed from the Decision Maker’s List.</w:t>
      </w:r>
      <w:r w:rsidR="00E66771">
        <w:t xml:space="preserve"> If a Funded Base Station</w:t>
      </w:r>
      <w:r w:rsidR="00E66771" w:rsidRPr="002966D4">
        <w:t xml:space="preserve"> </w:t>
      </w:r>
      <w:r w:rsidR="00E66771">
        <w:t xml:space="preserve">is </w:t>
      </w:r>
      <w:r w:rsidR="00E66771" w:rsidRPr="002966D4">
        <w:t>removed from the</w:t>
      </w:r>
      <w:r w:rsidR="00E66771">
        <w:t xml:space="preserve"> Decision Maker’s</w:t>
      </w:r>
      <w:r w:rsidR="00E66771" w:rsidRPr="002966D4">
        <w:t xml:space="preserve"> </w:t>
      </w:r>
      <w:r w:rsidR="00E66771">
        <w:t>L</w:t>
      </w:r>
      <w:r w:rsidR="00E66771" w:rsidRPr="002966D4">
        <w:t xml:space="preserve">ist, the Decision Maker </w:t>
      </w:r>
      <w:r w:rsidR="00E66771">
        <w:t xml:space="preserve">may select </w:t>
      </w:r>
      <w:r w:rsidR="00E66771" w:rsidRPr="002966D4">
        <w:t>an addi</w:t>
      </w:r>
      <w:r w:rsidR="00E66771" w:rsidRPr="002966D4">
        <w:lastRenderedPageBreak/>
        <w:t>tional Proposed Base Station</w:t>
      </w:r>
      <w:r w:rsidR="00E66771" w:rsidRPr="00F35627">
        <w:t xml:space="preserve">, commencing with the next highest ranked Proposed Base Station on the </w:t>
      </w:r>
      <w:r w:rsidR="00E66771">
        <w:t xml:space="preserve">Decision Maker’s List </w:t>
      </w:r>
      <w:r w:rsidR="00E66771" w:rsidRPr="00F35627">
        <w:t xml:space="preserve">that can be funded as a result of the </w:t>
      </w:r>
      <w:r w:rsidR="00E66771">
        <w:t>removal</w:t>
      </w:r>
      <w:r w:rsidR="00E66771" w:rsidRPr="00F35627">
        <w:t xml:space="preserve"> of that </w:t>
      </w:r>
      <w:r w:rsidR="00E66771">
        <w:t xml:space="preserve">Funded </w:t>
      </w:r>
      <w:r w:rsidR="00E66771" w:rsidRPr="00F35627">
        <w:t>Base Station from the Decision Maker’s List.</w:t>
      </w:r>
    </w:p>
    <w:p w:rsidR="00E66771" w:rsidRPr="00E04541" w:rsidRDefault="00E66771" w:rsidP="00A06684">
      <w:pPr>
        <w:pStyle w:val="Heading2"/>
        <w:tabs>
          <w:tab w:val="left" w:pos="851"/>
        </w:tabs>
        <w:ind w:hanging="1144"/>
      </w:pPr>
      <w:bookmarkStart w:id="295" w:name="_Toc386635507"/>
      <w:bookmarkStart w:id="296" w:name="_Toc393908595"/>
      <w:bookmarkStart w:id="297" w:name="_Toc405380460"/>
      <w:bookmarkStart w:id="298" w:name="_Toc407007272"/>
      <w:r w:rsidRPr="00E04541">
        <w:t>Stage 7 – Project commences</w:t>
      </w:r>
      <w:bookmarkEnd w:id="295"/>
      <w:bookmarkEnd w:id="296"/>
      <w:bookmarkEnd w:id="297"/>
      <w:bookmarkEnd w:id="298"/>
    </w:p>
    <w:p w:rsidR="00E66771" w:rsidRPr="002966D4" w:rsidRDefault="00523916" w:rsidP="00B835BA">
      <w:pPr>
        <w:pStyle w:val="Bodynumbered-Level1"/>
        <w:ind w:left="851" w:right="-447" w:hanging="851"/>
      </w:pPr>
      <w:r>
        <w:t>11.7.1</w:t>
      </w:r>
      <w:r>
        <w:tab/>
      </w:r>
      <w:r w:rsidR="00E66771" w:rsidRPr="002966D4">
        <w:t xml:space="preserve">Allowing for the lead times of construction and planning, the Government expects the first </w:t>
      </w:r>
      <w:r w:rsidR="00E66771">
        <w:t>Funded B</w:t>
      </w:r>
      <w:r w:rsidR="00E66771" w:rsidRPr="002966D4">
        <w:t xml:space="preserve">ase </w:t>
      </w:r>
      <w:r w:rsidR="00E66771">
        <w:t>S</w:t>
      </w:r>
      <w:r w:rsidR="00E66771" w:rsidRPr="002966D4">
        <w:t>tations to be built, and services commence, in the second half of 201</w:t>
      </w:r>
      <w:r w:rsidR="00E66771">
        <w:t>5.</w:t>
      </w:r>
    </w:p>
    <w:p w:rsidR="00E66771" w:rsidRPr="00420CA8" w:rsidRDefault="00523916" w:rsidP="00B835BA">
      <w:pPr>
        <w:pStyle w:val="Bodynumbered-Level1"/>
        <w:ind w:left="851" w:right="-22" w:hanging="851"/>
      </w:pPr>
      <w:r>
        <w:t>11.7.2</w:t>
      </w:r>
      <w:r>
        <w:tab/>
      </w:r>
      <w:r w:rsidR="00E66771" w:rsidRPr="002966D4">
        <w:t>If Funding Agreement negotiations fail, or if after a Funding Agreement is signed</w:t>
      </w:r>
      <w:r w:rsidR="00E66771">
        <w:t>,</w:t>
      </w:r>
      <w:r w:rsidR="00E66771" w:rsidRPr="002966D4">
        <w:t xml:space="preserve"> the </w:t>
      </w:r>
      <w:r w:rsidR="00E66771">
        <w:t>Funding Recipient</w:t>
      </w:r>
      <w:r w:rsidR="00E66771" w:rsidRPr="002966D4">
        <w:t xml:space="preserve"> fails to start constructing or complete a Funded Base Station within three months of the agreed milestones, the Decision Maker </w:t>
      </w:r>
      <w:r w:rsidR="00E66771">
        <w:t>may</w:t>
      </w:r>
      <w:r w:rsidR="00E66771" w:rsidRPr="002966D4">
        <w:t xml:space="preserve"> terminate the </w:t>
      </w:r>
      <w:r w:rsidR="00E66771">
        <w:t>Funding A</w:t>
      </w:r>
      <w:r w:rsidR="00E66771" w:rsidRPr="002966D4">
        <w:t>greement relating to that particular Funded Base Station and commence negotiations with proponents</w:t>
      </w:r>
      <w:r w:rsidR="00E66771">
        <w:t xml:space="preserve"> of </w:t>
      </w:r>
      <w:r w:rsidR="00E66771" w:rsidRPr="00F35627">
        <w:t xml:space="preserve">the next highest ranked Proposed Base Station </w:t>
      </w:r>
      <w:r w:rsidR="00E66771">
        <w:t xml:space="preserve">on the Decision Maker’s </w:t>
      </w:r>
      <w:r w:rsidR="00E66771" w:rsidRPr="00F35627">
        <w:t xml:space="preserve">List that can be funded </w:t>
      </w:r>
      <w:r w:rsidR="00E66771">
        <w:t>as a result of the termination of that Funded Base Station</w:t>
      </w:r>
      <w:r w:rsidR="00E66771" w:rsidRPr="00F35627">
        <w:t>.</w:t>
      </w:r>
    </w:p>
    <w:p w:rsidR="00E66771" w:rsidRPr="00150CF3" w:rsidRDefault="00E66771" w:rsidP="00E66771">
      <w:pPr>
        <w:pStyle w:val="Heading1"/>
        <w:numPr>
          <w:ilvl w:val="0"/>
          <w:numId w:val="0"/>
        </w:numPr>
        <w:rPr>
          <w:sz w:val="52"/>
          <w:szCs w:val="52"/>
        </w:rPr>
      </w:pPr>
      <w:r>
        <w:br w:type="page"/>
      </w:r>
      <w:bookmarkStart w:id="299" w:name="_Toc393908596"/>
      <w:bookmarkStart w:id="300" w:name="_Toc405380461"/>
      <w:bookmarkStart w:id="301" w:name="_Toc407007273"/>
      <w:r w:rsidRPr="00150CF3">
        <w:rPr>
          <w:sz w:val="52"/>
          <w:szCs w:val="52"/>
        </w:rPr>
        <w:lastRenderedPageBreak/>
        <w:t>Part E – Additional information</w:t>
      </w:r>
      <w:bookmarkEnd w:id="299"/>
      <w:bookmarkEnd w:id="300"/>
      <w:bookmarkEnd w:id="301"/>
    </w:p>
    <w:p w:rsidR="00E66771" w:rsidRPr="00346DFC" w:rsidRDefault="00E66771" w:rsidP="00B835BA">
      <w:pPr>
        <w:pStyle w:val="Heading1"/>
        <w:ind w:left="993" w:hanging="995"/>
      </w:pPr>
      <w:bookmarkStart w:id="302" w:name="_Ref390200704"/>
      <w:bookmarkStart w:id="303" w:name="_Toc393908597"/>
      <w:bookmarkStart w:id="304" w:name="_Toc405380462"/>
      <w:bookmarkStart w:id="305" w:name="_Toc407007274"/>
      <w:r w:rsidRPr="00346DFC">
        <w:t>Process Terms</w:t>
      </w:r>
      <w:bookmarkEnd w:id="302"/>
      <w:bookmarkEnd w:id="303"/>
      <w:bookmarkEnd w:id="304"/>
      <w:bookmarkEnd w:id="305"/>
    </w:p>
    <w:p w:rsidR="00E66771" w:rsidRPr="005933C5" w:rsidRDefault="00E66771" w:rsidP="00A06684">
      <w:pPr>
        <w:pStyle w:val="Heading2"/>
        <w:tabs>
          <w:tab w:val="left" w:pos="851"/>
        </w:tabs>
        <w:ind w:hanging="1144"/>
      </w:pPr>
      <w:bookmarkStart w:id="306" w:name="_Toc387316350"/>
      <w:bookmarkStart w:id="307" w:name="_Toc387315998"/>
      <w:bookmarkStart w:id="308" w:name="_Toc387315999"/>
      <w:bookmarkStart w:id="309" w:name="_Toc390632815"/>
      <w:bookmarkStart w:id="310" w:name="_Toc390637660"/>
      <w:bookmarkStart w:id="311" w:name="_Toc390637761"/>
      <w:bookmarkStart w:id="312" w:name="_Toc390637840"/>
      <w:bookmarkStart w:id="313" w:name="_Toc390637922"/>
      <w:bookmarkStart w:id="314" w:name="_Toc390639107"/>
      <w:bookmarkStart w:id="315" w:name="_Toc390640662"/>
      <w:bookmarkStart w:id="316" w:name="_Toc390632816"/>
      <w:bookmarkStart w:id="317" w:name="_Toc390637661"/>
      <w:bookmarkStart w:id="318" w:name="_Toc390637762"/>
      <w:bookmarkStart w:id="319" w:name="_Toc390637841"/>
      <w:bookmarkStart w:id="320" w:name="_Toc390637923"/>
      <w:bookmarkStart w:id="321" w:name="_Toc390639108"/>
      <w:bookmarkStart w:id="322" w:name="_Toc390640663"/>
      <w:bookmarkStart w:id="323" w:name="_Toc393908598"/>
      <w:bookmarkStart w:id="324" w:name="_Toc386635511"/>
      <w:bookmarkStart w:id="325" w:name="_Toc405380463"/>
      <w:bookmarkStart w:id="326" w:name="_Toc40700727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5933C5">
        <w:t>Accountability and probity</w:t>
      </w:r>
      <w:bookmarkEnd w:id="323"/>
      <w:bookmarkEnd w:id="325"/>
      <w:bookmarkEnd w:id="326"/>
    </w:p>
    <w:p w:rsidR="00E66771" w:rsidRPr="001B1C92" w:rsidRDefault="00523916" w:rsidP="00B835BA">
      <w:pPr>
        <w:pStyle w:val="Bodynumbered-Level1"/>
        <w:ind w:left="851" w:right="-22" w:hanging="851"/>
      </w:pPr>
      <w:r>
        <w:t>12.1.1</w:t>
      </w:r>
      <w:r>
        <w:tab/>
      </w:r>
      <w:r w:rsidR="00E66771" w:rsidRPr="001B1C92">
        <w:t>The Department is committed to ensuring that the process for selecting and approving Funded Base Stations under the Programme is fair and in accordance with the Guidelines.</w:t>
      </w:r>
    </w:p>
    <w:p w:rsidR="00E66771" w:rsidRPr="005E58DA" w:rsidRDefault="00523916" w:rsidP="00953A04">
      <w:pPr>
        <w:pStyle w:val="Bodynumbered-Level1"/>
        <w:ind w:left="851" w:right="-22" w:hanging="851"/>
      </w:pPr>
      <w:r>
        <w:t>12.1.2</w:t>
      </w:r>
      <w:r>
        <w:tab/>
      </w:r>
      <w:r w:rsidR="00E66771" w:rsidRPr="001B1C92">
        <w:t xml:space="preserve">The Department, as a non-corporate Commonwealth entity under </w:t>
      </w:r>
      <w:r w:rsidR="00E66771" w:rsidRPr="000C16EC">
        <w:rPr>
          <w:i/>
        </w:rPr>
        <w:t>the Public</w:t>
      </w:r>
      <w:r w:rsidR="00E66771" w:rsidRPr="007C3CE9">
        <w:rPr>
          <w:i/>
        </w:rPr>
        <w:t xml:space="preserve"> Governance, Performance and Accountability Act 2013</w:t>
      </w:r>
      <w:r w:rsidR="00E66771" w:rsidRPr="00B835BA">
        <w:rPr>
          <w:i/>
        </w:rPr>
        <w:t xml:space="preserve"> </w:t>
      </w:r>
      <w:r w:rsidR="00E66771" w:rsidRPr="001B1C92">
        <w:t>(</w:t>
      </w:r>
      <w:proofErr w:type="spellStart"/>
      <w:r w:rsidR="00E66771" w:rsidRPr="001B1C92">
        <w:t>Cth</w:t>
      </w:r>
      <w:proofErr w:type="spellEnd"/>
      <w:r w:rsidR="00E66771" w:rsidRPr="001B1C92">
        <w:t>) (the PGPA), in relation to its investment in the Programme, must comply with:</w:t>
      </w:r>
    </w:p>
    <w:p w:rsidR="00E66771" w:rsidRPr="005E58DA" w:rsidRDefault="002B2AAD" w:rsidP="00953A04">
      <w:pPr>
        <w:pStyle w:val="Bodynumbered-Level3"/>
        <w:numPr>
          <w:ilvl w:val="0"/>
          <w:numId w:val="0"/>
        </w:numPr>
        <w:ind w:left="1418" w:hanging="567"/>
      </w:pPr>
      <w:r>
        <w:t>(a)</w:t>
      </w:r>
      <w:r>
        <w:tab/>
      </w:r>
      <w:r w:rsidR="00E66771" w:rsidRPr="005E58DA">
        <w:t>the various duties set out in section 15 of the PGPA Act including: to promote the proper use and management of public resources for which the Department is responsible; promote the achievement of the purposes of the Department; and promote the financial s</w:t>
      </w:r>
      <w:r w:rsidR="00C65758">
        <w:t>ustainability of the Department</w:t>
      </w:r>
      <w:r w:rsidR="003F0E35">
        <w:t>;</w:t>
      </w:r>
    </w:p>
    <w:p w:rsidR="00E66771" w:rsidRPr="005E58DA" w:rsidRDefault="00953A04" w:rsidP="00953A04">
      <w:pPr>
        <w:pStyle w:val="Bodynumbered-Level3"/>
        <w:numPr>
          <w:ilvl w:val="0"/>
          <w:numId w:val="0"/>
        </w:numPr>
        <w:ind w:left="1418" w:hanging="567"/>
      </w:pPr>
      <w:r>
        <w:t>(b)</w:t>
      </w:r>
      <w:r>
        <w:tab/>
      </w:r>
      <w:r w:rsidR="00E66771" w:rsidRPr="005E58DA">
        <w:t>section 16 of the PGPA Act which requires the Department to establish and maintain appropriate systems of risk oversight and management and an appropriate system of in</w:t>
      </w:r>
      <w:r w:rsidR="003F0E35">
        <w:t xml:space="preserve">ternal controls; </w:t>
      </w:r>
      <w:r w:rsidR="00E66771">
        <w:t>and</w:t>
      </w:r>
    </w:p>
    <w:p w:rsidR="00E66771" w:rsidRPr="00A95D7D" w:rsidRDefault="00953A04" w:rsidP="00953A04">
      <w:pPr>
        <w:pStyle w:val="Bodynumbered-Level3"/>
        <w:numPr>
          <w:ilvl w:val="0"/>
          <w:numId w:val="0"/>
        </w:numPr>
        <w:ind w:left="1418" w:hanging="567"/>
      </w:pPr>
      <w:r>
        <w:t>(c)</w:t>
      </w:r>
      <w:r>
        <w:tab/>
      </w:r>
      <w:r w:rsidR="00E66771" w:rsidRPr="005E58DA">
        <w:t xml:space="preserve">the </w:t>
      </w:r>
      <w:r w:rsidR="00E66771" w:rsidRPr="001E46EE">
        <w:rPr>
          <w:i/>
        </w:rPr>
        <w:t xml:space="preserve">Commonwealth </w:t>
      </w:r>
      <w:r w:rsidR="00E66771" w:rsidRPr="002A69D0">
        <w:rPr>
          <w:i/>
        </w:rPr>
        <w:t>Grants Rules and</w:t>
      </w:r>
      <w:r w:rsidR="00E66771" w:rsidRPr="001E46EE">
        <w:rPr>
          <w:i/>
        </w:rPr>
        <w:t xml:space="preserve"> Guidelines</w:t>
      </w:r>
      <w:r w:rsidR="00E66771" w:rsidRPr="005E58DA">
        <w:t>, which establish the overarching Commonwealth grant policy framework and articulate the expectations for the Department (including but not limited to a range of probity and reporting requirements).</w:t>
      </w:r>
    </w:p>
    <w:p w:rsidR="00E66771" w:rsidRPr="00E04541" w:rsidRDefault="00E66771" w:rsidP="006065B4">
      <w:pPr>
        <w:pStyle w:val="Heading2"/>
        <w:tabs>
          <w:tab w:val="left" w:pos="851"/>
        </w:tabs>
        <w:ind w:left="851" w:hanging="851"/>
      </w:pPr>
      <w:bookmarkStart w:id="327" w:name="_Toc393908599"/>
      <w:bookmarkStart w:id="328" w:name="_Toc405380464"/>
      <w:bookmarkStart w:id="329" w:name="_Toc407007276"/>
      <w:r w:rsidRPr="00E04541">
        <w:t>Costs</w:t>
      </w:r>
      <w:bookmarkEnd w:id="327"/>
      <w:bookmarkEnd w:id="328"/>
      <w:bookmarkEnd w:id="329"/>
    </w:p>
    <w:p w:rsidR="00E66771" w:rsidRPr="00A95D7D" w:rsidRDefault="00523916" w:rsidP="006065B4">
      <w:pPr>
        <w:pStyle w:val="Bodynumbered-Level1"/>
        <w:ind w:left="851" w:right="-22" w:hanging="851"/>
      </w:pPr>
      <w:r>
        <w:t>12.2.</w:t>
      </w:r>
      <w:r w:rsidR="00D02F9F">
        <w:t>1</w:t>
      </w:r>
      <w:r>
        <w:tab/>
      </w:r>
      <w:r w:rsidR="00E66771" w:rsidRPr="00E62176">
        <w:t xml:space="preserve">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Funding Agreement and of </w:t>
      </w:r>
      <w:r w:rsidR="00E66771">
        <w:t>other documentation.</w:t>
      </w:r>
    </w:p>
    <w:p w:rsidR="00E66771" w:rsidRPr="00E04541" w:rsidRDefault="00E66771" w:rsidP="00A06684">
      <w:pPr>
        <w:pStyle w:val="Heading2"/>
        <w:tabs>
          <w:tab w:val="left" w:pos="851"/>
        </w:tabs>
        <w:ind w:hanging="1144"/>
      </w:pPr>
      <w:bookmarkStart w:id="330" w:name="_Toc393908600"/>
      <w:bookmarkStart w:id="331" w:name="_Toc405380465"/>
      <w:bookmarkStart w:id="332" w:name="_Toc407007277"/>
      <w:r w:rsidRPr="00E04541">
        <w:t xml:space="preserve">Right to vary the </w:t>
      </w:r>
      <w:bookmarkEnd w:id="324"/>
      <w:r w:rsidRPr="00E04541">
        <w:t>Programme</w:t>
      </w:r>
      <w:bookmarkEnd w:id="330"/>
      <w:bookmarkEnd w:id="331"/>
      <w:bookmarkEnd w:id="332"/>
    </w:p>
    <w:p w:rsidR="00E66771" w:rsidRPr="00E62176" w:rsidRDefault="00523916" w:rsidP="006065B4">
      <w:pPr>
        <w:pStyle w:val="Bodynumbered-Level1"/>
        <w:ind w:left="851" w:right="-22" w:hanging="851"/>
      </w:pPr>
      <w:r>
        <w:t>12.3.1</w:t>
      </w:r>
      <w:r>
        <w:tab/>
      </w:r>
      <w:r w:rsidR="00E66771" w:rsidRPr="00E62176">
        <w:t>The Government reserves the right to abort or vary the Programme (including via variation of these Guidelines) at its discretion, at any time, for any reason, including without limitation, in light of</w:t>
      </w:r>
      <w:r w:rsidR="00E66771">
        <w:t xml:space="preserve"> changes to Government policy.</w:t>
      </w:r>
    </w:p>
    <w:p w:rsidR="00E66771" w:rsidRPr="00E62176" w:rsidRDefault="00523916" w:rsidP="006065B4">
      <w:pPr>
        <w:pStyle w:val="Bodynumbered-Level1"/>
        <w:ind w:left="851" w:right="-22" w:hanging="851"/>
      </w:pPr>
      <w:r>
        <w:t>12.3.2</w:t>
      </w:r>
      <w:r>
        <w:tab/>
      </w:r>
      <w:r w:rsidR="00E66771" w:rsidRPr="00E62176">
        <w:t>In the event that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w:t>
      </w:r>
      <w:r w:rsidR="00E66771">
        <w:t>ied to the application period.</w:t>
      </w:r>
      <w:r w:rsidR="00E66771" w:rsidRPr="002A69D0">
        <w:t xml:space="preserve"> </w:t>
      </w:r>
      <w:r w:rsidR="00E66771">
        <w:t>Any amendments and resultant extensions will be published by the Department on its website.</w:t>
      </w:r>
    </w:p>
    <w:p w:rsidR="00E66771" w:rsidRPr="00A95D7D" w:rsidRDefault="00523916" w:rsidP="006065B4">
      <w:pPr>
        <w:pStyle w:val="Bodynumbered-Level1"/>
        <w:ind w:left="851" w:right="-22" w:hanging="851"/>
      </w:pPr>
      <w:r>
        <w:lastRenderedPageBreak/>
        <w:t>12.3.3</w:t>
      </w:r>
      <w:r>
        <w:tab/>
      </w:r>
      <w:r w:rsidR="00E66771" w:rsidRPr="00E62176">
        <w:t>In the event that the Government determines that these Guidelines require amendment following the date for which funding applications are due to be submitted to the Department (for example if the applications received do not achieve the Programme objectives), the revised or new Guidelines will clearly identify the extent, if any, to which the amended criteria will be applied to existing applications, and/or whether applicants will have the opportunity to re-submit an application based upon the revised criteria, and/or whether any new applicants will be considered.</w:t>
      </w:r>
      <w:r w:rsidR="00E66771" w:rsidRPr="00D92F39">
        <w:t xml:space="preserve"> </w:t>
      </w:r>
      <w:r w:rsidR="00E66771">
        <w:t>In this event, applicants will be notified and the revised Guidelines will be published on the Department’s website.</w:t>
      </w:r>
    </w:p>
    <w:p w:rsidR="00E66771" w:rsidRPr="00A95D7D" w:rsidRDefault="00523916" w:rsidP="006065B4">
      <w:pPr>
        <w:pStyle w:val="Bodynumbered-Level1"/>
        <w:ind w:left="851" w:right="-22" w:hanging="851"/>
      </w:pPr>
      <w:r>
        <w:t>12.3.4</w:t>
      </w:r>
      <w:r>
        <w:tab/>
      </w:r>
      <w:r w:rsidR="00E66771" w:rsidRPr="00E62176">
        <w:t xml:space="preserve">Except to the extent to give effect to this Part </w:t>
      </w:r>
      <w:r w:rsidR="00E66771">
        <w:t>E</w:t>
      </w:r>
      <w:r w:rsidR="00E66771" w:rsidRPr="00E62176">
        <w:t xml:space="preserve"> of the Guidelines, an organisation submitting an application acknowledges that neither the Guidelines, nor any application, give rise to a binding agreement or any other arrangement or legal relationship between the applicant and the Commonwealth. There is no binding agreement on any party until a Funding Agreement is executed by the Commonwealth and the </w:t>
      </w:r>
      <w:r w:rsidR="00E66771">
        <w:t>Funding Recipient(</w:t>
      </w:r>
      <w:r w:rsidR="00E66771" w:rsidRPr="00E62176">
        <w:t>s</w:t>
      </w:r>
      <w:r w:rsidR="00E66771">
        <w:t>).</w:t>
      </w:r>
    </w:p>
    <w:p w:rsidR="00E66771" w:rsidRPr="00E04541" w:rsidRDefault="00E66771" w:rsidP="00A06684">
      <w:pPr>
        <w:pStyle w:val="Heading2"/>
        <w:tabs>
          <w:tab w:val="left" w:pos="851"/>
        </w:tabs>
        <w:ind w:hanging="1144"/>
      </w:pPr>
      <w:bookmarkStart w:id="333" w:name="_Toc393908601"/>
      <w:bookmarkStart w:id="334" w:name="_Toc386635512"/>
      <w:bookmarkStart w:id="335" w:name="_Toc405380466"/>
      <w:bookmarkStart w:id="336" w:name="_Toc407007278"/>
      <w:r w:rsidRPr="00E04541">
        <w:t>Clarifications</w:t>
      </w:r>
      <w:bookmarkEnd w:id="333"/>
      <w:bookmarkEnd w:id="335"/>
      <w:bookmarkEnd w:id="336"/>
    </w:p>
    <w:p w:rsidR="00E66771" w:rsidRPr="00E62176" w:rsidRDefault="00523916" w:rsidP="006065B4">
      <w:pPr>
        <w:pStyle w:val="Bodynumbered-Level1"/>
        <w:ind w:left="851" w:right="-22" w:hanging="851"/>
      </w:pPr>
      <w:r>
        <w:t>12.4.1</w:t>
      </w:r>
      <w:r>
        <w:tab/>
      </w:r>
      <w:r w:rsidR="00E66771" w:rsidRPr="00E62176">
        <w:t>All requests for clarification or determination of the meaning of provisions in these Guidelines should be referred to the Department</w:t>
      </w:r>
      <w:r w:rsidR="00E66771" w:rsidRPr="00512B71">
        <w:t xml:space="preserve"> </w:t>
      </w:r>
      <w:hyperlink r:id="rId15" w:history="1">
        <w:r w:rsidR="00A01E7B" w:rsidRPr="006065B4">
          <w:t>by email</w:t>
        </w:r>
      </w:hyperlink>
      <w:r w:rsidR="00A01E7B">
        <w:t xml:space="preserve"> </w:t>
      </w:r>
      <w:r w:rsidR="006065B4">
        <w:t xml:space="preserve">at </w:t>
      </w:r>
      <w:r w:rsidR="00E66771" w:rsidRPr="00723554">
        <w:t>mobilecoverage@communications.gov.au</w:t>
      </w:r>
      <w:r w:rsidR="00E66771" w:rsidRPr="006065B4">
        <w:t>.</w:t>
      </w:r>
      <w:r w:rsidR="00E66771" w:rsidRPr="00E62176">
        <w:t xml:space="preserve"> If an applicant requests clarification of a provision in these Guidelines or a determination on a particular issue, the Department’s written decision on the matter is final. Written decisions may be made publicly available via the Department’s website, where appropriate.</w:t>
      </w:r>
    </w:p>
    <w:p w:rsidR="00E66771" w:rsidRPr="00E04541" w:rsidRDefault="00E66771" w:rsidP="00A06684">
      <w:pPr>
        <w:pStyle w:val="Heading2"/>
        <w:tabs>
          <w:tab w:val="left" w:pos="851"/>
        </w:tabs>
        <w:ind w:hanging="1144"/>
      </w:pPr>
      <w:bookmarkStart w:id="337" w:name="_Toc393908602"/>
      <w:bookmarkStart w:id="338" w:name="_Toc405380467"/>
      <w:bookmarkStart w:id="339" w:name="_Toc407007279"/>
      <w:r w:rsidRPr="00E04541">
        <w:t>Background checks</w:t>
      </w:r>
      <w:bookmarkEnd w:id="334"/>
      <w:bookmarkEnd w:id="337"/>
      <w:bookmarkEnd w:id="338"/>
      <w:bookmarkEnd w:id="339"/>
    </w:p>
    <w:p w:rsidR="00E66771" w:rsidRPr="00DE24F1" w:rsidRDefault="00523916" w:rsidP="006065B4">
      <w:pPr>
        <w:pStyle w:val="Bodynumbered-Level1"/>
        <w:ind w:left="851" w:right="-22" w:hanging="851"/>
      </w:pPr>
      <w:r>
        <w:t>12.5.1</w:t>
      </w:r>
      <w:r>
        <w:tab/>
      </w:r>
      <w:r w:rsidR="00E66771" w:rsidRPr="00DE24F1">
        <w:t>Applicants should ensure that, where appropriate, personnel involved in the Programme have undergone background checks – including checks of financial viability or criminal records – to determine the good character and business reputation of the pr</w:t>
      </w:r>
      <w:r w:rsidR="00E66771">
        <w:t>oject leader and its personnel.</w:t>
      </w:r>
    </w:p>
    <w:p w:rsidR="00E66771" w:rsidRPr="00DE24F1" w:rsidRDefault="00523916" w:rsidP="006065B4">
      <w:pPr>
        <w:pStyle w:val="Bodynumbered-Level1"/>
        <w:ind w:left="851" w:right="-22" w:hanging="851"/>
      </w:pPr>
      <w:r>
        <w:t>12.5.2</w:t>
      </w:r>
      <w:r>
        <w:tab/>
      </w:r>
      <w:r w:rsidR="00E66771" w:rsidRPr="00DE24F1">
        <w:t>The Department may undertake checks on organisations submitting an application for the Programme (including the applicant’s personnel). It may also undertake consultations with other relevant third parties regarding any application. The Department may also conduct checks to obtain any relevant information n</w:t>
      </w:r>
      <w:r w:rsidR="00E66771">
        <w:t>ot disclosed in an application.</w:t>
      </w:r>
    </w:p>
    <w:p w:rsidR="00E66771" w:rsidRPr="00DE24F1" w:rsidRDefault="00523916" w:rsidP="006065B4">
      <w:pPr>
        <w:pStyle w:val="Bodynumbered-Level1"/>
        <w:ind w:left="851" w:right="-22" w:hanging="851"/>
      </w:pPr>
      <w:r>
        <w:t>12.5.3</w:t>
      </w:r>
      <w:r>
        <w:tab/>
      </w:r>
      <w:r w:rsidR="00E66771" w:rsidRPr="00DE24F1">
        <w:t xml:space="preserve">In addition, when making a decision to recommend funding, the </w:t>
      </w:r>
      <w:r w:rsidR="00E66771">
        <w:t>Department</w:t>
      </w:r>
      <w:r w:rsidR="00E66771" w:rsidRPr="00DE24F1">
        <w:t xml:space="preserve"> may take into account any debts that the organisation(s) has accrued to the Departmen</w:t>
      </w:r>
      <w:r w:rsidR="00E66771">
        <w:t>t or other Government agencies.</w:t>
      </w:r>
    </w:p>
    <w:p w:rsidR="00E66771" w:rsidRPr="00A95D7D" w:rsidRDefault="00523916" w:rsidP="006065B4">
      <w:pPr>
        <w:pStyle w:val="Bodynumbered-Level1"/>
        <w:ind w:left="851" w:right="-22" w:hanging="851"/>
      </w:pPr>
      <w:r>
        <w:t>12.5.4</w:t>
      </w:r>
      <w:r>
        <w:tab/>
      </w:r>
      <w:r w:rsidR="00E66771" w:rsidRPr="00DE24F1">
        <w:t>The Department reserves the right to use information from:</w:t>
      </w:r>
    </w:p>
    <w:p w:rsidR="00E66771" w:rsidRPr="008E3258" w:rsidRDefault="006065B4" w:rsidP="006303D9">
      <w:pPr>
        <w:pStyle w:val="Bodynumbered-Level3"/>
        <w:numPr>
          <w:ilvl w:val="0"/>
          <w:numId w:val="0"/>
        </w:numPr>
        <w:spacing w:after="120"/>
        <w:ind w:left="1418" w:hanging="567"/>
      </w:pPr>
      <w:r>
        <w:t>(a)</w:t>
      </w:r>
      <w:r>
        <w:tab/>
      </w:r>
      <w:r w:rsidR="00E66771" w:rsidRPr="008E3258">
        <w:t>the Department’s databases</w:t>
      </w:r>
    </w:p>
    <w:p w:rsidR="00E66771" w:rsidRPr="008E3258" w:rsidRDefault="006065B4" w:rsidP="006303D9">
      <w:pPr>
        <w:pStyle w:val="Bodynumbered-Level3"/>
        <w:numPr>
          <w:ilvl w:val="0"/>
          <w:numId w:val="0"/>
        </w:numPr>
        <w:spacing w:after="120"/>
        <w:ind w:left="1418" w:hanging="567"/>
      </w:pPr>
      <w:r>
        <w:t>(b)</w:t>
      </w:r>
      <w:r>
        <w:tab/>
      </w:r>
      <w:r w:rsidR="00E66771" w:rsidRPr="008E3258">
        <w:t>other Government agencies, such as the Australian Taxation Office and Australian Securities and Investments Commission</w:t>
      </w:r>
    </w:p>
    <w:p w:rsidR="00E66771" w:rsidRPr="008E3258" w:rsidRDefault="006065B4" w:rsidP="006303D9">
      <w:pPr>
        <w:pStyle w:val="Bodynumbered-Level3"/>
        <w:numPr>
          <w:ilvl w:val="0"/>
          <w:numId w:val="0"/>
        </w:numPr>
        <w:spacing w:after="120"/>
        <w:ind w:left="1418" w:hanging="567"/>
      </w:pPr>
      <w:r>
        <w:t>(c)</w:t>
      </w:r>
      <w:r>
        <w:tab/>
      </w:r>
      <w:r w:rsidR="00E66771">
        <w:t>S</w:t>
      </w:r>
      <w:r w:rsidR="00E66771" w:rsidRPr="008E3258">
        <w:t xml:space="preserve">tate or </w:t>
      </w:r>
      <w:r w:rsidR="00E66771">
        <w:t>T</w:t>
      </w:r>
      <w:r w:rsidR="00E66771" w:rsidRPr="008E3258">
        <w:t>erritory agencies</w:t>
      </w:r>
    </w:p>
    <w:p w:rsidR="00E66771" w:rsidRPr="008E3258" w:rsidRDefault="006065B4" w:rsidP="006303D9">
      <w:pPr>
        <w:pStyle w:val="Bodynumbered-Level3"/>
        <w:numPr>
          <w:ilvl w:val="0"/>
          <w:numId w:val="0"/>
        </w:numPr>
        <w:spacing w:after="120"/>
        <w:ind w:left="1418" w:hanging="567"/>
      </w:pPr>
      <w:r>
        <w:t>(d)</w:t>
      </w:r>
      <w:r>
        <w:tab/>
      </w:r>
      <w:r w:rsidR="00E66771" w:rsidRPr="008E3258">
        <w:t>law enforcement agencies</w:t>
      </w:r>
    </w:p>
    <w:p w:rsidR="00E66771" w:rsidRPr="008E3258" w:rsidRDefault="006065B4" w:rsidP="006303D9">
      <w:pPr>
        <w:pStyle w:val="Bodynumbered-Level3"/>
        <w:numPr>
          <w:ilvl w:val="0"/>
          <w:numId w:val="0"/>
        </w:numPr>
        <w:spacing w:after="120"/>
        <w:ind w:left="1418" w:hanging="567"/>
      </w:pPr>
      <w:r>
        <w:t>(e)</w:t>
      </w:r>
      <w:r>
        <w:tab/>
      </w:r>
      <w:r w:rsidR="00E66771" w:rsidRPr="008E3258">
        <w:t>credit reference agencies</w:t>
      </w:r>
    </w:p>
    <w:p w:rsidR="00E66771" w:rsidRPr="008E3258" w:rsidRDefault="006065B4" w:rsidP="006303D9">
      <w:pPr>
        <w:pStyle w:val="Bodynumbered-Level3"/>
        <w:numPr>
          <w:ilvl w:val="0"/>
          <w:numId w:val="0"/>
        </w:numPr>
        <w:spacing w:after="120"/>
        <w:ind w:left="1418" w:hanging="567"/>
      </w:pPr>
      <w:r>
        <w:lastRenderedPageBreak/>
        <w:t>(f)</w:t>
      </w:r>
      <w:r>
        <w:tab/>
      </w:r>
      <w:r w:rsidR="00E66771" w:rsidRPr="008E3258">
        <w:t>courts or tribunals</w:t>
      </w:r>
    </w:p>
    <w:p w:rsidR="00E66771" w:rsidRPr="008E3258" w:rsidRDefault="006065B4" w:rsidP="006303D9">
      <w:pPr>
        <w:pStyle w:val="Bodynumbered-Level3"/>
        <w:numPr>
          <w:ilvl w:val="0"/>
          <w:numId w:val="0"/>
        </w:numPr>
        <w:spacing w:after="120"/>
        <w:ind w:left="1418" w:hanging="567"/>
      </w:pPr>
      <w:r>
        <w:t>(g)</w:t>
      </w:r>
      <w:r>
        <w:tab/>
      </w:r>
      <w:r w:rsidR="00E66771" w:rsidRPr="008E3258">
        <w:t>any other appropriate organisation or person reasonably required as part of these checks.</w:t>
      </w:r>
    </w:p>
    <w:p w:rsidR="00E66771" w:rsidRPr="00DE24F1" w:rsidRDefault="00523916" w:rsidP="00851E3F">
      <w:pPr>
        <w:pStyle w:val="Bodynumbered-Level1"/>
        <w:ind w:left="851" w:right="-589" w:hanging="851"/>
      </w:pPr>
      <w:r>
        <w:t>12.5.5</w:t>
      </w:r>
      <w:r>
        <w:tab/>
      </w:r>
      <w:r w:rsidR="00E66771" w:rsidRPr="00DE24F1">
        <w:t>Applicants must include full corporate and ownership details of the entity seeking funding.</w:t>
      </w:r>
    </w:p>
    <w:p w:rsidR="00E66771" w:rsidRPr="00E04541" w:rsidRDefault="00E66771" w:rsidP="00A06684">
      <w:pPr>
        <w:pStyle w:val="Heading2"/>
        <w:tabs>
          <w:tab w:val="left" w:pos="851"/>
        </w:tabs>
        <w:ind w:hanging="1144"/>
      </w:pPr>
      <w:bookmarkStart w:id="340" w:name="_Toc386635513"/>
      <w:bookmarkStart w:id="341" w:name="_Ref389783867"/>
      <w:bookmarkStart w:id="342" w:name="_Toc393908603"/>
      <w:bookmarkStart w:id="343" w:name="_Toc405380468"/>
      <w:bookmarkStart w:id="344" w:name="_Toc407007280"/>
      <w:r w:rsidRPr="00E04541">
        <w:t>Confidentiality</w:t>
      </w:r>
      <w:bookmarkEnd w:id="340"/>
      <w:bookmarkEnd w:id="341"/>
      <w:bookmarkEnd w:id="342"/>
      <w:bookmarkEnd w:id="343"/>
      <w:bookmarkEnd w:id="344"/>
    </w:p>
    <w:p w:rsidR="00E66771" w:rsidRDefault="00523916" w:rsidP="001F42F0">
      <w:pPr>
        <w:pStyle w:val="Bodynumbered-Level1"/>
        <w:ind w:left="851" w:right="-22" w:hanging="851"/>
      </w:pPr>
      <w:r>
        <w:t>12.6.1</w:t>
      </w:r>
      <w:r>
        <w:tab/>
      </w:r>
      <w:r w:rsidR="00E66771" w:rsidRPr="00DE24F1">
        <w:t xml:space="preserve">The Department will treat any </w:t>
      </w:r>
      <w:r w:rsidR="00E66771">
        <w:t xml:space="preserve">of the applicant’s commercially sensitive </w:t>
      </w:r>
      <w:r w:rsidR="00E66771" w:rsidRPr="00DE24F1">
        <w:t xml:space="preserve">information provided in the applicant’s application as </w:t>
      </w:r>
      <w:r w:rsidR="00E66771" w:rsidRPr="004D1954">
        <w:rPr>
          <w:b/>
        </w:rPr>
        <w:t>confidential information</w:t>
      </w:r>
      <w:r w:rsidR="00E66771" w:rsidRPr="00DE24F1">
        <w:t xml:space="preserve"> provided that information is designated as confidential information (</w:t>
      </w:r>
      <w:r w:rsidR="00E66771" w:rsidRPr="007C3CE9">
        <w:t>Applicant Confidential Information</w:t>
      </w:r>
      <w:r w:rsidR="00E66771" w:rsidRPr="00DE24F1">
        <w:t>).</w:t>
      </w:r>
    </w:p>
    <w:p w:rsidR="00E66771" w:rsidRPr="00DE24F1" w:rsidRDefault="00523916" w:rsidP="001F42F0">
      <w:pPr>
        <w:pStyle w:val="Bodynumbered-Level1"/>
        <w:ind w:left="851" w:right="-164" w:hanging="851"/>
      </w:pPr>
      <w:r>
        <w:t>12.6.2</w:t>
      </w:r>
      <w:r>
        <w:tab/>
      </w:r>
      <w:r w:rsidR="00E66771" w:rsidRPr="00DE24F1">
        <w:t xml:space="preserve">The Department’s confidentiality obligation does not apply to the extent </w:t>
      </w:r>
      <w:r w:rsidR="00E66771">
        <w:t xml:space="preserve">any Applicant </w:t>
      </w:r>
      <w:r w:rsidR="00E66771" w:rsidRPr="00DE24F1">
        <w:t xml:space="preserve">Confidential Information </w:t>
      </w:r>
      <w:r w:rsidR="00E66771">
        <w:t xml:space="preserve">that </w:t>
      </w:r>
      <w:r w:rsidR="00E66771" w:rsidRPr="00DE24F1">
        <w:t>is:</w:t>
      </w:r>
    </w:p>
    <w:p w:rsidR="00E66771" w:rsidRPr="008E3258" w:rsidRDefault="00D053BD" w:rsidP="00C81201">
      <w:pPr>
        <w:pStyle w:val="Bodynumbered-Level3"/>
        <w:numPr>
          <w:ilvl w:val="0"/>
          <w:numId w:val="0"/>
        </w:numPr>
        <w:spacing w:after="120"/>
        <w:ind w:left="1418" w:hanging="567"/>
      </w:pPr>
      <w:r>
        <w:t>(a)</w:t>
      </w:r>
      <w:r>
        <w:tab/>
      </w:r>
      <w:r w:rsidR="00E66771" w:rsidRPr="008E3258">
        <w:t xml:space="preserve">authorised or </w:t>
      </w:r>
      <w:r w:rsidR="00C65758">
        <w:t>required by law to be disclosed</w:t>
      </w:r>
      <w:r w:rsidR="003F0E35">
        <w:t>;</w:t>
      </w:r>
    </w:p>
    <w:p w:rsidR="00E66771" w:rsidRPr="008E3258" w:rsidRDefault="00D053BD" w:rsidP="00C81201">
      <w:pPr>
        <w:pStyle w:val="Bodynumbered-Level3"/>
        <w:numPr>
          <w:ilvl w:val="0"/>
          <w:numId w:val="0"/>
        </w:numPr>
        <w:spacing w:after="120"/>
        <w:ind w:left="1418" w:hanging="567"/>
      </w:pPr>
      <w:r>
        <w:t>(b)</w:t>
      </w:r>
      <w:r>
        <w:tab/>
      </w:r>
      <w:r w:rsidR="00E66771" w:rsidRPr="008E3258">
        <w:t>disclosed by the Department to its advisers</w:t>
      </w:r>
      <w:r w:rsidR="00E66771">
        <w:t>,</w:t>
      </w:r>
      <w:r w:rsidR="00E66771" w:rsidRPr="008E3258">
        <w:t xml:space="preserve"> </w:t>
      </w:r>
      <w:r w:rsidR="00E66771">
        <w:t xml:space="preserve">officers, </w:t>
      </w:r>
      <w:r w:rsidR="00E66771" w:rsidRPr="008E3258">
        <w:t>employees</w:t>
      </w:r>
      <w:r w:rsidR="00E66771">
        <w:t>, or other agencies’ officers or employees,</w:t>
      </w:r>
      <w:r w:rsidR="00E66771" w:rsidRPr="008E3258">
        <w:t xml:space="preserve"> </w:t>
      </w:r>
      <w:r w:rsidR="00E66771">
        <w:t>for the purpose of</w:t>
      </w:r>
      <w:r w:rsidR="00E66771" w:rsidRPr="008E3258">
        <w:t xml:space="preserve"> evaluat</w:t>
      </w:r>
      <w:r w:rsidR="00E66771">
        <w:t>ing</w:t>
      </w:r>
      <w:r w:rsidR="00E66771" w:rsidRPr="008E3258">
        <w:t xml:space="preserve"> the applicant’s application and during any </w:t>
      </w:r>
      <w:r w:rsidR="00E66771">
        <w:t>F</w:t>
      </w:r>
      <w:r w:rsidR="00E66771" w:rsidRPr="008E3258">
        <w:t xml:space="preserve">unding </w:t>
      </w:r>
      <w:r w:rsidR="00E66771">
        <w:t>A</w:t>
      </w:r>
      <w:r w:rsidR="00C65758">
        <w:t>greement negotiation</w:t>
      </w:r>
      <w:r w:rsidR="003F0E35">
        <w:t>;</w:t>
      </w:r>
    </w:p>
    <w:p w:rsidR="00E66771" w:rsidRPr="008E3258" w:rsidRDefault="00D053BD" w:rsidP="00C81201">
      <w:pPr>
        <w:pStyle w:val="Bodynumbered-Level3"/>
        <w:numPr>
          <w:ilvl w:val="0"/>
          <w:numId w:val="0"/>
        </w:numPr>
        <w:spacing w:after="120"/>
        <w:ind w:left="1418" w:hanging="567"/>
      </w:pPr>
      <w:r>
        <w:t>(c)</w:t>
      </w:r>
      <w:r>
        <w:tab/>
      </w:r>
      <w:r w:rsidR="00E66771" w:rsidRPr="008E3258">
        <w:t>disclosed by the Department in response to a request by a house or a committee of the Parliament of Australia, or a house or a co</w:t>
      </w:r>
      <w:r w:rsidR="00C65758">
        <w:t>mmittee of the Parliament of a s</w:t>
      </w:r>
      <w:r w:rsidR="00E66771" w:rsidRPr="008E3258">
        <w:t>t</w:t>
      </w:r>
      <w:r w:rsidR="00C65758">
        <w:t>ate or territory</w:t>
      </w:r>
      <w:r w:rsidR="003F0E35">
        <w:t>;</w:t>
      </w:r>
    </w:p>
    <w:p w:rsidR="00E66771" w:rsidRDefault="00D053BD" w:rsidP="00C81201">
      <w:pPr>
        <w:pStyle w:val="Bodynumbered-Level3"/>
        <w:numPr>
          <w:ilvl w:val="0"/>
          <w:numId w:val="0"/>
        </w:numPr>
        <w:spacing w:after="120"/>
        <w:ind w:left="1418" w:hanging="567"/>
      </w:pPr>
      <w:r>
        <w:t>(d)</w:t>
      </w:r>
      <w:r>
        <w:tab/>
      </w:r>
      <w:r w:rsidR="00E66771" w:rsidRPr="008E3258">
        <w:t xml:space="preserve">disclosed by the Department to </w:t>
      </w:r>
      <w:r w:rsidR="00E66771" w:rsidRPr="00B61E7B">
        <w:t xml:space="preserve">its </w:t>
      </w:r>
      <w:r w:rsidR="00E66771">
        <w:t xml:space="preserve">responsible Parliamentary Secretary, Minister </w:t>
      </w:r>
      <w:r w:rsidR="00E66771" w:rsidRPr="00B61E7B">
        <w:t>or the Auditor-General</w:t>
      </w:r>
      <w:r w:rsidR="003F0E35">
        <w:t>;</w:t>
      </w:r>
    </w:p>
    <w:p w:rsidR="00E66771" w:rsidRPr="008E3258" w:rsidRDefault="00D053BD" w:rsidP="00C81201">
      <w:pPr>
        <w:pStyle w:val="Bodynumbered-Level3"/>
        <w:numPr>
          <w:ilvl w:val="0"/>
          <w:numId w:val="0"/>
        </w:numPr>
        <w:spacing w:after="120"/>
        <w:ind w:left="1418" w:hanging="567"/>
      </w:pPr>
      <w:r>
        <w:t>(e)</w:t>
      </w:r>
      <w:r>
        <w:tab/>
      </w:r>
      <w:r w:rsidR="00E66771" w:rsidRPr="008E3258">
        <w:t>shared by the Commonwealth within the Commonwealth’s entity (for example, another Commonwealth agency), where this serves the Commonw</w:t>
      </w:r>
      <w:r w:rsidR="000370F9">
        <w:t>ealth’s legitimate interests</w:t>
      </w:r>
      <w:r w:rsidR="003F0E35">
        <w:t>;</w:t>
      </w:r>
    </w:p>
    <w:p w:rsidR="00E66771" w:rsidRPr="008E3258" w:rsidRDefault="00D053BD" w:rsidP="00C81201">
      <w:pPr>
        <w:pStyle w:val="Bodynumbered-Level3"/>
        <w:numPr>
          <w:ilvl w:val="0"/>
          <w:numId w:val="0"/>
        </w:numPr>
        <w:spacing w:after="120"/>
        <w:ind w:left="1418" w:hanging="567"/>
      </w:pPr>
      <w:r>
        <w:t>(f)</w:t>
      </w:r>
      <w:r>
        <w:tab/>
      </w:r>
      <w:r w:rsidR="00E66771" w:rsidRPr="008E3258">
        <w:t>disclosed to the Department’s officers to enable the effective managemen</w:t>
      </w:r>
      <w:r w:rsidR="000370F9">
        <w:t xml:space="preserve">t </w:t>
      </w:r>
      <w:r w:rsidR="003F0E35">
        <w:t xml:space="preserve">or auditing of the Programme; </w:t>
      </w:r>
      <w:r w:rsidR="00E66771" w:rsidRPr="008E3258">
        <w:t>and</w:t>
      </w:r>
    </w:p>
    <w:p w:rsidR="00E66771" w:rsidRDefault="00D053BD" w:rsidP="00C81201">
      <w:pPr>
        <w:pStyle w:val="Bodynumbered-Level3"/>
        <w:numPr>
          <w:ilvl w:val="0"/>
          <w:numId w:val="0"/>
        </w:numPr>
        <w:spacing w:after="120"/>
        <w:ind w:left="1418" w:hanging="567"/>
      </w:pPr>
      <w:r>
        <w:t>(g)</w:t>
      </w:r>
      <w:r>
        <w:tab/>
      </w:r>
      <w:r w:rsidR="00E66771" w:rsidRPr="008E3258">
        <w:t>in the public domain otherwise than due to a breach of the Department’s confidentiality obligation.</w:t>
      </w:r>
    </w:p>
    <w:p w:rsidR="00E66771" w:rsidRDefault="00523916" w:rsidP="00D053BD">
      <w:pPr>
        <w:pStyle w:val="Bodynumbered-Level1"/>
        <w:ind w:left="851" w:right="-589" w:hanging="851"/>
      </w:pPr>
      <w:r>
        <w:t>12.6.3</w:t>
      </w:r>
      <w:r>
        <w:tab/>
      </w:r>
      <w:r w:rsidR="00E66771" w:rsidRPr="00DE24F1">
        <w:t xml:space="preserve">The </w:t>
      </w:r>
      <w:r w:rsidR="00E66771">
        <w:t>applicant</w:t>
      </w:r>
      <w:r w:rsidR="00E66771" w:rsidRPr="00DE24F1">
        <w:t xml:space="preserve"> will treat any information provided </w:t>
      </w:r>
      <w:r w:rsidR="00E66771">
        <w:t>by the Department</w:t>
      </w:r>
      <w:r w:rsidR="00E66771" w:rsidRPr="00DE24F1">
        <w:t xml:space="preserve"> as confidential information provided that information is designated as confidential information</w:t>
      </w:r>
      <w:r w:rsidR="00E66771">
        <w:t>.</w:t>
      </w:r>
      <w:r w:rsidR="00E66771" w:rsidRPr="00DE24F1">
        <w:t xml:space="preserve"> (</w:t>
      </w:r>
      <w:r w:rsidR="00E66771" w:rsidRPr="007C3CE9">
        <w:t>Commonwealth Confidential Information</w:t>
      </w:r>
      <w:r w:rsidR="00E66771" w:rsidRPr="00DE24F1">
        <w:t>).</w:t>
      </w:r>
    </w:p>
    <w:p w:rsidR="00E66771" w:rsidRPr="00DE24F1" w:rsidRDefault="00523916" w:rsidP="001F42F0">
      <w:pPr>
        <w:pStyle w:val="Bodynumbered-Level1"/>
        <w:ind w:left="851" w:right="-22" w:hanging="851"/>
      </w:pPr>
      <w:r>
        <w:t>12.6.4</w:t>
      </w:r>
      <w:r>
        <w:tab/>
      </w:r>
      <w:r w:rsidR="00E66771">
        <w:t xml:space="preserve">The applicant’s </w:t>
      </w:r>
      <w:r w:rsidR="00E66771" w:rsidRPr="00DE24F1">
        <w:t xml:space="preserve">confidentiality obligation does not apply to the extent </w:t>
      </w:r>
      <w:r w:rsidR="00E66771">
        <w:t>any</w:t>
      </w:r>
      <w:r w:rsidR="00E66771" w:rsidRPr="00DE24F1">
        <w:t xml:space="preserve"> </w:t>
      </w:r>
      <w:r w:rsidR="00E66771">
        <w:t xml:space="preserve">Commonwealth </w:t>
      </w:r>
      <w:r w:rsidR="00E66771" w:rsidRPr="00DE24F1">
        <w:t xml:space="preserve">Confidential Information </w:t>
      </w:r>
      <w:r w:rsidR="00E66771">
        <w:t xml:space="preserve">that </w:t>
      </w:r>
      <w:r w:rsidR="00E66771" w:rsidRPr="00DE24F1">
        <w:t>is:</w:t>
      </w:r>
    </w:p>
    <w:p w:rsidR="00E66771" w:rsidRDefault="00D053BD" w:rsidP="00C81201">
      <w:pPr>
        <w:pStyle w:val="Bodynumbered-Level3"/>
        <w:numPr>
          <w:ilvl w:val="0"/>
          <w:numId w:val="0"/>
        </w:numPr>
        <w:spacing w:after="120"/>
        <w:ind w:left="1418" w:hanging="567"/>
      </w:pPr>
      <w:r>
        <w:t>(a)</w:t>
      </w:r>
      <w:r>
        <w:tab/>
      </w:r>
      <w:r w:rsidR="00E66771" w:rsidRPr="008E3258">
        <w:t xml:space="preserve">authorised or </w:t>
      </w:r>
      <w:r w:rsidR="003F0E35">
        <w:t xml:space="preserve">required by law to be disclosed; </w:t>
      </w:r>
      <w:r w:rsidR="00E66771">
        <w:t>or</w:t>
      </w:r>
    </w:p>
    <w:p w:rsidR="00E66771" w:rsidRPr="001E46EE" w:rsidRDefault="00D053BD" w:rsidP="00C81201">
      <w:pPr>
        <w:pStyle w:val="Bodynumbered-Level3"/>
        <w:numPr>
          <w:ilvl w:val="0"/>
          <w:numId w:val="0"/>
        </w:numPr>
        <w:spacing w:after="120"/>
        <w:ind w:left="1418" w:hanging="567"/>
      </w:pPr>
      <w:r>
        <w:t>(b)</w:t>
      </w:r>
      <w:r>
        <w:tab/>
      </w:r>
      <w:r w:rsidR="00E66771" w:rsidRPr="008E3258">
        <w:t xml:space="preserve">in the public domain otherwise than due to a breach of the </w:t>
      </w:r>
      <w:r w:rsidR="00E66771">
        <w:t>applicant</w:t>
      </w:r>
      <w:r w:rsidR="00E66771" w:rsidRPr="008E3258">
        <w:t>’s confidentiality obligation</w:t>
      </w:r>
      <w:r w:rsidR="00E66771">
        <w:t>.</w:t>
      </w:r>
    </w:p>
    <w:p w:rsidR="00E66771" w:rsidRPr="004D38D2" w:rsidRDefault="00523916" w:rsidP="001F42F0">
      <w:pPr>
        <w:pStyle w:val="Bodynumbered-Level1"/>
        <w:ind w:left="851" w:right="-22" w:hanging="851"/>
      </w:pPr>
      <w:r>
        <w:t>12.6.5</w:t>
      </w:r>
      <w:r>
        <w:tab/>
      </w:r>
      <w:r w:rsidR="00E66771">
        <w:t xml:space="preserve">The Department may share with State or Territory governments (on a confidential basis) any or all information contained in applications which it considers relevant to the respective jurisdiction based on the location of the Proposed Base Station(s), including costings </w:t>
      </w:r>
      <w:r w:rsidR="00E66771">
        <w:lastRenderedPageBreak/>
        <w:t>for Proposed Base Stations that are not successful in receiving funding through the Programme.</w:t>
      </w:r>
    </w:p>
    <w:p w:rsidR="00E66771" w:rsidRPr="0031276D" w:rsidRDefault="00E66771" w:rsidP="00A06684">
      <w:pPr>
        <w:pStyle w:val="Heading2"/>
        <w:tabs>
          <w:tab w:val="left" w:pos="851"/>
        </w:tabs>
        <w:ind w:hanging="1144"/>
      </w:pPr>
      <w:bookmarkStart w:id="345" w:name="_Toc393908604"/>
      <w:bookmarkStart w:id="346" w:name="_Toc405380469"/>
      <w:bookmarkStart w:id="347" w:name="_Toc407007281"/>
      <w:r w:rsidRPr="00E04541">
        <w:t>Intellectual Property rights</w:t>
      </w:r>
      <w:bookmarkEnd w:id="345"/>
      <w:bookmarkEnd w:id="346"/>
      <w:bookmarkEnd w:id="347"/>
    </w:p>
    <w:p w:rsidR="00E66771" w:rsidRPr="00DE24F1" w:rsidRDefault="00523916" w:rsidP="001F42F0">
      <w:pPr>
        <w:pStyle w:val="Bodynumbered-Level1"/>
        <w:ind w:left="851" w:right="-22" w:hanging="851"/>
      </w:pPr>
      <w:r>
        <w:t>12.7.1</w:t>
      </w:r>
      <w:r>
        <w:tab/>
      </w:r>
      <w:r w:rsidR="00E66771" w:rsidRPr="00DE24F1">
        <w:t xml:space="preserve">By submitting an application under </w:t>
      </w:r>
      <w:r w:rsidR="00E66771">
        <w:t xml:space="preserve">the </w:t>
      </w:r>
      <w:r w:rsidR="00E66771" w:rsidRPr="00DE24F1">
        <w:t>Programme, to the extent the ap</w:t>
      </w:r>
      <w:r w:rsidR="00E66771">
        <w:t>plicant’s application contains:</w:t>
      </w:r>
    </w:p>
    <w:p w:rsidR="00E66771" w:rsidRPr="008E3258" w:rsidRDefault="001F42F0" w:rsidP="00C81201">
      <w:pPr>
        <w:pStyle w:val="Bodynumbered-Level3"/>
        <w:numPr>
          <w:ilvl w:val="0"/>
          <w:numId w:val="0"/>
        </w:numPr>
        <w:spacing w:after="120"/>
        <w:ind w:left="1418" w:hanging="567"/>
      </w:pPr>
      <w:r>
        <w:t>(a)</w:t>
      </w:r>
      <w:r>
        <w:tab/>
      </w:r>
      <w:r w:rsidR="00E66771" w:rsidRPr="008E3258">
        <w:t xml:space="preserve">its </w:t>
      </w:r>
      <w:r w:rsidR="00E66771" w:rsidRPr="001723A5">
        <w:rPr>
          <w:b/>
        </w:rPr>
        <w:t>Intellectual Property</w:t>
      </w:r>
      <w:r w:rsidR="003F0E35">
        <w:t xml:space="preserve">; </w:t>
      </w:r>
      <w:r w:rsidR="00E66771" w:rsidRPr="008E3258">
        <w:t>or</w:t>
      </w:r>
    </w:p>
    <w:p w:rsidR="00E66771" w:rsidRPr="008E3258" w:rsidRDefault="001F42F0" w:rsidP="00C81201">
      <w:pPr>
        <w:pStyle w:val="Bodynumbered-Level3"/>
        <w:numPr>
          <w:ilvl w:val="0"/>
          <w:numId w:val="0"/>
        </w:numPr>
        <w:spacing w:after="120"/>
        <w:ind w:left="1418" w:hanging="567"/>
      </w:pPr>
      <w:r>
        <w:t>(b)</w:t>
      </w:r>
      <w:r>
        <w:tab/>
      </w:r>
      <w:r w:rsidR="00E66771">
        <w:t xml:space="preserve">a </w:t>
      </w:r>
      <w:r w:rsidR="00E66771" w:rsidRPr="008E3258">
        <w:t>third</w:t>
      </w:r>
      <w:r w:rsidR="00E66771">
        <w:t xml:space="preserve"> par</w:t>
      </w:r>
      <w:r w:rsidR="000370F9">
        <w:t>ty’s Intellectual Property.</w:t>
      </w:r>
    </w:p>
    <w:p w:rsidR="00E66771" w:rsidRPr="00DE24F1" w:rsidRDefault="00E66771" w:rsidP="00317DC0">
      <w:pPr>
        <w:pStyle w:val="Bodynumbered-Level1"/>
        <w:ind w:left="851" w:right="-164" w:firstLine="0"/>
      </w:pPr>
      <w:r w:rsidRPr="00DE24F1">
        <w:t>the applicant grants (or will procure for) the Commonwealth a permanent, irrevocable, royalty-free, worldwide, non-exclusive licence (including a right of sublicen</w:t>
      </w:r>
      <w:r>
        <w:t>s</w:t>
      </w:r>
      <w:r w:rsidRPr="00DE24F1">
        <w:t>e) to use, reproduce, adapt, communicate and exploit the applicant’s Intellectual Property contained in its application under the Programme provided it is in connection with any assessment processes under, or th</w:t>
      </w:r>
      <w:r>
        <w:t>e evaluation of, the Programme.</w:t>
      </w:r>
    </w:p>
    <w:p w:rsidR="00E66771" w:rsidRPr="00DE24F1" w:rsidRDefault="00523916" w:rsidP="00317DC0">
      <w:pPr>
        <w:pStyle w:val="Bodynumbered-Level1"/>
        <w:ind w:left="851" w:right="-164" w:hanging="851"/>
      </w:pPr>
      <w:r>
        <w:t>12.7.2</w:t>
      </w:r>
      <w:r>
        <w:tab/>
      </w:r>
      <w:r w:rsidR="00E66771" w:rsidRPr="00DE24F1">
        <w:t>Any licence granted to the Commonwealth in relation to Intellectual Property rights does not include a right to exploit such Intellectual Property for commercial purposes.</w:t>
      </w:r>
    </w:p>
    <w:p w:rsidR="00E66771" w:rsidRPr="00E04541" w:rsidRDefault="00E66771" w:rsidP="00A06684">
      <w:pPr>
        <w:pStyle w:val="Heading2"/>
        <w:tabs>
          <w:tab w:val="left" w:pos="851"/>
        </w:tabs>
        <w:ind w:hanging="1144"/>
      </w:pPr>
      <w:bookmarkStart w:id="348" w:name="_Ref389786612"/>
      <w:bookmarkStart w:id="349" w:name="_Toc393908605"/>
      <w:bookmarkStart w:id="350" w:name="_Toc405380470"/>
      <w:bookmarkStart w:id="351" w:name="_Toc407007282"/>
      <w:r w:rsidRPr="00E04541">
        <w:t>Privacy of individuals</w:t>
      </w:r>
      <w:bookmarkEnd w:id="348"/>
      <w:bookmarkEnd w:id="349"/>
      <w:bookmarkEnd w:id="350"/>
      <w:bookmarkEnd w:id="351"/>
    </w:p>
    <w:p w:rsidR="00E66771" w:rsidRPr="00DE24F1" w:rsidRDefault="00523916" w:rsidP="00317DC0">
      <w:pPr>
        <w:pStyle w:val="Bodynumbered-Level1"/>
        <w:ind w:left="851" w:right="-306" w:hanging="851"/>
      </w:pPr>
      <w:r>
        <w:t>12.8.1</w:t>
      </w:r>
      <w:r>
        <w:tab/>
      </w:r>
      <w:r w:rsidR="00E66771" w:rsidRPr="00DE24F1">
        <w:t xml:space="preserve">The Department is covered by </w:t>
      </w:r>
      <w:r w:rsidR="00E66771" w:rsidRPr="000C16EC">
        <w:rPr>
          <w:i/>
        </w:rPr>
        <w:t>the Privacy Act 1988</w:t>
      </w:r>
      <w:r w:rsidR="00E66771" w:rsidRPr="00DE24F1">
        <w:t xml:space="preserve"> (the Privacy Act). The Privacy Act contains 13 Australian Privacy Principles (the </w:t>
      </w:r>
      <w:r w:rsidR="00E66771" w:rsidRPr="007C3CE9">
        <w:t>APPs</w:t>
      </w:r>
      <w:r w:rsidR="00E66771" w:rsidRPr="00DE24F1">
        <w:t>) which governs how the Department collects, uses and discloses personal and sensitive information, and how individuals can access and correct records containing their personal or sensitive information.</w:t>
      </w:r>
    </w:p>
    <w:p w:rsidR="00E66771" w:rsidRPr="00A95D7D" w:rsidRDefault="00523916" w:rsidP="00317DC0">
      <w:pPr>
        <w:pStyle w:val="Bodynumbered-Level1"/>
        <w:ind w:left="851" w:right="-306" w:hanging="851"/>
      </w:pPr>
      <w:r>
        <w:t>12.8.2</w:t>
      </w:r>
      <w:r>
        <w:tab/>
      </w:r>
      <w:r w:rsidR="00E66771" w:rsidRPr="00DE24F1">
        <w:t>The Department is committed to protecting personal information appropriately. If</w:t>
      </w:r>
      <w:r w:rsidR="00E66771">
        <w:t xml:space="preserve"> individuals within the applying organisation </w:t>
      </w:r>
      <w:r w:rsidR="00E66771" w:rsidRPr="00DE24F1">
        <w:t xml:space="preserve">wish to deal with the Department anonymously or by using a pseudonym, </w:t>
      </w:r>
      <w:r w:rsidR="00E66771">
        <w:t>it should</w:t>
      </w:r>
      <w:r w:rsidR="00E66771" w:rsidRPr="00DE24F1">
        <w:t xml:space="preserve"> advise the Departmental contact officer for the Programme or contact the Department’s Client Service Manager (see details below).</w:t>
      </w:r>
    </w:p>
    <w:p w:rsidR="00E66771" w:rsidRPr="00E04541" w:rsidRDefault="00E66771" w:rsidP="00A06684">
      <w:pPr>
        <w:pStyle w:val="Heading2"/>
        <w:tabs>
          <w:tab w:val="left" w:pos="851"/>
        </w:tabs>
        <w:ind w:hanging="1144"/>
      </w:pPr>
      <w:bookmarkStart w:id="352" w:name="_Toc393908606"/>
      <w:bookmarkStart w:id="353" w:name="_Toc405380471"/>
      <w:bookmarkStart w:id="354" w:name="_Toc407007283"/>
      <w:r w:rsidRPr="00E04541">
        <w:t>Personal information to be collected by the Department</w:t>
      </w:r>
      <w:bookmarkEnd w:id="352"/>
      <w:bookmarkEnd w:id="353"/>
      <w:bookmarkEnd w:id="354"/>
    </w:p>
    <w:p w:rsidR="00E66771" w:rsidRPr="00DE24F1" w:rsidRDefault="00523916" w:rsidP="00CC4366">
      <w:pPr>
        <w:pStyle w:val="Bodynumbered-Level1"/>
        <w:ind w:left="851" w:right="-306" w:hanging="851"/>
      </w:pPr>
      <w:r>
        <w:t>12.9.1</w:t>
      </w:r>
      <w:r>
        <w:tab/>
      </w:r>
      <w:r w:rsidR="00E66771" w:rsidRPr="00DE24F1">
        <w:t>The Department may collect personal information in the applicant’s application and this may include names, contain details and other personal information, which the applicant has supplied to the Department in its ap</w:t>
      </w:r>
      <w:r w:rsidR="00E66771">
        <w:t>plication under the Programme.</w:t>
      </w:r>
    </w:p>
    <w:p w:rsidR="00E66771" w:rsidRPr="00DE24F1" w:rsidRDefault="00523916" w:rsidP="00CC4366">
      <w:pPr>
        <w:pStyle w:val="Bodynumbered-Level1"/>
        <w:ind w:left="851" w:right="-306" w:hanging="851"/>
      </w:pPr>
      <w:r>
        <w:t>12.9.2</w:t>
      </w:r>
      <w:r>
        <w:tab/>
      </w:r>
      <w:r w:rsidR="00E66771" w:rsidRPr="00DE24F1">
        <w:t>By providing the Department with personal information in the applicant’s application under the Programme, the applicant consent</w:t>
      </w:r>
      <w:r w:rsidR="00E66771">
        <w:t>s</w:t>
      </w:r>
      <w:r w:rsidR="00E66771" w:rsidRPr="00DE24F1">
        <w:t xml:space="preserve"> to the Department collecting, using and disclosing that personal information in accordance with </w:t>
      </w:r>
      <w:r w:rsidR="00E66771">
        <w:t>these Guidelines.</w:t>
      </w:r>
    </w:p>
    <w:p w:rsidR="00E66771" w:rsidRDefault="00523916" w:rsidP="00CC4366">
      <w:pPr>
        <w:pStyle w:val="Bodynumbered-Level1"/>
        <w:ind w:left="851" w:right="-306" w:hanging="851"/>
      </w:pPr>
      <w:r>
        <w:t>12.9.3</w:t>
      </w:r>
      <w:r>
        <w:tab/>
      </w:r>
      <w:r w:rsidR="00E66771" w:rsidRPr="00DE24F1">
        <w:t xml:space="preserve">If the applicant does not consent to the Department's collection, use and disclosure of the personal information contained in its application under the Programme, in accordance with </w:t>
      </w:r>
      <w:r w:rsidR="00E66771">
        <w:t>these</w:t>
      </w:r>
      <w:r w:rsidR="00E66771" w:rsidRPr="00DE24F1">
        <w:t xml:space="preserve"> Guidelines, this may mean that the Department may not be able to progress or assess the application further for funding under the Programme.</w:t>
      </w:r>
    </w:p>
    <w:p w:rsidR="00E66771" w:rsidRPr="0031276D" w:rsidRDefault="00E66771" w:rsidP="00CC4366">
      <w:pPr>
        <w:pStyle w:val="Heading2"/>
        <w:tabs>
          <w:tab w:val="left" w:pos="851"/>
        </w:tabs>
        <w:ind w:left="851" w:hanging="851"/>
      </w:pPr>
      <w:bookmarkStart w:id="355" w:name="_Toc393908607"/>
      <w:bookmarkStart w:id="356" w:name="_Toc405380472"/>
      <w:bookmarkStart w:id="357" w:name="_Toc407007284"/>
      <w:r w:rsidRPr="00E04541">
        <w:t>Pu</w:t>
      </w:r>
      <w:r w:rsidRPr="0031276D">
        <w:t>rpose for which the Department</w:t>
      </w:r>
      <w:r w:rsidR="000370F9">
        <w:t xml:space="preserve"> will use and disclose personal </w:t>
      </w:r>
      <w:r w:rsidRPr="0031276D">
        <w:t>information</w:t>
      </w:r>
      <w:bookmarkEnd w:id="355"/>
      <w:bookmarkEnd w:id="356"/>
      <w:bookmarkEnd w:id="357"/>
    </w:p>
    <w:p w:rsidR="00E66771" w:rsidRPr="00DE24F1" w:rsidRDefault="000370F9" w:rsidP="00CC4366">
      <w:pPr>
        <w:pStyle w:val="Bodynumbered-Level1"/>
        <w:ind w:left="851" w:right="-164" w:hanging="851"/>
      </w:pPr>
      <w:r>
        <w:lastRenderedPageBreak/>
        <w:t>12.10.1</w:t>
      </w:r>
      <w:r w:rsidR="00CC4366">
        <w:tab/>
      </w:r>
      <w:r w:rsidR="00E66771" w:rsidRPr="00DE24F1">
        <w:t>The Department may collect personal information from the applicant contained in its application for the purpose of carrying out the activities and functions of the Department related to the Programme. In order to carry out its functions and activities connected to the Programme, the Department may use the collected personal information for the purpose of any assessment processes under, or the evaluation of, the Programme.</w:t>
      </w:r>
    </w:p>
    <w:p w:rsidR="00E66771" w:rsidRPr="00DE24F1" w:rsidRDefault="000370F9" w:rsidP="00CC4366">
      <w:pPr>
        <w:pStyle w:val="Bodynumbered-Level1"/>
        <w:ind w:left="851" w:right="-306" w:hanging="851"/>
      </w:pPr>
      <w:r>
        <w:t>12.10.2</w:t>
      </w:r>
      <w:r w:rsidR="00CC4366">
        <w:tab/>
      </w:r>
      <w:r w:rsidR="00E66771" w:rsidRPr="00DE24F1">
        <w:t>Further, in order to carrying out its functions and activities connected to the Programme, the Department may also disclose the collected personal information to other Commonwealth,</w:t>
      </w:r>
      <w:r w:rsidR="00E66771">
        <w:t xml:space="preserve"> State or Territory agencies.</w:t>
      </w:r>
    </w:p>
    <w:p w:rsidR="00E66771" w:rsidRPr="00DE24F1" w:rsidRDefault="000370F9" w:rsidP="00CC4366">
      <w:pPr>
        <w:pStyle w:val="Bodynumbered-Level1"/>
        <w:ind w:left="851" w:right="-164" w:hanging="851"/>
      </w:pPr>
      <w:r>
        <w:t>12.10.3</w:t>
      </w:r>
      <w:r w:rsidR="00CC4366">
        <w:tab/>
      </w:r>
      <w:r w:rsidR="00E66771" w:rsidRPr="00DE24F1">
        <w:t>The Department will use the personal information collected from the applicant for the primary purpose it was collected. The Department may use or disclose this personal information for another purpose (i.e. secondary purpose) if:</w:t>
      </w:r>
    </w:p>
    <w:p w:rsidR="00E66771" w:rsidRPr="008E3258" w:rsidRDefault="00CC4366" w:rsidP="000A3B7D">
      <w:pPr>
        <w:pStyle w:val="Bodynumbered-Level3"/>
        <w:numPr>
          <w:ilvl w:val="0"/>
          <w:numId w:val="0"/>
        </w:numPr>
        <w:spacing w:after="120"/>
        <w:ind w:left="1418" w:hanging="567"/>
      </w:pPr>
      <w:r>
        <w:t>(a)</w:t>
      </w:r>
      <w:r>
        <w:tab/>
      </w:r>
      <w:r w:rsidR="00E66771" w:rsidRPr="008E3258">
        <w:t>the applicant reasonably expect the information to be</w:t>
      </w:r>
      <w:r w:rsidR="000370F9">
        <w:t xml:space="preserve"> used for the secondary purpose</w:t>
      </w:r>
      <w:r w:rsidR="003F0E35">
        <w:t>;</w:t>
      </w:r>
    </w:p>
    <w:p w:rsidR="00E66771" w:rsidRPr="008E3258" w:rsidRDefault="00CC4366" w:rsidP="000A3B7D">
      <w:pPr>
        <w:pStyle w:val="Bodynumbered-Level3"/>
        <w:numPr>
          <w:ilvl w:val="0"/>
          <w:numId w:val="0"/>
        </w:numPr>
        <w:spacing w:after="120"/>
        <w:ind w:left="1418" w:hanging="567"/>
      </w:pPr>
      <w:r>
        <w:t>(b)</w:t>
      </w:r>
      <w:r>
        <w:tab/>
      </w:r>
      <w:r w:rsidR="00E66771" w:rsidRPr="008E3258">
        <w:t>it is required or authorised by law or a permitted general situation exist</w:t>
      </w:r>
      <w:r w:rsidR="00E66771">
        <w:t>s</w:t>
      </w:r>
      <w:r w:rsidR="000370F9">
        <w:t xml:space="preserve"> under the Privacy Act</w:t>
      </w:r>
      <w:r w:rsidR="003F0E35">
        <w:t>;</w:t>
      </w:r>
    </w:p>
    <w:p w:rsidR="00E66771" w:rsidRPr="008E3258" w:rsidRDefault="00CC4366" w:rsidP="000A3B7D">
      <w:pPr>
        <w:pStyle w:val="Bodynumbered-Level3"/>
        <w:numPr>
          <w:ilvl w:val="0"/>
          <w:numId w:val="0"/>
        </w:numPr>
        <w:spacing w:after="120"/>
        <w:ind w:left="1418" w:hanging="567"/>
      </w:pPr>
      <w:r>
        <w:t>(c)</w:t>
      </w:r>
      <w:r>
        <w:tab/>
      </w:r>
      <w:r w:rsidR="00E66771" w:rsidRPr="008E3258">
        <w:t>the applicant give</w:t>
      </w:r>
      <w:r w:rsidR="00E66771">
        <w:t>s</w:t>
      </w:r>
      <w:r w:rsidR="003F0E35">
        <w:t xml:space="preserve"> the Department permission; </w:t>
      </w:r>
      <w:r w:rsidR="00E66771" w:rsidRPr="008E3258">
        <w:t>or</w:t>
      </w:r>
    </w:p>
    <w:p w:rsidR="00E66771" w:rsidRPr="008E3258" w:rsidRDefault="00CC4366" w:rsidP="000A3B7D">
      <w:pPr>
        <w:pStyle w:val="Bodynumbered-Level3"/>
        <w:numPr>
          <w:ilvl w:val="0"/>
          <w:numId w:val="0"/>
        </w:numPr>
        <w:spacing w:after="120"/>
        <w:ind w:left="1418" w:hanging="567"/>
      </w:pPr>
      <w:r>
        <w:t>(d)</w:t>
      </w:r>
      <w:r>
        <w:tab/>
      </w:r>
      <w:r w:rsidR="00E66771" w:rsidRPr="008E3258">
        <w:t>the Department reasonably believes the use or disclosure is reasonably necessary for one or more enforcement related activities conducted by, or on behalf of, an enforcement body.</w:t>
      </w:r>
    </w:p>
    <w:p w:rsidR="00E66771" w:rsidRPr="005933C5" w:rsidRDefault="00E66771" w:rsidP="00FD6380">
      <w:pPr>
        <w:pStyle w:val="Heading2"/>
        <w:tabs>
          <w:tab w:val="left" w:pos="851"/>
        </w:tabs>
        <w:ind w:hanging="1144"/>
      </w:pPr>
      <w:bookmarkStart w:id="358" w:name="_Toc390632827"/>
      <w:bookmarkStart w:id="359" w:name="_Toc390637672"/>
      <w:bookmarkStart w:id="360" w:name="_Toc390637773"/>
      <w:bookmarkStart w:id="361" w:name="_Toc390637852"/>
      <w:bookmarkStart w:id="362" w:name="_Toc390637934"/>
      <w:bookmarkStart w:id="363" w:name="_Toc390639119"/>
      <w:bookmarkStart w:id="364" w:name="_Toc390639255"/>
      <w:bookmarkStart w:id="365" w:name="_Toc390640424"/>
      <w:bookmarkStart w:id="366" w:name="_Toc390640674"/>
      <w:bookmarkStart w:id="367" w:name="_Toc390641554"/>
      <w:bookmarkStart w:id="368" w:name="_Toc393908608"/>
      <w:bookmarkStart w:id="369" w:name="_Toc405380473"/>
      <w:bookmarkStart w:id="370" w:name="_Toc407007285"/>
      <w:bookmarkEnd w:id="358"/>
      <w:bookmarkEnd w:id="359"/>
      <w:bookmarkEnd w:id="360"/>
      <w:bookmarkEnd w:id="361"/>
      <w:bookmarkEnd w:id="362"/>
      <w:bookmarkEnd w:id="363"/>
      <w:bookmarkEnd w:id="364"/>
      <w:bookmarkEnd w:id="365"/>
      <w:bookmarkEnd w:id="366"/>
      <w:bookmarkEnd w:id="367"/>
      <w:r w:rsidRPr="00E04541">
        <w:t xml:space="preserve">Department’s </w:t>
      </w:r>
      <w:r>
        <w:t>c</w:t>
      </w:r>
      <w:r w:rsidRPr="005933C5">
        <w:t>ontact point for privacy matters</w:t>
      </w:r>
      <w:bookmarkEnd w:id="368"/>
      <w:bookmarkEnd w:id="369"/>
      <w:bookmarkEnd w:id="370"/>
    </w:p>
    <w:p w:rsidR="00E66771" w:rsidRPr="00DE24F1" w:rsidRDefault="000370F9" w:rsidP="0086503D">
      <w:pPr>
        <w:pStyle w:val="Bodynumbered-Level1"/>
        <w:ind w:left="851" w:right="-164" w:hanging="851"/>
      </w:pPr>
      <w:r>
        <w:t>12.11.1</w:t>
      </w:r>
      <w:r w:rsidR="0086503D">
        <w:tab/>
        <w:t>F</w:t>
      </w:r>
      <w:r w:rsidR="0086503D" w:rsidRPr="00DE24F1">
        <w:t xml:space="preserve">or </w:t>
      </w:r>
      <w:r w:rsidR="0086503D">
        <w:t>further</w:t>
      </w:r>
      <w:r w:rsidR="00E66771" w:rsidRPr="00DE24F1">
        <w:t xml:space="preserve"> information about how the Department is committed to protecting personal information appropriately in accordance with t</w:t>
      </w:r>
      <w:r>
        <w:t>he APPs</w:t>
      </w:r>
      <w:r w:rsidR="0086503D">
        <w:t>, s</w:t>
      </w:r>
      <w:r w:rsidR="00E66771" w:rsidRPr="00DE24F1">
        <w:t xml:space="preserve">ee the Department’s </w:t>
      </w:r>
      <w:r w:rsidR="00E66771" w:rsidRPr="0086503D">
        <w:t>APP Privacy Policy</w:t>
      </w:r>
      <w:r w:rsidR="00E66771" w:rsidRPr="00DE24F1">
        <w:t xml:space="preserve"> </w:t>
      </w:r>
      <w:r w:rsidR="0086503D">
        <w:t xml:space="preserve">on its website at </w:t>
      </w:r>
      <w:hyperlink r:id="rId16" w:history="1">
        <w:r w:rsidR="0086073A" w:rsidRPr="006175F1">
          <w:rPr>
            <w:rStyle w:val="Hyperlink"/>
          </w:rPr>
          <w:t>www.communications.gov.au/privacy</w:t>
        </w:r>
      </w:hyperlink>
    </w:p>
    <w:p w:rsidR="00E66771" w:rsidRPr="00DE24F1" w:rsidRDefault="000370F9" w:rsidP="0086503D">
      <w:pPr>
        <w:pStyle w:val="Bodynumbered-Level1"/>
        <w:ind w:left="851" w:right="-164" w:hanging="851"/>
      </w:pPr>
      <w:r>
        <w:t>12.11.</w:t>
      </w:r>
      <w:r w:rsidRPr="0086503D">
        <w:t>2</w:t>
      </w:r>
      <w:r w:rsidR="0086503D" w:rsidRPr="0086503D">
        <w:tab/>
      </w:r>
      <w:r w:rsidR="0086503D">
        <w:t>For</w:t>
      </w:r>
      <w:r w:rsidR="00E66771" w:rsidRPr="00DE24F1">
        <w:t xml:space="preserve"> further information about the Department's handling of personal information, contact the Department’s</w:t>
      </w:r>
      <w:r w:rsidR="00E66771" w:rsidRPr="00312BE7">
        <w:t xml:space="preserve"> </w:t>
      </w:r>
      <w:hyperlink r:id="rId17" w:history="1">
        <w:r w:rsidR="00E66771" w:rsidRPr="0086503D">
          <w:t>Client Service Manager</w:t>
        </w:r>
      </w:hyperlink>
      <w:r w:rsidR="00E66771" w:rsidRPr="00DE24F1">
        <w:t xml:space="preserve"> by </w:t>
      </w:r>
      <w:r w:rsidR="0086503D">
        <w:t xml:space="preserve">sending an email to </w:t>
      </w:r>
      <w:hyperlink r:id="rId18" w:history="1">
        <w:r w:rsidR="00E66771" w:rsidRPr="00DE24F1">
          <w:t>clientservice@communications.gov.au</w:t>
        </w:r>
      </w:hyperlink>
      <w:r w:rsidR="00E66771" w:rsidRPr="00DE24F1">
        <w:t xml:space="preserve"> or by writing to the Department </w:t>
      </w:r>
      <w:r w:rsidR="00E66771" w:rsidRPr="0086503D">
        <w:t>a</w:t>
      </w:r>
      <w:r w:rsidR="0086503D">
        <w:t>t</w:t>
      </w:r>
      <w:r w:rsidR="00E66771" w:rsidRPr="0086503D">
        <w:t xml:space="preserve"> </w:t>
      </w:r>
      <w:r w:rsidR="0086503D">
        <w:t>the following address</w:t>
      </w:r>
      <w:r w:rsidR="00E66771" w:rsidRPr="00DE24F1">
        <w:t>:</w:t>
      </w:r>
    </w:p>
    <w:p w:rsidR="00E66771" w:rsidRPr="00DE24F1" w:rsidRDefault="00E66771" w:rsidP="0086503D">
      <w:pPr>
        <w:pStyle w:val="Bodynumbered-Level1"/>
        <w:ind w:left="1440" w:firstLine="0"/>
      </w:pPr>
      <w:r w:rsidRPr="008E3258">
        <w:t>Client Service Manager</w:t>
      </w:r>
      <w:r w:rsidR="00F50D49">
        <w:br/>
      </w:r>
      <w:r w:rsidRPr="008E3258">
        <w:t>Department of Communications</w:t>
      </w:r>
      <w:r w:rsidR="00F50D49">
        <w:br/>
      </w:r>
      <w:r w:rsidRPr="008E3258">
        <w:t>GPO Box 2154</w:t>
      </w:r>
      <w:r w:rsidR="00F50D49">
        <w:br/>
      </w:r>
      <w:r>
        <w:t>CANBERRA  ACT  2601</w:t>
      </w:r>
    </w:p>
    <w:p w:rsidR="00E66771" w:rsidRPr="00D06C1F" w:rsidRDefault="000370F9" w:rsidP="0086503D">
      <w:pPr>
        <w:pStyle w:val="Bodynumbered-Level1"/>
        <w:ind w:left="851" w:right="-164" w:hanging="851"/>
      </w:pPr>
      <w:bookmarkStart w:id="371" w:name="_Toc388963739"/>
      <w:bookmarkStart w:id="372" w:name="_Toc389122777"/>
      <w:bookmarkStart w:id="373" w:name="_Toc388963740"/>
      <w:bookmarkStart w:id="374" w:name="_Toc389122778"/>
      <w:bookmarkStart w:id="375" w:name="_Toc388963741"/>
      <w:bookmarkStart w:id="376" w:name="_Toc389122779"/>
      <w:bookmarkStart w:id="377" w:name="_Toc388963742"/>
      <w:bookmarkStart w:id="378" w:name="_Toc389122780"/>
      <w:bookmarkStart w:id="379" w:name="_Toc388963743"/>
      <w:bookmarkStart w:id="380" w:name="_Toc389122781"/>
      <w:bookmarkStart w:id="381" w:name="_Toc388963744"/>
      <w:bookmarkStart w:id="382" w:name="_Toc389122782"/>
      <w:bookmarkStart w:id="383" w:name="_Toc388963745"/>
      <w:bookmarkStart w:id="384" w:name="_Toc389122783"/>
      <w:bookmarkStart w:id="385" w:name="_Toc388963746"/>
      <w:bookmarkStart w:id="386" w:name="_Toc389122784"/>
      <w:bookmarkStart w:id="387" w:name="_Toc388963747"/>
      <w:bookmarkStart w:id="388" w:name="_Toc389122785"/>
      <w:bookmarkStart w:id="389" w:name="_Toc388963748"/>
      <w:bookmarkStart w:id="390" w:name="_Toc389122786"/>
      <w:bookmarkStart w:id="391" w:name="_Toc388963749"/>
      <w:bookmarkStart w:id="392" w:name="_Toc389122787"/>
      <w:bookmarkStart w:id="393" w:name="_Toc388963750"/>
      <w:bookmarkStart w:id="394" w:name="_Toc389122788"/>
      <w:bookmarkStart w:id="395" w:name="_Toc388963751"/>
      <w:bookmarkStart w:id="396" w:name="_Toc389122789"/>
      <w:bookmarkStart w:id="397" w:name="_Toc388963752"/>
      <w:bookmarkStart w:id="398" w:name="_Toc389122790"/>
      <w:bookmarkStart w:id="399" w:name="_Toc388963753"/>
      <w:bookmarkStart w:id="400" w:name="_Toc389122791"/>
      <w:bookmarkStart w:id="401" w:name="_Toc388963754"/>
      <w:bookmarkStart w:id="402" w:name="_Toc389122792"/>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t>12.11.3</w:t>
      </w:r>
      <w:r w:rsidR="0086503D">
        <w:tab/>
      </w:r>
      <w:r w:rsidR="00E66771" w:rsidRPr="00DE24F1">
        <w:t>General information about the Privacy Act and the APPs can also be found o</w:t>
      </w:r>
      <w:r w:rsidR="0086503D">
        <w:t>n</w:t>
      </w:r>
      <w:r w:rsidR="00E66771" w:rsidRPr="00DE24F1">
        <w:t xml:space="preserve"> the </w:t>
      </w:r>
      <w:hyperlink r:id="rId19" w:history="1">
        <w:r w:rsidR="00E66771" w:rsidRPr="0086503D">
          <w:t>Office of the Australian Information Commissioner's website</w:t>
        </w:r>
      </w:hyperlink>
      <w:r w:rsidR="00E66771" w:rsidRPr="00DE24F1">
        <w:t xml:space="preserve"> </w:t>
      </w:r>
      <w:r w:rsidR="0086503D">
        <w:t xml:space="preserve">at </w:t>
      </w:r>
      <w:hyperlink r:id="rId20" w:history="1">
        <w:r w:rsidR="0086073A" w:rsidRPr="006175F1">
          <w:rPr>
            <w:rStyle w:val="Hyperlink"/>
          </w:rPr>
          <w:t>www.oaic.gov.au</w:t>
        </w:r>
      </w:hyperlink>
    </w:p>
    <w:p w:rsidR="000A3B7D" w:rsidRDefault="000A3B7D" w:rsidP="0086503D">
      <w:pPr>
        <w:pStyle w:val="Bodynumbered-Level1"/>
        <w:ind w:left="851" w:right="-164" w:hanging="851"/>
      </w:pPr>
      <w:bookmarkStart w:id="403" w:name="_Toc386635516"/>
      <w:bookmarkStart w:id="404" w:name="_Toc393908609"/>
    </w:p>
    <w:p w:rsidR="000A3B7D" w:rsidRPr="00D06C1F" w:rsidRDefault="000A3B7D" w:rsidP="0086503D">
      <w:pPr>
        <w:pStyle w:val="Bodynumbered-Level1"/>
        <w:ind w:left="851" w:right="-164" w:hanging="851"/>
      </w:pPr>
    </w:p>
    <w:p w:rsidR="00E66771" w:rsidRPr="00E04541" w:rsidRDefault="00E66771" w:rsidP="001E517E">
      <w:pPr>
        <w:pStyle w:val="Heading2"/>
        <w:tabs>
          <w:tab w:val="left" w:pos="851"/>
        </w:tabs>
        <w:ind w:left="0" w:firstLine="0"/>
      </w:pPr>
      <w:bookmarkStart w:id="405" w:name="_Toc405380474"/>
      <w:bookmarkStart w:id="406" w:name="_Toc407007286"/>
      <w:r w:rsidRPr="00E04541">
        <w:t>Exclusion of liabilities</w:t>
      </w:r>
      <w:bookmarkEnd w:id="403"/>
      <w:bookmarkEnd w:id="404"/>
      <w:bookmarkEnd w:id="405"/>
      <w:bookmarkEnd w:id="406"/>
    </w:p>
    <w:p w:rsidR="00E66771" w:rsidRPr="00EC5939" w:rsidRDefault="000370F9" w:rsidP="001E517E">
      <w:pPr>
        <w:pStyle w:val="Bodynumbered-Level1"/>
        <w:ind w:left="851" w:right="-164" w:hanging="851"/>
      </w:pPr>
      <w:r>
        <w:lastRenderedPageBreak/>
        <w:t>12.12.1</w:t>
      </w:r>
      <w:r w:rsidR="00B03161">
        <w:tab/>
      </w:r>
      <w:r w:rsidR="00E66771" w:rsidRPr="00DE24F1">
        <w:t xml:space="preserve">The Department is not liable to applicants on the basis of promissory estoppel, equitable, </w:t>
      </w:r>
      <w:proofErr w:type="spellStart"/>
      <w:r w:rsidR="00E66771" w:rsidRPr="00DE24F1">
        <w:t>restitutionary</w:t>
      </w:r>
      <w:proofErr w:type="spellEnd"/>
      <w:r w:rsidR="00E66771" w:rsidRPr="00DE24F1">
        <w:t>, contractual or quasi</w:t>
      </w:r>
      <w:r w:rsidR="00E66771" w:rsidRPr="00DE24F1">
        <w:noBreakHyphen/>
        <w:t>contractual grounds, in relation to the selection process, including without limitation, when the Department:</w:t>
      </w:r>
    </w:p>
    <w:p w:rsidR="00E66771" w:rsidRPr="008E3258" w:rsidRDefault="001E517E" w:rsidP="000A3B7D">
      <w:pPr>
        <w:pStyle w:val="Bodynumbered-Level3"/>
        <w:numPr>
          <w:ilvl w:val="0"/>
          <w:numId w:val="0"/>
        </w:numPr>
        <w:spacing w:after="120"/>
        <w:ind w:left="1418" w:hanging="567"/>
      </w:pPr>
      <w:r>
        <w:t>(a)</w:t>
      </w:r>
      <w:r>
        <w:tab/>
      </w:r>
      <w:r w:rsidR="00E66771" w:rsidRPr="008E3258">
        <w:t>varies or terminates all or any part of the selection process or any negotiations</w:t>
      </w:r>
      <w:r w:rsidR="003F0E35">
        <w:t>;</w:t>
      </w:r>
    </w:p>
    <w:p w:rsidR="00E66771" w:rsidRPr="008E3258" w:rsidRDefault="001E517E" w:rsidP="000A3B7D">
      <w:pPr>
        <w:pStyle w:val="Bodynumbered-Level3"/>
        <w:numPr>
          <w:ilvl w:val="0"/>
          <w:numId w:val="0"/>
        </w:numPr>
        <w:spacing w:after="120"/>
        <w:ind w:left="1418" w:right="-22" w:hanging="567"/>
      </w:pPr>
      <w:r>
        <w:t>(b)</w:t>
      </w:r>
      <w:r>
        <w:tab/>
      </w:r>
      <w:r w:rsidR="00E66771" w:rsidRPr="008E3258">
        <w:t>decides not to fund any or all of the activities sought through the selection process</w:t>
      </w:r>
      <w:r w:rsidR="003F0E35">
        <w:t>;</w:t>
      </w:r>
    </w:p>
    <w:p w:rsidR="00E66771" w:rsidRPr="008E3258" w:rsidRDefault="001E517E" w:rsidP="000A3B7D">
      <w:pPr>
        <w:pStyle w:val="Bodynumbered-Level3"/>
        <w:numPr>
          <w:ilvl w:val="0"/>
          <w:numId w:val="0"/>
        </w:numPr>
        <w:spacing w:after="120"/>
        <w:ind w:left="1418" w:hanging="567"/>
      </w:pPr>
      <w:r>
        <w:t>(c)</w:t>
      </w:r>
      <w:r>
        <w:tab/>
      </w:r>
      <w:r w:rsidR="00E66771" w:rsidRPr="008E3258">
        <w:t>varies the selection process</w:t>
      </w:r>
      <w:r w:rsidR="003F0E35">
        <w:t xml:space="preserve">; </w:t>
      </w:r>
      <w:r w:rsidR="00E66771">
        <w:t>or</w:t>
      </w:r>
    </w:p>
    <w:p w:rsidR="00E66771" w:rsidRPr="008E3258" w:rsidRDefault="001E517E" w:rsidP="000A3B7D">
      <w:pPr>
        <w:pStyle w:val="Bodynumbered-Level3"/>
        <w:numPr>
          <w:ilvl w:val="0"/>
          <w:numId w:val="0"/>
        </w:numPr>
        <w:spacing w:after="120"/>
        <w:ind w:left="1418" w:hanging="567"/>
      </w:pPr>
      <w:r>
        <w:t>(d)</w:t>
      </w:r>
      <w:r>
        <w:tab/>
      </w:r>
      <w:r w:rsidR="00E66771" w:rsidRPr="008E3258">
        <w:t>exercises or fails to exercise any of its other rights under, or in relation to these Guidelines.</w:t>
      </w:r>
    </w:p>
    <w:p w:rsidR="00E66771" w:rsidRPr="00E04541" w:rsidRDefault="00E66771" w:rsidP="00B03161">
      <w:pPr>
        <w:pStyle w:val="Heading2"/>
        <w:tabs>
          <w:tab w:val="left" w:pos="851"/>
        </w:tabs>
        <w:ind w:hanging="1144"/>
      </w:pPr>
      <w:bookmarkStart w:id="407" w:name="_Toc386635517"/>
      <w:bookmarkStart w:id="408" w:name="_Toc393908610"/>
      <w:bookmarkStart w:id="409" w:name="_Toc405380475"/>
      <w:bookmarkStart w:id="410" w:name="_Toc407007287"/>
      <w:r w:rsidRPr="00E04541">
        <w:t>Disclaimer</w:t>
      </w:r>
      <w:bookmarkEnd w:id="407"/>
      <w:bookmarkEnd w:id="408"/>
      <w:bookmarkEnd w:id="409"/>
      <w:bookmarkEnd w:id="410"/>
    </w:p>
    <w:p w:rsidR="00E66771" w:rsidRPr="00EC5939" w:rsidRDefault="000370F9" w:rsidP="00FD6380">
      <w:pPr>
        <w:pStyle w:val="Bodynumbered-Level1"/>
        <w:ind w:left="851" w:right="-164" w:hanging="851"/>
      </w:pPr>
      <w:r>
        <w:t>12.13.1</w:t>
      </w:r>
      <w:r w:rsidR="00FD6380">
        <w:tab/>
      </w:r>
      <w:r w:rsidR="00E66771" w:rsidRPr="00DE24F1">
        <w:t xml:space="preserve">The </w:t>
      </w:r>
      <w:r w:rsidR="00E66771">
        <w:t xml:space="preserve">Commonwealth, the </w:t>
      </w:r>
      <w:r w:rsidR="00E66771" w:rsidRPr="00DE24F1">
        <w:t>Department and its officers, employees, agents and advisors:</w:t>
      </w:r>
    </w:p>
    <w:p w:rsidR="00E66771" w:rsidRPr="008E3258" w:rsidRDefault="00FD6380" w:rsidP="000A3B7D">
      <w:pPr>
        <w:pStyle w:val="Bodynumbered-Level3"/>
        <w:numPr>
          <w:ilvl w:val="0"/>
          <w:numId w:val="0"/>
        </w:numPr>
        <w:spacing w:after="120"/>
        <w:ind w:left="1418" w:hanging="567"/>
      </w:pPr>
      <w:r>
        <w:t>(a)</w:t>
      </w:r>
      <w:r>
        <w:tab/>
      </w:r>
      <w:r w:rsidR="00E66771" w:rsidRPr="00DE24F1">
        <w:t>are not, and will not be, responsible or liable for the accuracy or completeness of</w:t>
      </w:r>
      <w:r w:rsidR="00E66771" w:rsidRPr="008E3258">
        <w:t xml:space="preserve"> any information in or provided in connection with these Guidelines and associated forms</w:t>
      </w:r>
      <w:r w:rsidR="001723A5">
        <w:t>;</w:t>
      </w:r>
    </w:p>
    <w:p w:rsidR="00E66771" w:rsidRPr="008E3258" w:rsidRDefault="00FD6380" w:rsidP="000A3B7D">
      <w:pPr>
        <w:pStyle w:val="Bodynumbered-Level3"/>
        <w:numPr>
          <w:ilvl w:val="0"/>
          <w:numId w:val="0"/>
        </w:numPr>
        <w:spacing w:after="120"/>
        <w:ind w:left="1418" w:hanging="567"/>
      </w:pPr>
      <w:r>
        <w:t>(b)</w:t>
      </w:r>
      <w:r>
        <w:tab/>
      </w:r>
      <w:r w:rsidR="00E66771" w:rsidRPr="008E3258">
        <w:t>make no express or implied representation or warranty that any statement as to future matters will prove correct</w:t>
      </w:r>
      <w:r w:rsidR="001723A5">
        <w:t>;</w:t>
      </w:r>
    </w:p>
    <w:p w:rsidR="00E66771" w:rsidRPr="008E3258" w:rsidRDefault="00FD6380" w:rsidP="000A3B7D">
      <w:pPr>
        <w:pStyle w:val="Bodynumbered-Level3"/>
        <w:numPr>
          <w:ilvl w:val="0"/>
          <w:numId w:val="0"/>
        </w:numPr>
        <w:spacing w:after="120"/>
        <w:ind w:left="1418" w:hanging="567"/>
      </w:pPr>
      <w:r>
        <w:t>(c)</w:t>
      </w:r>
      <w:r>
        <w:tab/>
      </w:r>
      <w:r w:rsidR="00E66771" w:rsidRPr="008E3258">
        <w:t>disclaim any and all liability arising from any information provided to the applicants, including, without limitation, errors in, or omissions contained in, that information</w:t>
      </w:r>
      <w:r w:rsidR="001723A5">
        <w:t>;</w:t>
      </w:r>
    </w:p>
    <w:p w:rsidR="00E66771" w:rsidRPr="008E3258" w:rsidRDefault="00FD6380" w:rsidP="000A3B7D">
      <w:pPr>
        <w:pStyle w:val="Bodynumbered-Level3"/>
        <w:numPr>
          <w:ilvl w:val="0"/>
          <w:numId w:val="0"/>
        </w:numPr>
        <w:spacing w:after="120"/>
        <w:ind w:left="1418" w:hanging="567"/>
      </w:pPr>
      <w:r>
        <w:t>(d)</w:t>
      </w:r>
      <w:r>
        <w:tab/>
      </w:r>
      <w:r w:rsidR="00E66771" w:rsidRPr="008E3258">
        <w:t>except so far as liability under any statute cannot be excluded, accept no responsibility arising in any way from errors or omissions contained in any information in these Guidelines and associated forms</w:t>
      </w:r>
      <w:r w:rsidR="001723A5">
        <w:t>; and</w:t>
      </w:r>
    </w:p>
    <w:p w:rsidR="00E66771" w:rsidRPr="008E3258" w:rsidRDefault="00FD6380" w:rsidP="000A3B7D">
      <w:pPr>
        <w:pStyle w:val="Bodynumbered-Level3"/>
        <w:numPr>
          <w:ilvl w:val="0"/>
          <w:numId w:val="0"/>
        </w:numPr>
        <w:spacing w:after="120"/>
        <w:ind w:left="1418" w:hanging="567"/>
      </w:pPr>
      <w:r>
        <w:t>(e)</w:t>
      </w:r>
      <w:r>
        <w:tab/>
      </w:r>
      <w:r w:rsidR="00E66771" w:rsidRPr="008E3258">
        <w:t>accept no liability for any loss or damage suffered by any person as a result of that person, or any other person, placing reliance on the contents of these Guidelines and associated forms, or any other information provided by the Department.</w:t>
      </w:r>
    </w:p>
    <w:p w:rsidR="00E66771" w:rsidRPr="0031276D" w:rsidRDefault="00E66771" w:rsidP="00FD6380">
      <w:pPr>
        <w:pStyle w:val="Heading2"/>
        <w:tabs>
          <w:tab w:val="left" w:pos="851"/>
        </w:tabs>
        <w:ind w:hanging="1144"/>
      </w:pPr>
      <w:bookmarkStart w:id="411" w:name="_Toc386635518"/>
      <w:bookmarkStart w:id="412" w:name="_Toc393908611"/>
      <w:bookmarkStart w:id="413" w:name="_Toc405380476"/>
      <w:bookmarkStart w:id="414" w:name="_Toc407007288"/>
      <w:r w:rsidRPr="00E04541">
        <w:t>Fraud p</w:t>
      </w:r>
      <w:r w:rsidRPr="0031276D">
        <w:t>revention</w:t>
      </w:r>
      <w:bookmarkEnd w:id="411"/>
      <w:bookmarkEnd w:id="412"/>
      <w:bookmarkEnd w:id="413"/>
      <w:bookmarkEnd w:id="414"/>
    </w:p>
    <w:p w:rsidR="00E66771" w:rsidRPr="00EF3F92" w:rsidRDefault="000370F9" w:rsidP="00FD6380">
      <w:pPr>
        <w:pStyle w:val="Bodynumbered-Level1"/>
        <w:ind w:left="851" w:right="-164" w:hanging="851"/>
      </w:pPr>
      <w:r>
        <w:t>12.14.1</w:t>
      </w:r>
      <w:r w:rsidR="007F5D14">
        <w:tab/>
      </w:r>
      <w:r w:rsidR="00E66771" w:rsidRPr="00EF3F92">
        <w:t>The Department is committed to the Commonwealth Fraud Control Guidelines. Applicants should familiarise themselves with the Department’s Fraud Control Policy Statement (which can be provided upon request). This also underpins their respective fraud and risk minimisation responsibilities wh</w:t>
      </w:r>
      <w:r w:rsidR="00E66771">
        <w:t>en dealing with the Department.</w:t>
      </w:r>
    </w:p>
    <w:p w:rsidR="00E66771" w:rsidRDefault="000370F9" w:rsidP="00FD6380">
      <w:pPr>
        <w:pStyle w:val="Bodynumbered-Level1"/>
        <w:ind w:left="851" w:right="-164" w:hanging="851"/>
      </w:pPr>
      <w:r>
        <w:t>12.14.2</w:t>
      </w:r>
      <w:r w:rsidR="007F5D14">
        <w:tab/>
      </w:r>
      <w:r w:rsidR="00E66771" w:rsidRPr="00EF3F92">
        <w:t xml:space="preserve">Giving false or misleading information is a serious offence under </w:t>
      </w:r>
      <w:r w:rsidR="00E66771" w:rsidRPr="000C16EC">
        <w:rPr>
          <w:i/>
        </w:rPr>
        <w:t>the Commonwealth</w:t>
      </w:r>
      <w:r w:rsidR="00E66771" w:rsidRPr="007C3CE9">
        <w:rPr>
          <w:i/>
        </w:rPr>
        <w:t xml:space="preserve"> </w:t>
      </w:r>
      <w:r w:rsidR="00E66771" w:rsidRPr="005E58DA">
        <w:rPr>
          <w:i/>
        </w:rPr>
        <w:t>Criminal Code Act 1995</w:t>
      </w:r>
      <w:r w:rsidR="00E66771" w:rsidRPr="00EF3F92">
        <w:t>.</w:t>
      </w:r>
    </w:p>
    <w:p w:rsidR="00E66771" w:rsidRDefault="00E66771" w:rsidP="00E66771"/>
    <w:p w:rsidR="00E66771" w:rsidRDefault="00E66771" w:rsidP="00E66771">
      <w:pPr>
        <w:pStyle w:val="Heading1"/>
        <w:numPr>
          <w:ilvl w:val="0"/>
          <w:numId w:val="0"/>
        </w:numPr>
        <w:rPr>
          <w:sz w:val="52"/>
          <w:szCs w:val="52"/>
        </w:rPr>
      </w:pPr>
      <w:r>
        <w:br w:type="page"/>
      </w:r>
      <w:bookmarkStart w:id="415" w:name="_Toc386635525"/>
      <w:bookmarkStart w:id="416" w:name="_Toc393908612"/>
      <w:bookmarkStart w:id="417" w:name="_Toc405380477"/>
      <w:bookmarkStart w:id="418" w:name="_Toc407007289"/>
      <w:r w:rsidRPr="00150CF3">
        <w:rPr>
          <w:sz w:val="52"/>
          <w:szCs w:val="52"/>
        </w:rPr>
        <w:lastRenderedPageBreak/>
        <w:t xml:space="preserve">Part F </w:t>
      </w:r>
      <w:r w:rsidR="00D96E55">
        <w:rPr>
          <w:sz w:val="52"/>
          <w:szCs w:val="52"/>
        </w:rPr>
        <w:t>–</w:t>
      </w:r>
      <w:r w:rsidRPr="00150CF3">
        <w:rPr>
          <w:sz w:val="52"/>
          <w:szCs w:val="52"/>
        </w:rPr>
        <w:t xml:space="preserve"> </w:t>
      </w:r>
      <w:bookmarkEnd w:id="415"/>
      <w:r w:rsidRPr="00150CF3">
        <w:rPr>
          <w:sz w:val="52"/>
          <w:szCs w:val="52"/>
        </w:rPr>
        <w:t>Glossary</w:t>
      </w:r>
      <w:bookmarkEnd w:id="416"/>
      <w:bookmarkEnd w:id="417"/>
      <w:bookmarkEnd w:id="418"/>
    </w:p>
    <w:tbl>
      <w:tblPr>
        <w:tblW w:w="0" w:type="auto"/>
        <w:tblLook w:val="04A0" w:firstRow="1" w:lastRow="0" w:firstColumn="1" w:lastColumn="0" w:noHBand="0" w:noVBand="1"/>
      </w:tblPr>
      <w:tblGrid>
        <w:gridCol w:w="3164"/>
        <w:gridCol w:w="6028"/>
      </w:tblGrid>
      <w:tr w:rsidR="00D96E55" w:rsidTr="00FD0566">
        <w:trPr>
          <w:cantSplit/>
          <w:tblHeader/>
        </w:trPr>
        <w:tc>
          <w:tcPr>
            <w:tcW w:w="3227" w:type="dxa"/>
            <w:shd w:val="clear" w:color="auto" w:fill="DEEAF6"/>
          </w:tcPr>
          <w:p w:rsidR="00D96E55" w:rsidRPr="001B79F6" w:rsidRDefault="00D96E55" w:rsidP="00E204B4">
            <w:pPr>
              <w:pStyle w:val="Tablecellheading"/>
              <w:widowControl w:val="0"/>
              <w:suppressAutoHyphens/>
              <w:spacing w:before="0" w:after="0"/>
            </w:pPr>
            <w:bookmarkStart w:id="419" w:name="_GoBack"/>
            <w:r w:rsidRPr="001B79F6">
              <w:lastRenderedPageBreak/>
              <w:t>Term</w:t>
            </w:r>
          </w:p>
        </w:tc>
        <w:tc>
          <w:tcPr>
            <w:tcW w:w="6181" w:type="dxa"/>
            <w:shd w:val="clear" w:color="auto" w:fill="DEEAF6"/>
          </w:tcPr>
          <w:p w:rsidR="00D96E55" w:rsidRDefault="00D96E55" w:rsidP="00E204B4">
            <w:pPr>
              <w:pStyle w:val="Tablecellheading"/>
              <w:widowControl w:val="0"/>
              <w:suppressAutoHyphens/>
              <w:spacing w:before="0" w:after="0"/>
            </w:pPr>
            <w:r w:rsidRPr="003C1CFA">
              <w:t>Definition</w:t>
            </w:r>
          </w:p>
        </w:tc>
      </w:tr>
      <w:bookmarkEnd w:id="419"/>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3G HSPA+</w:t>
            </w:r>
          </w:p>
        </w:tc>
        <w:tc>
          <w:tcPr>
            <w:tcW w:w="6181" w:type="dxa"/>
          </w:tcPr>
          <w:p w:rsidR="00877B53" w:rsidRPr="003C1CFA" w:rsidRDefault="00877B53" w:rsidP="00E204B4">
            <w:pPr>
              <w:pStyle w:val="Tabletext"/>
              <w:widowControl w:val="0"/>
              <w:suppressAutoHyphens/>
              <w:spacing w:before="0" w:after="0"/>
            </w:pPr>
            <w:r w:rsidRPr="003C1CFA">
              <w:t>Third generation mobile telecommunications service with the wireless broadband standard protocol known as the Evolved High Speed Packet Data Access or HSPA+.</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4G Service</w:t>
            </w:r>
          </w:p>
        </w:tc>
        <w:tc>
          <w:tcPr>
            <w:tcW w:w="6181" w:type="dxa"/>
          </w:tcPr>
          <w:p w:rsidR="00877B53" w:rsidRPr="003C1CFA" w:rsidRDefault="00877B53" w:rsidP="00E204B4">
            <w:pPr>
              <w:pStyle w:val="Tabletext"/>
              <w:widowControl w:val="0"/>
              <w:suppressAutoHyphens/>
              <w:spacing w:before="0" w:after="0"/>
            </w:pPr>
            <w:r w:rsidRPr="003C1CFA">
              <w:t>Fourth generation mobile telecommunications service.</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Assessment Criteria</w:t>
            </w:r>
          </w:p>
        </w:tc>
        <w:tc>
          <w:tcPr>
            <w:tcW w:w="6181" w:type="dxa"/>
          </w:tcPr>
          <w:p w:rsidR="00877B53" w:rsidRPr="003C1CFA" w:rsidRDefault="00877B53" w:rsidP="00E204B4">
            <w:pPr>
              <w:pStyle w:val="Tabletext"/>
              <w:widowControl w:val="0"/>
              <w:suppressAutoHyphens/>
              <w:spacing w:before="0" w:after="0"/>
            </w:pPr>
            <w:r w:rsidRPr="003C1CFA">
              <w:t>The assessment criteria the Department will use to assess applications as set out in section 8.</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Backhaul</w:t>
            </w:r>
          </w:p>
        </w:tc>
        <w:tc>
          <w:tcPr>
            <w:tcW w:w="6181" w:type="dxa"/>
          </w:tcPr>
          <w:p w:rsidR="00877B53" w:rsidRPr="003C1CFA" w:rsidRDefault="00877B53" w:rsidP="00E204B4">
            <w:pPr>
              <w:pStyle w:val="Tabletext"/>
              <w:widowControl w:val="0"/>
              <w:suppressAutoHyphens/>
              <w:spacing w:before="0" w:after="0"/>
            </w:pPr>
            <w:r w:rsidRPr="003C1CFA">
              <w:t>A link between the core or backbone of a network and sub</w:t>
            </w:r>
            <w:r w:rsidRPr="003C1CFA">
              <w:noBreakHyphen/>
              <w:t>networks, transporting data from a series of disparate locations to a more centralised location.</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Brownfield Site</w:t>
            </w:r>
          </w:p>
        </w:tc>
        <w:tc>
          <w:tcPr>
            <w:tcW w:w="6181" w:type="dxa"/>
          </w:tcPr>
          <w:p w:rsidR="00877B53" w:rsidRPr="003C1CFA" w:rsidRDefault="00877B53" w:rsidP="00E204B4">
            <w:pPr>
              <w:pStyle w:val="Tabletext"/>
              <w:widowControl w:val="0"/>
              <w:suppressAutoHyphens/>
              <w:spacing w:before="0" w:after="0"/>
            </w:pPr>
            <w:r w:rsidRPr="003C1CFA">
              <w:t xml:space="preserve">An existing site where available infrastructure (such as a tower, building, structure, </w:t>
            </w:r>
            <w:proofErr w:type="spellStart"/>
            <w:r w:rsidRPr="003C1CFA">
              <w:t>etc</w:t>
            </w:r>
            <w:proofErr w:type="spellEnd"/>
            <w:r w:rsidRPr="003C1CFA">
              <w:t>) can be utilised to locate equipment required to deliver mobile services.</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Building MNO</w:t>
            </w:r>
          </w:p>
        </w:tc>
        <w:tc>
          <w:tcPr>
            <w:tcW w:w="6181" w:type="dxa"/>
          </w:tcPr>
          <w:p w:rsidR="00877B53" w:rsidRPr="003C1CFA" w:rsidRDefault="00877B53" w:rsidP="00E204B4">
            <w:pPr>
              <w:pStyle w:val="Tabletext"/>
              <w:widowControl w:val="0"/>
              <w:suppressAutoHyphens/>
              <w:spacing w:before="0" w:after="0"/>
            </w:pPr>
            <w:r w:rsidRPr="003C1CFA">
              <w:t xml:space="preserve">Has the meaning given in section 4.4.1. </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Cluster</w:t>
            </w:r>
          </w:p>
        </w:tc>
        <w:tc>
          <w:tcPr>
            <w:tcW w:w="6181" w:type="dxa"/>
          </w:tcPr>
          <w:p w:rsidR="00877B53" w:rsidRPr="003C1CFA" w:rsidRDefault="00877B53" w:rsidP="00E204B4">
            <w:pPr>
              <w:pStyle w:val="Tabletext"/>
              <w:widowControl w:val="0"/>
              <w:suppressAutoHyphens/>
              <w:spacing w:before="0" w:after="0"/>
            </w:pPr>
            <w:r w:rsidRPr="003C1CFA">
              <w:t>A group of two or more (to a maximum of ten) Proposed Base Stations for which the applicant considers there are economic and/or network design benefits from treating the sites as a single proposal.</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Co-locating MNO</w:t>
            </w:r>
          </w:p>
        </w:tc>
        <w:tc>
          <w:tcPr>
            <w:tcW w:w="6181" w:type="dxa"/>
          </w:tcPr>
          <w:p w:rsidR="00877B53" w:rsidRPr="003C1CFA" w:rsidRDefault="00877B53" w:rsidP="00E204B4">
            <w:pPr>
              <w:pStyle w:val="Tabletext"/>
              <w:widowControl w:val="0"/>
              <w:suppressAutoHyphens/>
              <w:spacing w:before="0" w:after="0"/>
            </w:pPr>
            <w:r w:rsidRPr="003C1CFA">
              <w:t>Has the meaning given in section 4.4.1.</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Confidential Information</w:t>
            </w:r>
          </w:p>
        </w:tc>
        <w:tc>
          <w:tcPr>
            <w:tcW w:w="6181" w:type="dxa"/>
          </w:tcPr>
          <w:p w:rsidR="00877B53" w:rsidRPr="003C1CFA" w:rsidRDefault="00877B53" w:rsidP="00E204B4">
            <w:pPr>
              <w:pStyle w:val="Tabletext"/>
              <w:widowControl w:val="0"/>
              <w:suppressAutoHyphens/>
              <w:spacing w:before="0" w:after="0"/>
            </w:pPr>
            <w:r w:rsidRPr="003C1CFA">
              <w:t>Has the meaning given in section 12.6.1</w:t>
            </w:r>
            <w:r>
              <w:t>.</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Database of Reported Locations</w:t>
            </w:r>
          </w:p>
        </w:tc>
        <w:tc>
          <w:tcPr>
            <w:tcW w:w="6181" w:type="dxa"/>
          </w:tcPr>
          <w:p w:rsidR="00877B53" w:rsidRPr="003C1CFA" w:rsidRDefault="00877B53" w:rsidP="00E204B4">
            <w:pPr>
              <w:pStyle w:val="Tabletext"/>
              <w:widowControl w:val="0"/>
              <w:suppressAutoHyphens/>
              <w:spacing w:before="0" w:after="0"/>
            </w:pPr>
            <w:r w:rsidRPr="003C1CFA">
              <w:t>The database from which eligible applicants must select the locations for which they intend to apply for funding under the Programme</w:t>
            </w:r>
            <w:r>
              <w:t>.</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Decision Maker</w:t>
            </w:r>
          </w:p>
        </w:tc>
        <w:tc>
          <w:tcPr>
            <w:tcW w:w="6181" w:type="dxa"/>
          </w:tcPr>
          <w:p w:rsidR="00877B53" w:rsidRPr="003C1CFA" w:rsidRDefault="00877B53" w:rsidP="00E204B4">
            <w:pPr>
              <w:pStyle w:val="Tabletext"/>
              <w:widowControl w:val="0"/>
              <w:suppressAutoHyphens/>
              <w:spacing w:before="0" w:after="0"/>
            </w:pPr>
            <w:r w:rsidRPr="003C1CFA">
              <w:t>The Minister for Communications.</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Decision Maker’s List</w:t>
            </w:r>
          </w:p>
        </w:tc>
        <w:tc>
          <w:tcPr>
            <w:tcW w:w="6181" w:type="dxa"/>
          </w:tcPr>
          <w:p w:rsidR="00877B53" w:rsidRPr="003C1CFA" w:rsidRDefault="00877B53" w:rsidP="00E204B4">
            <w:pPr>
              <w:pStyle w:val="Tabletext"/>
              <w:widowControl w:val="0"/>
              <w:suppressAutoHyphens/>
              <w:spacing w:before="0" w:after="0"/>
            </w:pPr>
            <w:r w:rsidRPr="003C1CFA">
              <w:t>Has the meaning given in section 9.2.</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Department</w:t>
            </w:r>
          </w:p>
        </w:tc>
        <w:tc>
          <w:tcPr>
            <w:tcW w:w="6181" w:type="dxa"/>
          </w:tcPr>
          <w:p w:rsidR="00877B53" w:rsidRPr="003C1CFA" w:rsidRDefault="00877B53" w:rsidP="00E204B4">
            <w:pPr>
              <w:pStyle w:val="Tabletext"/>
              <w:widowControl w:val="0"/>
              <w:suppressAutoHyphens/>
              <w:spacing w:before="0" w:after="0"/>
              <w:rPr>
                <w:lang w:val="en-GB"/>
              </w:rPr>
            </w:pPr>
            <w:r w:rsidRPr="003C1CFA">
              <w:t xml:space="preserve">Has the meaning given in section </w:t>
            </w:r>
            <w:r>
              <w:t>1.1.3</w:t>
            </w:r>
            <w:r w:rsidRPr="003C1CFA">
              <w:t>.</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Draft Merit List</w:t>
            </w:r>
          </w:p>
        </w:tc>
        <w:tc>
          <w:tcPr>
            <w:tcW w:w="6181" w:type="dxa"/>
          </w:tcPr>
          <w:p w:rsidR="00877B53" w:rsidRPr="003C1CFA" w:rsidRDefault="00877B53" w:rsidP="00E204B4">
            <w:pPr>
              <w:pStyle w:val="Tabletext"/>
              <w:widowControl w:val="0"/>
              <w:suppressAutoHyphens/>
              <w:spacing w:before="0" w:after="0"/>
            </w:pPr>
            <w:r w:rsidRPr="003C1CFA">
              <w:t>Has the meaning given in section 7.3.3.</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External Antenna Coverage</w:t>
            </w:r>
          </w:p>
        </w:tc>
        <w:tc>
          <w:tcPr>
            <w:tcW w:w="6181" w:type="dxa"/>
          </w:tcPr>
          <w:p w:rsidR="00877B53" w:rsidRPr="003C1CFA" w:rsidRDefault="00877B53" w:rsidP="00E204B4">
            <w:pPr>
              <w:pStyle w:val="Tabletext"/>
              <w:widowControl w:val="0"/>
              <w:suppressAutoHyphens/>
              <w:spacing w:before="0" w:after="0"/>
            </w:pPr>
            <w:r w:rsidRPr="003C1CFA">
              <w:t>Coverage which can be obtained using an external antenna attached to a handheld mobile device, as determined in accordance with the publically available mobile coverage maps from all MNOs.</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Funded Base Station</w:t>
            </w:r>
          </w:p>
        </w:tc>
        <w:tc>
          <w:tcPr>
            <w:tcW w:w="6181" w:type="dxa"/>
          </w:tcPr>
          <w:p w:rsidR="00877B53" w:rsidRPr="003C1CFA" w:rsidRDefault="00877B53" w:rsidP="00E204B4">
            <w:pPr>
              <w:pStyle w:val="Tabletext"/>
              <w:widowControl w:val="0"/>
              <w:suppressAutoHyphens/>
              <w:spacing w:before="0" w:after="0"/>
            </w:pPr>
            <w:r w:rsidRPr="003C1CFA">
              <w:t>A base station selected for funding under the Programme.</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Funding Agreement</w:t>
            </w:r>
          </w:p>
        </w:tc>
        <w:tc>
          <w:tcPr>
            <w:tcW w:w="6181" w:type="dxa"/>
          </w:tcPr>
          <w:p w:rsidR="00877B53" w:rsidRPr="003C1CFA" w:rsidRDefault="00877B53" w:rsidP="00E204B4">
            <w:pPr>
              <w:pStyle w:val="Tabletext"/>
              <w:widowControl w:val="0"/>
              <w:suppressAutoHyphens/>
              <w:spacing w:before="0" w:after="0"/>
            </w:pPr>
            <w:r w:rsidRPr="003C1CFA">
              <w:t>A document with contractual effect specifying the responsibilities of Funding Recipients, the Commonwealth and State or Territory government (as the case may be) under the Programme.</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Funding Recipient</w:t>
            </w:r>
          </w:p>
        </w:tc>
        <w:tc>
          <w:tcPr>
            <w:tcW w:w="6181" w:type="dxa"/>
          </w:tcPr>
          <w:p w:rsidR="00877B53" w:rsidRPr="003C1CFA" w:rsidRDefault="00877B53" w:rsidP="00E204B4">
            <w:pPr>
              <w:pStyle w:val="Tabletext"/>
              <w:widowControl w:val="0"/>
              <w:suppressAutoHyphens/>
              <w:spacing w:before="0" w:after="0"/>
            </w:pPr>
            <w:r w:rsidRPr="003C1CFA">
              <w:t>An applicant who has been successful in obtaining funding under the Programme.</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lastRenderedPageBreak/>
              <w:t>Greenfield Site</w:t>
            </w:r>
          </w:p>
        </w:tc>
        <w:tc>
          <w:tcPr>
            <w:tcW w:w="6181" w:type="dxa"/>
          </w:tcPr>
          <w:p w:rsidR="00877B53" w:rsidRPr="003C1CFA" w:rsidRDefault="00877B53" w:rsidP="00E204B4">
            <w:pPr>
              <w:pStyle w:val="Tabletext"/>
              <w:widowControl w:val="0"/>
              <w:suppressAutoHyphens/>
              <w:spacing w:before="0" w:after="0"/>
            </w:pPr>
            <w:r w:rsidRPr="003C1CFA">
              <w:t>A site (without existing infrastructure) where a new mobile base station is to be deployed to deliver mobile services.</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Handheld Coverage</w:t>
            </w:r>
          </w:p>
        </w:tc>
        <w:tc>
          <w:tcPr>
            <w:tcW w:w="6181" w:type="dxa"/>
          </w:tcPr>
          <w:p w:rsidR="00877B53" w:rsidRPr="003C1CFA" w:rsidRDefault="00877B53" w:rsidP="00E204B4">
            <w:pPr>
              <w:pStyle w:val="Tabletext"/>
              <w:widowControl w:val="0"/>
              <w:suppressAutoHyphens/>
              <w:spacing w:before="0" w:after="0"/>
            </w:pPr>
            <w:r w:rsidRPr="003C1CFA">
              <w:t>Coverage which can be obtained with a handheld mobile device as determined in accordance with the publically available mobile coverage maps from all MNOs.</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Intellectual Property</w:t>
            </w:r>
          </w:p>
        </w:tc>
        <w:tc>
          <w:tcPr>
            <w:tcW w:w="6181" w:type="dxa"/>
          </w:tcPr>
          <w:p w:rsidR="00877B53" w:rsidRPr="003C1CFA" w:rsidRDefault="00877B53" w:rsidP="00E204B4">
            <w:pPr>
              <w:pStyle w:val="Tabletext"/>
              <w:widowControl w:val="0"/>
              <w:suppressAutoHyphens/>
              <w:spacing w:before="0" w:after="0"/>
            </w:pPr>
            <w:r w:rsidRPr="003C1CFA">
              <w:t>Includes:</w:t>
            </w:r>
          </w:p>
          <w:p w:rsidR="00877B53" w:rsidRPr="003C1CFA" w:rsidRDefault="00877B53" w:rsidP="00E204B4">
            <w:pPr>
              <w:pStyle w:val="Tabletext"/>
              <w:widowControl w:val="0"/>
              <w:suppressAutoHyphens/>
              <w:spacing w:before="0" w:after="0"/>
            </w:pPr>
            <w:r w:rsidRPr="003C1CFA">
              <w:t>(a) all copyright (including rights in relation to phonograms and broadcasts);</w:t>
            </w:r>
          </w:p>
          <w:p w:rsidR="00877B53" w:rsidRPr="003C1CFA" w:rsidRDefault="00877B53" w:rsidP="00E204B4">
            <w:pPr>
              <w:pStyle w:val="Tabletext"/>
              <w:widowControl w:val="0"/>
              <w:suppressAutoHyphens/>
              <w:spacing w:before="0" w:after="0"/>
            </w:pPr>
            <w:r w:rsidRPr="003C1CFA">
              <w:t>(b) all rights in relation to inventions, plant varieties, trademarks (including service marks), designs, circuit layouts; and</w:t>
            </w:r>
          </w:p>
          <w:p w:rsidR="00877B53" w:rsidRDefault="00877B53" w:rsidP="00E204B4">
            <w:pPr>
              <w:pStyle w:val="Tabletext"/>
              <w:widowControl w:val="0"/>
              <w:suppressAutoHyphens/>
              <w:spacing w:before="0" w:after="0"/>
            </w:pPr>
            <w:r w:rsidRPr="003C1CFA">
              <w:t>(c) all other rights resulting from intellectual activity in the industrial, scientific, literary or artistic fields.</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proofErr w:type="spellStart"/>
            <w:r w:rsidRPr="001B79F6">
              <w:rPr>
                <w:b/>
              </w:rPr>
              <w:t>Macrocell</w:t>
            </w:r>
            <w:proofErr w:type="spellEnd"/>
          </w:p>
        </w:tc>
        <w:tc>
          <w:tcPr>
            <w:tcW w:w="6181" w:type="dxa"/>
          </w:tcPr>
          <w:p w:rsidR="00877B53" w:rsidRPr="003C1CFA" w:rsidRDefault="00877B53" w:rsidP="00E204B4">
            <w:pPr>
              <w:pStyle w:val="Tabletext"/>
              <w:widowControl w:val="0"/>
              <w:suppressAutoHyphens/>
              <w:spacing w:before="0" w:after="0"/>
            </w:pPr>
            <w:r w:rsidRPr="003C1CFA">
              <w:t>The widest range of cell sizes used in a mobile phone network served by a mobile base station, often used in rural areas and along highways. Generally providing larger coverage than microcells, with a typical power output of tens of watts.</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MATPL</w:t>
            </w:r>
          </w:p>
        </w:tc>
        <w:tc>
          <w:tcPr>
            <w:tcW w:w="6181" w:type="dxa"/>
          </w:tcPr>
          <w:p w:rsidR="00877B53" w:rsidRPr="003C1CFA" w:rsidRDefault="00877B53" w:rsidP="00E204B4">
            <w:pPr>
              <w:pStyle w:val="Tabletext"/>
              <w:widowControl w:val="0"/>
              <w:suppressAutoHyphens/>
              <w:spacing w:before="0" w:after="0"/>
            </w:pPr>
            <w:r w:rsidRPr="003C1CFA">
              <w:t>The maximum allowable transmission path loss, where path loss is the loss in power density of electromagnetic waves when they propagate through space and includes all of the lossy effects associated with distance and the interaction of the propagating wave with the objects in the environment between the antennas. MATPL determines how much loss can be tolerated in a radio link to achieve a given minimum acceptable performance.</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Merit List</w:t>
            </w:r>
          </w:p>
        </w:tc>
        <w:tc>
          <w:tcPr>
            <w:tcW w:w="6181" w:type="dxa"/>
          </w:tcPr>
          <w:p w:rsidR="00877B53" w:rsidRPr="003C1CFA" w:rsidRDefault="00877B53" w:rsidP="00E204B4">
            <w:pPr>
              <w:pStyle w:val="Tabletext"/>
              <w:widowControl w:val="0"/>
              <w:suppressAutoHyphens/>
              <w:spacing w:before="0" w:after="0"/>
            </w:pPr>
            <w:r w:rsidRPr="003C1CFA">
              <w:t>The list of Proposed Base Stations that the Department will recommend to the Decision Maker when the assessment process is completed.</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Microcell</w:t>
            </w:r>
          </w:p>
        </w:tc>
        <w:tc>
          <w:tcPr>
            <w:tcW w:w="6181" w:type="dxa"/>
          </w:tcPr>
          <w:p w:rsidR="00877B53" w:rsidRPr="003C1CFA" w:rsidRDefault="00877B53" w:rsidP="00E204B4">
            <w:pPr>
              <w:pStyle w:val="Tabletext"/>
              <w:widowControl w:val="0"/>
              <w:suppressAutoHyphens/>
              <w:spacing w:before="0" w:after="0"/>
            </w:pPr>
            <w:r w:rsidRPr="003C1CFA">
              <w:t xml:space="preserve">A </w:t>
            </w:r>
            <w:r>
              <w:t>‘</w:t>
            </w:r>
            <w:r w:rsidRPr="003C1CFA">
              <w:t>small cell</w:t>
            </w:r>
            <w:r>
              <w:t>’</w:t>
            </w:r>
            <w:r w:rsidRPr="003C1CFA">
              <w:t xml:space="preserve"> in a mobile phone network, with a typical range less than two kilometres. Often used to add network capacity in areas of dense population, utilising power control to limit coverage area.</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Mobile Network Infrastructure Provider or MNIP</w:t>
            </w:r>
          </w:p>
        </w:tc>
        <w:tc>
          <w:tcPr>
            <w:tcW w:w="6181" w:type="dxa"/>
          </w:tcPr>
          <w:p w:rsidR="00877B53" w:rsidRPr="003C1CFA" w:rsidRDefault="00877B53" w:rsidP="00E204B4">
            <w:pPr>
              <w:pStyle w:val="Tabletext"/>
              <w:widowControl w:val="0"/>
              <w:suppressAutoHyphens/>
              <w:spacing w:before="0" w:after="0"/>
            </w:pPr>
            <w:r w:rsidRPr="003C1CFA">
              <w:t>Has the meaning given in section 2.1.3.</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Mobile Network Operator or MNO</w:t>
            </w:r>
          </w:p>
        </w:tc>
        <w:tc>
          <w:tcPr>
            <w:tcW w:w="6181" w:type="dxa"/>
          </w:tcPr>
          <w:p w:rsidR="00877B53" w:rsidRPr="003C1CFA" w:rsidRDefault="00877B53" w:rsidP="00E204B4">
            <w:pPr>
              <w:pStyle w:val="Tabletext"/>
              <w:widowControl w:val="0"/>
              <w:suppressAutoHyphens/>
              <w:spacing w:before="0" w:after="0"/>
            </w:pPr>
            <w:r w:rsidRPr="003C1CFA">
              <w:t>Has the meaning given in section 2.1.2.</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National Broadband Network or NBN</w:t>
            </w:r>
          </w:p>
        </w:tc>
        <w:tc>
          <w:tcPr>
            <w:tcW w:w="6181" w:type="dxa"/>
          </w:tcPr>
          <w:p w:rsidR="00877B53" w:rsidRPr="003C1CFA" w:rsidRDefault="00877B53" w:rsidP="00E204B4">
            <w:pPr>
              <w:pStyle w:val="Tabletext"/>
              <w:widowControl w:val="0"/>
              <w:suppressAutoHyphens/>
              <w:spacing w:before="0" w:after="0"/>
            </w:pPr>
            <w:r w:rsidRPr="003C1CFA">
              <w:t xml:space="preserve">The national wholesale-only, open access telecommunications network that is being built by, or in conjunction with, NBN Co (including any existing network incorporated into the NBN). </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lastRenderedPageBreak/>
              <w:t>NBN Co</w:t>
            </w:r>
          </w:p>
        </w:tc>
        <w:tc>
          <w:tcPr>
            <w:tcW w:w="6181" w:type="dxa"/>
          </w:tcPr>
          <w:p w:rsidR="00877B53" w:rsidRPr="003C1CFA" w:rsidRDefault="00877B53" w:rsidP="00E204B4">
            <w:pPr>
              <w:pStyle w:val="Tabletext"/>
              <w:widowControl w:val="0"/>
              <w:suppressAutoHyphens/>
              <w:spacing w:before="0" w:after="0"/>
            </w:pPr>
            <w:r w:rsidRPr="003C1CFA">
              <w:t>NBN Co Limited.</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proofErr w:type="spellStart"/>
            <w:r w:rsidRPr="001B79F6">
              <w:rPr>
                <w:b/>
              </w:rPr>
              <w:t>Picocell</w:t>
            </w:r>
            <w:proofErr w:type="spellEnd"/>
          </w:p>
        </w:tc>
        <w:tc>
          <w:tcPr>
            <w:tcW w:w="6181" w:type="dxa"/>
          </w:tcPr>
          <w:p w:rsidR="00877B53" w:rsidRPr="003C1CFA" w:rsidRDefault="00877B53" w:rsidP="00E204B4">
            <w:pPr>
              <w:pStyle w:val="Tabletext"/>
              <w:widowControl w:val="0"/>
              <w:suppressAutoHyphens/>
              <w:spacing w:before="0" w:after="0"/>
            </w:pPr>
            <w:r w:rsidRPr="003C1CFA">
              <w:t xml:space="preserve">A small cellular base station, typically with a range of less than 200 metres. Often used to extend coverage to indoor areas or to add network capacity to areas of dense mobile phone usage.  </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Programme</w:t>
            </w:r>
          </w:p>
        </w:tc>
        <w:tc>
          <w:tcPr>
            <w:tcW w:w="6181" w:type="dxa"/>
          </w:tcPr>
          <w:p w:rsidR="00877B53" w:rsidRPr="003C1CFA" w:rsidRDefault="00877B53" w:rsidP="00E204B4">
            <w:pPr>
              <w:pStyle w:val="Tabletext"/>
              <w:widowControl w:val="0"/>
              <w:suppressAutoHyphens/>
              <w:spacing w:before="0" w:after="0"/>
            </w:pPr>
            <w:r w:rsidRPr="003C1CFA">
              <w:t xml:space="preserve">Has the meaning given in </w:t>
            </w:r>
            <w:r w:rsidRPr="00A06684">
              <w:t>section 1.1.2.</w:t>
            </w:r>
          </w:p>
        </w:tc>
      </w:tr>
      <w:tr w:rsidR="00877B53" w:rsidTr="00877B53">
        <w:trPr>
          <w:cantSplit/>
          <w:tblHeader/>
        </w:trPr>
        <w:tc>
          <w:tcPr>
            <w:tcW w:w="3227" w:type="dxa"/>
          </w:tcPr>
          <w:p w:rsidR="00877B53" w:rsidRPr="001B79F6" w:rsidRDefault="00877B53" w:rsidP="00E204B4">
            <w:pPr>
              <w:pStyle w:val="Tabletext"/>
              <w:widowControl w:val="0"/>
              <w:suppressAutoHyphens/>
              <w:spacing w:before="0" w:after="0"/>
              <w:rPr>
                <w:b/>
              </w:rPr>
            </w:pPr>
            <w:r w:rsidRPr="001B79F6">
              <w:rPr>
                <w:b/>
              </w:rPr>
              <w:t>Proposed Base Station</w:t>
            </w:r>
          </w:p>
        </w:tc>
        <w:tc>
          <w:tcPr>
            <w:tcW w:w="6181" w:type="dxa"/>
          </w:tcPr>
          <w:p w:rsidR="00877B53" w:rsidRPr="003C1CFA" w:rsidRDefault="00877B53" w:rsidP="00E204B4">
            <w:pPr>
              <w:pStyle w:val="Tabletext"/>
              <w:widowControl w:val="0"/>
              <w:suppressAutoHyphens/>
              <w:spacing w:before="0" w:after="0"/>
            </w:pPr>
            <w:r w:rsidRPr="003C1CFA">
              <w:t>A base station for which an applicant has sought funding under the Programme.</w:t>
            </w:r>
          </w:p>
        </w:tc>
      </w:tr>
    </w:tbl>
    <w:p w:rsidR="00D96E55" w:rsidRPr="00D96E55" w:rsidRDefault="00D96E55" w:rsidP="00D96E55">
      <w:pPr>
        <w:pStyle w:val="BodyText"/>
      </w:pPr>
    </w:p>
    <w:p w:rsidR="00E66771" w:rsidRPr="00150CF3" w:rsidRDefault="00E66771" w:rsidP="00E66771">
      <w:pPr>
        <w:pStyle w:val="Heading1"/>
        <w:numPr>
          <w:ilvl w:val="0"/>
          <w:numId w:val="0"/>
        </w:numPr>
        <w:rPr>
          <w:sz w:val="52"/>
          <w:szCs w:val="52"/>
        </w:rPr>
      </w:pPr>
      <w:r w:rsidRPr="00D017F1">
        <w:rPr>
          <w:sz w:val="24"/>
          <w:szCs w:val="24"/>
        </w:rPr>
        <w:br w:type="page"/>
      </w:r>
      <w:bookmarkStart w:id="420" w:name="_Toc393908613"/>
      <w:bookmarkStart w:id="421" w:name="_Toc405380478"/>
      <w:bookmarkStart w:id="422" w:name="_Toc407007290"/>
      <w:r w:rsidRPr="00150CF3">
        <w:rPr>
          <w:sz w:val="52"/>
          <w:szCs w:val="52"/>
        </w:rPr>
        <w:lastRenderedPageBreak/>
        <w:t>Part G – Attachments</w:t>
      </w:r>
      <w:bookmarkEnd w:id="420"/>
      <w:bookmarkEnd w:id="421"/>
      <w:bookmarkEnd w:id="422"/>
    </w:p>
    <w:p w:rsidR="00E66771" w:rsidRDefault="00E66771" w:rsidP="00E66771">
      <w:pPr>
        <w:pStyle w:val="Heading1"/>
        <w:numPr>
          <w:ilvl w:val="0"/>
          <w:numId w:val="0"/>
        </w:numPr>
      </w:pPr>
      <w:bookmarkStart w:id="423" w:name="_Toc393908614"/>
      <w:bookmarkStart w:id="424" w:name="_Toc405380479"/>
      <w:bookmarkStart w:id="425" w:name="_Toc407007291"/>
      <w:r>
        <w:t>Attachment A – Draft Funding Agreement</w:t>
      </w:r>
      <w:bookmarkEnd w:id="423"/>
      <w:bookmarkEnd w:id="424"/>
      <w:bookmarkEnd w:id="425"/>
    </w:p>
    <w:p w:rsidR="00FE1FAC" w:rsidRDefault="00E66771" w:rsidP="0086073A">
      <w:pPr>
        <w:pStyle w:val="Bodytext-Indent"/>
      </w:pPr>
      <w:r>
        <w:t xml:space="preserve">The Department of Communications will provide a draft Funding Agreement to organisations that have registered as an eligible applicant for funding under the programme. Information on registering as an eligible applicant is available on the </w:t>
      </w:r>
      <w:r w:rsidRPr="000B1C69">
        <w:t>Department of Communications website</w:t>
      </w:r>
      <w:r w:rsidR="00450A26">
        <w:t xml:space="preserve"> </w:t>
      </w:r>
      <w:r w:rsidR="000B1C69">
        <w:t xml:space="preserve">at </w:t>
      </w:r>
      <w:hyperlink r:id="rId21" w:history="1">
        <w:r w:rsidR="0086073A" w:rsidRPr="006175F1">
          <w:rPr>
            <w:rStyle w:val="Hyperlink"/>
          </w:rPr>
          <w:t>www.communications.gov.au/mobile_coverage</w:t>
        </w:r>
      </w:hyperlink>
    </w:p>
    <w:p w:rsidR="00FE1FAC" w:rsidRDefault="00FE1FAC" w:rsidP="0086073A">
      <w:pPr>
        <w:pStyle w:val="Bodytext-Indent"/>
      </w:pPr>
    </w:p>
    <w:p w:rsidR="00E66771" w:rsidRPr="00FE1FAC" w:rsidRDefault="003F0E35" w:rsidP="00FE1FAC">
      <w:pPr>
        <w:pStyle w:val="Heading1"/>
        <w:numPr>
          <w:ilvl w:val="0"/>
          <w:numId w:val="0"/>
        </w:numPr>
      </w:pPr>
      <w:r>
        <w:br w:type="page"/>
      </w:r>
      <w:bookmarkStart w:id="426" w:name="_Toc393908615"/>
      <w:bookmarkStart w:id="427" w:name="_Toc405380480"/>
      <w:bookmarkStart w:id="428" w:name="_Toc407007292"/>
      <w:r w:rsidR="00E66771" w:rsidRPr="00FE1FAC">
        <w:lastRenderedPageBreak/>
        <w:t>Attachment B – In-principle council co-</w:t>
      </w:r>
      <w:bookmarkEnd w:id="426"/>
      <w:r w:rsidR="00E66771" w:rsidRPr="00FE1FAC">
        <w:t>contributions</w:t>
      </w:r>
      <w:bookmarkEnd w:id="427"/>
      <w:bookmarkEnd w:id="428"/>
    </w:p>
    <w:p w:rsidR="00E66771" w:rsidRPr="003F0E35" w:rsidRDefault="00E66771" w:rsidP="003F0E35">
      <w:pPr>
        <w:pStyle w:val="Bodytext-Indent"/>
      </w:pPr>
      <w:r w:rsidRPr="003F0E35">
        <w:t>The local councils listed below have advised the Department of Communications of in</w:t>
      </w:r>
      <w:r w:rsidRPr="003F0E35">
        <w:noBreakHyphen/>
        <w:t>principle co</w:t>
      </w:r>
      <w:r w:rsidRPr="003F0E35">
        <w:noBreakHyphen/>
        <w:t>contributions to the Mobile Black Spot Programme (cash and/or in</w:t>
      </w:r>
      <w:r w:rsidRPr="003F0E35">
        <w:noBreakHyphen/>
        <w:t>kind). Information regarding individual council co-contributions can be obtained by contacting the relevant council.</w:t>
      </w:r>
    </w:p>
    <w:p w:rsidR="00E66771" w:rsidRPr="003F0E35" w:rsidRDefault="00E66771" w:rsidP="003F0E35">
      <w:pPr>
        <w:pStyle w:val="TableHeading"/>
      </w:pPr>
      <w:r w:rsidRPr="003F0E35">
        <w:t>New South Wales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93"/>
        <w:gridCol w:w="3301"/>
      </w:tblGrid>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Armidale Dumaresq Council</w:t>
            </w:r>
          </w:p>
        </w:tc>
        <w:tc>
          <w:tcPr>
            <w:tcW w:w="3093" w:type="dxa"/>
            <w:shd w:val="clear" w:color="auto" w:fill="auto"/>
          </w:tcPr>
          <w:p w:rsidR="00E66771" w:rsidRPr="0018433C" w:rsidRDefault="00E66771" w:rsidP="003F0E35">
            <w:pPr>
              <w:pStyle w:val="Tabletext"/>
              <w:rPr>
                <w:b/>
                <w:sz w:val="20"/>
                <w:szCs w:val="20"/>
              </w:rPr>
            </w:pPr>
            <w:r w:rsidRPr="0018433C">
              <w:rPr>
                <w:sz w:val="20"/>
                <w:szCs w:val="20"/>
              </w:rPr>
              <w:t>Bega Valley Shire Council</w:t>
            </w:r>
          </w:p>
        </w:tc>
        <w:tc>
          <w:tcPr>
            <w:tcW w:w="3301" w:type="dxa"/>
            <w:shd w:val="clear" w:color="auto" w:fill="auto"/>
          </w:tcPr>
          <w:p w:rsidR="00E66771" w:rsidRPr="0018433C" w:rsidRDefault="00E66771" w:rsidP="003F0E35">
            <w:pPr>
              <w:pStyle w:val="Tabletext"/>
              <w:rPr>
                <w:b/>
                <w:sz w:val="20"/>
                <w:szCs w:val="20"/>
              </w:rPr>
            </w:pPr>
            <w:r w:rsidRPr="0018433C">
              <w:rPr>
                <w:sz w:val="20"/>
                <w:szCs w:val="20"/>
              </w:rPr>
              <w:t>Bland Shire Council</w:t>
            </w:r>
          </w:p>
        </w:tc>
      </w:tr>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Bourke Shire Council</w:t>
            </w:r>
          </w:p>
        </w:tc>
        <w:tc>
          <w:tcPr>
            <w:tcW w:w="3093" w:type="dxa"/>
            <w:shd w:val="clear" w:color="auto" w:fill="auto"/>
          </w:tcPr>
          <w:p w:rsidR="00E66771" w:rsidRPr="0018433C" w:rsidRDefault="00E66771" w:rsidP="003F0E35">
            <w:pPr>
              <w:pStyle w:val="Tabletext"/>
              <w:rPr>
                <w:sz w:val="20"/>
                <w:szCs w:val="20"/>
              </w:rPr>
            </w:pPr>
            <w:r w:rsidRPr="0018433C">
              <w:rPr>
                <w:sz w:val="20"/>
                <w:szCs w:val="20"/>
              </w:rPr>
              <w:t>Camden Shire Council</w:t>
            </w:r>
          </w:p>
        </w:tc>
        <w:tc>
          <w:tcPr>
            <w:tcW w:w="3301" w:type="dxa"/>
            <w:shd w:val="clear" w:color="auto" w:fill="auto"/>
          </w:tcPr>
          <w:p w:rsidR="00E66771" w:rsidRPr="0018433C" w:rsidRDefault="00E66771" w:rsidP="003F0E35">
            <w:pPr>
              <w:pStyle w:val="Tabletext"/>
              <w:rPr>
                <w:sz w:val="20"/>
                <w:szCs w:val="20"/>
              </w:rPr>
            </w:pPr>
            <w:r w:rsidRPr="0018433C">
              <w:rPr>
                <w:sz w:val="20"/>
                <w:szCs w:val="20"/>
              </w:rPr>
              <w:t>Cessnock City Council</w:t>
            </w:r>
          </w:p>
        </w:tc>
      </w:tr>
      <w:tr w:rsidR="00E66771" w:rsidRPr="003C1CFA" w:rsidTr="00A928CC">
        <w:tc>
          <w:tcPr>
            <w:tcW w:w="3245" w:type="dxa"/>
            <w:shd w:val="clear" w:color="auto" w:fill="auto"/>
          </w:tcPr>
          <w:p w:rsidR="00E66771" w:rsidRPr="0018433C" w:rsidRDefault="00E66771" w:rsidP="003F0E35">
            <w:pPr>
              <w:pStyle w:val="Tabletext"/>
              <w:rPr>
                <w:b/>
                <w:sz w:val="20"/>
                <w:szCs w:val="20"/>
              </w:rPr>
            </w:pPr>
            <w:r w:rsidRPr="0018433C">
              <w:rPr>
                <w:sz w:val="20"/>
                <w:szCs w:val="20"/>
              </w:rPr>
              <w:t>Conargo Shire Council</w:t>
            </w:r>
          </w:p>
        </w:tc>
        <w:tc>
          <w:tcPr>
            <w:tcW w:w="3093" w:type="dxa"/>
            <w:shd w:val="clear" w:color="auto" w:fill="auto"/>
          </w:tcPr>
          <w:p w:rsidR="00E66771" w:rsidRPr="0018433C" w:rsidRDefault="00E66771" w:rsidP="003F0E35">
            <w:pPr>
              <w:pStyle w:val="Tabletext"/>
              <w:rPr>
                <w:b/>
                <w:sz w:val="20"/>
                <w:szCs w:val="20"/>
              </w:rPr>
            </w:pPr>
            <w:r w:rsidRPr="0018433C">
              <w:rPr>
                <w:sz w:val="20"/>
                <w:szCs w:val="20"/>
              </w:rPr>
              <w:t>Cooma-Monaro Shire Council</w:t>
            </w:r>
            <w:r w:rsidRPr="0018433C" w:rsidDel="00B34500">
              <w:rPr>
                <w:sz w:val="20"/>
                <w:szCs w:val="20"/>
              </w:rPr>
              <w:t xml:space="preserve"> </w:t>
            </w:r>
          </w:p>
        </w:tc>
        <w:tc>
          <w:tcPr>
            <w:tcW w:w="3301" w:type="dxa"/>
            <w:shd w:val="clear" w:color="auto" w:fill="auto"/>
          </w:tcPr>
          <w:p w:rsidR="00E66771" w:rsidRPr="0018433C" w:rsidRDefault="00E66771" w:rsidP="003F0E35">
            <w:pPr>
              <w:pStyle w:val="Tabletext"/>
              <w:rPr>
                <w:b/>
                <w:sz w:val="20"/>
                <w:szCs w:val="20"/>
              </w:rPr>
            </w:pPr>
            <w:r w:rsidRPr="0018433C">
              <w:rPr>
                <w:sz w:val="20"/>
                <w:szCs w:val="20"/>
              </w:rPr>
              <w:t>Coonamble Shire Council</w:t>
            </w:r>
          </w:p>
        </w:tc>
      </w:tr>
      <w:tr w:rsidR="00E66771" w:rsidRPr="003C1CFA" w:rsidTr="00A928CC">
        <w:tc>
          <w:tcPr>
            <w:tcW w:w="3245" w:type="dxa"/>
            <w:shd w:val="clear" w:color="auto" w:fill="auto"/>
          </w:tcPr>
          <w:p w:rsidR="00E66771" w:rsidRPr="0018433C" w:rsidRDefault="00E66771" w:rsidP="003F0E35">
            <w:pPr>
              <w:pStyle w:val="Tabletext"/>
              <w:rPr>
                <w:b/>
                <w:sz w:val="20"/>
                <w:szCs w:val="20"/>
              </w:rPr>
            </w:pPr>
            <w:r w:rsidRPr="0018433C">
              <w:rPr>
                <w:sz w:val="20"/>
                <w:szCs w:val="20"/>
              </w:rPr>
              <w:t>Cootamundra Shire Council</w:t>
            </w:r>
          </w:p>
        </w:tc>
        <w:tc>
          <w:tcPr>
            <w:tcW w:w="3093" w:type="dxa"/>
            <w:shd w:val="clear" w:color="auto" w:fill="auto"/>
          </w:tcPr>
          <w:p w:rsidR="00E66771" w:rsidRPr="0018433C" w:rsidRDefault="00E66771" w:rsidP="003F0E35">
            <w:pPr>
              <w:pStyle w:val="Tabletext"/>
              <w:rPr>
                <w:b/>
                <w:sz w:val="20"/>
                <w:szCs w:val="20"/>
              </w:rPr>
            </w:pPr>
            <w:r w:rsidRPr="0018433C">
              <w:rPr>
                <w:sz w:val="20"/>
                <w:szCs w:val="20"/>
              </w:rPr>
              <w:t>Forbes Shire Council</w:t>
            </w:r>
            <w:r w:rsidRPr="0018433C" w:rsidDel="00B34500">
              <w:rPr>
                <w:sz w:val="20"/>
                <w:szCs w:val="20"/>
              </w:rPr>
              <w:t xml:space="preserve"> </w:t>
            </w:r>
          </w:p>
        </w:tc>
        <w:tc>
          <w:tcPr>
            <w:tcW w:w="3301" w:type="dxa"/>
            <w:shd w:val="clear" w:color="auto" w:fill="auto"/>
          </w:tcPr>
          <w:p w:rsidR="00E66771" w:rsidRPr="0018433C" w:rsidRDefault="00E66771" w:rsidP="003F0E35">
            <w:pPr>
              <w:pStyle w:val="Tabletext"/>
              <w:rPr>
                <w:b/>
                <w:sz w:val="20"/>
                <w:szCs w:val="20"/>
              </w:rPr>
            </w:pPr>
            <w:r w:rsidRPr="0018433C">
              <w:rPr>
                <w:sz w:val="20"/>
                <w:szCs w:val="20"/>
              </w:rPr>
              <w:t>Glen Innes Severn Council</w:t>
            </w:r>
            <w:r w:rsidRPr="0018433C" w:rsidDel="00B34500">
              <w:rPr>
                <w:sz w:val="20"/>
                <w:szCs w:val="20"/>
              </w:rPr>
              <w:t xml:space="preserve"> </w:t>
            </w:r>
          </w:p>
        </w:tc>
      </w:tr>
      <w:tr w:rsidR="00E66771" w:rsidRPr="003C1CFA" w:rsidTr="00A928CC">
        <w:tc>
          <w:tcPr>
            <w:tcW w:w="3245" w:type="dxa"/>
            <w:shd w:val="clear" w:color="auto" w:fill="auto"/>
          </w:tcPr>
          <w:p w:rsidR="00E66771" w:rsidRPr="0018433C" w:rsidRDefault="00E66771" w:rsidP="003F0E35">
            <w:pPr>
              <w:pStyle w:val="Tabletext"/>
              <w:rPr>
                <w:b/>
                <w:sz w:val="20"/>
                <w:szCs w:val="20"/>
              </w:rPr>
            </w:pPr>
            <w:r w:rsidRPr="0018433C">
              <w:rPr>
                <w:sz w:val="20"/>
                <w:szCs w:val="20"/>
              </w:rPr>
              <w:t>Gosford City Council</w:t>
            </w:r>
          </w:p>
        </w:tc>
        <w:tc>
          <w:tcPr>
            <w:tcW w:w="3093" w:type="dxa"/>
            <w:shd w:val="clear" w:color="auto" w:fill="auto"/>
          </w:tcPr>
          <w:p w:rsidR="00E66771" w:rsidRPr="0018433C" w:rsidRDefault="00E66771" w:rsidP="003F0E35">
            <w:pPr>
              <w:pStyle w:val="Tabletext"/>
              <w:rPr>
                <w:b/>
                <w:sz w:val="20"/>
                <w:szCs w:val="20"/>
              </w:rPr>
            </w:pPr>
            <w:r w:rsidRPr="0018433C">
              <w:rPr>
                <w:sz w:val="20"/>
                <w:szCs w:val="20"/>
              </w:rPr>
              <w:t xml:space="preserve">Goulburn </w:t>
            </w:r>
            <w:proofErr w:type="spellStart"/>
            <w:r w:rsidRPr="0018433C">
              <w:rPr>
                <w:sz w:val="20"/>
                <w:szCs w:val="20"/>
              </w:rPr>
              <w:t>Mulwaree</w:t>
            </w:r>
            <w:proofErr w:type="spellEnd"/>
            <w:r w:rsidRPr="0018433C">
              <w:rPr>
                <w:sz w:val="20"/>
                <w:szCs w:val="20"/>
              </w:rPr>
              <w:t xml:space="preserve"> Council</w:t>
            </w:r>
          </w:p>
        </w:tc>
        <w:tc>
          <w:tcPr>
            <w:tcW w:w="3301" w:type="dxa"/>
            <w:shd w:val="clear" w:color="auto" w:fill="auto"/>
          </w:tcPr>
          <w:p w:rsidR="00E66771" w:rsidRPr="0018433C" w:rsidRDefault="00E66771" w:rsidP="003F0E35">
            <w:pPr>
              <w:pStyle w:val="Tabletext"/>
              <w:rPr>
                <w:b/>
                <w:sz w:val="20"/>
                <w:szCs w:val="20"/>
              </w:rPr>
            </w:pPr>
            <w:r w:rsidRPr="0018433C">
              <w:rPr>
                <w:sz w:val="20"/>
                <w:szCs w:val="20"/>
              </w:rPr>
              <w:t>Greater Hume Shire Council</w:t>
            </w:r>
            <w:r w:rsidRPr="0018433C" w:rsidDel="00B34500">
              <w:rPr>
                <w:sz w:val="20"/>
                <w:szCs w:val="20"/>
              </w:rPr>
              <w:t xml:space="preserve"> </w:t>
            </w:r>
          </w:p>
        </w:tc>
      </w:tr>
      <w:tr w:rsidR="00E66771" w:rsidRPr="003C1CFA" w:rsidTr="00A928CC">
        <w:tc>
          <w:tcPr>
            <w:tcW w:w="3245" w:type="dxa"/>
            <w:shd w:val="clear" w:color="auto" w:fill="auto"/>
          </w:tcPr>
          <w:p w:rsidR="00E66771" w:rsidRPr="0018433C" w:rsidRDefault="00E66771" w:rsidP="003F0E35">
            <w:pPr>
              <w:pStyle w:val="Tabletext"/>
              <w:rPr>
                <w:b/>
                <w:sz w:val="20"/>
                <w:szCs w:val="20"/>
              </w:rPr>
            </w:pPr>
            <w:r w:rsidRPr="0018433C">
              <w:rPr>
                <w:sz w:val="20"/>
                <w:szCs w:val="20"/>
              </w:rPr>
              <w:t>Greater Taree City Council</w:t>
            </w:r>
          </w:p>
        </w:tc>
        <w:tc>
          <w:tcPr>
            <w:tcW w:w="3093" w:type="dxa"/>
            <w:shd w:val="clear" w:color="auto" w:fill="auto"/>
          </w:tcPr>
          <w:p w:rsidR="00E66771" w:rsidRPr="0018433C" w:rsidRDefault="00E66771" w:rsidP="003F0E35">
            <w:pPr>
              <w:pStyle w:val="Tabletext"/>
              <w:rPr>
                <w:b/>
                <w:sz w:val="20"/>
                <w:szCs w:val="20"/>
              </w:rPr>
            </w:pPr>
            <w:r w:rsidRPr="0018433C">
              <w:rPr>
                <w:sz w:val="20"/>
                <w:szCs w:val="20"/>
              </w:rPr>
              <w:t>Guyra Shire Council</w:t>
            </w:r>
            <w:r w:rsidRPr="0018433C" w:rsidDel="00B34500">
              <w:rPr>
                <w:sz w:val="20"/>
                <w:szCs w:val="20"/>
              </w:rPr>
              <w:t xml:space="preserve"> </w:t>
            </w:r>
          </w:p>
        </w:tc>
        <w:tc>
          <w:tcPr>
            <w:tcW w:w="3301" w:type="dxa"/>
            <w:shd w:val="clear" w:color="auto" w:fill="auto"/>
          </w:tcPr>
          <w:p w:rsidR="00E66771" w:rsidRPr="0018433C" w:rsidRDefault="00E66771" w:rsidP="003F0E35">
            <w:pPr>
              <w:pStyle w:val="Tabletext"/>
              <w:rPr>
                <w:b/>
                <w:sz w:val="20"/>
                <w:szCs w:val="20"/>
              </w:rPr>
            </w:pPr>
            <w:r w:rsidRPr="0018433C">
              <w:rPr>
                <w:sz w:val="20"/>
                <w:szCs w:val="20"/>
              </w:rPr>
              <w:t>Gwydir Shire Council</w:t>
            </w:r>
            <w:r w:rsidRPr="0018433C" w:rsidDel="00B34500">
              <w:rPr>
                <w:sz w:val="20"/>
                <w:szCs w:val="20"/>
              </w:rPr>
              <w:t xml:space="preserve"> </w:t>
            </w:r>
          </w:p>
        </w:tc>
      </w:tr>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Inverell Shire Council</w:t>
            </w:r>
          </w:p>
        </w:tc>
        <w:tc>
          <w:tcPr>
            <w:tcW w:w="3093" w:type="dxa"/>
            <w:shd w:val="clear" w:color="auto" w:fill="auto"/>
          </w:tcPr>
          <w:p w:rsidR="00E66771" w:rsidRPr="0018433C" w:rsidRDefault="00E66771" w:rsidP="003F0E35">
            <w:pPr>
              <w:pStyle w:val="Tabletext"/>
              <w:rPr>
                <w:sz w:val="20"/>
                <w:szCs w:val="20"/>
              </w:rPr>
            </w:pPr>
            <w:r w:rsidRPr="0018433C">
              <w:rPr>
                <w:sz w:val="20"/>
                <w:szCs w:val="20"/>
              </w:rPr>
              <w:t>Jerilderie Shire Council</w:t>
            </w:r>
            <w:r w:rsidRPr="0018433C" w:rsidDel="00B34500">
              <w:rPr>
                <w:sz w:val="20"/>
                <w:szCs w:val="20"/>
              </w:rPr>
              <w:t xml:space="preserve"> </w:t>
            </w:r>
          </w:p>
        </w:tc>
        <w:tc>
          <w:tcPr>
            <w:tcW w:w="3301" w:type="dxa"/>
            <w:shd w:val="clear" w:color="auto" w:fill="auto"/>
          </w:tcPr>
          <w:p w:rsidR="00E66771" w:rsidRPr="0018433C" w:rsidRDefault="00E66771" w:rsidP="003F0E35">
            <w:pPr>
              <w:pStyle w:val="Tabletext"/>
              <w:rPr>
                <w:sz w:val="20"/>
                <w:szCs w:val="20"/>
              </w:rPr>
            </w:pPr>
            <w:r w:rsidRPr="0018433C">
              <w:rPr>
                <w:sz w:val="20"/>
                <w:szCs w:val="20"/>
              </w:rPr>
              <w:t>Junee Shire Council</w:t>
            </w:r>
            <w:r w:rsidRPr="0018433C" w:rsidDel="00B34500">
              <w:rPr>
                <w:sz w:val="20"/>
                <w:szCs w:val="20"/>
              </w:rPr>
              <w:t xml:space="preserve"> </w:t>
            </w:r>
          </w:p>
        </w:tc>
      </w:tr>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Lachlan Shire Council</w:t>
            </w:r>
          </w:p>
        </w:tc>
        <w:tc>
          <w:tcPr>
            <w:tcW w:w="3093" w:type="dxa"/>
            <w:shd w:val="clear" w:color="auto" w:fill="auto"/>
          </w:tcPr>
          <w:p w:rsidR="00E66771" w:rsidRPr="0018433C" w:rsidRDefault="00E66771" w:rsidP="003F0E35">
            <w:pPr>
              <w:pStyle w:val="Tabletext"/>
              <w:rPr>
                <w:sz w:val="20"/>
                <w:szCs w:val="20"/>
              </w:rPr>
            </w:pPr>
            <w:r w:rsidRPr="0018433C">
              <w:rPr>
                <w:sz w:val="20"/>
                <w:szCs w:val="20"/>
              </w:rPr>
              <w:t>Lithgow City Council</w:t>
            </w:r>
            <w:r w:rsidRPr="0018433C" w:rsidDel="00B34500">
              <w:rPr>
                <w:sz w:val="20"/>
                <w:szCs w:val="20"/>
              </w:rPr>
              <w:t xml:space="preserve"> </w:t>
            </w:r>
          </w:p>
        </w:tc>
        <w:tc>
          <w:tcPr>
            <w:tcW w:w="3301" w:type="dxa"/>
            <w:shd w:val="clear" w:color="auto" w:fill="auto"/>
          </w:tcPr>
          <w:p w:rsidR="00E66771" w:rsidRPr="0018433C" w:rsidRDefault="00E66771" w:rsidP="003F0E35">
            <w:pPr>
              <w:pStyle w:val="Tabletext"/>
              <w:rPr>
                <w:sz w:val="20"/>
                <w:szCs w:val="20"/>
              </w:rPr>
            </w:pPr>
            <w:r w:rsidRPr="0018433C">
              <w:rPr>
                <w:sz w:val="20"/>
                <w:szCs w:val="20"/>
              </w:rPr>
              <w:t>Lord Howe Island Board</w:t>
            </w:r>
            <w:r w:rsidRPr="0018433C" w:rsidDel="00B34500">
              <w:rPr>
                <w:sz w:val="20"/>
                <w:szCs w:val="20"/>
              </w:rPr>
              <w:t xml:space="preserve"> </w:t>
            </w:r>
          </w:p>
        </w:tc>
      </w:tr>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Nambucca Shire Council</w:t>
            </w:r>
          </w:p>
        </w:tc>
        <w:tc>
          <w:tcPr>
            <w:tcW w:w="3093" w:type="dxa"/>
            <w:shd w:val="clear" w:color="auto" w:fill="auto"/>
          </w:tcPr>
          <w:p w:rsidR="00E66771" w:rsidRPr="0018433C" w:rsidRDefault="00E66771" w:rsidP="003F0E35">
            <w:pPr>
              <w:pStyle w:val="Tabletext"/>
              <w:rPr>
                <w:sz w:val="20"/>
                <w:szCs w:val="20"/>
              </w:rPr>
            </w:pPr>
            <w:r w:rsidRPr="0018433C">
              <w:rPr>
                <w:sz w:val="20"/>
                <w:szCs w:val="20"/>
              </w:rPr>
              <w:t>Narrabri Shire Council</w:t>
            </w:r>
          </w:p>
        </w:tc>
        <w:tc>
          <w:tcPr>
            <w:tcW w:w="3301" w:type="dxa"/>
            <w:shd w:val="clear" w:color="auto" w:fill="auto"/>
          </w:tcPr>
          <w:p w:rsidR="00E66771" w:rsidRPr="0018433C" w:rsidRDefault="00E66771" w:rsidP="003F0E35">
            <w:pPr>
              <w:pStyle w:val="Tabletext"/>
              <w:rPr>
                <w:sz w:val="20"/>
                <w:szCs w:val="20"/>
              </w:rPr>
            </w:pPr>
            <w:r w:rsidRPr="0018433C">
              <w:rPr>
                <w:sz w:val="20"/>
                <w:szCs w:val="20"/>
              </w:rPr>
              <w:t>Shoalhaven City Council</w:t>
            </w:r>
          </w:p>
        </w:tc>
      </w:tr>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Snowy River Shire Council</w:t>
            </w:r>
          </w:p>
        </w:tc>
        <w:tc>
          <w:tcPr>
            <w:tcW w:w="3093" w:type="dxa"/>
            <w:shd w:val="clear" w:color="auto" w:fill="auto"/>
          </w:tcPr>
          <w:p w:rsidR="00E66771" w:rsidRPr="0018433C" w:rsidRDefault="00E66771" w:rsidP="003F0E35">
            <w:pPr>
              <w:pStyle w:val="Tabletext"/>
              <w:rPr>
                <w:sz w:val="20"/>
                <w:szCs w:val="20"/>
              </w:rPr>
            </w:pPr>
            <w:r w:rsidRPr="0018433C">
              <w:rPr>
                <w:sz w:val="20"/>
                <w:szCs w:val="20"/>
              </w:rPr>
              <w:t>Tenterfield Shire Council</w:t>
            </w:r>
          </w:p>
        </w:tc>
        <w:tc>
          <w:tcPr>
            <w:tcW w:w="3301" w:type="dxa"/>
            <w:shd w:val="clear" w:color="auto" w:fill="auto"/>
          </w:tcPr>
          <w:p w:rsidR="00E66771" w:rsidRPr="0018433C" w:rsidRDefault="00E66771" w:rsidP="003F0E35">
            <w:pPr>
              <w:pStyle w:val="Tabletext"/>
              <w:rPr>
                <w:sz w:val="20"/>
                <w:szCs w:val="20"/>
              </w:rPr>
            </w:pPr>
            <w:r w:rsidRPr="0018433C">
              <w:rPr>
                <w:sz w:val="20"/>
                <w:szCs w:val="20"/>
              </w:rPr>
              <w:t>The Hills Shire Council</w:t>
            </w:r>
          </w:p>
        </w:tc>
      </w:tr>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Tumbarumba Shire Council</w:t>
            </w:r>
          </w:p>
        </w:tc>
        <w:tc>
          <w:tcPr>
            <w:tcW w:w="3093" w:type="dxa"/>
            <w:shd w:val="clear" w:color="auto" w:fill="auto"/>
          </w:tcPr>
          <w:p w:rsidR="00E66771" w:rsidRPr="0018433C" w:rsidRDefault="00E66771" w:rsidP="003F0E35">
            <w:pPr>
              <w:pStyle w:val="Tabletext"/>
              <w:rPr>
                <w:sz w:val="20"/>
                <w:szCs w:val="20"/>
              </w:rPr>
            </w:pPr>
            <w:r w:rsidRPr="0018433C">
              <w:rPr>
                <w:sz w:val="20"/>
                <w:szCs w:val="20"/>
              </w:rPr>
              <w:t>Tumut Shire Council</w:t>
            </w:r>
            <w:r w:rsidRPr="0018433C" w:rsidDel="00B34500">
              <w:rPr>
                <w:sz w:val="20"/>
                <w:szCs w:val="20"/>
              </w:rPr>
              <w:t xml:space="preserve"> </w:t>
            </w:r>
          </w:p>
        </w:tc>
        <w:tc>
          <w:tcPr>
            <w:tcW w:w="3301" w:type="dxa"/>
            <w:shd w:val="clear" w:color="auto" w:fill="auto"/>
          </w:tcPr>
          <w:p w:rsidR="00E66771" w:rsidRPr="0018433C" w:rsidRDefault="00E66771" w:rsidP="003F0E35">
            <w:pPr>
              <w:pStyle w:val="Tabletext"/>
              <w:rPr>
                <w:sz w:val="20"/>
                <w:szCs w:val="20"/>
              </w:rPr>
            </w:pPr>
            <w:r w:rsidRPr="0018433C">
              <w:rPr>
                <w:sz w:val="20"/>
                <w:szCs w:val="20"/>
              </w:rPr>
              <w:t>Upper Hunter Shire Council</w:t>
            </w:r>
          </w:p>
        </w:tc>
      </w:tr>
      <w:tr w:rsidR="00E66771" w:rsidRPr="003C1CFA" w:rsidTr="00A928CC">
        <w:tc>
          <w:tcPr>
            <w:tcW w:w="3245" w:type="dxa"/>
            <w:shd w:val="clear" w:color="auto" w:fill="auto"/>
          </w:tcPr>
          <w:p w:rsidR="00E66771" w:rsidRPr="0018433C" w:rsidRDefault="00E66771" w:rsidP="003F0E35">
            <w:pPr>
              <w:pStyle w:val="Tabletext"/>
              <w:rPr>
                <w:sz w:val="20"/>
                <w:szCs w:val="20"/>
              </w:rPr>
            </w:pPr>
            <w:r w:rsidRPr="0018433C">
              <w:rPr>
                <w:sz w:val="20"/>
                <w:szCs w:val="20"/>
              </w:rPr>
              <w:t>Upper Lachlan Shire Council</w:t>
            </w:r>
          </w:p>
        </w:tc>
        <w:tc>
          <w:tcPr>
            <w:tcW w:w="3093" w:type="dxa"/>
            <w:shd w:val="clear" w:color="auto" w:fill="auto"/>
          </w:tcPr>
          <w:p w:rsidR="00E66771" w:rsidRPr="0018433C" w:rsidRDefault="00E66771" w:rsidP="003F0E35">
            <w:pPr>
              <w:pStyle w:val="Tabletext"/>
              <w:rPr>
                <w:sz w:val="20"/>
                <w:szCs w:val="20"/>
              </w:rPr>
            </w:pPr>
            <w:proofErr w:type="spellStart"/>
            <w:r w:rsidRPr="0018433C">
              <w:rPr>
                <w:sz w:val="20"/>
                <w:szCs w:val="20"/>
              </w:rPr>
              <w:t>Weddin</w:t>
            </w:r>
            <w:proofErr w:type="spellEnd"/>
            <w:r w:rsidRPr="0018433C">
              <w:rPr>
                <w:sz w:val="20"/>
                <w:szCs w:val="20"/>
              </w:rPr>
              <w:t xml:space="preserve"> Shire Council</w:t>
            </w:r>
          </w:p>
        </w:tc>
        <w:tc>
          <w:tcPr>
            <w:tcW w:w="3301" w:type="dxa"/>
            <w:shd w:val="clear" w:color="auto" w:fill="auto"/>
          </w:tcPr>
          <w:p w:rsidR="00E66771" w:rsidRPr="0018433C" w:rsidRDefault="00E66771" w:rsidP="003F0E35">
            <w:pPr>
              <w:pStyle w:val="Tabletext"/>
              <w:rPr>
                <w:sz w:val="20"/>
                <w:szCs w:val="20"/>
              </w:rPr>
            </w:pPr>
            <w:proofErr w:type="spellStart"/>
            <w:r w:rsidRPr="0018433C">
              <w:rPr>
                <w:sz w:val="20"/>
                <w:szCs w:val="20"/>
              </w:rPr>
              <w:t>Wingecarribee</w:t>
            </w:r>
            <w:proofErr w:type="spellEnd"/>
            <w:r w:rsidRPr="0018433C">
              <w:rPr>
                <w:sz w:val="20"/>
                <w:szCs w:val="20"/>
              </w:rPr>
              <w:t xml:space="preserve"> Shire Council</w:t>
            </w:r>
          </w:p>
        </w:tc>
      </w:tr>
    </w:tbl>
    <w:p w:rsidR="00E66771" w:rsidRDefault="00E66771" w:rsidP="003F0E35">
      <w:pPr>
        <w:pStyle w:val="TableHeading"/>
      </w:pPr>
      <w:r>
        <w:t>Northern Territory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19"/>
        <w:gridCol w:w="3244"/>
      </w:tblGrid>
      <w:tr w:rsidR="00E66771" w:rsidRPr="0018433C" w:rsidTr="00A928CC">
        <w:tc>
          <w:tcPr>
            <w:tcW w:w="3276" w:type="dxa"/>
            <w:shd w:val="clear" w:color="auto" w:fill="auto"/>
          </w:tcPr>
          <w:p w:rsidR="00E66771" w:rsidRPr="0018433C" w:rsidRDefault="00E66771" w:rsidP="003F0E35">
            <w:pPr>
              <w:pStyle w:val="Tabletext"/>
              <w:rPr>
                <w:sz w:val="20"/>
                <w:szCs w:val="20"/>
              </w:rPr>
            </w:pPr>
            <w:r w:rsidRPr="0018433C">
              <w:rPr>
                <w:sz w:val="20"/>
                <w:szCs w:val="20"/>
              </w:rPr>
              <w:t>MacDonnell Shire Council</w:t>
            </w:r>
          </w:p>
        </w:tc>
        <w:tc>
          <w:tcPr>
            <w:tcW w:w="3119" w:type="dxa"/>
            <w:shd w:val="clear" w:color="auto" w:fill="auto"/>
          </w:tcPr>
          <w:p w:rsidR="00E66771" w:rsidRPr="0018433C" w:rsidRDefault="00E66771" w:rsidP="003F0E35">
            <w:pPr>
              <w:pStyle w:val="Tabletext"/>
              <w:rPr>
                <w:sz w:val="20"/>
                <w:szCs w:val="20"/>
              </w:rPr>
            </w:pPr>
            <w:r w:rsidRPr="0018433C">
              <w:rPr>
                <w:sz w:val="20"/>
                <w:szCs w:val="20"/>
              </w:rPr>
              <w:t>West Arnhem Shire Council</w:t>
            </w:r>
          </w:p>
        </w:tc>
        <w:tc>
          <w:tcPr>
            <w:tcW w:w="3244" w:type="dxa"/>
            <w:shd w:val="clear" w:color="auto" w:fill="auto"/>
          </w:tcPr>
          <w:p w:rsidR="00E66771" w:rsidRPr="0018433C" w:rsidRDefault="00E66771" w:rsidP="003F0E35">
            <w:pPr>
              <w:pStyle w:val="Tabletext"/>
              <w:rPr>
                <w:sz w:val="20"/>
                <w:szCs w:val="20"/>
              </w:rPr>
            </w:pPr>
          </w:p>
        </w:tc>
      </w:tr>
    </w:tbl>
    <w:p w:rsidR="00E66771" w:rsidRPr="00597BE4" w:rsidRDefault="00E66771" w:rsidP="003F0E35">
      <w:pPr>
        <w:pStyle w:val="TableHeading"/>
      </w:pPr>
      <w:r w:rsidRPr="00597BE4">
        <w:t>Queensland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120"/>
        <w:gridCol w:w="3291"/>
      </w:tblGrid>
      <w:tr w:rsidR="00E66771" w:rsidRPr="003C1CFA" w:rsidTr="00A928CC">
        <w:tc>
          <w:tcPr>
            <w:tcW w:w="3228" w:type="dxa"/>
            <w:shd w:val="clear" w:color="auto" w:fill="auto"/>
          </w:tcPr>
          <w:p w:rsidR="00E66771" w:rsidRPr="0018433C" w:rsidRDefault="00E66771" w:rsidP="003F0E35">
            <w:pPr>
              <w:pStyle w:val="Tabletext"/>
              <w:rPr>
                <w:b/>
                <w:sz w:val="20"/>
                <w:szCs w:val="20"/>
              </w:rPr>
            </w:pPr>
            <w:r w:rsidRPr="0018433C">
              <w:rPr>
                <w:sz w:val="20"/>
                <w:szCs w:val="20"/>
              </w:rPr>
              <w:t>Banana Shire Council</w:t>
            </w:r>
          </w:p>
        </w:tc>
        <w:tc>
          <w:tcPr>
            <w:tcW w:w="3120" w:type="dxa"/>
            <w:shd w:val="clear" w:color="auto" w:fill="auto"/>
          </w:tcPr>
          <w:p w:rsidR="00E66771" w:rsidRPr="0018433C" w:rsidRDefault="00E66771" w:rsidP="003F0E35">
            <w:pPr>
              <w:pStyle w:val="Tabletext"/>
              <w:rPr>
                <w:b/>
                <w:sz w:val="20"/>
                <w:szCs w:val="20"/>
              </w:rPr>
            </w:pPr>
            <w:r w:rsidRPr="0018433C">
              <w:rPr>
                <w:sz w:val="20"/>
                <w:szCs w:val="20"/>
              </w:rPr>
              <w:t>Barcaldine Regional Council</w:t>
            </w:r>
          </w:p>
        </w:tc>
        <w:tc>
          <w:tcPr>
            <w:tcW w:w="3291" w:type="dxa"/>
            <w:shd w:val="clear" w:color="auto" w:fill="auto"/>
          </w:tcPr>
          <w:p w:rsidR="00E66771" w:rsidRPr="0018433C" w:rsidRDefault="00E66771" w:rsidP="003F0E35">
            <w:pPr>
              <w:pStyle w:val="Tabletext"/>
              <w:rPr>
                <w:b/>
                <w:sz w:val="20"/>
                <w:szCs w:val="20"/>
              </w:rPr>
            </w:pPr>
            <w:r w:rsidRPr="0018433C">
              <w:rPr>
                <w:sz w:val="20"/>
                <w:szCs w:val="20"/>
              </w:rPr>
              <w:t>Blackall-Tambo Regional Council</w:t>
            </w:r>
          </w:p>
        </w:tc>
      </w:tr>
      <w:tr w:rsidR="00E66771" w:rsidRPr="003C1CFA" w:rsidTr="00A928CC">
        <w:tc>
          <w:tcPr>
            <w:tcW w:w="3228" w:type="dxa"/>
            <w:shd w:val="clear" w:color="auto" w:fill="auto"/>
          </w:tcPr>
          <w:p w:rsidR="00E66771" w:rsidRPr="0018433C" w:rsidRDefault="00E66771" w:rsidP="003F0E35">
            <w:pPr>
              <w:pStyle w:val="Tabletext"/>
              <w:rPr>
                <w:b/>
                <w:sz w:val="20"/>
                <w:szCs w:val="20"/>
              </w:rPr>
            </w:pPr>
            <w:r w:rsidRPr="0018433C">
              <w:rPr>
                <w:sz w:val="20"/>
                <w:szCs w:val="20"/>
              </w:rPr>
              <w:t>Bundaberg Regional Council</w:t>
            </w:r>
          </w:p>
        </w:tc>
        <w:tc>
          <w:tcPr>
            <w:tcW w:w="3120" w:type="dxa"/>
            <w:shd w:val="clear" w:color="auto" w:fill="auto"/>
          </w:tcPr>
          <w:p w:rsidR="00E66771" w:rsidRPr="0018433C" w:rsidRDefault="00E66771" w:rsidP="003F0E35">
            <w:pPr>
              <w:pStyle w:val="Tabletext"/>
              <w:rPr>
                <w:b/>
                <w:sz w:val="20"/>
                <w:szCs w:val="20"/>
              </w:rPr>
            </w:pPr>
            <w:r w:rsidRPr="0018433C">
              <w:rPr>
                <w:sz w:val="20"/>
                <w:szCs w:val="20"/>
              </w:rPr>
              <w:t>Burdekin Shire Council</w:t>
            </w:r>
          </w:p>
        </w:tc>
        <w:tc>
          <w:tcPr>
            <w:tcW w:w="3291" w:type="dxa"/>
            <w:shd w:val="clear" w:color="auto" w:fill="auto"/>
          </w:tcPr>
          <w:p w:rsidR="00E66771" w:rsidRPr="0018433C" w:rsidRDefault="00E66771" w:rsidP="003F0E35">
            <w:pPr>
              <w:pStyle w:val="Tabletext"/>
              <w:rPr>
                <w:b/>
                <w:sz w:val="20"/>
                <w:szCs w:val="20"/>
              </w:rPr>
            </w:pPr>
            <w:r w:rsidRPr="0018433C">
              <w:rPr>
                <w:sz w:val="20"/>
                <w:szCs w:val="20"/>
              </w:rPr>
              <w:t>Burke Shire Council</w:t>
            </w:r>
          </w:p>
        </w:tc>
      </w:tr>
      <w:tr w:rsidR="00E66771" w:rsidRPr="003C1CFA" w:rsidTr="00A928CC">
        <w:tc>
          <w:tcPr>
            <w:tcW w:w="3228" w:type="dxa"/>
            <w:shd w:val="clear" w:color="auto" w:fill="auto"/>
          </w:tcPr>
          <w:p w:rsidR="00E66771" w:rsidRPr="0018433C" w:rsidRDefault="00E66771" w:rsidP="003F0E35">
            <w:pPr>
              <w:pStyle w:val="Tabletext"/>
              <w:rPr>
                <w:b/>
                <w:sz w:val="20"/>
                <w:szCs w:val="20"/>
              </w:rPr>
            </w:pPr>
            <w:r w:rsidRPr="0018433C">
              <w:rPr>
                <w:sz w:val="20"/>
                <w:szCs w:val="20"/>
              </w:rPr>
              <w:t>Cairns Regional Council</w:t>
            </w:r>
          </w:p>
        </w:tc>
        <w:tc>
          <w:tcPr>
            <w:tcW w:w="3120" w:type="dxa"/>
            <w:shd w:val="clear" w:color="auto" w:fill="auto"/>
          </w:tcPr>
          <w:p w:rsidR="00E66771" w:rsidRPr="0018433C" w:rsidRDefault="00E66771" w:rsidP="003F0E35">
            <w:pPr>
              <w:pStyle w:val="Tabletext"/>
              <w:rPr>
                <w:b/>
                <w:sz w:val="20"/>
                <w:szCs w:val="20"/>
              </w:rPr>
            </w:pPr>
            <w:r w:rsidRPr="0018433C">
              <w:rPr>
                <w:sz w:val="20"/>
                <w:szCs w:val="20"/>
              </w:rPr>
              <w:t>Carpentaria Shire Council</w:t>
            </w:r>
          </w:p>
        </w:tc>
        <w:tc>
          <w:tcPr>
            <w:tcW w:w="3291" w:type="dxa"/>
            <w:shd w:val="clear" w:color="auto" w:fill="auto"/>
          </w:tcPr>
          <w:p w:rsidR="00E66771" w:rsidRPr="0018433C" w:rsidRDefault="00E66771" w:rsidP="003F0E35">
            <w:pPr>
              <w:pStyle w:val="Tabletext"/>
              <w:rPr>
                <w:b/>
                <w:sz w:val="20"/>
                <w:szCs w:val="20"/>
              </w:rPr>
            </w:pPr>
            <w:r w:rsidRPr="0018433C">
              <w:rPr>
                <w:sz w:val="20"/>
                <w:szCs w:val="20"/>
              </w:rPr>
              <w:t>Central Highlands Regional Council</w:t>
            </w:r>
          </w:p>
        </w:tc>
      </w:tr>
      <w:tr w:rsidR="00E66771" w:rsidRPr="003C1CFA" w:rsidTr="00A928CC">
        <w:tc>
          <w:tcPr>
            <w:tcW w:w="3228" w:type="dxa"/>
            <w:shd w:val="clear" w:color="auto" w:fill="auto"/>
          </w:tcPr>
          <w:p w:rsidR="00E66771" w:rsidRPr="0018433C" w:rsidRDefault="00E66771" w:rsidP="003F0E35">
            <w:pPr>
              <w:pStyle w:val="Tabletext"/>
              <w:rPr>
                <w:b/>
                <w:sz w:val="20"/>
                <w:szCs w:val="20"/>
              </w:rPr>
            </w:pPr>
            <w:r w:rsidRPr="0018433C">
              <w:rPr>
                <w:sz w:val="20"/>
                <w:szCs w:val="20"/>
              </w:rPr>
              <w:t>Charters Towers Regional Council</w:t>
            </w:r>
          </w:p>
        </w:tc>
        <w:tc>
          <w:tcPr>
            <w:tcW w:w="3120" w:type="dxa"/>
            <w:shd w:val="clear" w:color="auto" w:fill="auto"/>
          </w:tcPr>
          <w:p w:rsidR="00E66771" w:rsidRPr="0018433C" w:rsidRDefault="00E66771" w:rsidP="003F0E35">
            <w:pPr>
              <w:pStyle w:val="Tabletext"/>
              <w:rPr>
                <w:b/>
                <w:sz w:val="20"/>
                <w:szCs w:val="20"/>
              </w:rPr>
            </w:pPr>
            <w:r w:rsidRPr="0018433C">
              <w:rPr>
                <w:sz w:val="20"/>
                <w:szCs w:val="20"/>
              </w:rPr>
              <w:t>Cloncurry Shire Council</w:t>
            </w:r>
          </w:p>
        </w:tc>
        <w:tc>
          <w:tcPr>
            <w:tcW w:w="3291" w:type="dxa"/>
            <w:shd w:val="clear" w:color="auto" w:fill="auto"/>
          </w:tcPr>
          <w:p w:rsidR="00E66771" w:rsidRPr="0018433C" w:rsidRDefault="00E66771" w:rsidP="003F0E35">
            <w:pPr>
              <w:pStyle w:val="Tabletext"/>
              <w:rPr>
                <w:b/>
                <w:sz w:val="20"/>
                <w:szCs w:val="20"/>
              </w:rPr>
            </w:pPr>
            <w:r w:rsidRPr="0018433C">
              <w:rPr>
                <w:sz w:val="20"/>
                <w:szCs w:val="20"/>
              </w:rPr>
              <w:t>Diamantina Shire Council</w:t>
            </w:r>
          </w:p>
        </w:tc>
      </w:tr>
      <w:tr w:rsidR="00E66771" w:rsidRPr="003C1CFA" w:rsidTr="00A928CC">
        <w:tc>
          <w:tcPr>
            <w:tcW w:w="3228" w:type="dxa"/>
            <w:shd w:val="clear" w:color="auto" w:fill="auto"/>
          </w:tcPr>
          <w:p w:rsidR="00E66771" w:rsidRPr="0018433C" w:rsidRDefault="00E66771" w:rsidP="003F0E35">
            <w:pPr>
              <w:pStyle w:val="Tabletext"/>
              <w:rPr>
                <w:b/>
                <w:sz w:val="20"/>
                <w:szCs w:val="20"/>
              </w:rPr>
            </w:pPr>
            <w:r w:rsidRPr="0018433C">
              <w:rPr>
                <w:sz w:val="20"/>
                <w:szCs w:val="20"/>
              </w:rPr>
              <w:t>Flinders Shire Council</w:t>
            </w:r>
          </w:p>
        </w:tc>
        <w:tc>
          <w:tcPr>
            <w:tcW w:w="3120" w:type="dxa"/>
            <w:shd w:val="clear" w:color="auto" w:fill="auto"/>
          </w:tcPr>
          <w:p w:rsidR="00E66771" w:rsidRPr="0018433C" w:rsidRDefault="00E66771" w:rsidP="003F0E35">
            <w:pPr>
              <w:pStyle w:val="Tabletext"/>
              <w:rPr>
                <w:b/>
                <w:sz w:val="20"/>
                <w:szCs w:val="20"/>
              </w:rPr>
            </w:pPr>
            <w:r w:rsidRPr="0018433C">
              <w:rPr>
                <w:sz w:val="20"/>
                <w:szCs w:val="20"/>
              </w:rPr>
              <w:t>Gladstone Regional Council</w:t>
            </w:r>
          </w:p>
        </w:tc>
        <w:tc>
          <w:tcPr>
            <w:tcW w:w="3291" w:type="dxa"/>
            <w:shd w:val="clear" w:color="auto" w:fill="auto"/>
          </w:tcPr>
          <w:p w:rsidR="00E66771" w:rsidRPr="0018433C" w:rsidRDefault="00E66771" w:rsidP="003F0E35">
            <w:pPr>
              <w:pStyle w:val="Tabletext"/>
              <w:rPr>
                <w:b/>
                <w:sz w:val="20"/>
                <w:szCs w:val="20"/>
              </w:rPr>
            </w:pPr>
            <w:r w:rsidRPr="0018433C">
              <w:rPr>
                <w:sz w:val="20"/>
                <w:szCs w:val="20"/>
              </w:rPr>
              <w:t>Goondiwindi Regional Council</w:t>
            </w:r>
          </w:p>
        </w:tc>
      </w:tr>
      <w:tr w:rsidR="00E66771" w:rsidRPr="003C1CFA" w:rsidTr="00A928CC">
        <w:tc>
          <w:tcPr>
            <w:tcW w:w="3228" w:type="dxa"/>
            <w:shd w:val="clear" w:color="auto" w:fill="auto"/>
          </w:tcPr>
          <w:p w:rsidR="00E66771" w:rsidRPr="0018433C" w:rsidRDefault="00E66771" w:rsidP="003F0E35">
            <w:pPr>
              <w:pStyle w:val="Tabletext"/>
              <w:rPr>
                <w:sz w:val="20"/>
                <w:szCs w:val="20"/>
              </w:rPr>
            </w:pPr>
            <w:r w:rsidRPr="0018433C">
              <w:rPr>
                <w:sz w:val="20"/>
                <w:szCs w:val="20"/>
              </w:rPr>
              <w:t>Gympie Regional Council</w:t>
            </w:r>
          </w:p>
        </w:tc>
        <w:tc>
          <w:tcPr>
            <w:tcW w:w="3120" w:type="dxa"/>
            <w:shd w:val="clear" w:color="auto" w:fill="auto"/>
          </w:tcPr>
          <w:p w:rsidR="00E66771" w:rsidRPr="0018433C" w:rsidRDefault="00E66771" w:rsidP="003F0E35">
            <w:pPr>
              <w:pStyle w:val="Tabletext"/>
              <w:rPr>
                <w:sz w:val="20"/>
                <w:szCs w:val="20"/>
              </w:rPr>
            </w:pPr>
            <w:r w:rsidRPr="0018433C">
              <w:rPr>
                <w:sz w:val="20"/>
                <w:szCs w:val="20"/>
              </w:rPr>
              <w:t>Hinchinbrook Shire Council</w:t>
            </w:r>
          </w:p>
        </w:tc>
        <w:tc>
          <w:tcPr>
            <w:tcW w:w="3291" w:type="dxa"/>
            <w:shd w:val="clear" w:color="auto" w:fill="auto"/>
          </w:tcPr>
          <w:p w:rsidR="00E66771" w:rsidRPr="0018433C" w:rsidRDefault="00E66771" w:rsidP="003F0E35">
            <w:pPr>
              <w:pStyle w:val="Tabletext"/>
              <w:rPr>
                <w:sz w:val="20"/>
                <w:szCs w:val="20"/>
              </w:rPr>
            </w:pPr>
            <w:r w:rsidRPr="0018433C">
              <w:rPr>
                <w:sz w:val="20"/>
                <w:szCs w:val="20"/>
              </w:rPr>
              <w:t>Ipswich City Council</w:t>
            </w:r>
          </w:p>
        </w:tc>
      </w:tr>
      <w:tr w:rsidR="00E66771" w:rsidRPr="003C1CFA" w:rsidTr="00A928CC">
        <w:tc>
          <w:tcPr>
            <w:tcW w:w="3228" w:type="dxa"/>
            <w:shd w:val="clear" w:color="auto" w:fill="auto"/>
          </w:tcPr>
          <w:p w:rsidR="00E66771" w:rsidRPr="0018433C" w:rsidRDefault="00E66771" w:rsidP="003F0E35">
            <w:pPr>
              <w:pStyle w:val="Tabletext"/>
              <w:rPr>
                <w:sz w:val="20"/>
                <w:szCs w:val="20"/>
              </w:rPr>
            </w:pPr>
            <w:r w:rsidRPr="0018433C">
              <w:rPr>
                <w:sz w:val="20"/>
                <w:szCs w:val="20"/>
              </w:rPr>
              <w:t>Isaac Regional Council</w:t>
            </w:r>
          </w:p>
        </w:tc>
        <w:tc>
          <w:tcPr>
            <w:tcW w:w="3120" w:type="dxa"/>
            <w:shd w:val="clear" w:color="auto" w:fill="auto"/>
          </w:tcPr>
          <w:p w:rsidR="00E66771" w:rsidRPr="0018433C" w:rsidRDefault="00E66771" w:rsidP="003F0E35">
            <w:pPr>
              <w:pStyle w:val="Tabletext"/>
              <w:rPr>
                <w:sz w:val="20"/>
                <w:szCs w:val="20"/>
              </w:rPr>
            </w:pPr>
            <w:r w:rsidRPr="0018433C">
              <w:rPr>
                <w:sz w:val="20"/>
                <w:szCs w:val="20"/>
              </w:rPr>
              <w:t>Lockyer Valley Regional Council</w:t>
            </w:r>
          </w:p>
        </w:tc>
        <w:tc>
          <w:tcPr>
            <w:tcW w:w="3291" w:type="dxa"/>
            <w:shd w:val="clear" w:color="auto" w:fill="auto"/>
          </w:tcPr>
          <w:p w:rsidR="00E66771" w:rsidRPr="0018433C" w:rsidRDefault="00E66771" w:rsidP="003F0E35">
            <w:pPr>
              <w:pStyle w:val="Tabletext"/>
              <w:rPr>
                <w:sz w:val="20"/>
                <w:szCs w:val="20"/>
              </w:rPr>
            </w:pPr>
            <w:r w:rsidRPr="0018433C">
              <w:rPr>
                <w:sz w:val="20"/>
                <w:szCs w:val="20"/>
              </w:rPr>
              <w:t>Mackay Regional Council</w:t>
            </w:r>
          </w:p>
        </w:tc>
      </w:tr>
      <w:tr w:rsidR="00E66771" w:rsidRPr="003C1CFA" w:rsidTr="00A928CC">
        <w:tc>
          <w:tcPr>
            <w:tcW w:w="3228" w:type="dxa"/>
            <w:shd w:val="clear" w:color="auto" w:fill="auto"/>
          </w:tcPr>
          <w:p w:rsidR="00E66771" w:rsidRPr="0018433C" w:rsidRDefault="00E66771" w:rsidP="003F0E35">
            <w:pPr>
              <w:pStyle w:val="Tabletext"/>
              <w:rPr>
                <w:sz w:val="20"/>
                <w:szCs w:val="20"/>
              </w:rPr>
            </w:pPr>
            <w:r w:rsidRPr="0018433C">
              <w:rPr>
                <w:sz w:val="20"/>
                <w:szCs w:val="20"/>
              </w:rPr>
              <w:t>Maranoa Regional Council</w:t>
            </w:r>
          </w:p>
        </w:tc>
        <w:tc>
          <w:tcPr>
            <w:tcW w:w="3120" w:type="dxa"/>
            <w:shd w:val="clear" w:color="auto" w:fill="auto"/>
          </w:tcPr>
          <w:p w:rsidR="00E66771" w:rsidRPr="0018433C" w:rsidRDefault="00E66771" w:rsidP="003F0E35">
            <w:pPr>
              <w:pStyle w:val="Tabletext"/>
              <w:rPr>
                <w:sz w:val="20"/>
                <w:szCs w:val="20"/>
              </w:rPr>
            </w:pPr>
            <w:r w:rsidRPr="0018433C">
              <w:rPr>
                <w:sz w:val="20"/>
                <w:szCs w:val="20"/>
              </w:rPr>
              <w:t>Mareeba Shire Council</w:t>
            </w:r>
          </w:p>
        </w:tc>
        <w:tc>
          <w:tcPr>
            <w:tcW w:w="3291" w:type="dxa"/>
            <w:shd w:val="clear" w:color="auto" w:fill="auto"/>
          </w:tcPr>
          <w:p w:rsidR="00E66771" w:rsidRPr="0018433C" w:rsidRDefault="00E66771" w:rsidP="003F0E35">
            <w:pPr>
              <w:pStyle w:val="Tabletext"/>
              <w:rPr>
                <w:sz w:val="20"/>
                <w:szCs w:val="20"/>
              </w:rPr>
            </w:pPr>
            <w:proofErr w:type="spellStart"/>
            <w:r w:rsidRPr="0018433C">
              <w:rPr>
                <w:sz w:val="20"/>
                <w:szCs w:val="20"/>
              </w:rPr>
              <w:t>McKinlay</w:t>
            </w:r>
            <w:proofErr w:type="spellEnd"/>
            <w:r w:rsidRPr="0018433C">
              <w:rPr>
                <w:sz w:val="20"/>
                <w:szCs w:val="20"/>
              </w:rPr>
              <w:t xml:space="preserve"> Shire Council</w:t>
            </w:r>
          </w:p>
        </w:tc>
      </w:tr>
      <w:tr w:rsidR="00E66771" w:rsidRPr="003C1CFA" w:rsidTr="00A928CC">
        <w:tc>
          <w:tcPr>
            <w:tcW w:w="3228" w:type="dxa"/>
            <w:shd w:val="clear" w:color="auto" w:fill="auto"/>
          </w:tcPr>
          <w:p w:rsidR="00E66771" w:rsidRPr="0018433C" w:rsidRDefault="00E66771" w:rsidP="003F0E35">
            <w:pPr>
              <w:pStyle w:val="Tabletext"/>
              <w:rPr>
                <w:sz w:val="20"/>
                <w:szCs w:val="20"/>
              </w:rPr>
            </w:pPr>
            <w:proofErr w:type="spellStart"/>
            <w:r w:rsidRPr="0018433C">
              <w:rPr>
                <w:sz w:val="20"/>
                <w:szCs w:val="20"/>
              </w:rPr>
              <w:t>Murweh</w:t>
            </w:r>
            <w:proofErr w:type="spellEnd"/>
            <w:r w:rsidRPr="0018433C">
              <w:rPr>
                <w:sz w:val="20"/>
                <w:szCs w:val="20"/>
              </w:rPr>
              <w:t xml:space="preserve"> Shire Council</w:t>
            </w:r>
          </w:p>
        </w:tc>
        <w:tc>
          <w:tcPr>
            <w:tcW w:w="3120" w:type="dxa"/>
            <w:shd w:val="clear" w:color="auto" w:fill="auto"/>
          </w:tcPr>
          <w:p w:rsidR="00E66771" w:rsidRPr="0018433C" w:rsidRDefault="00E66771" w:rsidP="003F0E35">
            <w:pPr>
              <w:pStyle w:val="Tabletext"/>
              <w:rPr>
                <w:sz w:val="20"/>
                <w:szCs w:val="20"/>
              </w:rPr>
            </w:pPr>
            <w:r w:rsidRPr="0018433C">
              <w:rPr>
                <w:sz w:val="20"/>
                <w:szCs w:val="20"/>
              </w:rPr>
              <w:t>Noosa Council</w:t>
            </w:r>
          </w:p>
        </w:tc>
        <w:tc>
          <w:tcPr>
            <w:tcW w:w="3291" w:type="dxa"/>
            <w:shd w:val="clear" w:color="auto" w:fill="auto"/>
          </w:tcPr>
          <w:p w:rsidR="00E66771" w:rsidRPr="0018433C" w:rsidRDefault="00E66771" w:rsidP="003F0E35">
            <w:pPr>
              <w:pStyle w:val="Tabletext"/>
              <w:rPr>
                <w:sz w:val="20"/>
                <w:szCs w:val="20"/>
              </w:rPr>
            </w:pPr>
            <w:r w:rsidRPr="0018433C">
              <w:rPr>
                <w:sz w:val="20"/>
                <w:szCs w:val="20"/>
              </w:rPr>
              <w:t>North Burnett Regional Council</w:t>
            </w:r>
          </w:p>
        </w:tc>
      </w:tr>
      <w:tr w:rsidR="00E66771" w:rsidRPr="003C1CFA" w:rsidTr="00A928CC">
        <w:tc>
          <w:tcPr>
            <w:tcW w:w="3228" w:type="dxa"/>
            <w:shd w:val="clear" w:color="auto" w:fill="auto"/>
          </w:tcPr>
          <w:p w:rsidR="00E66771" w:rsidRPr="0018433C" w:rsidRDefault="00E66771" w:rsidP="003F0E35">
            <w:pPr>
              <w:pStyle w:val="Tabletext"/>
              <w:rPr>
                <w:sz w:val="20"/>
                <w:szCs w:val="20"/>
              </w:rPr>
            </w:pPr>
            <w:r w:rsidRPr="0018433C">
              <w:rPr>
                <w:sz w:val="20"/>
                <w:szCs w:val="20"/>
              </w:rPr>
              <w:t>Quilpie Shire Council</w:t>
            </w:r>
          </w:p>
        </w:tc>
        <w:tc>
          <w:tcPr>
            <w:tcW w:w="3120" w:type="dxa"/>
            <w:shd w:val="clear" w:color="auto" w:fill="auto"/>
          </w:tcPr>
          <w:p w:rsidR="00E66771" w:rsidRPr="0018433C" w:rsidRDefault="00E66771" w:rsidP="003F0E35">
            <w:pPr>
              <w:pStyle w:val="Tabletext"/>
              <w:rPr>
                <w:sz w:val="20"/>
                <w:szCs w:val="20"/>
              </w:rPr>
            </w:pPr>
            <w:r w:rsidRPr="0018433C">
              <w:rPr>
                <w:sz w:val="20"/>
                <w:szCs w:val="20"/>
              </w:rPr>
              <w:t>Redland City Council</w:t>
            </w:r>
          </w:p>
        </w:tc>
        <w:tc>
          <w:tcPr>
            <w:tcW w:w="3291" w:type="dxa"/>
            <w:shd w:val="clear" w:color="auto" w:fill="auto"/>
          </w:tcPr>
          <w:p w:rsidR="00E66771" w:rsidRPr="0018433C" w:rsidRDefault="00E66771" w:rsidP="003F0E35">
            <w:pPr>
              <w:pStyle w:val="Tabletext"/>
              <w:rPr>
                <w:sz w:val="20"/>
                <w:szCs w:val="20"/>
              </w:rPr>
            </w:pPr>
            <w:r w:rsidRPr="0018433C">
              <w:rPr>
                <w:sz w:val="20"/>
                <w:szCs w:val="20"/>
              </w:rPr>
              <w:t>Richmond Shire Council</w:t>
            </w:r>
          </w:p>
        </w:tc>
      </w:tr>
      <w:tr w:rsidR="00E66771" w:rsidRPr="003C1CFA" w:rsidTr="00A928CC">
        <w:tc>
          <w:tcPr>
            <w:tcW w:w="3228" w:type="dxa"/>
            <w:shd w:val="clear" w:color="auto" w:fill="auto"/>
          </w:tcPr>
          <w:p w:rsidR="00E66771" w:rsidRPr="0018433C" w:rsidRDefault="00E66771" w:rsidP="003F0E35">
            <w:pPr>
              <w:pStyle w:val="Tabletext"/>
              <w:rPr>
                <w:sz w:val="20"/>
                <w:szCs w:val="20"/>
              </w:rPr>
            </w:pPr>
            <w:r w:rsidRPr="0018433C">
              <w:rPr>
                <w:sz w:val="20"/>
                <w:szCs w:val="20"/>
              </w:rPr>
              <w:t>South Burnett Regional Council</w:t>
            </w:r>
          </w:p>
        </w:tc>
        <w:tc>
          <w:tcPr>
            <w:tcW w:w="3120" w:type="dxa"/>
            <w:shd w:val="clear" w:color="auto" w:fill="auto"/>
          </w:tcPr>
          <w:p w:rsidR="00E66771" w:rsidRPr="0018433C" w:rsidRDefault="00E66771" w:rsidP="003F0E35">
            <w:pPr>
              <w:pStyle w:val="Tabletext"/>
              <w:rPr>
                <w:sz w:val="20"/>
                <w:szCs w:val="20"/>
              </w:rPr>
            </w:pPr>
            <w:r w:rsidRPr="0018433C">
              <w:rPr>
                <w:sz w:val="20"/>
                <w:szCs w:val="20"/>
              </w:rPr>
              <w:t>Toowoomba Regional Council</w:t>
            </w:r>
          </w:p>
        </w:tc>
        <w:tc>
          <w:tcPr>
            <w:tcW w:w="3291" w:type="dxa"/>
            <w:shd w:val="clear" w:color="auto" w:fill="auto"/>
          </w:tcPr>
          <w:p w:rsidR="00E66771" w:rsidRPr="0018433C" w:rsidRDefault="00E66771" w:rsidP="003F0E35">
            <w:pPr>
              <w:pStyle w:val="Tabletext"/>
              <w:rPr>
                <w:sz w:val="20"/>
                <w:szCs w:val="20"/>
              </w:rPr>
            </w:pPr>
            <w:r w:rsidRPr="0018433C">
              <w:rPr>
                <w:sz w:val="20"/>
                <w:szCs w:val="20"/>
              </w:rPr>
              <w:t>Western Downs Regional Council</w:t>
            </w:r>
          </w:p>
        </w:tc>
      </w:tr>
    </w:tbl>
    <w:p w:rsidR="00E66771" w:rsidRDefault="00E66771" w:rsidP="003F0E35">
      <w:pPr>
        <w:pStyle w:val="TableHeading"/>
      </w:pPr>
      <w:r w:rsidRPr="00597BE4">
        <w:lastRenderedPageBreak/>
        <w:t>South Australia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109"/>
        <w:gridCol w:w="3287"/>
      </w:tblGrid>
      <w:tr w:rsidR="00E66771" w:rsidRPr="003C1CFA" w:rsidTr="00A928CC">
        <w:tc>
          <w:tcPr>
            <w:tcW w:w="3243" w:type="dxa"/>
            <w:shd w:val="clear" w:color="auto" w:fill="auto"/>
          </w:tcPr>
          <w:p w:rsidR="00E66771" w:rsidRPr="0018433C" w:rsidRDefault="00E66771" w:rsidP="003F0E35">
            <w:pPr>
              <w:pStyle w:val="Tabletext"/>
              <w:rPr>
                <w:b/>
                <w:sz w:val="20"/>
                <w:szCs w:val="20"/>
              </w:rPr>
            </w:pPr>
            <w:r w:rsidRPr="0018433C">
              <w:rPr>
                <w:sz w:val="20"/>
                <w:szCs w:val="20"/>
              </w:rPr>
              <w:t>District Council of Franklin Harbour</w:t>
            </w:r>
          </w:p>
        </w:tc>
        <w:tc>
          <w:tcPr>
            <w:tcW w:w="3109" w:type="dxa"/>
            <w:shd w:val="clear" w:color="auto" w:fill="auto"/>
          </w:tcPr>
          <w:p w:rsidR="00E66771" w:rsidRPr="0018433C" w:rsidRDefault="00E66771" w:rsidP="003F0E35">
            <w:pPr>
              <w:pStyle w:val="Tabletext"/>
              <w:rPr>
                <w:b/>
                <w:sz w:val="20"/>
                <w:szCs w:val="20"/>
              </w:rPr>
            </w:pPr>
            <w:r w:rsidRPr="0018433C">
              <w:rPr>
                <w:sz w:val="20"/>
                <w:szCs w:val="20"/>
              </w:rPr>
              <w:t>District Council of Karoonda East Murray</w:t>
            </w:r>
          </w:p>
        </w:tc>
        <w:tc>
          <w:tcPr>
            <w:tcW w:w="3287" w:type="dxa"/>
            <w:shd w:val="clear" w:color="auto" w:fill="auto"/>
          </w:tcPr>
          <w:p w:rsidR="00E66771" w:rsidRPr="0018433C" w:rsidRDefault="00E66771" w:rsidP="003F0E35">
            <w:pPr>
              <w:pStyle w:val="Tabletext"/>
              <w:rPr>
                <w:b/>
                <w:sz w:val="20"/>
                <w:szCs w:val="20"/>
              </w:rPr>
            </w:pPr>
            <w:r w:rsidRPr="0018433C">
              <w:rPr>
                <w:sz w:val="20"/>
                <w:szCs w:val="20"/>
              </w:rPr>
              <w:t>District Council of Loxton Waikerie</w:t>
            </w:r>
          </w:p>
        </w:tc>
      </w:tr>
      <w:tr w:rsidR="00E66771" w:rsidRPr="003C1CFA" w:rsidTr="00A928CC">
        <w:tc>
          <w:tcPr>
            <w:tcW w:w="3243" w:type="dxa"/>
            <w:shd w:val="clear" w:color="auto" w:fill="auto"/>
          </w:tcPr>
          <w:p w:rsidR="00E66771" w:rsidRPr="0018433C" w:rsidRDefault="00E66771" w:rsidP="003F0E35">
            <w:pPr>
              <w:pStyle w:val="Tabletext"/>
              <w:rPr>
                <w:b/>
                <w:sz w:val="20"/>
                <w:szCs w:val="20"/>
              </w:rPr>
            </w:pPr>
            <w:r w:rsidRPr="0018433C">
              <w:rPr>
                <w:sz w:val="20"/>
                <w:szCs w:val="20"/>
              </w:rPr>
              <w:t>District Council of Mount Remarkable</w:t>
            </w:r>
          </w:p>
        </w:tc>
        <w:tc>
          <w:tcPr>
            <w:tcW w:w="3109" w:type="dxa"/>
            <w:shd w:val="clear" w:color="auto" w:fill="auto"/>
          </w:tcPr>
          <w:p w:rsidR="00E66771" w:rsidRPr="0018433C" w:rsidRDefault="00E66771" w:rsidP="003F0E35">
            <w:pPr>
              <w:pStyle w:val="Tabletext"/>
              <w:rPr>
                <w:b/>
                <w:sz w:val="20"/>
                <w:szCs w:val="20"/>
              </w:rPr>
            </w:pPr>
            <w:r w:rsidRPr="0018433C">
              <w:rPr>
                <w:sz w:val="20"/>
                <w:szCs w:val="20"/>
              </w:rPr>
              <w:t>Kangaroo Island Council</w:t>
            </w:r>
          </w:p>
        </w:tc>
        <w:tc>
          <w:tcPr>
            <w:tcW w:w="3287" w:type="dxa"/>
            <w:shd w:val="clear" w:color="auto" w:fill="auto"/>
          </w:tcPr>
          <w:p w:rsidR="00E66771" w:rsidRPr="0018433C" w:rsidRDefault="00E66771" w:rsidP="003F0E35">
            <w:pPr>
              <w:pStyle w:val="Tabletext"/>
              <w:rPr>
                <w:b/>
                <w:sz w:val="20"/>
                <w:szCs w:val="20"/>
              </w:rPr>
            </w:pPr>
            <w:r w:rsidRPr="0018433C">
              <w:rPr>
                <w:sz w:val="20"/>
                <w:szCs w:val="20"/>
              </w:rPr>
              <w:t xml:space="preserve">Maralinga </w:t>
            </w:r>
            <w:proofErr w:type="spellStart"/>
            <w:r w:rsidRPr="0018433C">
              <w:rPr>
                <w:sz w:val="20"/>
                <w:szCs w:val="20"/>
              </w:rPr>
              <w:t>Tjarutja</w:t>
            </w:r>
            <w:proofErr w:type="spellEnd"/>
            <w:r w:rsidRPr="0018433C">
              <w:rPr>
                <w:sz w:val="20"/>
                <w:szCs w:val="20"/>
              </w:rPr>
              <w:t xml:space="preserve"> Community Council</w:t>
            </w:r>
          </w:p>
        </w:tc>
      </w:tr>
      <w:tr w:rsidR="00E66771" w:rsidRPr="003C1CFA" w:rsidTr="00A928CC">
        <w:tc>
          <w:tcPr>
            <w:tcW w:w="3243" w:type="dxa"/>
            <w:shd w:val="clear" w:color="auto" w:fill="auto"/>
          </w:tcPr>
          <w:p w:rsidR="00E66771" w:rsidRPr="0018433C" w:rsidRDefault="00E66771" w:rsidP="003F0E35">
            <w:pPr>
              <w:pStyle w:val="Tabletext"/>
              <w:rPr>
                <w:b/>
                <w:sz w:val="20"/>
                <w:szCs w:val="20"/>
              </w:rPr>
            </w:pPr>
            <w:r w:rsidRPr="0018433C">
              <w:rPr>
                <w:sz w:val="20"/>
                <w:szCs w:val="20"/>
              </w:rPr>
              <w:t>Mid Murray Council</w:t>
            </w:r>
          </w:p>
        </w:tc>
        <w:tc>
          <w:tcPr>
            <w:tcW w:w="3109" w:type="dxa"/>
            <w:shd w:val="clear" w:color="auto" w:fill="auto"/>
          </w:tcPr>
          <w:p w:rsidR="00E66771" w:rsidRPr="0018433C" w:rsidRDefault="00E66771" w:rsidP="003F0E35">
            <w:pPr>
              <w:pStyle w:val="Tabletext"/>
              <w:rPr>
                <w:b/>
                <w:sz w:val="20"/>
                <w:szCs w:val="20"/>
              </w:rPr>
            </w:pPr>
            <w:r w:rsidRPr="0018433C">
              <w:rPr>
                <w:sz w:val="20"/>
                <w:szCs w:val="20"/>
              </w:rPr>
              <w:t>Naracoorte Lucindale Council</w:t>
            </w:r>
          </w:p>
        </w:tc>
        <w:tc>
          <w:tcPr>
            <w:tcW w:w="3287" w:type="dxa"/>
            <w:shd w:val="clear" w:color="auto" w:fill="auto"/>
          </w:tcPr>
          <w:p w:rsidR="00E66771" w:rsidRPr="0018433C" w:rsidRDefault="00E66771" w:rsidP="003F0E35">
            <w:pPr>
              <w:pStyle w:val="Tabletext"/>
              <w:rPr>
                <w:b/>
                <w:sz w:val="20"/>
                <w:szCs w:val="20"/>
              </w:rPr>
            </w:pPr>
            <w:proofErr w:type="spellStart"/>
            <w:r w:rsidRPr="0018433C">
              <w:rPr>
                <w:sz w:val="20"/>
                <w:szCs w:val="20"/>
              </w:rPr>
              <w:t>Nipapanha</w:t>
            </w:r>
            <w:proofErr w:type="spellEnd"/>
            <w:r w:rsidRPr="0018433C">
              <w:rPr>
                <w:sz w:val="20"/>
                <w:szCs w:val="20"/>
              </w:rPr>
              <w:t xml:space="preserve"> Community Council</w:t>
            </w:r>
          </w:p>
        </w:tc>
      </w:tr>
      <w:tr w:rsidR="00E66771" w:rsidRPr="003C1CFA" w:rsidTr="00A928CC">
        <w:tc>
          <w:tcPr>
            <w:tcW w:w="3243" w:type="dxa"/>
            <w:shd w:val="clear" w:color="auto" w:fill="auto"/>
          </w:tcPr>
          <w:p w:rsidR="00E66771" w:rsidRPr="0018433C" w:rsidRDefault="00E66771" w:rsidP="003F0E35">
            <w:pPr>
              <w:pStyle w:val="Tabletext"/>
              <w:rPr>
                <w:b/>
                <w:sz w:val="20"/>
                <w:szCs w:val="20"/>
              </w:rPr>
            </w:pPr>
            <w:proofErr w:type="spellStart"/>
            <w:r w:rsidRPr="0018433C">
              <w:rPr>
                <w:sz w:val="20"/>
                <w:szCs w:val="20"/>
              </w:rPr>
              <w:t>Tatiara</w:t>
            </w:r>
            <w:proofErr w:type="spellEnd"/>
            <w:r w:rsidRPr="0018433C">
              <w:rPr>
                <w:sz w:val="20"/>
                <w:szCs w:val="20"/>
              </w:rPr>
              <w:t xml:space="preserve"> District Council</w:t>
            </w:r>
          </w:p>
        </w:tc>
        <w:tc>
          <w:tcPr>
            <w:tcW w:w="3109" w:type="dxa"/>
            <w:shd w:val="clear" w:color="auto" w:fill="auto"/>
          </w:tcPr>
          <w:p w:rsidR="00E66771" w:rsidRPr="0018433C" w:rsidRDefault="00E66771" w:rsidP="003F0E35">
            <w:pPr>
              <w:pStyle w:val="Tabletext"/>
              <w:rPr>
                <w:sz w:val="20"/>
                <w:szCs w:val="20"/>
              </w:rPr>
            </w:pPr>
          </w:p>
        </w:tc>
        <w:tc>
          <w:tcPr>
            <w:tcW w:w="3287" w:type="dxa"/>
            <w:shd w:val="clear" w:color="auto" w:fill="auto"/>
          </w:tcPr>
          <w:p w:rsidR="00E66771" w:rsidRPr="0018433C" w:rsidRDefault="00E66771" w:rsidP="003F0E35">
            <w:pPr>
              <w:pStyle w:val="Tabletext"/>
              <w:rPr>
                <w:sz w:val="20"/>
                <w:szCs w:val="20"/>
              </w:rPr>
            </w:pPr>
          </w:p>
        </w:tc>
      </w:tr>
    </w:tbl>
    <w:p w:rsidR="00E66771" w:rsidRPr="00FA70DD" w:rsidRDefault="00E66771" w:rsidP="003F0E35">
      <w:pPr>
        <w:pStyle w:val="TableHeading"/>
      </w:pPr>
      <w:r w:rsidRPr="00FA70DD">
        <w:t>Tasmania</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043"/>
        <w:gridCol w:w="3182"/>
      </w:tblGrid>
      <w:tr w:rsidR="00E66771" w:rsidRPr="003C1CFA" w:rsidTr="00A928CC">
        <w:trPr>
          <w:cantSplit/>
          <w:trHeight w:val="377"/>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Central Coast Council</w:t>
            </w:r>
          </w:p>
        </w:tc>
        <w:tc>
          <w:tcPr>
            <w:tcW w:w="1617" w:type="pct"/>
            <w:shd w:val="clear" w:color="auto" w:fill="auto"/>
          </w:tcPr>
          <w:p w:rsidR="00E66771" w:rsidRPr="0018433C" w:rsidRDefault="00E66771" w:rsidP="003F0E35">
            <w:pPr>
              <w:pStyle w:val="Tabletext"/>
              <w:rPr>
                <w:sz w:val="20"/>
                <w:szCs w:val="20"/>
              </w:rPr>
            </w:pPr>
            <w:r w:rsidRPr="0018433C">
              <w:rPr>
                <w:sz w:val="20"/>
                <w:szCs w:val="20"/>
              </w:rPr>
              <w:t>Dorset Council</w:t>
            </w:r>
          </w:p>
        </w:tc>
        <w:tc>
          <w:tcPr>
            <w:tcW w:w="1691" w:type="pct"/>
            <w:shd w:val="clear" w:color="auto" w:fill="auto"/>
          </w:tcPr>
          <w:p w:rsidR="00E66771" w:rsidRPr="0018433C" w:rsidRDefault="00E66771" w:rsidP="003F0E35">
            <w:pPr>
              <w:pStyle w:val="Tabletext"/>
              <w:rPr>
                <w:sz w:val="20"/>
                <w:szCs w:val="20"/>
              </w:rPr>
            </w:pPr>
            <w:r w:rsidRPr="0018433C">
              <w:rPr>
                <w:sz w:val="20"/>
                <w:szCs w:val="20"/>
              </w:rPr>
              <w:t>Huon Valley Council</w:t>
            </w:r>
          </w:p>
        </w:tc>
      </w:tr>
      <w:tr w:rsidR="00E66771" w:rsidRPr="003C1CFA" w:rsidTr="00A928CC">
        <w:trPr>
          <w:cantSplit/>
          <w:trHeight w:val="289"/>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Kentish Council</w:t>
            </w:r>
          </w:p>
        </w:tc>
        <w:tc>
          <w:tcPr>
            <w:tcW w:w="1617" w:type="pct"/>
            <w:shd w:val="clear" w:color="auto" w:fill="auto"/>
          </w:tcPr>
          <w:p w:rsidR="00E66771" w:rsidRPr="0018433C" w:rsidRDefault="00E66771" w:rsidP="003F0E35">
            <w:pPr>
              <w:pStyle w:val="Tabletext"/>
              <w:rPr>
                <w:sz w:val="20"/>
                <w:szCs w:val="20"/>
              </w:rPr>
            </w:pPr>
            <w:r w:rsidRPr="0018433C">
              <w:rPr>
                <w:sz w:val="20"/>
                <w:szCs w:val="20"/>
              </w:rPr>
              <w:t>Meander Valley Council</w:t>
            </w:r>
          </w:p>
        </w:tc>
        <w:tc>
          <w:tcPr>
            <w:tcW w:w="1691" w:type="pct"/>
            <w:shd w:val="clear" w:color="auto" w:fill="auto"/>
          </w:tcPr>
          <w:p w:rsidR="00E66771" w:rsidRPr="0018433C" w:rsidRDefault="00E66771" w:rsidP="003F0E35">
            <w:pPr>
              <w:pStyle w:val="Tabletext"/>
              <w:rPr>
                <w:sz w:val="20"/>
                <w:szCs w:val="20"/>
              </w:rPr>
            </w:pPr>
            <w:r w:rsidRPr="0018433C">
              <w:rPr>
                <w:sz w:val="20"/>
                <w:szCs w:val="20"/>
              </w:rPr>
              <w:t>West Tamar Council</w:t>
            </w:r>
          </w:p>
        </w:tc>
      </w:tr>
    </w:tbl>
    <w:p w:rsidR="00E66771" w:rsidRPr="00001A2A" w:rsidRDefault="00E66771" w:rsidP="003F0E35">
      <w:pPr>
        <w:pStyle w:val="TableHeading"/>
      </w:pPr>
      <w:r w:rsidRPr="00001A2A">
        <w:t>Victoria</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043"/>
        <w:gridCol w:w="3182"/>
      </w:tblGrid>
      <w:tr w:rsidR="00E66771" w:rsidRPr="003C1CFA" w:rsidTr="00A928CC">
        <w:trPr>
          <w:cantSplit/>
          <w:trHeight w:val="156"/>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Ballarat City Council</w:t>
            </w:r>
          </w:p>
        </w:tc>
        <w:tc>
          <w:tcPr>
            <w:tcW w:w="1617" w:type="pct"/>
            <w:shd w:val="clear" w:color="auto" w:fill="auto"/>
          </w:tcPr>
          <w:p w:rsidR="00E66771" w:rsidRPr="0018433C" w:rsidRDefault="00E66771" w:rsidP="003F0E35">
            <w:pPr>
              <w:pStyle w:val="Tabletext"/>
              <w:rPr>
                <w:sz w:val="20"/>
                <w:szCs w:val="20"/>
              </w:rPr>
            </w:pPr>
            <w:r w:rsidRPr="0018433C">
              <w:rPr>
                <w:sz w:val="20"/>
                <w:szCs w:val="20"/>
              </w:rPr>
              <w:t xml:space="preserve">Baw </w:t>
            </w:r>
            <w:proofErr w:type="spellStart"/>
            <w:r w:rsidRPr="0018433C">
              <w:rPr>
                <w:sz w:val="20"/>
                <w:szCs w:val="20"/>
              </w:rPr>
              <w:t>Baw</w:t>
            </w:r>
            <w:proofErr w:type="spellEnd"/>
            <w:r w:rsidRPr="0018433C">
              <w:rPr>
                <w:sz w:val="20"/>
                <w:szCs w:val="20"/>
              </w:rPr>
              <w:t xml:space="preserve"> Shire Council</w:t>
            </w:r>
          </w:p>
        </w:tc>
        <w:tc>
          <w:tcPr>
            <w:tcW w:w="1691" w:type="pct"/>
            <w:shd w:val="clear" w:color="auto" w:fill="auto"/>
          </w:tcPr>
          <w:p w:rsidR="00E66771" w:rsidRPr="0018433C" w:rsidRDefault="00A928CC" w:rsidP="003F0E35">
            <w:pPr>
              <w:pStyle w:val="Tabletext"/>
              <w:rPr>
                <w:sz w:val="20"/>
                <w:szCs w:val="20"/>
              </w:rPr>
            </w:pPr>
            <w:proofErr w:type="spellStart"/>
            <w:r w:rsidRPr="0018433C">
              <w:rPr>
                <w:sz w:val="20"/>
                <w:szCs w:val="20"/>
              </w:rPr>
              <w:t>Buloke</w:t>
            </w:r>
            <w:proofErr w:type="spellEnd"/>
            <w:r w:rsidR="00E66771" w:rsidRPr="0018433C">
              <w:rPr>
                <w:sz w:val="20"/>
                <w:szCs w:val="20"/>
              </w:rPr>
              <w:t xml:space="preserve"> Shire Council</w:t>
            </w:r>
          </w:p>
        </w:tc>
      </w:tr>
      <w:tr w:rsidR="00E66771" w:rsidRPr="003C1CFA" w:rsidTr="00A928CC">
        <w:trPr>
          <w:cantSplit/>
          <w:trHeight w:val="205"/>
        </w:trPr>
        <w:tc>
          <w:tcPr>
            <w:tcW w:w="1692" w:type="pct"/>
            <w:shd w:val="clear" w:color="auto" w:fill="auto"/>
            <w:hideMark/>
          </w:tcPr>
          <w:p w:rsidR="00E66771" w:rsidRPr="0018433C" w:rsidRDefault="00A928CC" w:rsidP="003F0E35">
            <w:pPr>
              <w:pStyle w:val="Tabletext"/>
              <w:rPr>
                <w:sz w:val="20"/>
                <w:szCs w:val="20"/>
              </w:rPr>
            </w:pPr>
            <w:r w:rsidRPr="0018433C">
              <w:rPr>
                <w:sz w:val="20"/>
                <w:szCs w:val="20"/>
              </w:rPr>
              <w:t>Golden Plains Shire Council</w:t>
            </w:r>
          </w:p>
        </w:tc>
        <w:tc>
          <w:tcPr>
            <w:tcW w:w="1617" w:type="pct"/>
            <w:shd w:val="clear" w:color="auto" w:fill="auto"/>
          </w:tcPr>
          <w:p w:rsidR="00E66771" w:rsidRPr="0018433C" w:rsidRDefault="00A928CC" w:rsidP="003F0E35">
            <w:pPr>
              <w:pStyle w:val="Tabletext"/>
              <w:rPr>
                <w:sz w:val="20"/>
                <w:szCs w:val="20"/>
              </w:rPr>
            </w:pPr>
            <w:r w:rsidRPr="0018433C">
              <w:rPr>
                <w:sz w:val="20"/>
                <w:szCs w:val="20"/>
              </w:rPr>
              <w:t>Horsham Rural City Council</w:t>
            </w:r>
          </w:p>
        </w:tc>
        <w:tc>
          <w:tcPr>
            <w:tcW w:w="1691" w:type="pct"/>
            <w:shd w:val="clear" w:color="auto" w:fill="auto"/>
          </w:tcPr>
          <w:p w:rsidR="00E66771" w:rsidRPr="0018433C" w:rsidRDefault="00A928CC" w:rsidP="003F0E35">
            <w:pPr>
              <w:pStyle w:val="Tabletext"/>
              <w:rPr>
                <w:sz w:val="20"/>
                <w:szCs w:val="20"/>
              </w:rPr>
            </w:pPr>
            <w:r w:rsidRPr="0018433C">
              <w:rPr>
                <w:sz w:val="20"/>
                <w:szCs w:val="20"/>
              </w:rPr>
              <w:t>Mansfield Shire Council</w:t>
            </w:r>
          </w:p>
        </w:tc>
      </w:tr>
      <w:tr w:rsidR="00E66771" w:rsidRPr="003C1CFA" w:rsidTr="00A928CC">
        <w:trPr>
          <w:cantSplit/>
          <w:trHeight w:val="327"/>
        </w:trPr>
        <w:tc>
          <w:tcPr>
            <w:tcW w:w="1692" w:type="pct"/>
            <w:shd w:val="clear" w:color="auto" w:fill="auto"/>
            <w:hideMark/>
          </w:tcPr>
          <w:p w:rsidR="00E66771" w:rsidRPr="0018433C" w:rsidRDefault="00A928CC" w:rsidP="003F0E35">
            <w:pPr>
              <w:pStyle w:val="Tabletext"/>
              <w:rPr>
                <w:sz w:val="20"/>
                <w:szCs w:val="20"/>
              </w:rPr>
            </w:pPr>
            <w:r w:rsidRPr="0018433C">
              <w:rPr>
                <w:sz w:val="20"/>
                <w:szCs w:val="20"/>
              </w:rPr>
              <w:t>Mildura Rural City Council</w:t>
            </w:r>
          </w:p>
        </w:tc>
        <w:tc>
          <w:tcPr>
            <w:tcW w:w="1617" w:type="pct"/>
            <w:shd w:val="clear" w:color="auto" w:fill="auto"/>
          </w:tcPr>
          <w:p w:rsidR="00E66771" w:rsidRPr="0018433C" w:rsidRDefault="00A928CC" w:rsidP="003F0E35">
            <w:pPr>
              <w:pStyle w:val="Tabletext"/>
              <w:rPr>
                <w:sz w:val="20"/>
                <w:szCs w:val="20"/>
              </w:rPr>
            </w:pPr>
            <w:r w:rsidRPr="0018433C">
              <w:rPr>
                <w:sz w:val="20"/>
                <w:szCs w:val="20"/>
              </w:rPr>
              <w:t>Mitchell</w:t>
            </w:r>
            <w:r w:rsidR="00E66771" w:rsidRPr="0018433C">
              <w:rPr>
                <w:sz w:val="20"/>
                <w:szCs w:val="20"/>
              </w:rPr>
              <w:t xml:space="preserve"> Shire Council</w:t>
            </w:r>
          </w:p>
        </w:tc>
        <w:tc>
          <w:tcPr>
            <w:tcW w:w="1691" w:type="pct"/>
            <w:shd w:val="clear" w:color="auto" w:fill="auto"/>
          </w:tcPr>
          <w:p w:rsidR="00E66771" w:rsidRPr="0018433C" w:rsidRDefault="00A928CC" w:rsidP="003F0E35">
            <w:pPr>
              <w:pStyle w:val="Tabletext"/>
              <w:rPr>
                <w:sz w:val="20"/>
                <w:szCs w:val="20"/>
              </w:rPr>
            </w:pPr>
            <w:r w:rsidRPr="0018433C">
              <w:rPr>
                <w:sz w:val="20"/>
                <w:szCs w:val="20"/>
              </w:rPr>
              <w:t>Northern Grampians</w:t>
            </w:r>
            <w:r w:rsidR="00E66771" w:rsidRPr="0018433C">
              <w:rPr>
                <w:sz w:val="20"/>
                <w:szCs w:val="20"/>
              </w:rPr>
              <w:t xml:space="preserve"> Shire Council</w:t>
            </w:r>
          </w:p>
        </w:tc>
      </w:tr>
      <w:tr w:rsidR="00E66771" w:rsidRPr="003C1CFA" w:rsidTr="00A928CC">
        <w:trPr>
          <w:cantSplit/>
          <w:trHeight w:val="300"/>
        </w:trPr>
        <w:tc>
          <w:tcPr>
            <w:tcW w:w="1692" w:type="pct"/>
            <w:shd w:val="clear" w:color="auto" w:fill="auto"/>
            <w:hideMark/>
          </w:tcPr>
          <w:p w:rsidR="00E66771" w:rsidRPr="0018433C" w:rsidRDefault="00A928CC" w:rsidP="003F0E35">
            <w:pPr>
              <w:pStyle w:val="Tabletext"/>
              <w:rPr>
                <w:sz w:val="20"/>
                <w:szCs w:val="20"/>
              </w:rPr>
            </w:pPr>
            <w:r w:rsidRPr="0018433C">
              <w:rPr>
                <w:sz w:val="20"/>
                <w:szCs w:val="20"/>
              </w:rPr>
              <w:t>Pyrenees</w:t>
            </w:r>
            <w:r w:rsidR="00E66771" w:rsidRPr="0018433C">
              <w:rPr>
                <w:sz w:val="20"/>
                <w:szCs w:val="20"/>
              </w:rPr>
              <w:t xml:space="preserve"> Shire Council</w:t>
            </w:r>
          </w:p>
        </w:tc>
        <w:tc>
          <w:tcPr>
            <w:tcW w:w="1617" w:type="pct"/>
            <w:shd w:val="clear" w:color="auto" w:fill="auto"/>
          </w:tcPr>
          <w:p w:rsidR="00E66771" w:rsidRPr="0018433C" w:rsidRDefault="00A928CC" w:rsidP="003F0E35">
            <w:pPr>
              <w:pStyle w:val="Tabletext"/>
              <w:rPr>
                <w:sz w:val="20"/>
                <w:szCs w:val="20"/>
              </w:rPr>
            </w:pPr>
            <w:r w:rsidRPr="0018433C">
              <w:rPr>
                <w:sz w:val="20"/>
                <w:szCs w:val="20"/>
              </w:rPr>
              <w:t>South Gippsland</w:t>
            </w:r>
            <w:r w:rsidR="00E66771" w:rsidRPr="0018433C">
              <w:rPr>
                <w:sz w:val="20"/>
                <w:szCs w:val="20"/>
              </w:rPr>
              <w:t xml:space="preserve"> Shire Council</w:t>
            </w:r>
          </w:p>
        </w:tc>
        <w:tc>
          <w:tcPr>
            <w:tcW w:w="1691" w:type="pct"/>
            <w:shd w:val="clear" w:color="auto" w:fill="auto"/>
          </w:tcPr>
          <w:p w:rsidR="00E66771" w:rsidRPr="0018433C" w:rsidRDefault="00A928CC" w:rsidP="003F0E35">
            <w:pPr>
              <w:pStyle w:val="Tabletext"/>
              <w:rPr>
                <w:sz w:val="20"/>
                <w:szCs w:val="20"/>
              </w:rPr>
            </w:pPr>
            <w:r w:rsidRPr="0018433C">
              <w:rPr>
                <w:sz w:val="20"/>
                <w:szCs w:val="20"/>
              </w:rPr>
              <w:t>Southern Grampians</w:t>
            </w:r>
            <w:r w:rsidR="00E66771" w:rsidRPr="0018433C">
              <w:rPr>
                <w:sz w:val="20"/>
                <w:szCs w:val="20"/>
              </w:rPr>
              <w:t xml:space="preserve"> Shire Council</w:t>
            </w:r>
          </w:p>
        </w:tc>
      </w:tr>
      <w:tr w:rsidR="00E66771" w:rsidRPr="003C1CFA" w:rsidTr="00A928CC">
        <w:trPr>
          <w:cantSplit/>
          <w:trHeight w:val="329"/>
        </w:trPr>
        <w:tc>
          <w:tcPr>
            <w:tcW w:w="1692" w:type="pct"/>
            <w:shd w:val="clear" w:color="auto" w:fill="auto"/>
            <w:hideMark/>
          </w:tcPr>
          <w:p w:rsidR="00E66771" w:rsidRPr="0018433C" w:rsidRDefault="00A928CC" w:rsidP="003F0E35">
            <w:pPr>
              <w:pStyle w:val="Tabletext"/>
              <w:rPr>
                <w:sz w:val="20"/>
                <w:szCs w:val="20"/>
              </w:rPr>
            </w:pPr>
            <w:r w:rsidRPr="0018433C">
              <w:rPr>
                <w:sz w:val="20"/>
                <w:szCs w:val="20"/>
              </w:rPr>
              <w:t>Strathbogie</w:t>
            </w:r>
            <w:r w:rsidR="00E66771" w:rsidRPr="0018433C">
              <w:rPr>
                <w:sz w:val="20"/>
                <w:szCs w:val="20"/>
              </w:rPr>
              <w:t xml:space="preserve"> Shire Council</w:t>
            </w:r>
          </w:p>
        </w:tc>
        <w:tc>
          <w:tcPr>
            <w:tcW w:w="1617" w:type="pct"/>
            <w:shd w:val="clear" w:color="auto" w:fill="auto"/>
          </w:tcPr>
          <w:p w:rsidR="00E66771" w:rsidRPr="0018433C" w:rsidRDefault="00A928CC" w:rsidP="003F0E35">
            <w:pPr>
              <w:pStyle w:val="Tabletext"/>
              <w:rPr>
                <w:sz w:val="20"/>
                <w:szCs w:val="20"/>
              </w:rPr>
            </w:pPr>
            <w:r w:rsidRPr="0018433C">
              <w:rPr>
                <w:sz w:val="20"/>
                <w:szCs w:val="20"/>
              </w:rPr>
              <w:t>Towong</w:t>
            </w:r>
            <w:r w:rsidR="00E66771" w:rsidRPr="0018433C">
              <w:rPr>
                <w:sz w:val="20"/>
                <w:szCs w:val="20"/>
              </w:rPr>
              <w:t xml:space="preserve"> Shire Council</w:t>
            </w:r>
          </w:p>
        </w:tc>
        <w:tc>
          <w:tcPr>
            <w:tcW w:w="1691" w:type="pct"/>
            <w:shd w:val="clear" w:color="auto" w:fill="auto"/>
          </w:tcPr>
          <w:p w:rsidR="00E66771" w:rsidRPr="0018433C" w:rsidRDefault="00A928CC" w:rsidP="003F0E35">
            <w:pPr>
              <w:pStyle w:val="Tabletext"/>
              <w:rPr>
                <w:sz w:val="20"/>
                <w:szCs w:val="20"/>
              </w:rPr>
            </w:pPr>
            <w:r w:rsidRPr="0018433C">
              <w:rPr>
                <w:sz w:val="20"/>
                <w:szCs w:val="20"/>
              </w:rPr>
              <w:t>Yarra Ranges</w:t>
            </w:r>
            <w:r w:rsidR="00E66771" w:rsidRPr="0018433C">
              <w:rPr>
                <w:sz w:val="20"/>
                <w:szCs w:val="20"/>
              </w:rPr>
              <w:t xml:space="preserve"> Shire Council</w:t>
            </w:r>
          </w:p>
        </w:tc>
      </w:tr>
      <w:tr w:rsidR="00E66771" w:rsidRPr="003C1CFA" w:rsidTr="00A928CC">
        <w:trPr>
          <w:cantSplit/>
          <w:trHeight w:val="321"/>
        </w:trPr>
        <w:tc>
          <w:tcPr>
            <w:tcW w:w="1692" w:type="pct"/>
            <w:shd w:val="clear" w:color="auto" w:fill="auto"/>
            <w:hideMark/>
          </w:tcPr>
          <w:p w:rsidR="00E66771" w:rsidRPr="0018433C" w:rsidRDefault="00A928CC" w:rsidP="003F0E35">
            <w:pPr>
              <w:pStyle w:val="Tabletext"/>
              <w:rPr>
                <w:sz w:val="20"/>
                <w:szCs w:val="20"/>
              </w:rPr>
            </w:pPr>
            <w:proofErr w:type="spellStart"/>
            <w:r w:rsidRPr="0018433C">
              <w:rPr>
                <w:sz w:val="20"/>
                <w:szCs w:val="20"/>
              </w:rPr>
              <w:t>Yarriambiack</w:t>
            </w:r>
            <w:proofErr w:type="spellEnd"/>
            <w:r w:rsidR="00E66771" w:rsidRPr="0018433C">
              <w:rPr>
                <w:sz w:val="20"/>
                <w:szCs w:val="20"/>
              </w:rPr>
              <w:t xml:space="preserve"> Shire Council</w:t>
            </w:r>
          </w:p>
        </w:tc>
        <w:tc>
          <w:tcPr>
            <w:tcW w:w="1617" w:type="pct"/>
            <w:shd w:val="clear" w:color="auto" w:fill="auto"/>
          </w:tcPr>
          <w:p w:rsidR="00E66771" w:rsidRPr="0018433C" w:rsidRDefault="00A928CC" w:rsidP="003F0E35">
            <w:pPr>
              <w:pStyle w:val="Tabletext"/>
              <w:rPr>
                <w:sz w:val="20"/>
                <w:szCs w:val="20"/>
              </w:rPr>
            </w:pPr>
            <w:r w:rsidRPr="0018433C">
              <w:rPr>
                <w:sz w:val="20"/>
                <w:szCs w:val="20"/>
              </w:rPr>
              <w:t>Wellington Shire Council</w:t>
            </w:r>
          </w:p>
        </w:tc>
        <w:tc>
          <w:tcPr>
            <w:tcW w:w="1691" w:type="pct"/>
            <w:shd w:val="clear" w:color="auto" w:fill="auto"/>
          </w:tcPr>
          <w:p w:rsidR="00E66771" w:rsidRPr="0018433C" w:rsidRDefault="00E66771" w:rsidP="003F0E35">
            <w:pPr>
              <w:pStyle w:val="Tabletext"/>
              <w:rPr>
                <w:sz w:val="20"/>
                <w:szCs w:val="20"/>
              </w:rPr>
            </w:pPr>
          </w:p>
        </w:tc>
      </w:tr>
    </w:tbl>
    <w:p w:rsidR="00E66771" w:rsidRPr="00E65ABB" w:rsidRDefault="00E66771" w:rsidP="003F0E35">
      <w:pPr>
        <w:pStyle w:val="TableHeading"/>
      </w:pPr>
      <w:r w:rsidRPr="00E65ABB">
        <w:t>Western Australia</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044"/>
        <w:gridCol w:w="3180"/>
      </w:tblGrid>
      <w:tr w:rsidR="00E66771" w:rsidRPr="003C1CFA" w:rsidTr="0018433C">
        <w:trPr>
          <w:cantSplit/>
          <w:trHeight w:val="300"/>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City of Armadale</w:t>
            </w:r>
          </w:p>
        </w:tc>
        <w:tc>
          <w:tcPr>
            <w:tcW w:w="1618" w:type="pct"/>
            <w:shd w:val="clear" w:color="auto" w:fill="auto"/>
          </w:tcPr>
          <w:p w:rsidR="00E66771" w:rsidRPr="0018433C" w:rsidRDefault="00E66771" w:rsidP="003F0E35">
            <w:pPr>
              <w:pStyle w:val="Tabletext"/>
              <w:rPr>
                <w:sz w:val="20"/>
                <w:szCs w:val="20"/>
              </w:rPr>
            </w:pPr>
            <w:r w:rsidRPr="0018433C">
              <w:rPr>
                <w:sz w:val="20"/>
                <w:szCs w:val="20"/>
              </w:rPr>
              <w:t>City of Mandurah</w:t>
            </w:r>
          </w:p>
        </w:tc>
        <w:tc>
          <w:tcPr>
            <w:tcW w:w="1691" w:type="pct"/>
            <w:shd w:val="clear" w:color="auto" w:fill="auto"/>
          </w:tcPr>
          <w:p w:rsidR="00E66771" w:rsidRPr="0018433C" w:rsidRDefault="00E66771" w:rsidP="003F0E35">
            <w:pPr>
              <w:pStyle w:val="Tabletext"/>
              <w:rPr>
                <w:sz w:val="20"/>
                <w:szCs w:val="20"/>
              </w:rPr>
            </w:pPr>
            <w:r w:rsidRPr="0018433C">
              <w:rPr>
                <w:sz w:val="20"/>
                <w:szCs w:val="20"/>
              </w:rPr>
              <w:t>City of Swan</w:t>
            </w:r>
          </w:p>
        </w:tc>
      </w:tr>
      <w:tr w:rsidR="00E66771" w:rsidRPr="003C1CFA" w:rsidTr="0018433C">
        <w:trPr>
          <w:cantSplit/>
          <w:trHeight w:val="265"/>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Shire of Augusta-Margaret River</w:t>
            </w:r>
            <w:r w:rsidRPr="0018433C" w:rsidDel="001846D4">
              <w:rPr>
                <w:sz w:val="20"/>
                <w:szCs w:val="20"/>
              </w:rPr>
              <w:t xml:space="preserve"> </w:t>
            </w:r>
          </w:p>
        </w:tc>
        <w:tc>
          <w:tcPr>
            <w:tcW w:w="1618" w:type="pct"/>
            <w:shd w:val="clear" w:color="auto" w:fill="auto"/>
          </w:tcPr>
          <w:p w:rsidR="00E66771" w:rsidRPr="0018433C" w:rsidRDefault="00E66771" w:rsidP="003F0E35">
            <w:pPr>
              <w:pStyle w:val="Tabletext"/>
              <w:rPr>
                <w:sz w:val="20"/>
                <w:szCs w:val="20"/>
              </w:rPr>
            </w:pPr>
            <w:r w:rsidRPr="0018433C">
              <w:rPr>
                <w:sz w:val="20"/>
                <w:szCs w:val="20"/>
              </w:rPr>
              <w:t>Shire of Chapman Valley</w:t>
            </w:r>
          </w:p>
        </w:tc>
        <w:tc>
          <w:tcPr>
            <w:tcW w:w="1691" w:type="pct"/>
            <w:shd w:val="clear" w:color="auto" w:fill="auto"/>
          </w:tcPr>
          <w:p w:rsidR="00E66771" w:rsidRPr="0018433C" w:rsidRDefault="00E66771" w:rsidP="003F0E35">
            <w:pPr>
              <w:pStyle w:val="Tabletext"/>
              <w:rPr>
                <w:sz w:val="20"/>
                <w:szCs w:val="20"/>
              </w:rPr>
            </w:pPr>
            <w:r w:rsidRPr="0018433C">
              <w:rPr>
                <w:sz w:val="20"/>
                <w:szCs w:val="20"/>
              </w:rPr>
              <w:t>Shire of Dalwallinu</w:t>
            </w:r>
          </w:p>
        </w:tc>
      </w:tr>
      <w:tr w:rsidR="00E66771" w:rsidRPr="003C1CFA" w:rsidTr="0018433C">
        <w:trPr>
          <w:cantSplit/>
          <w:trHeight w:val="103"/>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Shire of Donnybrook-Balingup</w:t>
            </w:r>
            <w:r w:rsidRPr="0018433C" w:rsidDel="001846D4">
              <w:rPr>
                <w:sz w:val="20"/>
                <w:szCs w:val="20"/>
              </w:rPr>
              <w:t xml:space="preserve"> </w:t>
            </w:r>
          </w:p>
        </w:tc>
        <w:tc>
          <w:tcPr>
            <w:tcW w:w="1618" w:type="pct"/>
            <w:shd w:val="clear" w:color="auto" w:fill="auto"/>
          </w:tcPr>
          <w:p w:rsidR="00E66771" w:rsidRPr="0018433C" w:rsidRDefault="00E66771" w:rsidP="003F0E35">
            <w:pPr>
              <w:pStyle w:val="Tabletext"/>
              <w:rPr>
                <w:sz w:val="20"/>
                <w:szCs w:val="20"/>
              </w:rPr>
            </w:pPr>
            <w:r w:rsidRPr="0018433C">
              <w:rPr>
                <w:sz w:val="20"/>
                <w:szCs w:val="20"/>
              </w:rPr>
              <w:t>Shire of Exmouth</w:t>
            </w:r>
          </w:p>
        </w:tc>
        <w:tc>
          <w:tcPr>
            <w:tcW w:w="1691" w:type="pct"/>
            <w:shd w:val="clear" w:color="auto" w:fill="auto"/>
          </w:tcPr>
          <w:p w:rsidR="00E66771" w:rsidRPr="0018433C" w:rsidRDefault="00E66771" w:rsidP="003F0E35">
            <w:pPr>
              <w:pStyle w:val="Tabletext"/>
              <w:rPr>
                <w:sz w:val="20"/>
                <w:szCs w:val="20"/>
              </w:rPr>
            </w:pPr>
            <w:r w:rsidRPr="0018433C">
              <w:rPr>
                <w:sz w:val="20"/>
                <w:szCs w:val="20"/>
              </w:rPr>
              <w:t>Shire of Gingin</w:t>
            </w:r>
          </w:p>
        </w:tc>
      </w:tr>
      <w:tr w:rsidR="00E66771" w:rsidRPr="003C1CFA" w:rsidTr="0018433C">
        <w:trPr>
          <w:cantSplit/>
          <w:trHeight w:val="58"/>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Shire of Jerramungup</w:t>
            </w:r>
          </w:p>
        </w:tc>
        <w:tc>
          <w:tcPr>
            <w:tcW w:w="1618" w:type="pct"/>
            <w:shd w:val="clear" w:color="auto" w:fill="auto"/>
          </w:tcPr>
          <w:p w:rsidR="00E66771" w:rsidRPr="0018433C" w:rsidRDefault="00E66771" w:rsidP="003F0E35">
            <w:pPr>
              <w:pStyle w:val="Tabletext"/>
              <w:rPr>
                <w:sz w:val="20"/>
                <w:szCs w:val="20"/>
              </w:rPr>
            </w:pPr>
            <w:r w:rsidRPr="0018433C">
              <w:rPr>
                <w:sz w:val="20"/>
                <w:szCs w:val="20"/>
              </w:rPr>
              <w:t>Shire of Kojonup</w:t>
            </w:r>
          </w:p>
        </w:tc>
        <w:tc>
          <w:tcPr>
            <w:tcW w:w="1691" w:type="pct"/>
            <w:shd w:val="clear" w:color="auto" w:fill="auto"/>
          </w:tcPr>
          <w:p w:rsidR="00E66771" w:rsidRPr="0018433C" w:rsidRDefault="00E66771" w:rsidP="003F0E35">
            <w:pPr>
              <w:pStyle w:val="Tabletext"/>
              <w:rPr>
                <w:sz w:val="20"/>
                <w:szCs w:val="20"/>
              </w:rPr>
            </w:pPr>
            <w:r w:rsidRPr="0018433C">
              <w:rPr>
                <w:sz w:val="20"/>
                <w:szCs w:val="20"/>
              </w:rPr>
              <w:t>Shire of Kondinin</w:t>
            </w:r>
          </w:p>
        </w:tc>
      </w:tr>
      <w:tr w:rsidR="00E66771" w:rsidRPr="003C1CFA" w:rsidTr="0018433C">
        <w:trPr>
          <w:cantSplit/>
          <w:trHeight w:val="297"/>
        </w:trPr>
        <w:tc>
          <w:tcPr>
            <w:tcW w:w="1692" w:type="pct"/>
            <w:shd w:val="clear" w:color="auto" w:fill="auto"/>
            <w:hideMark/>
          </w:tcPr>
          <w:p w:rsidR="00E66771" w:rsidRPr="0018433C" w:rsidRDefault="00E66771" w:rsidP="003F0E35">
            <w:pPr>
              <w:pStyle w:val="Tabletext"/>
              <w:rPr>
                <w:sz w:val="20"/>
                <w:szCs w:val="20"/>
              </w:rPr>
            </w:pPr>
            <w:r w:rsidRPr="0018433C">
              <w:rPr>
                <w:sz w:val="20"/>
                <w:szCs w:val="20"/>
              </w:rPr>
              <w:t>Shire of Kulin</w:t>
            </w:r>
          </w:p>
        </w:tc>
        <w:tc>
          <w:tcPr>
            <w:tcW w:w="1618" w:type="pct"/>
            <w:shd w:val="clear" w:color="auto" w:fill="auto"/>
          </w:tcPr>
          <w:p w:rsidR="00E66771" w:rsidRPr="0018433C" w:rsidRDefault="00E66771" w:rsidP="003F0E35">
            <w:pPr>
              <w:pStyle w:val="Tabletext"/>
              <w:rPr>
                <w:sz w:val="20"/>
                <w:szCs w:val="20"/>
              </w:rPr>
            </w:pPr>
            <w:r w:rsidRPr="0018433C">
              <w:rPr>
                <w:sz w:val="20"/>
                <w:szCs w:val="20"/>
              </w:rPr>
              <w:t>Shire of Lake Grace</w:t>
            </w:r>
          </w:p>
        </w:tc>
        <w:tc>
          <w:tcPr>
            <w:tcW w:w="1691" w:type="pct"/>
            <w:shd w:val="clear" w:color="auto" w:fill="auto"/>
          </w:tcPr>
          <w:p w:rsidR="00E66771" w:rsidRPr="0018433C" w:rsidRDefault="00E66771" w:rsidP="003F0E35">
            <w:pPr>
              <w:pStyle w:val="Tabletext"/>
              <w:rPr>
                <w:sz w:val="20"/>
                <w:szCs w:val="20"/>
              </w:rPr>
            </w:pPr>
            <w:r w:rsidRPr="0018433C">
              <w:rPr>
                <w:sz w:val="20"/>
                <w:szCs w:val="20"/>
              </w:rPr>
              <w:t>Shire of Merredin</w:t>
            </w:r>
          </w:p>
        </w:tc>
      </w:tr>
      <w:tr w:rsidR="00E66771" w:rsidRPr="003C1CFA" w:rsidTr="0018433C">
        <w:trPr>
          <w:cantSplit/>
          <w:trHeight w:val="100"/>
        </w:trPr>
        <w:tc>
          <w:tcPr>
            <w:tcW w:w="1692" w:type="pct"/>
            <w:tcBorders>
              <w:bottom w:val="single" w:sz="4" w:space="0" w:color="auto"/>
            </w:tcBorders>
            <w:shd w:val="clear" w:color="auto" w:fill="auto"/>
            <w:hideMark/>
          </w:tcPr>
          <w:p w:rsidR="00E66771" w:rsidRPr="0018433C" w:rsidRDefault="00E66771" w:rsidP="003F0E35">
            <w:pPr>
              <w:pStyle w:val="Tabletext"/>
              <w:rPr>
                <w:sz w:val="20"/>
                <w:szCs w:val="20"/>
              </w:rPr>
            </w:pPr>
            <w:r w:rsidRPr="0018433C">
              <w:rPr>
                <w:sz w:val="20"/>
                <w:szCs w:val="20"/>
              </w:rPr>
              <w:t>Shire of Morawa</w:t>
            </w:r>
          </w:p>
        </w:tc>
        <w:tc>
          <w:tcPr>
            <w:tcW w:w="1618" w:type="pct"/>
            <w:tcBorders>
              <w:bottom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Mt Marshall</w:t>
            </w:r>
          </w:p>
        </w:tc>
        <w:tc>
          <w:tcPr>
            <w:tcW w:w="1691" w:type="pct"/>
            <w:tcBorders>
              <w:bottom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Nannup</w:t>
            </w:r>
          </w:p>
        </w:tc>
      </w:tr>
      <w:tr w:rsidR="00E66771" w:rsidRPr="003C1CFA" w:rsidTr="0018433C">
        <w:trPr>
          <w:cantSplit/>
          <w:trHeight w:val="383"/>
        </w:trPr>
        <w:tc>
          <w:tcPr>
            <w:tcW w:w="1692" w:type="pct"/>
            <w:tcBorders>
              <w:top w:val="single" w:sz="4" w:space="0" w:color="auto"/>
              <w:left w:val="single" w:sz="4" w:space="0" w:color="auto"/>
              <w:bottom w:val="single" w:sz="4" w:space="0" w:color="auto"/>
              <w:right w:val="single" w:sz="4" w:space="0" w:color="auto"/>
            </w:tcBorders>
            <w:shd w:val="clear" w:color="auto" w:fill="auto"/>
            <w:hideMark/>
          </w:tcPr>
          <w:p w:rsidR="00E66771" w:rsidRPr="0018433C" w:rsidRDefault="00E66771" w:rsidP="003F0E35">
            <w:pPr>
              <w:pStyle w:val="Tabletext"/>
              <w:rPr>
                <w:sz w:val="20"/>
                <w:szCs w:val="20"/>
              </w:rPr>
            </w:pPr>
            <w:r w:rsidRPr="0018433C">
              <w:rPr>
                <w:sz w:val="20"/>
                <w:szCs w:val="20"/>
              </w:rPr>
              <w:t>Shire of Northam</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Northampton</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Perenjori</w:t>
            </w:r>
          </w:p>
        </w:tc>
      </w:tr>
      <w:tr w:rsidR="00E66771" w:rsidRPr="003C1CFA" w:rsidTr="0018433C">
        <w:trPr>
          <w:cantSplit/>
          <w:trHeight w:val="285"/>
        </w:trPr>
        <w:tc>
          <w:tcPr>
            <w:tcW w:w="1692" w:type="pct"/>
            <w:tcBorders>
              <w:top w:val="single" w:sz="4" w:space="0" w:color="auto"/>
              <w:left w:val="single" w:sz="4" w:space="0" w:color="auto"/>
              <w:bottom w:val="single" w:sz="4" w:space="0" w:color="auto"/>
              <w:right w:val="single" w:sz="4" w:space="0" w:color="auto"/>
            </w:tcBorders>
            <w:shd w:val="clear" w:color="auto" w:fill="auto"/>
            <w:hideMark/>
          </w:tcPr>
          <w:p w:rsidR="00E66771" w:rsidRPr="0018433C" w:rsidRDefault="00E66771" w:rsidP="003F0E35">
            <w:pPr>
              <w:pStyle w:val="Tabletext"/>
              <w:rPr>
                <w:sz w:val="20"/>
                <w:szCs w:val="20"/>
              </w:rPr>
            </w:pPr>
            <w:r w:rsidRPr="0018433C">
              <w:rPr>
                <w:sz w:val="20"/>
                <w:szCs w:val="20"/>
              </w:rPr>
              <w:t>Shire of Ravensthorpe</w:t>
            </w:r>
            <w:r w:rsidRPr="0018433C" w:rsidDel="001846D4">
              <w:rPr>
                <w:sz w:val="20"/>
                <w:szCs w:val="20"/>
              </w:rPr>
              <w:t xml:space="preserve"> </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Tammin</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West Arthur</w:t>
            </w:r>
          </w:p>
        </w:tc>
      </w:tr>
      <w:tr w:rsidR="00E66771" w:rsidRPr="003C1CFA" w:rsidTr="0018433C">
        <w:trPr>
          <w:cantSplit/>
          <w:trHeight w:val="372"/>
        </w:trPr>
        <w:tc>
          <w:tcPr>
            <w:tcW w:w="1692" w:type="pct"/>
            <w:tcBorders>
              <w:top w:val="single" w:sz="4" w:space="0" w:color="auto"/>
              <w:left w:val="single" w:sz="4" w:space="0" w:color="auto"/>
              <w:bottom w:val="single" w:sz="4" w:space="0" w:color="auto"/>
              <w:right w:val="single" w:sz="4" w:space="0" w:color="auto"/>
            </w:tcBorders>
            <w:shd w:val="clear" w:color="auto" w:fill="auto"/>
            <w:hideMark/>
          </w:tcPr>
          <w:p w:rsidR="00E66771" w:rsidRPr="0018433C" w:rsidRDefault="00E66771" w:rsidP="003F0E35">
            <w:pPr>
              <w:pStyle w:val="Tabletext"/>
              <w:rPr>
                <w:sz w:val="20"/>
                <w:szCs w:val="20"/>
              </w:rPr>
            </w:pPr>
            <w:r w:rsidRPr="0018433C">
              <w:rPr>
                <w:sz w:val="20"/>
                <w:szCs w:val="20"/>
              </w:rPr>
              <w:t>Shire of Westonia</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Wickepin</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Shire of Wyndham East Kimberley</w:t>
            </w:r>
          </w:p>
        </w:tc>
      </w:tr>
      <w:tr w:rsidR="00E66771" w:rsidRPr="003C1CFA" w:rsidTr="0018433C">
        <w:trPr>
          <w:cantSplit/>
          <w:trHeight w:val="166"/>
        </w:trPr>
        <w:tc>
          <w:tcPr>
            <w:tcW w:w="1692" w:type="pct"/>
            <w:tcBorders>
              <w:top w:val="single" w:sz="4" w:space="0" w:color="auto"/>
              <w:left w:val="single" w:sz="4" w:space="0" w:color="auto"/>
              <w:bottom w:val="single" w:sz="4" w:space="0" w:color="auto"/>
              <w:right w:val="single" w:sz="4" w:space="0" w:color="auto"/>
            </w:tcBorders>
            <w:shd w:val="clear" w:color="auto" w:fill="auto"/>
            <w:hideMark/>
          </w:tcPr>
          <w:p w:rsidR="00E66771" w:rsidRPr="0018433C" w:rsidRDefault="00E66771" w:rsidP="003F0E35">
            <w:pPr>
              <w:pStyle w:val="Tabletext"/>
              <w:rPr>
                <w:sz w:val="20"/>
                <w:szCs w:val="20"/>
              </w:rPr>
            </w:pPr>
            <w:r w:rsidRPr="0018433C">
              <w:rPr>
                <w:sz w:val="20"/>
                <w:szCs w:val="20"/>
              </w:rPr>
              <w:t>Shire of Yalgoo</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r w:rsidRPr="0018433C">
              <w:rPr>
                <w:sz w:val="20"/>
                <w:szCs w:val="20"/>
              </w:rPr>
              <w:t xml:space="preserve">Shire of </w:t>
            </w:r>
            <w:proofErr w:type="spellStart"/>
            <w:r w:rsidRPr="0018433C">
              <w:rPr>
                <w:sz w:val="20"/>
                <w:szCs w:val="20"/>
              </w:rPr>
              <w:t>Yilgarn</w:t>
            </w:r>
            <w:proofErr w:type="spellEnd"/>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E66771" w:rsidRPr="0018433C" w:rsidRDefault="00E66771" w:rsidP="003F0E35">
            <w:pPr>
              <w:pStyle w:val="Tabletext"/>
              <w:rPr>
                <w:sz w:val="20"/>
                <w:szCs w:val="20"/>
              </w:rPr>
            </w:pPr>
          </w:p>
        </w:tc>
      </w:tr>
    </w:tbl>
    <w:p w:rsidR="00E66771" w:rsidRDefault="003F0E35" w:rsidP="00E66771">
      <w:pPr>
        <w:pStyle w:val="Heading1"/>
        <w:numPr>
          <w:ilvl w:val="0"/>
          <w:numId w:val="0"/>
        </w:numPr>
      </w:pPr>
      <w:bookmarkStart w:id="429" w:name="_Toc393908617"/>
      <w:r>
        <w:br w:type="page"/>
      </w:r>
      <w:bookmarkStart w:id="430" w:name="_Toc405380481"/>
      <w:bookmarkStart w:id="431" w:name="_Toc407007293"/>
      <w:r w:rsidR="00E66771">
        <w:lastRenderedPageBreak/>
        <w:t>Attachment C – Application Pack</w:t>
      </w:r>
      <w:bookmarkEnd w:id="429"/>
      <w:bookmarkEnd w:id="430"/>
      <w:bookmarkEnd w:id="431"/>
    </w:p>
    <w:p w:rsidR="00E66771" w:rsidRDefault="00E66771" w:rsidP="00E65ABB">
      <w:pPr>
        <w:pStyle w:val="Bodytext-Indent"/>
      </w:pPr>
      <w:bookmarkStart w:id="432" w:name="OLE_LINK3"/>
      <w:bookmarkStart w:id="433" w:name="OLE_LINK4"/>
      <w:r>
        <w:t xml:space="preserve">The Department of Communications will provide an Application Pack to organisations that have registered as an eligible applicant for funding under the programme. </w:t>
      </w:r>
      <w:r w:rsidR="000A3B7D">
        <w:t xml:space="preserve">Information on registering as an eligible applicant is available on the </w:t>
      </w:r>
      <w:r w:rsidR="000A3B7D" w:rsidRPr="000B1C69">
        <w:t>Department of Communications website</w:t>
      </w:r>
      <w:r w:rsidR="000A3B7D">
        <w:t xml:space="preserve"> at </w:t>
      </w:r>
      <w:hyperlink r:id="rId22" w:history="1">
        <w:r w:rsidR="0086073A" w:rsidRPr="006175F1">
          <w:rPr>
            <w:rStyle w:val="Hyperlink"/>
          </w:rPr>
          <w:t>www.communications.gov.au/mobile_coverage</w:t>
        </w:r>
      </w:hyperlink>
    </w:p>
    <w:bookmarkEnd w:id="432"/>
    <w:bookmarkEnd w:id="433"/>
    <w:p w:rsidR="00E66771" w:rsidRPr="00FE1FAC" w:rsidRDefault="00E66771" w:rsidP="00E66771">
      <w:pPr>
        <w:pStyle w:val="Abc-Text"/>
        <w:rPr>
          <w:rFonts w:ascii="Calibri" w:hAnsi="Calibri" w:cs="Calibri"/>
          <w:bCs/>
        </w:rPr>
      </w:pPr>
    </w:p>
    <w:p w:rsidR="00E66771" w:rsidRDefault="00E66771" w:rsidP="00FE1FAC">
      <w:pPr>
        <w:pStyle w:val="Heading1"/>
        <w:numPr>
          <w:ilvl w:val="0"/>
          <w:numId w:val="0"/>
        </w:numPr>
      </w:pPr>
      <w:r>
        <w:br w:type="page"/>
      </w:r>
      <w:bookmarkStart w:id="434" w:name="_Toc393908619"/>
      <w:bookmarkStart w:id="435" w:name="_Toc405380482"/>
      <w:bookmarkStart w:id="436" w:name="_Toc407007294"/>
      <w:r>
        <w:lastRenderedPageBreak/>
        <w:t>Attachment D – State, Territory and NBN Co contacts</w:t>
      </w:r>
      <w:bookmarkEnd w:id="435"/>
      <w:bookmarkEnd w:id="436"/>
    </w:p>
    <w:p w:rsidR="00E66771" w:rsidRPr="00A75D76" w:rsidRDefault="00E66771" w:rsidP="000A3B7D">
      <w:r w:rsidRPr="00E65ABB">
        <w:t xml:space="preserve">The Department of Communications will provide State, Territory and NBN Co contact details to organisations that have registered as an eligible applicant for funding under the programme. </w:t>
      </w:r>
      <w:bookmarkEnd w:id="434"/>
      <w:r w:rsidR="000A3B7D">
        <w:t xml:space="preserve">Information on registering as an eligible applicant is available on the </w:t>
      </w:r>
      <w:r w:rsidR="000A3B7D" w:rsidRPr="000B1C69">
        <w:t>Department of Communications website</w:t>
      </w:r>
      <w:r w:rsidR="000A3B7D">
        <w:t xml:space="preserve"> at </w:t>
      </w:r>
      <w:hyperlink r:id="rId23" w:history="1">
        <w:r w:rsidR="0086073A" w:rsidRPr="006175F1">
          <w:rPr>
            <w:rStyle w:val="Hyperlink"/>
          </w:rPr>
          <w:t>www.communications.gov.au/mobile_coverage</w:t>
        </w:r>
      </w:hyperlink>
    </w:p>
    <w:p w:rsidR="006975FF" w:rsidRPr="00FE1FAC" w:rsidRDefault="006975FF" w:rsidP="00FE1FAC">
      <w:pPr>
        <w:pStyle w:val="Abc-Text"/>
        <w:rPr>
          <w:rFonts w:ascii="Calibri" w:hAnsi="Calibri" w:cs="Calibri"/>
          <w:bCs/>
        </w:rPr>
      </w:pPr>
    </w:p>
    <w:sectPr w:rsidR="006975FF" w:rsidRPr="00FE1FAC" w:rsidSect="006E6AA4">
      <w:headerReference w:type="default" r:id="rId24"/>
      <w:footerReference w:type="default" r:id="rId25"/>
      <w:pgSz w:w="11906" w:h="16838" w:code="9"/>
      <w:pgMar w:top="1440" w:right="1274" w:bottom="1276"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F5" w:rsidRDefault="00531BF5" w:rsidP="000720AB">
      <w:r>
        <w:separator/>
      </w:r>
    </w:p>
    <w:p w:rsidR="00531BF5" w:rsidRDefault="00531BF5"/>
    <w:p w:rsidR="00531BF5" w:rsidRDefault="00531BF5"/>
  </w:endnote>
  <w:endnote w:type="continuationSeparator" w:id="0">
    <w:p w:rsidR="00531BF5" w:rsidRDefault="00531BF5" w:rsidP="000720AB">
      <w:r>
        <w:continuationSeparator/>
      </w:r>
    </w:p>
    <w:p w:rsidR="00531BF5" w:rsidRDefault="00531BF5"/>
    <w:p w:rsidR="00531BF5" w:rsidRDefault="00531BF5"/>
  </w:endnote>
  <w:endnote w:type="continuationNotice" w:id="1">
    <w:p w:rsidR="00531BF5" w:rsidRDefault="00531B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GothicLTStd">
    <w:altName w:val="Trade Gothic LT Std"/>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AC" w:rsidRPr="001335D1" w:rsidRDefault="00FE1FAC" w:rsidP="001335D1">
    <w:pPr>
      <w:pStyle w:val="Footer"/>
      <w:jc w:val="center"/>
      <w:rPr>
        <w:color w:val="000000"/>
      </w:rPr>
    </w:pPr>
    <w:r w:rsidRPr="001335D1">
      <w:rPr>
        <w:color w:val="000000"/>
      </w:rPr>
      <w:fldChar w:fldCharType="begin"/>
    </w:r>
    <w:r w:rsidRPr="001335D1">
      <w:rPr>
        <w:color w:val="000000"/>
      </w:rPr>
      <w:instrText xml:space="preserve"> PAGE   \* MERGEFORMAT </w:instrText>
    </w:r>
    <w:r w:rsidRPr="001335D1">
      <w:rPr>
        <w:color w:val="000000"/>
      </w:rPr>
      <w:fldChar w:fldCharType="separate"/>
    </w:r>
    <w:r w:rsidR="00E204B4">
      <w:rPr>
        <w:noProof/>
        <w:color w:val="000000"/>
      </w:rPr>
      <w:t>37</w:t>
    </w:r>
    <w:r w:rsidRPr="001335D1">
      <w:rPr>
        <w:noProof/>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F5" w:rsidRDefault="00531BF5" w:rsidP="000720AB">
      <w:r>
        <w:separator/>
      </w:r>
    </w:p>
    <w:p w:rsidR="00531BF5" w:rsidRDefault="00531BF5"/>
    <w:p w:rsidR="00531BF5" w:rsidRDefault="00531BF5"/>
  </w:footnote>
  <w:footnote w:type="continuationSeparator" w:id="0">
    <w:p w:rsidR="00531BF5" w:rsidRDefault="00531BF5" w:rsidP="000720AB">
      <w:r>
        <w:continuationSeparator/>
      </w:r>
    </w:p>
    <w:p w:rsidR="00531BF5" w:rsidRDefault="00531BF5"/>
    <w:p w:rsidR="00531BF5" w:rsidRDefault="00531BF5"/>
  </w:footnote>
  <w:footnote w:type="continuationNotice" w:id="1">
    <w:p w:rsidR="00531BF5" w:rsidRDefault="00531BF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AC" w:rsidRPr="00D46D19" w:rsidRDefault="00FE1FAC" w:rsidP="002810BE">
    <w:pPr>
      <w:pStyle w:val="Head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E2F48"/>
    <w:multiLevelType w:val="hybridMultilevel"/>
    <w:tmpl w:val="1BE8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4" w15:restartNumberingAfterBreak="0">
    <w:nsid w:val="25C643D8"/>
    <w:multiLevelType w:val="hybridMultilevel"/>
    <w:tmpl w:val="6810924E"/>
    <w:lvl w:ilvl="0" w:tplc="62D29B34">
      <w:start w:val="1"/>
      <w:numFmt w:val="decimal"/>
      <w:pStyle w:val="Bodynumbered-Level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5A6BF4"/>
    <w:multiLevelType w:val="multilevel"/>
    <w:tmpl w:val="76121128"/>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84B7A66"/>
    <w:multiLevelType w:val="hybridMultilevel"/>
    <w:tmpl w:val="6248C2EA"/>
    <w:lvl w:ilvl="0" w:tplc="14B85BC2">
      <w:start w:val="1"/>
      <w:numFmt w:val="lowerLetter"/>
      <w:pStyle w:val="Bodynumbered-Level3"/>
      <w:lvlText w:val="(%1)"/>
      <w:lvlJc w:val="left"/>
      <w:pPr>
        <w:ind w:left="1353" w:hanging="360"/>
      </w:pPr>
      <w:rPr>
        <w:rFonts w:hint="default"/>
        <w:sz w:val="24"/>
        <w:szCs w:val="24"/>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29585FCF"/>
    <w:multiLevelType w:val="hybridMultilevel"/>
    <w:tmpl w:val="998AB1E0"/>
    <w:lvl w:ilvl="0" w:tplc="04580B7E">
      <w:start w:val="1"/>
      <w:numFmt w:val="lowerLetter"/>
      <w:lvlText w:val="(%1)"/>
      <w:lvlJc w:val="left"/>
      <w:pPr>
        <w:ind w:left="1069"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BF77995"/>
    <w:multiLevelType w:val="multilevel"/>
    <w:tmpl w:val="A7C81342"/>
    <w:lvl w:ilvl="0">
      <w:start w:val="1"/>
      <w:numFmt w:val="bullet"/>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0" w15:restartNumberingAfterBreak="0">
    <w:nsid w:val="4F0D6299"/>
    <w:multiLevelType w:val="hybridMultilevel"/>
    <w:tmpl w:val="B616FAB8"/>
    <w:lvl w:ilvl="0" w:tplc="15C0C764">
      <w:start w:val="1"/>
      <w:numFmt w:val="bullet"/>
      <w:lvlText w:val=""/>
      <w:lvlJc w:val="left"/>
      <w:pPr>
        <w:ind w:left="720" w:hanging="360"/>
      </w:pPr>
      <w:rPr>
        <w:rFonts w:ascii="Symbol" w:hAnsi="Symbol"/>
      </w:rPr>
    </w:lvl>
    <w:lvl w:ilvl="1" w:tplc="F8F80174">
      <w:start w:val="1"/>
      <w:numFmt w:val="bullet"/>
      <w:lvlText w:val=""/>
      <w:lvlJc w:val="left"/>
      <w:pPr>
        <w:ind w:left="1440" w:hanging="360"/>
      </w:pPr>
      <w:rPr>
        <w:rFonts w:ascii="Symbol" w:hAnsi="Symbol"/>
      </w:rPr>
    </w:lvl>
    <w:lvl w:ilvl="2" w:tplc="40E61F7C">
      <w:start w:val="1"/>
      <w:numFmt w:val="lowerRoman"/>
      <w:lvlText w:val="%3."/>
      <w:lvlJc w:val="right"/>
      <w:pPr>
        <w:ind w:left="2160" w:hanging="180"/>
      </w:pPr>
      <w:rPr>
        <w:rFonts w:cs="Times New Roman"/>
      </w:rPr>
    </w:lvl>
    <w:lvl w:ilvl="3" w:tplc="1DBE7442">
      <w:start w:val="1"/>
      <w:numFmt w:val="decimal"/>
      <w:lvlText w:val="%4."/>
      <w:lvlJc w:val="left"/>
      <w:pPr>
        <w:ind w:left="2880" w:hanging="360"/>
      </w:pPr>
      <w:rPr>
        <w:rFonts w:cs="Times New Roman"/>
      </w:rPr>
    </w:lvl>
    <w:lvl w:ilvl="4" w:tplc="635C1B04">
      <w:start w:val="1"/>
      <w:numFmt w:val="lowerLetter"/>
      <w:lvlText w:val="%5."/>
      <w:lvlJc w:val="left"/>
      <w:pPr>
        <w:ind w:left="3600" w:hanging="360"/>
      </w:pPr>
      <w:rPr>
        <w:rFonts w:cs="Times New Roman"/>
      </w:rPr>
    </w:lvl>
    <w:lvl w:ilvl="5" w:tplc="E3F83B18">
      <w:start w:val="1"/>
      <w:numFmt w:val="lowerRoman"/>
      <w:lvlText w:val="%6."/>
      <w:lvlJc w:val="right"/>
      <w:pPr>
        <w:ind w:left="4320" w:hanging="180"/>
      </w:pPr>
      <w:rPr>
        <w:rFonts w:cs="Times New Roman"/>
      </w:rPr>
    </w:lvl>
    <w:lvl w:ilvl="6" w:tplc="5C4AF294">
      <w:start w:val="1"/>
      <w:numFmt w:val="decimal"/>
      <w:lvlText w:val="%7."/>
      <w:lvlJc w:val="left"/>
      <w:pPr>
        <w:ind w:left="5040" w:hanging="360"/>
      </w:pPr>
      <w:rPr>
        <w:rFonts w:cs="Times New Roman"/>
      </w:rPr>
    </w:lvl>
    <w:lvl w:ilvl="7" w:tplc="E256C210">
      <w:start w:val="1"/>
      <w:numFmt w:val="lowerLetter"/>
      <w:lvlText w:val="%8."/>
      <w:lvlJc w:val="left"/>
      <w:pPr>
        <w:ind w:left="5760" w:hanging="360"/>
      </w:pPr>
      <w:rPr>
        <w:rFonts w:cs="Times New Roman"/>
      </w:rPr>
    </w:lvl>
    <w:lvl w:ilvl="8" w:tplc="7C86A90C">
      <w:start w:val="1"/>
      <w:numFmt w:val="lowerRoman"/>
      <w:lvlText w:val="%9."/>
      <w:lvlJc w:val="right"/>
      <w:pPr>
        <w:ind w:left="6480" w:hanging="180"/>
      </w:pPr>
      <w:rPr>
        <w:rFonts w:cs="Times New Roman"/>
      </w:rPr>
    </w:lvl>
  </w:abstractNum>
  <w:abstractNum w:abstractNumId="21" w15:restartNumberingAfterBreak="0">
    <w:nsid w:val="4F246055"/>
    <w:multiLevelType w:val="hybridMultilevel"/>
    <w:tmpl w:val="7A98A7B8"/>
    <w:lvl w:ilvl="0" w:tplc="DA28ADB6">
      <w:start w:val="1"/>
      <w:numFmt w:val="bullet"/>
      <w:pStyle w:val="Bodybullet-Level1"/>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2" w15:restartNumberingAfterBreak="0">
    <w:nsid w:val="53FD5DEE"/>
    <w:multiLevelType w:val="multilevel"/>
    <w:tmpl w:val="C44C132A"/>
    <w:lvl w:ilvl="0">
      <w:start w:val="1"/>
      <w:numFmt w:val="decimal"/>
      <w:pStyle w:val="Heading1"/>
      <w:lvlText w:val="%1"/>
      <w:lvlJc w:val="left"/>
      <w:pPr>
        <w:ind w:left="1000" w:hanging="432"/>
      </w:pPr>
      <w:rPr>
        <w:rFonts w:ascii="Calibri" w:hAnsi="Calibri" w:hint="default"/>
        <w:b/>
        <w:sz w:val="40"/>
        <w:szCs w:val="40"/>
      </w:rPr>
    </w:lvl>
    <w:lvl w:ilvl="1">
      <w:start w:val="1"/>
      <w:numFmt w:val="decimal"/>
      <w:pStyle w:val="Heading2"/>
      <w:lvlText w:val="%1.%2"/>
      <w:lvlJc w:val="left"/>
      <w:pPr>
        <w:ind w:left="1144" w:hanging="576"/>
      </w:pPr>
      <w:rPr>
        <w:rFonts w:hint="default"/>
        <w:b/>
        <w:sz w:val="28"/>
        <w:szCs w:val="28"/>
      </w:rPr>
    </w:lvl>
    <w:lvl w:ilvl="2">
      <w:start w:val="1"/>
      <w:numFmt w:val="decimal"/>
      <w:lvlText w:val="%1.%2.%3"/>
      <w:lvlJc w:val="left"/>
      <w:pPr>
        <w:ind w:left="1856" w:hanging="720"/>
      </w:pPr>
      <w:rPr>
        <w:rFonts w:hint="default"/>
        <w:b w:val="0"/>
        <w:sz w:val="24"/>
        <w:szCs w:val="24"/>
      </w:rPr>
    </w:lvl>
    <w:lvl w:ilvl="3">
      <w:start w:val="1"/>
      <w:numFmt w:val="decimal"/>
      <w:lvlText w:val="%1.%2.%3.%4"/>
      <w:lvlJc w:val="left"/>
      <w:pPr>
        <w:ind w:left="1432" w:hanging="864"/>
      </w:pPr>
      <w:rPr>
        <w:rFonts w:hint="default"/>
      </w:rPr>
    </w:lvl>
    <w:lvl w:ilvl="4">
      <w:start w:val="1"/>
      <w:numFmt w:val="decimal"/>
      <w:lvlText w:val="%1.%2.%3.%4.%5"/>
      <w:lvlJc w:val="left"/>
      <w:pPr>
        <w:ind w:left="1576" w:hanging="1008"/>
      </w:pPr>
      <w:rPr>
        <w:rFonts w:hint="default"/>
      </w:rPr>
    </w:lvl>
    <w:lvl w:ilvl="5">
      <w:start w:val="1"/>
      <w:numFmt w:val="decimal"/>
      <w:lvlText w:val="%1.%2.%3.%4.%5.%6"/>
      <w:lvlJc w:val="left"/>
      <w:pPr>
        <w:ind w:left="1720" w:hanging="1152"/>
      </w:pPr>
      <w:rPr>
        <w:rFonts w:hint="default"/>
      </w:rPr>
    </w:lvl>
    <w:lvl w:ilvl="6">
      <w:start w:val="1"/>
      <w:numFmt w:val="decimal"/>
      <w:lvlText w:val="%1.%2.%3.%4.%5.%6.%7"/>
      <w:lvlJc w:val="left"/>
      <w:pPr>
        <w:ind w:left="1864" w:hanging="1296"/>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152" w:hanging="1584"/>
      </w:pPr>
      <w:rPr>
        <w:rFonts w:hint="default"/>
      </w:rPr>
    </w:lvl>
  </w:abstractNum>
  <w:abstractNum w:abstractNumId="23"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4"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25"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C66041"/>
    <w:multiLevelType w:val="hybridMultilevel"/>
    <w:tmpl w:val="D982D22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pStyle w:val="Endmatter-Heading3"/>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28"/>
  </w:num>
  <w:num w:numId="14">
    <w:abstractNumId w:val="24"/>
  </w:num>
  <w:num w:numId="15">
    <w:abstractNumId w:val="13"/>
  </w:num>
  <w:num w:numId="16">
    <w:abstractNumId w:val="25"/>
  </w:num>
  <w:num w:numId="17">
    <w:abstractNumId w:val="26"/>
  </w:num>
  <w:num w:numId="18">
    <w:abstractNumId w:val="10"/>
  </w:num>
  <w:num w:numId="19">
    <w:abstractNumId w:val="1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9"/>
  </w:num>
  <w:num w:numId="23">
    <w:abstractNumId w:val="20"/>
  </w:num>
  <w:num w:numId="24">
    <w:abstractNumId w:val="22"/>
  </w:num>
  <w:num w:numId="25">
    <w:abstractNumId w:val="27"/>
  </w:num>
  <w:num w:numId="26">
    <w:abstractNumId w:val="21"/>
  </w:num>
  <w:num w:numId="27">
    <w:abstractNumId w:val="17"/>
  </w:num>
  <w:num w:numId="28">
    <w:abstractNumId w:val="14"/>
  </w:num>
  <w:num w:numId="29">
    <w:abstractNumId w:val="16"/>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1"/>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22"/>
  </w:num>
  <w:num w:numId="5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lickAndTypeStyle w:val="BodyText"/>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DD"/>
    <w:rsid w:val="0000179F"/>
    <w:rsid w:val="00002089"/>
    <w:rsid w:val="00006E19"/>
    <w:rsid w:val="00006F87"/>
    <w:rsid w:val="0000704D"/>
    <w:rsid w:val="0001191A"/>
    <w:rsid w:val="00012094"/>
    <w:rsid w:val="000131B2"/>
    <w:rsid w:val="000159C9"/>
    <w:rsid w:val="000164FF"/>
    <w:rsid w:val="00017E32"/>
    <w:rsid w:val="000223A5"/>
    <w:rsid w:val="00023528"/>
    <w:rsid w:val="00023A8C"/>
    <w:rsid w:val="0002587A"/>
    <w:rsid w:val="00026060"/>
    <w:rsid w:val="0003112A"/>
    <w:rsid w:val="000370F9"/>
    <w:rsid w:val="00037AD6"/>
    <w:rsid w:val="000412CD"/>
    <w:rsid w:val="00042873"/>
    <w:rsid w:val="0004408C"/>
    <w:rsid w:val="0004449A"/>
    <w:rsid w:val="00050301"/>
    <w:rsid w:val="00050750"/>
    <w:rsid w:val="0005092C"/>
    <w:rsid w:val="00050989"/>
    <w:rsid w:val="00052217"/>
    <w:rsid w:val="00052391"/>
    <w:rsid w:val="00055535"/>
    <w:rsid w:val="0006249D"/>
    <w:rsid w:val="00062980"/>
    <w:rsid w:val="0006653C"/>
    <w:rsid w:val="00066BB9"/>
    <w:rsid w:val="00067EEA"/>
    <w:rsid w:val="00070D7F"/>
    <w:rsid w:val="000720AB"/>
    <w:rsid w:val="0007225F"/>
    <w:rsid w:val="00076380"/>
    <w:rsid w:val="00081606"/>
    <w:rsid w:val="00081631"/>
    <w:rsid w:val="000837D7"/>
    <w:rsid w:val="0008502C"/>
    <w:rsid w:val="000855F7"/>
    <w:rsid w:val="00087E23"/>
    <w:rsid w:val="00091098"/>
    <w:rsid w:val="0009205D"/>
    <w:rsid w:val="000958D6"/>
    <w:rsid w:val="0009614A"/>
    <w:rsid w:val="000963A9"/>
    <w:rsid w:val="000A2CCA"/>
    <w:rsid w:val="000A3632"/>
    <w:rsid w:val="000A36C3"/>
    <w:rsid w:val="000A3884"/>
    <w:rsid w:val="000A3B7D"/>
    <w:rsid w:val="000A4198"/>
    <w:rsid w:val="000B1C69"/>
    <w:rsid w:val="000B6D53"/>
    <w:rsid w:val="000C0060"/>
    <w:rsid w:val="000C16EC"/>
    <w:rsid w:val="000C2441"/>
    <w:rsid w:val="000C26D2"/>
    <w:rsid w:val="000C29F5"/>
    <w:rsid w:val="000C3BB3"/>
    <w:rsid w:val="000C6BE4"/>
    <w:rsid w:val="000C6EA5"/>
    <w:rsid w:val="000D0D3B"/>
    <w:rsid w:val="000D1670"/>
    <w:rsid w:val="000D1844"/>
    <w:rsid w:val="000D1A93"/>
    <w:rsid w:val="000D4C2E"/>
    <w:rsid w:val="000D5E3B"/>
    <w:rsid w:val="000E03CD"/>
    <w:rsid w:val="000E11DB"/>
    <w:rsid w:val="000E30FC"/>
    <w:rsid w:val="000E33DB"/>
    <w:rsid w:val="000E4A7A"/>
    <w:rsid w:val="000E72EC"/>
    <w:rsid w:val="000F0A6C"/>
    <w:rsid w:val="000F2204"/>
    <w:rsid w:val="000F2E50"/>
    <w:rsid w:val="000F429A"/>
    <w:rsid w:val="000F43F5"/>
    <w:rsid w:val="000F6A07"/>
    <w:rsid w:val="00100964"/>
    <w:rsid w:val="00100A18"/>
    <w:rsid w:val="00100C83"/>
    <w:rsid w:val="00102808"/>
    <w:rsid w:val="0010379E"/>
    <w:rsid w:val="001059EB"/>
    <w:rsid w:val="00107198"/>
    <w:rsid w:val="001071A1"/>
    <w:rsid w:val="001103DB"/>
    <w:rsid w:val="00110510"/>
    <w:rsid w:val="00114A38"/>
    <w:rsid w:val="00116AA0"/>
    <w:rsid w:val="00116F10"/>
    <w:rsid w:val="001240ED"/>
    <w:rsid w:val="00125A47"/>
    <w:rsid w:val="001313C5"/>
    <w:rsid w:val="00133178"/>
    <w:rsid w:val="001335D1"/>
    <w:rsid w:val="00133D14"/>
    <w:rsid w:val="00135456"/>
    <w:rsid w:val="00136C8B"/>
    <w:rsid w:val="001373C7"/>
    <w:rsid w:val="001379ED"/>
    <w:rsid w:val="00137ADC"/>
    <w:rsid w:val="0014194F"/>
    <w:rsid w:val="001435DB"/>
    <w:rsid w:val="00144809"/>
    <w:rsid w:val="00144838"/>
    <w:rsid w:val="00145933"/>
    <w:rsid w:val="001471F5"/>
    <w:rsid w:val="0015033C"/>
    <w:rsid w:val="00150CF3"/>
    <w:rsid w:val="00152846"/>
    <w:rsid w:val="00155BE8"/>
    <w:rsid w:val="00161D9F"/>
    <w:rsid w:val="00165F8A"/>
    <w:rsid w:val="001660A0"/>
    <w:rsid w:val="0016624A"/>
    <w:rsid w:val="00170577"/>
    <w:rsid w:val="001723A5"/>
    <w:rsid w:val="00172565"/>
    <w:rsid w:val="001733DE"/>
    <w:rsid w:val="001735BD"/>
    <w:rsid w:val="0017517F"/>
    <w:rsid w:val="00181709"/>
    <w:rsid w:val="00183651"/>
    <w:rsid w:val="001840BC"/>
    <w:rsid w:val="0018433C"/>
    <w:rsid w:val="00185B74"/>
    <w:rsid w:val="00185BF3"/>
    <w:rsid w:val="001869BE"/>
    <w:rsid w:val="00195094"/>
    <w:rsid w:val="00196328"/>
    <w:rsid w:val="001968BF"/>
    <w:rsid w:val="001A357E"/>
    <w:rsid w:val="001A3739"/>
    <w:rsid w:val="001A5CDF"/>
    <w:rsid w:val="001A608F"/>
    <w:rsid w:val="001A6095"/>
    <w:rsid w:val="001A6448"/>
    <w:rsid w:val="001B1F1A"/>
    <w:rsid w:val="001B71B1"/>
    <w:rsid w:val="001B79F6"/>
    <w:rsid w:val="001C08E2"/>
    <w:rsid w:val="001C351F"/>
    <w:rsid w:val="001C5E81"/>
    <w:rsid w:val="001D0602"/>
    <w:rsid w:val="001D28B0"/>
    <w:rsid w:val="001D2D07"/>
    <w:rsid w:val="001D7353"/>
    <w:rsid w:val="001D7699"/>
    <w:rsid w:val="001E0075"/>
    <w:rsid w:val="001E0315"/>
    <w:rsid w:val="001E2E05"/>
    <w:rsid w:val="001E517E"/>
    <w:rsid w:val="001F0A77"/>
    <w:rsid w:val="001F2653"/>
    <w:rsid w:val="001F3BBD"/>
    <w:rsid w:val="001F42F0"/>
    <w:rsid w:val="001F4346"/>
    <w:rsid w:val="001F4BDD"/>
    <w:rsid w:val="001F5A2C"/>
    <w:rsid w:val="001F667F"/>
    <w:rsid w:val="001F684A"/>
    <w:rsid w:val="002000AB"/>
    <w:rsid w:val="002038E3"/>
    <w:rsid w:val="00203D85"/>
    <w:rsid w:val="00206373"/>
    <w:rsid w:val="00211B11"/>
    <w:rsid w:val="00212D28"/>
    <w:rsid w:val="002137D0"/>
    <w:rsid w:val="00215247"/>
    <w:rsid w:val="0021574F"/>
    <w:rsid w:val="00215DB3"/>
    <w:rsid w:val="00217134"/>
    <w:rsid w:val="002212B4"/>
    <w:rsid w:val="00221456"/>
    <w:rsid w:val="00224EA3"/>
    <w:rsid w:val="00227647"/>
    <w:rsid w:val="002300C6"/>
    <w:rsid w:val="00230177"/>
    <w:rsid w:val="0023275B"/>
    <w:rsid w:val="00233F72"/>
    <w:rsid w:val="00235BBB"/>
    <w:rsid w:val="00236409"/>
    <w:rsid w:val="0024133E"/>
    <w:rsid w:val="002440EF"/>
    <w:rsid w:val="00244B19"/>
    <w:rsid w:val="00260029"/>
    <w:rsid w:val="00261078"/>
    <w:rsid w:val="002714B8"/>
    <w:rsid w:val="00272762"/>
    <w:rsid w:val="00273A97"/>
    <w:rsid w:val="002740DD"/>
    <w:rsid w:val="002752C7"/>
    <w:rsid w:val="00275331"/>
    <w:rsid w:val="002760DC"/>
    <w:rsid w:val="0027624B"/>
    <w:rsid w:val="002766AA"/>
    <w:rsid w:val="002810BE"/>
    <w:rsid w:val="00281192"/>
    <w:rsid w:val="0028442C"/>
    <w:rsid w:val="00284B24"/>
    <w:rsid w:val="0028527D"/>
    <w:rsid w:val="00287514"/>
    <w:rsid w:val="00287A6D"/>
    <w:rsid w:val="00290D1D"/>
    <w:rsid w:val="00290D6A"/>
    <w:rsid w:val="00294230"/>
    <w:rsid w:val="002A1EDF"/>
    <w:rsid w:val="002A36F8"/>
    <w:rsid w:val="002A4425"/>
    <w:rsid w:val="002A49B4"/>
    <w:rsid w:val="002A52B3"/>
    <w:rsid w:val="002A69C4"/>
    <w:rsid w:val="002B02B0"/>
    <w:rsid w:val="002B1297"/>
    <w:rsid w:val="002B1D37"/>
    <w:rsid w:val="002B2AAD"/>
    <w:rsid w:val="002B2E0E"/>
    <w:rsid w:val="002B3949"/>
    <w:rsid w:val="002B654A"/>
    <w:rsid w:val="002C246F"/>
    <w:rsid w:val="002C4B83"/>
    <w:rsid w:val="002C6011"/>
    <w:rsid w:val="002D3172"/>
    <w:rsid w:val="002D348C"/>
    <w:rsid w:val="002D4786"/>
    <w:rsid w:val="002D60EB"/>
    <w:rsid w:val="002D6113"/>
    <w:rsid w:val="002D7AD5"/>
    <w:rsid w:val="002E04F2"/>
    <w:rsid w:val="002E088C"/>
    <w:rsid w:val="002E0E62"/>
    <w:rsid w:val="002E2AD1"/>
    <w:rsid w:val="002E2E3C"/>
    <w:rsid w:val="002E3121"/>
    <w:rsid w:val="002E4953"/>
    <w:rsid w:val="002E57C3"/>
    <w:rsid w:val="002E6728"/>
    <w:rsid w:val="002E7C4C"/>
    <w:rsid w:val="002F30D1"/>
    <w:rsid w:val="002F695D"/>
    <w:rsid w:val="00301762"/>
    <w:rsid w:val="003030C8"/>
    <w:rsid w:val="003077B3"/>
    <w:rsid w:val="00312BE7"/>
    <w:rsid w:val="00315083"/>
    <w:rsid w:val="003150A7"/>
    <w:rsid w:val="00315A71"/>
    <w:rsid w:val="00316793"/>
    <w:rsid w:val="003179E4"/>
    <w:rsid w:val="00317DC0"/>
    <w:rsid w:val="00320AB5"/>
    <w:rsid w:val="00321FF4"/>
    <w:rsid w:val="00324FC0"/>
    <w:rsid w:val="00330BE1"/>
    <w:rsid w:val="003328DC"/>
    <w:rsid w:val="00333235"/>
    <w:rsid w:val="0033352B"/>
    <w:rsid w:val="00336AB8"/>
    <w:rsid w:val="00337937"/>
    <w:rsid w:val="003412AE"/>
    <w:rsid w:val="003415DB"/>
    <w:rsid w:val="00341856"/>
    <w:rsid w:val="003429E8"/>
    <w:rsid w:val="00342E05"/>
    <w:rsid w:val="00343577"/>
    <w:rsid w:val="00346DFC"/>
    <w:rsid w:val="00347F53"/>
    <w:rsid w:val="00350F8A"/>
    <w:rsid w:val="00351922"/>
    <w:rsid w:val="00355167"/>
    <w:rsid w:val="003576AB"/>
    <w:rsid w:val="003600D8"/>
    <w:rsid w:val="00361DEB"/>
    <w:rsid w:val="00365856"/>
    <w:rsid w:val="00365D23"/>
    <w:rsid w:val="0036795A"/>
    <w:rsid w:val="00371118"/>
    <w:rsid w:val="00371507"/>
    <w:rsid w:val="003729BB"/>
    <w:rsid w:val="003732D6"/>
    <w:rsid w:val="00374BEE"/>
    <w:rsid w:val="003754DA"/>
    <w:rsid w:val="00375904"/>
    <w:rsid w:val="00382CF3"/>
    <w:rsid w:val="00384030"/>
    <w:rsid w:val="003854EB"/>
    <w:rsid w:val="00395256"/>
    <w:rsid w:val="00396851"/>
    <w:rsid w:val="003A2480"/>
    <w:rsid w:val="003A2847"/>
    <w:rsid w:val="003A460E"/>
    <w:rsid w:val="003A73F2"/>
    <w:rsid w:val="003B07CC"/>
    <w:rsid w:val="003B47A8"/>
    <w:rsid w:val="003B6B72"/>
    <w:rsid w:val="003C1CEC"/>
    <w:rsid w:val="003C1CFA"/>
    <w:rsid w:val="003C2407"/>
    <w:rsid w:val="003C2CCD"/>
    <w:rsid w:val="003C2EDC"/>
    <w:rsid w:val="003C3B40"/>
    <w:rsid w:val="003C4572"/>
    <w:rsid w:val="003C59D2"/>
    <w:rsid w:val="003C6FB6"/>
    <w:rsid w:val="003D07F8"/>
    <w:rsid w:val="003D1FD8"/>
    <w:rsid w:val="003D2F00"/>
    <w:rsid w:val="003D3E0C"/>
    <w:rsid w:val="003D46A5"/>
    <w:rsid w:val="003D6B74"/>
    <w:rsid w:val="003D73A0"/>
    <w:rsid w:val="003E0BDF"/>
    <w:rsid w:val="003E147D"/>
    <w:rsid w:val="003E7204"/>
    <w:rsid w:val="003F008F"/>
    <w:rsid w:val="003F0E35"/>
    <w:rsid w:val="003F3713"/>
    <w:rsid w:val="003F5F39"/>
    <w:rsid w:val="003F7A06"/>
    <w:rsid w:val="004011CF"/>
    <w:rsid w:val="004132D9"/>
    <w:rsid w:val="004144FC"/>
    <w:rsid w:val="004158C0"/>
    <w:rsid w:val="00416259"/>
    <w:rsid w:val="00416890"/>
    <w:rsid w:val="00420201"/>
    <w:rsid w:val="00420512"/>
    <w:rsid w:val="0042318F"/>
    <w:rsid w:val="004233EF"/>
    <w:rsid w:val="00425D66"/>
    <w:rsid w:val="004265F1"/>
    <w:rsid w:val="00427C25"/>
    <w:rsid w:val="0043357A"/>
    <w:rsid w:val="00442674"/>
    <w:rsid w:val="00450A26"/>
    <w:rsid w:val="00450A62"/>
    <w:rsid w:val="00454F49"/>
    <w:rsid w:val="00456454"/>
    <w:rsid w:val="00457679"/>
    <w:rsid w:val="00460548"/>
    <w:rsid w:val="00462967"/>
    <w:rsid w:val="00463E24"/>
    <w:rsid w:val="004668E5"/>
    <w:rsid w:val="00473033"/>
    <w:rsid w:val="00474CFF"/>
    <w:rsid w:val="00475283"/>
    <w:rsid w:val="004755A0"/>
    <w:rsid w:val="0047586F"/>
    <w:rsid w:val="00475B5A"/>
    <w:rsid w:val="00480FFE"/>
    <w:rsid w:val="00481383"/>
    <w:rsid w:val="00481CA5"/>
    <w:rsid w:val="0048336F"/>
    <w:rsid w:val="00485D2F"/>
    <w:rsid w:val="00487A5E"/>
    <w:rsid w:val="00487B3C"/>
    <w:rsid w:val="004902C0"/>
    <w:rsid w:val="00490D83"/>
    <w:rsid w:val="004916C9"/>
    <w:rsid w:val="00491E4D"/>
    <w:rsid w:val="00494196"/>
    <w:rsid w:val="00495556"/>
    <w:rsid w:val="00495850"/>
    <w:rsid w:val="00497190"/>
    <w:rsid w:val="004A07EA"/>
    <w:rsid w:val="004A12CB"/>
    <w:rsid w:val="004A2A58"/>
    <w:rsid w:val="004A2B0F"/>
    <w:rsid w:val="004A60DE"/>
    <w:rsid w:val="004A7DC6"/>
    <w:rsid w:val="004B123F"/>
    <w:rsid w:val="004B3462"/>
    <w:rsid w:val="004B47F1"/>
    <w:rsid w:val="004B5D99"/>
    <w:rsid w:val="004B6004"/>
    <w:rsid w:val="004C412A"/>
    <w:rsid w:val="004C428F"/>
    <w:rsid w:val="004C5E66"/>
    <w:rsid w:val="004C6FCE"/>
    <w:rsid w:val="004D140F"/>
    <w:rsid w:val="004D1954"/>
    <w:rsid w:val="004D1B22"/>
    <w:rsid w:val="004D7040"/>
    <w:rsid w:val="004D7C42"/>
    <w:rsid w:val="004E1F67"/>
    <w:rsid w:val="004E39F8"/>
    <w:rsid w:val="004E5017"/>
    <w:rsid w:val="004F013C"/>
    <w:rsid w:val="004F0874"/>
    <w:rsid w:val="004F265C"/>
    <w:rsid w:val="004F57C5"/>
    <w:rsid w:val="0050310A"/>
    <w:rsid w:val="005049FA"/>
    <w:rsid w:val="00504FFB"/>
    <w:rsid w:val="00505054"/>
    <w:rsid w:val="005051EA"/>
    <w:rsid w:val="00506799"/>
    <w:rsid w:val="00511985"/>
    <w:rsid w:val="00512B71"/>
    <w:rsid w:val="00513EC0"/>
    <w:rsid w:val="00514D03"/>
    <w:rsid w:val="00515C61"/>
    <w:rsid w:val="00515FA1"/>
    <w:rsid w:val="00516109"/>
    <w:rsid w:val="005219B8"/>
    <w:rsid w:val="00523194"/>
    <w:rsid w:val="00523916"/>
    <w:rsid w:val="005262E9"/>
    <w:rsid w:val="0052764B"/>
    <w:rsid w:val="005276F2"/>
    <w:rsid w:val="00530F16"/>
    <w:rsid w:val="00531BF5"/>
    <w:rsid w:val="005334C6"/>
    <w:rsid w:val="0053392B"/>
    <w:rsid w:val="0053678D"/>
    <w:rsid w:val="00536B27"/>
    <w:rsid w:val="00544835"/>
    <w:rsid w:val="00545856"/>
    <w:rsid w:val="00552075"/>
    <w:rsid w:val="00552865"/>
    <w:rsid w:val="005529F8"/>
    <w:rsid w:val="00553430"/>
    <w:rsid w:val="00555642"/>
    <w:rsid w:val="00555CC5"/>
    <w:rsid w:val="005605CA"/>
    <w:rsid w:val="00565706"/>
    <w:rsid w:val="005661A9"/>
    <w:rsid w:val="005666EC"/>
    <w:rsid w:val="00576784"/>
    <w:rsid w:val="0057729F"/>
    <w:rsid w:val="00586B8F"/>
    <w:rsid w:val="0058796F"/>
    <w:rsid w:val="005910BC"/>
    <w:rsid w:val="005931D5"/>
    <w:rsid w:val="00593A5A"/>
    <w:rsid w:val="00593D17"/>
    <w:rsid w:val="0059604A"/>
    <w:rsid w:val="005A1F51"/>
    <w:rsid w:val="005A2471"/>
    <w:rsid w:val="005A2FCC"/>
    <w:rsid w:val="005A50CC"/>
    <w:rsid w:val="005A61C2"/>
    <w:rsid w:val="005A7FB1"/>
    <w:rsid w:val="005B0D63"/>
    <w:rsid w:val="005B3C93"/>
    <w:rsid w:val="005B3FC2"/>
    <w:rsid w:val="005B5AD7"/>
    <w:rsid w:val="005B63A4"/>
    <w:rsid w:val="005C0AA2"/>
    <w:rsid w:val="005C1353"/>
    <w:rsid w:val="005C2DF9"/>
    <w:rsid w:val="005C4C80"/>
    <w:rsid w:val="005C4E76"/>
    <w:rsid w:val="005D3ED8"/>
    <w:rsid w:val="005D5928"/>
    <w:rsid w:val="005D78B3"/>
    <w:rsid w:val="005E1D3F"/>
    <w:rsid w:val="005E675E"/>
    <w:rsid w:val="005E7961"/>
    <w:rsid w:val="005F14E2"/>
    <w:rsid w:val="005F4EA9"/>
    <w:rsid w:val="005F6006"/>
    <w:rsid w:val="00600543"/>
    <w:rsid w:val="00601C11"/>
    <w:rsid w:val="006031B6"/>
    <w:rsid w:val="0060459D"/>
    <w:rsid w:val="0060536F"/>
    <w:rsid w:val="006065B4"/>
    <w:rsid w:val="00610EA1"/>
    <w:rsid w:val="00617129"/>
    <w:rsid w:val="0061796E"/>
    <w:rsid w:val="006179FC"/>
    <w:rsid w:val="006225B5"/>
    <w:rsid w:val="0062447E"/>
    <w:rsid w:val="0062669F"/>
    <w:rsid w:val="00627D35"/>
    <w:rsid w:val="006303D9"/>
    <w:rsid w:val="00632F8D"/>
    <w:rsid w:val="006370AA"/>
    <w:rsid w:val="00637263"/>
    <w:rsid w:val="00643C9F"/>
    <w:rsid w:val="006440B6"/>
    <w:rsid w:val="006452D6"/>
    <w:rsid w:val="00645678"/>
    <w:rsid w:val="0064709C"/>
    <w:rsid w:val="0064787A"/>
    <w:rsid w:val="00647972"/>
    <w:rsid w:val="006529A5"/>
    <w:rsid w:val="00654FD9"/>
    <w:rsid w:val="00657CE7"/>
    <w:rsid w:val="00657CF5"/>
    <w:rsid w:val="00660206"/>
    <w:rsid w:val="00660256"/>
    <w:rsid w:val="00660CAE"/>
    <w:rsid w:val="00664C5D"/>
    <w:rsid w:val="00665016"/>
    <w:rsid w:val="00667070"/>
    <w:rsid w:val="006675E3"/>
    <w:rsid w:val="00667BCC"/>
    <w:rsid w:val="00667EFC"/>
    <w:rsid w:val="00670428"/>
    <w:rsid w:val="00670AA8"/>
    <w:rsid w:val="00673487"/>
    <w:rsid w:val="00674539"/>
    <w:rsid w:val="006760A8"/>
    <w:rsid w:val="00676B0C"/>
    <w:rsid w:val="00677870"/>
    <w:rsid w:val="00680980"/>
    <w:rsid w:val="00682EB9"/>
    <w:rsid w:val="0068335F"/>
    <w:rsid w:val="0068437C"/>
    <w:rsid w:val="00684F18"/>
    <w:rsid w:val="0068566E"/>
    <w:rsid w:val="006867ED"/>
    <w:rsid w:val="00686BF4"/>
    <w:rsid w:val="006975FF"/>
    <w:rsid w:val="00697630"/>
    <w:rsid w:val="006A239B"/>
    <w:rsid w:val="006A3186"/>
    <w:rsid w:val="006A48BC"/>
    <w:rsid w:val="006A6C34"/>
    <w:rsid w:val="006B1919"/>
    <w:rsid w:val="006B4835"/>
    <w:rsid w:val="006B488E"/>
    <w:rsid w:val="006C0739"/>
    <w:rsid w:val="006C1E20"/>
    <w:rsid w:val="006C2458"/>
    <w:rsid w:val="006C276D"/>
    <w:rsid w:val="006C3F75"/>
    <w:rsid w:val="006C444C"/>
    <w:rsid w:val="006C5977"/>
    <w:rsid w:val="006D03DF"/>
    <w:rsid w:val="006D3E2B"/>
    <w:rsid w:val="006D5B66"/>
    <w:rsid w:val="006D63FF"/>
    <w:rsid w:val="006D68D7"/>
    <w:rsid w:val="006E0F03"/>
    <w:rsid w:val="006E1235"/>
    <w:rsid w:val="006E4CAF"/>
    <w:rsid w:val="006E6AA4"/>
    <w:rsid w:val="006F14F5"/>
    <w:rsid w:val="006F1744"/>
    <w:rsid w:val="006F27A7"/>
    <w:rsid w:val="006F2EC7"/>
    <w:rsid w:val="006F34AD"/>
    <w:rsid w:val="006F3F9C"/>
    <w:rsid w:val="006F5DC4"/>
    <w:rsid w:val="006F60C4"/>
    <w:rsid w:val="006F6B18"/>
    <w:rsid w:val="006F732F"/>
    <w:rsid w:val="006F75ED"/>
    <w:rsid w:val="006F7EE6"/>
    <w:rsid w:val="00704692"/>
    <w:rsid w:val="007073A6"/>
    <w:rsid w:val="00711228"/>
    <w:rsid w:val="00711B92"/>
    <w:rsid w:val="00711FBB"/>
    <w:rsid w:val="00713058"/>
    <w:rsid w:val="00713069"/>
    <w:rsid w:val="00714467"/>
    <w:rsid w:val="0071737A"/>
    <w:rsid w:val="00721523"/>
    <w:rsid w:val="007228E5"/>
    <w:rsid w:val="00722D56"/>
    <w:rsid w:val="00723554"/>
    <w:rsid w:val="00724411"/>
    <w:rsid w:val="007244ED"/>
    <w:rsid w:val="007248D0"/>
    <w:rsid w:val="0072514A"/>
    <w:rsid w:val="007307AE"/>
    <w:rsid w:val="00733B33"/>
    <w:rsid w:val="00735A2E"/>
    <w:rsid w:val="0073618D"/>
    <w:rsid w:val="00741998"/>
    <w:rsid w:val="0074299B"/>
    <w:rsid w:val="007433F5"/>
    <w:rsid w:val="007448AD"/>
    <w:rsid w:val="0074698A"/>
    <w:rsid w:val="007529AF"/>
    <w:rsid w:val="007541B3"/>
    <w:rsid w:val="00754685"/>
    <w:rsid w:val="00754D97"/>
    <w:rsid w:val="00757667"/>
    <w:rsid w:val="00757985"/>
    <w:rsid w:val="00757E19"/>
    <w:rsid w:val="00761490"/>
    <w:rsid w:val="007618B1"/>
    <w:rsid w:val="007635CF"/>
    <w:rsid w:val="00763CB1"/>
    <w:rsid w:val="00766906"/>
    <w:rsid w:val="0076744B"/>
    <w:rsid w:val="0077125F"/>
    <w:rsid w:val="00773EE6"/>
    <w:rsid w:val="00774128"/>
    <w:rsid w:val="007743A2"/>
    <w:rsid w:val="007763AF"/>
    <w:rsid w:val="007776A5"/>
    <w:rsid w:val="00783B04"/>
    <w:rsid w:val="0078447F"/>
    <w:rsid w:val="0078563F"/>
    <w:rsid w:val="007904CB"/>
    <w:rsid w:val="0079152F"/>
    <w:rsid w:val="00793493"/>
    <w:rsid w:val="00793C6B"/>
    <w:rsid w:val="00793D02"/>
    <w:rsid w:val="00793DC9"/>
    <w:rsid w:val="00794708"/>
    <w:rsid w:val="00794CC5"/>
    <w:rsid w:val="00795C56"/>
    <w:rsid w:val="00795C66"/>
    <w:rsid w:val="00797523"/>
    <w:rsid w:val="007A240E"/>
    <w:rsid w:val="007A4990"/>
    <w:rsid w:val="007B3232"/>
    <w:rsid w:val="007B36D9"/>
    <w:rsid w:val="007B451A"/>
    <w:rsid w:val="007B72F4"/>
    <w:rsid w:val="007C1C9D"/>
    <w:rsid w:val="007C2953"/>
    <w:rsid w:val="007C7339"/>
    <w:rsid w:val="007D1FB1"/>
    <w:rsid w:val="007D30AE"/>
    <w:rsid w:val="007D4898"/>
    <w:rsid w:val="007D4D9F"/>
    <w:rsid w:val="007D4F68"/>
    <w:rsid w:val="007D6EC3"/>
    <w:rsid w:val="007E01B6"/>
    <w:rsid w:val="007E399D"/>
    <w:rsid w:val="007E5162"/>
    <w:rsid w:val="007E559E"/>
    <w:rsid w:val="007E61D9"/>
    <w:rsid w:val="007E77FD"/>
    <w:rsid w:val="007F1685"/>
    <w:rsid w:val="007F172C"/>
    <w:rsid w:val="007F501C"/>
    <w:rsid w:val="007F52B8"/>
    <w:rsid w:val="007F5D14"/>
    <w:rsid w:val="007F734C"/>
    <w:rsid w:val="008006A2"/>
    <w:rsid w:val="00801599"/>
    <w:rsid w:val="00801B9F"/>
    <w:rsid w:val="00801BF4"/>
    <w:rsid w:val="008034E2"/>
    <w:rsid w:val="0080561B"/>
    <w:rsid w:val="00806A0D"/>
    <w:rsid w:val="00810192"/>
    <w:rsid w:val="00811D35"/>
    <w:rsid w:val="008275F8"/>
    <w:rsid w:val="008314F3"/>
    <w:rsid w:val="00831DCC"/>
    <w:rsid w:val="00831DD3"/>
    <w:rsid w:val="00832E6C"/>
    <w:rsid w:val="00833D13"/>
    <w:rsid w:val="00834673"/>
    <w:rsid w:val="008346A1"/>
    <w:rsid w:val="00834AC7"/>
    <w:rsid w:val="008361FF"/>
    <w:rsid w:val="00836D12"/>
    <w:rsid w:val="008412F4"/>
    <w:rsid w:val="008426B8"/>
    <w:rsid w:val="008444AE"/>
    <w:rsid w:val="0084496A"/>
    <w:rsid w:val="00845FC1"/>
    <w:rsid w:val="00846DDD"/>
    <w:rsid w:val="008477D9"/>
    <w:rsid w:val="0085129E"/>
    <w:rsid w:val="00851E3F"/>
    <w:rsid w:val="00856660"/>
    <w:rsid w:val="0086073A"/>
    <w:rsid w:val="0086208D"/>
    <w:rsid w:val="0086503D"/>
    <w:rsid w:val="00865D19"/>
    <w:rsid w:val="00866A71"/>
    <w:rsid w:val="00873A91"/>
    <w:rsid w:val="00876805"/>
    <w:rsid w:val="00877B53"/>
    <w:rsid w:val="0088042C"/>
    <w:rsid w:val="008825AB"/>
    <w:rsid w:val="0088434E"/>
    <w:rsid w:val="00884B44"/>
    <w:rsid w:val="008868DD"/>
    <w:rsid w:val="008906E0"/>
    <w:rsid w:val="008906EB"/>
    <w:rsid w:val="00890E6F"/>
    <w:rsid w:val="00891B01"/>
    <w:rsid w:val="00892230"/>
    <w:rsid w:val="008935CF"/>
    <w:rsid w:val="00894026"/>
    <w:rsid w:val="008A3CB5"/>
    <w:rsid w:val="008A3DDA"/>
    <w:rsid w:val="008A4299"/>
    <w:rsid w:val="008A4C87"/>
    <w:rsid w:val="008A5663"/>
    <w:rsid w:val="008A5A1F"/>
    <w:rsid w:val="008A5F9E"/>
    <w:rsid w:val="008A6569"/>
    <w:rsid w:val="008A688B"/>
    <w:rsid w:val="008A7886"/>
    <w:rsid w:val="008B0F3B"/>
    <w:rsid w:val="008B5061"/>
    <w:rsid w:val="008B5201"/>
    <w:rsid w:val="008B5AC6"/>
    <w:rsid w:val="008B64C6"/>
    <w:rsid w:val="008C2565"/>
    <w:rsid w:val="008C2FF8"/>
    <w:rsid w:val="008C4962"/>
    <w:rsid w:val="008C4FBC"/>
    <w:rsid w:val="008C6265"/>
    <w:rsid w:val="008C7365"/>
    <w:rsid w:val="008D0A94"/>
    <w:rsid w:val="008D3C32"/>
    <w:rsid w:val="008D5429"/>
    <w:rsid w:val="008D6604"/>
    <w:rsid w:val="008D6C13"/>
    <w:rsid w:val="008D734D"/>
    <w:rsid w:val="008E093E"/>
    <w:rsid w:val="008E3631"/>
    <w:rsid w:val="008E5B3A"/>
    <w:rsid w:val="008E6714"/>
    <w:rsid w:val="008E7135"/>
    <w:rsid w:val="008F0466"/>
    <w:rsid w:val="008F202E"/>
    <w:rsid w:val="008F23A9"/>
    <w:rsid w:val="008F3090"/>
    <w:rsid w:val="008F3116"/>
    <w:rsid w:val="008F3A84"/>
    <w:rsid w:val="008F56C8"/>
    <w:rsid w:val="008F79D5"/>
    <w:rsid w:val="009011CC"/>
    <w:rsid w:val="0090275E"/>
    <w:rsid w:val="0090298D"/>
    <w:rsid w:val="009032C5"/>
    <w:rsid w:val="009056F4"/>
    <w:rsid w:val="00905857"/>
    <w:rsid w:val="0091032C"/>
    <w:rsid w:val="00911334"/>
    <w:rsid w:val="00911A97"/>
    <w:rsid w:val="00912669"/>
    <w:rsid w:val="00913A28"/>
    <w:rsid w:val="00915DCA"/>
    <w:rsid w:val="009161F8"/>
    <w:rsid w:val="009166DF"/>
    <w:rsid w:val="00916F53"/>
    <w:rsid w:val="0091722C"/>
    <w:rsid w:val="009175A4"/>
    <w:rsid w:val="00917F43"/>
    <w:rsid w:val="00923247"/>
    <w:rsid w:val="009241F7"/>
    <w:rsid w:val="00924705"/>
    <w:rsid w:val="00927ABE"/>
    <w:rsid w:val="00935738"/>
    <w:rsid w:val="009367DA"/>
    <w:rsid w:val="0094033C"/>
    <w:rsid w:val="009405EE"/>
    <w:rsid w:val="00946AB7"/>
    <w:rsid w:val="00950909"/>
    <w:rsid w:val="00950CF0"/>
    <w:rsid w:val="00950EB2"/>
    <w:rsid w:val="00952DDB"/>
    <w:rsid w:val="00953A04"/>
    <w:rsid w:val="0095424F"/>
    <w:rsid w:val="009558F5"/>
    <w:rsid w:val="009576F6"/>
    <w:rsid w:val="009613C1"/>
    <w:rsid w:val="00965F4F"/>
    <w:rsid w:val="00966C35"/>
    <w:rsid w:val="009704C4"/>
    <w:rsid w:val="00970D38"/>
    <w:rsid w:val="00972777"/>
    <w:rsid w:val="009757C4"/>
    <w:rsid w:val="00975F79"/>
    <w:rsid w:val="00975FF9"/>
    <w:rsid w:val="009769CD"/>
    <w:rsid w:val="009770DF"/>
    <w:rsid w:val="00977631"/>
    <w:rsid w:val="00977A1B"/>
    <w:rsid w:val="00977C55"/>
    <w:rsid w:val="00980D67"/>
    <w:rsid w:val="0098139B"/>
    <w:rsid w:val="00982AFF"/>
    <w:rsid w:val="00984E5A"/>
    <w:rsid w:val="00990C67"/>
    <w:rsid w:val="00992994"/>
    <w:rsid w:val="00993247"/>
    <w:rsid w:val="00995309"/>
    <w:rsid w:val="00995756"/>
    <w:rsid w:val="009957AE"/>
    <w:rsid w:val="00995C8F"/>
    <w:rsid w:val="00997443"/>
    <w:rsid w:val="009A0772"/>
    <w:rsid w:val="009A502E"/>
    <w:rsid w:val="009B0C0D"/>
    <w:rsid w:val="009B32C8"/>
    <w:rsid w:val="009B34DB"/>
    <w:rsid w:val="009C00A7"/>
    <w:rsid w:val="009C1549"/>
    <w:rsid w:val="009C1F11"/>
    <w:rsid w:val="009C2270"/>
    <w:rsid w:val="009C327E"/>
    <w:rsid w:val="009C48ED"/>
    <w:rsid w:val="009C637F"/>
    <w:rsid w:val="009C63BB"/>
    <w:rsid w:val="009D1122"/>
    <w:rsid w:val="009D2B76"/>
    <w:rsid w:val="009D306E"/>
    <w:rsid w:val="009D7D1B"/>
    <w:rsid w:val="009D7EA8"/>
    <w:rsid w:val="009E37E6"/>
    <w:rsid w:val="009E4FE6"/>
    <w:rsid w:val="009E62F1"/>
    <w:rsid w:val="009E7879"/>
    <w:rsid w:val="009E7988"/>
    <w:rsid w:val="009F1735"/>
    <w:rsid w:val="009F2E6D"/>
    <w:rsid w:val="009F4E28"/>
    <w:rsid w:val="009F6305"/>
    <w:rsid w:val="00A00909"/>
    <w:rsid w:val="00A0161F"/>
    <w:rsid w:val="00A01E7B"/>
    <w:rsid w:val="00A02144"/>
    <w:rsid w:val="00A0420F"/>
    <w:rsid w:val="00A04CCE"/>
    <w:rsid w:val="00A0507C"/>
    <w:rsid w:val="00A052AF"/>
    <w:rsid w:val="00A05B0F"/>
    <w:rsid w:val="00A06684"/>
    <w:rsid w:val="00A11B38"/>
    <w:rsid w:val="00A12BF2"/>
    <w:rsid w:val="00A141AC"/>
    <w:rsid w:val="00A17362"/>
    <w:rsid w:val="00A1777E"/>
    <w:rsid w:val="00A21560"/>
    <w:rsid w:val="00A2383F"/>
    <w:rsid w:val="00A23D00"/>
    <w:rsid w:val="00A30B5B"/>
    <w:rsid w:val="00A31136"/>
    <w:rsid w:val="00A311B3"/>
    <w:rsid w:val="00A31BB7"/>
    <w:rsid w:val="00A33F09"/>
    <w:rsid w:val="00A34761"/>
    <w:rsid w:val="00A36189"/>
    <w:rsid w:val="00A37E0D"/>
    <w:rsid w:val="00A37E12"/>
    <w:rsid w:val="00A40D4A"/>
    <w:rsid w:val="00A46963"/>
    <w:rsid w:val="00A471F0"/>
    <w:rsid w:val="00A47819"/>
    <w:rsid w:val="00A50CCA"/>
    <w:rsid w:val="00A51CC8"/>
    <w:rsid w:val="00A52637"/>
    <w:rsid w:val="00A537C7"/>
    <w:rsid w:val="00A54DFA"/>
    <w:rsid w:val="00A550DE"/>
    <w:rsid w:val="00A57FCF"/>
    <w:rsid w:val="00A57FFE"/>
    <w:rsid w:val="00A60119"/>
    <w:rsid w:val="00A6258B"/>
    <w:rsid w:val="00A64A33"/>
    <w:rsid w:val="00A66655"/>
    <w:rsid w:val="00A71364"/>
    <w:rsid w:val="00A74BA2"/>
    <w:rsid w:val="00A75916"/>
    <w:rsid w:val="00A75925"/>
    <w:rsid w:val="00A802CF"/>
    <w:rsid w:val="00A810F1"/>
    <w:rsid w:val="00A84525"/>
    <w:rsid w:val="00A85135"/>
    <w:rsid w:val="00A900A6"/>
    <w:rsid w:val="00A91E61"/>
    <w:rsid w:val="00A928CC"/>
    <w:rsid w:val="00A9497C"/>
    <w:rsid w:val="00A95691"/>
    <w:rsid w:val="00A978AB"/>
    <w:rsid w:val="00A97BFE"/>
    <w:rsid w:val="00AA2566"/>
    <w:rsid w:val="00AA3702"/>
    <w:rsid w:val="00AA6C11"/>
    <w:rsid w:val="00AA75A5"/>
    <w:rsid w:val="00AB0575"/>
    <w:rsid w:val="00AB0EF0"/>
    <w:rsid w:val="00AB4359"/>
    <w:rsid w:val="00AC37E5"/>
    <w:rsid w:val="00AC48F0"/>
    <w:rsid w:val="00AD2B55"/>
    <w:rsid w:val="00AE0BFA"/>
    <w:rsid w:val="00AE0DF6"/>
    <w:rsid w:val="00AE2262"/>
    <w:rsid w:val="00AE239B"/>
    <w:rsid w:val="00AE55AD"/>
    <w:rsid w:val="00AF3BB6"/>
    <w:rsid w:val="00AF47A7"/>
    <w:rsid w:val="00AF512C"/>
    <w:rsid w:val="00AF7766"/>
    <w:rsid w:val="00AF7BA9"/>
    <w:rsid w:val="00B003CB"/>
    <w:rsid w:val="00B014C9"/>
    <w:rsid w:val="00B03161"/>
    <w:rsid w:val="00B0388E"/>
    <w:rsid w:val="00B04199"/>
    <w:rsid w:val="00B04CDF"/>
    <w:rsid w:val="00B06C59"/>
    <w:rsid w:val="00B1447A"/>
    <w:rsid w:val="00B172E1"/>
    <w:rsid w:val="00B17926"/>
    <w:rsid w:val="00B17D5F"/>
    <w:rsid w:val="00B21B72"/>
    <w:rsid w:val="00B22D51"/>
    <w:rsid w:val="00B233A1"/>
    <w:rsid w:val="00B2553E"/>
    <w:rsid w:val="00B27DAD"/>
    <w:rsid w:val="00B33002"/>
    <w:rsid w:val="00B33219"/>
    <w:rsid w:val="00B346FE"/>
    <w:rsid w:val="00B348DC"/>
    <w:rsid w:val="00B37B25"/>
    <w:rsid w:val="00B402EB"/>
    <w:rsid w:val="00B60BBF"/>
    <w:rsid w:val="00B61251"/>
    <w:rsid w:val="00B63A96"/>
    <w:rsid w:val="00B63ABF"/>
    <w:rsid w:val="00B642C7"/>
    <w:rsid w:val="00B66C6F"/>
    <w:rsid w:val="00B66D26"/>
    <w:rsid w:val="00B74ACB"/>
    <w:rsid w:val="00B7650E"/>
    <w:rsid w:val="00B77906"/>
    <w:rsid w:val="00B8322F"/>
    <w:rsid w:val="00B833C6"/>
    <w:rsid w:val="00B835BA"/>
    <w:rsid w:val="00B87772"/>
    <w:rsid w:val="00B87870"/>
    <w:rsid w:val="00B91642"/>
    <w:rsid w:val="00B92730"/>
    <w:rsid w:val="00B97440"/>
    <w:rsid w:val="00BA02D7"/>
    <w:rsid w:val="00BA1274"/>
    <w:rsid w:val="00BA1ECB"/>
    <w:rsid w:val="00BA2FB5"/>
    <w:rsid w:val="00BA3D5A"/>
    <w:rsid w:val="00BA5622"/>
    <w:rsid w:val="00BA7E60"/>
    <w:rsid w:val="00BB042C"/>
    <w:rsid w:val="00BB10FC"/>
    <w:rsid w:val="00BB1979"/>
    <w:rsid w:val="00BB356D"/>
    <w:rsid w:val="00BB525C"/>
    <w:rsid w:val="00BB608B"/>
    <w:rsid w:val="00BB671B"/>
    <w:rsid w:val="00BC0AB0"/>
    <w:rsid w:val="00BC1100"/>
    <w:rsid w:val="00BC1611"/>
    <w:rsid w:val="00BC2E86"/>
    <w:rsid w:val="00BC43CF"/>
    <w:rsid w:val="00BC4A16"/>
    <w:rsid w:val="00BC728F"/>
    <w:rsid w:val="00BC77CA"/>
    <w:rsid w:val="00BD38B7"/>
    <w:rsid w:val="00BD6F0E"/>
    <w:rsid w:val="00BE0C1E"/>
    <w:rsid w:val="00BE0E0B"/>
    <w:rsid w:val="00BE2159"/>
    <w:rsid w:val="00BE434E"/>
    <w:rsid w:val="00BE44ED"/>
    <w:rsid w:val="00BE4D43"/>
    <w:rsid w:val="00BE5303"/>
    <w:rsid w:val="00BE6FBF"/>
    <w:rsid w:val="00BE7041"/>
    <w:rsid w:val="00BE75C7"/>
    <w:rsid w:val="00BE7F01"/>
    <w:rsid w:val="00BF014B"/>
    <w:rsid w:val="00BF07A6"/>
    <w:rsid w:val="00BF0D1A"/>
    <w:rsid w:val="00BF24C4"/>
    <w:rsid w:val="00BF3664"/>
    <w:rsid w:val="00C007F3"/>
    <w:rsid w:val="00C009CF"/>
    <w:rsid w:val="00C0294E"/>
    <w:rsid w:val="00C06B36"/>
    <w:rsid w:val="00C07132"/>
    <w:rsid w:val="00C10997"/>
    <w:rsid w:val="00C11853"/>
    <w:rsid w:val="00C12734"/>
    <w:rsid w:val="00C12B41"/>
    <w:rsid w:val="00C1511F"/>
    <w:rsid w:val="00C1552A"/>
    <w:rsid w:val="00C17109"/>
    <w:rsid w:val="00C20D02"/>
    <w:rsid w:val="00C220B0"/>
    <w:rsid w:val="00C25C85"/>
    <w:rsid w:val="00C262EE"/>
    <w:rsid w:val="00C265ED"/>
    <w:rsid w:val="00C3069B"/>
    <w:rsid w:val="00C3116F"/>
    <w:rsid w:val="00C31A60"/>
    <w:rsid w:val="00C31D00"/>
    <w:rsid w:val="00C32C27"/>
    <w:rsid w:val="00C357DC"/>
    <w:rsid w:val="00C3727B"/>
    <w:rsid w:val="00C41540"/>
    <w:rsid w:val="00C42B67"/>
    <w:rsid w:val="00C5073E"/>
    <w:rsid w:val="00C50882"/>
    <w:rsid w:val="00C50B03"/>
    <w:rsid w:val="00C50CB7"/>
    <w:rsid w:val="00C51459"/>
    <w:rsid w:val="00C51A51"/>
    <w:rsid w:val="00C528C1"/>
    <w:rsid w:val="00C546F0"/>
    <w:rsid w:val="00C554BF"/>
    <w:rsid w:val="00C610BE"/>
    <w:rsid w:val="00C61801"/>
    <w:rsid w:val="00C64B4E"/>
    <w:rsid w:val="00C65758"/>
    <w:rsid w:val="00C67A0D"/>
    <w:rsid w:val="00C70008"/>
    <w:rsid w:val="00C70745"/>
    <w:rsid w:val="00C7495C"/>
    <w:rsid w:val="00C75676"/>
    <w:rsid w:val="00C77844"/>
    <w:rsid w:val="00C80837"/>
    <w:rsid w:val="00C80ABD"/>
    <w:rsid w:val="00C81201"/>
    <w:rsid w:val="00C83A3E"/>
    <w:rsid w:val="00C8553B"/>
    <w:rsid w:val="00C911A4"/>
    <w:rsid w:val="00CA015A"/>
    <w:rsid w:val="00CA4E44"/>
    <w:rsid w:val="00CA5CA7"/>
    <w:rsid w:val="00CA6777"/>
    <w:rsid w:val="00CB086B"/>
    <w:rsid w:val="00CB0F22"/>
    <w:rsid w:val="00CB140A"/>
    <w:rsid w:val="00CB18E1"/>
    <w:rsid w:val="00CB37F9"/>
    <w:rsid w:val="00CB6C4F"/>
    <w:rsid w:val="00CC4366"/>
    <w:rsid w:val="00CC44EC"/>
    <w:rsid w:val="00CD04A0"/>
    <w:rsid w:val="00CD2D5C"/>
    <w:rsid w:val="00CD36E3"/>
    <w:rsid w:val="00CD765E"/>
    <w:rsid w:val="00CD766C"/>
    <w:rsid w:val="00CE04BC"/>
    <w:rsid w:val="00CE0C49"/>
    <w:rsid w:val="00CE1342"/>
    <w:rsid w:val="00CE1663"/>
    <w:rsid w:val="00CE1E4B"/>
    <w:rsid w:val="00CE6540"/>
    <w:rsid w:val="00CF1308"/>
    <w:rsid w:val="00CF2A6A"/>
    <w:rsid w:val="00CF3E80"/>
    <w:rsid w:val="00CF63BF"/>
    <w:rsid w:val="00D002B1"/>
    <w:rsid w:val="00D02157"/>
    <w:rsid w:val="00D02F9F"/>
    <w:rsid w:val="00D053BD"/>
    <w:rsid w:val="00D13BC9"/>
    <w:rsid w:val="00D153EC"/>
    <w:rsid w:val="00D172B9"/>
    <w:rsid w:val="00D1772C"/>
    <w:rsid w:val="00D1773B"/>
    <w:rsid w:val="00D209B2"/>
    <w:rsid w:val="00D20F81"/>
    <w:rsid w:val="00D21444"/>
    <w:rsid w:val="00D24D34"/>
    <w:rsid w:val="00D25D04"/>
    <w:rsid w:val="00D260E9"/>
    <w:rsid w:val="00D277E6"/>
    <w:rsid w:val="00D30ABD"/>
    <w:rsid w:val="00D30C9A"/>
    <w:rsid w:val="00D322A5"/>
    <w:rsid w:val="00D35AE5"/>
    <w:rsid w:val="00D37777"/>
    <w:rsid w:val="00D378FE"/>
    <w:rsid w:val="00D41D85"/>
    <w:rsid w:val="00D445A1"/>
    <w:rsid w:val="00D44E92"/>
    <w:rsid w:val="00D45032"/>
    <w:rsid w:val="00D46CA2"/>
    <w:rsid w:val="00D46D19"/>
    <w:rsid w:val="00D51DBD"/>
    <w:rsid w:val="00D52AC5"/>
    <w:rsid w:val="00D52C5A"/>
    <w:rsid w:val="00D540C1"/>
    <w:rsid w:val="00D54A00"/>
    <w:rsid w:val="00D556C4"/>
    <w:rsid w:val="00D578B4"/>
    <w:rsid w:val="00D57981"/>
    <w:rsid w:val="00D6274B"/>
    <w:rsid w:val="00D62A1D"/>
    <w:rsid w:val="00D65EA9"/>
    <w:rsid w:val="00D66C63"/>
    <w:rsid w:val="00D7040D"/>
    <w:rsid w:val="00D721D9"/>
    <w:rsid w:val="00D7727B"/>
    <w:rsid w:val="00D811C1"/>
    <w:rsid w:val="00D8538E"/>
    <w:rsid w:val="00D8749B"/>
    <w:rsid w:val="00D901B3"/>
    <w:rsid w:val="00D93533"/>
    <w:rsid w:val="00D95823"/>
    <w:rsid w:val="00D96E55"/>
    <w:rsid w:val="00DA0223"/>
    <w:rsid w:val="00DA0D66"/>
    <w:rsid w:val="00DA0FD2"/>
    <w:rsid w:val="00DA280E"/>
    <w:rsid w:val="00DA4DAA"/>
    <w:rsid w:val="00DA5C34"/>
    <w:rsid w:val="00DB5E8F"/>
    <w:rsid w:val="00DB6C43"/>
    <w:rsid w:val="00DB74E0"/>
    <w:rsid w:val="00DC154E"/>
    <w:rsid w:val="00DC281C"/>
    <w:rsid w:val="00DC46D7"/>
    <w:rsid w:val="00DC5764"/>
    <w:rsid w:val="00DC5B8C"/>
    <w:rsid w:val="00DC6759"/>
    <w:rsid w:val="00DC6F6F"/>
    <w:rsid w:val="00DD247A"/>
    <w:rsid w:val="00DD2775"/>
    <w:rsid w:val="00DD4FC1"/>
    <w:rsid w:val="00DD5955"/>
    <w:rsid w:val="00DD5E31"/>
    <w:rsid w:val="00DE011D"/>
    <w:rsid w:val="00DE186F"/>
    <w:rsid w:val="00DE44E7"/>
    <w:rsid w:val="00DE4968"/>
    <w:rsid w:val="00DE7361"/>
    <w:rsid w:val="00DE7830"/>
    <w:rsid w:val="00DE7A51"/>
    <w:rsid w:val="00DF0BAB"/>
    <w:rsid w:val="00DF19AE"/>
    <w:rsid w:val="00DF59DC"/>
    <w:rsid w:val="00DF7C5F"/>
    <w:rsid w:val="00DF7F23"/>
    <w:rsid w:val="00E00D68"/>
    <w:rsid w:val="00E03BF5"/>
    <w:rsid w:val="00E04F74"/>
    <w:rsid w:val="00E0506D"/>
    <w:rsid w:val="00E066B6"/>
    <w:rsid w:val="00E072EF"/>
    <w:rsid w:val="00E11BF3"/>
    <w:rsid w:val="00E11FDF"/>
    <w:rsid w:val="00E12B9C"/>
    <w:rsid w:val="00E17D78"/>
    <w:rsid w:val="00E204B4"/>
    <w:rsid w:val="00E20944"/>
    <w:rsid w:val="00E224FA"/>
    <w:rsid w:val="00E23146"/>
    <w:rsid w:val="00E24CE0"/>
    <w:rsid w:val="00E311E6"/>
    <w:rsid w:val="00E35D69"/>
    <w:rsid w:val="00E37146"/>
    <w:rsid w:val="00E37E6C"/>
    <w:rsid w:val="00E47D60"/>
    <w:rsid w:val="00E51048"/>
    <w:rsid w:val="00E53E40"/>
    <w:rsid w:val="00E56378"/>
    <w:rsid w:val="00E56C5F"/>
    <w:rsid w:val="00E57C14"/>
    <w:rsid w:val="00E62AF4"/>
    <w:rsid w:val="00E62D58"/>
    <w:rsid w:val="00E65ABB"/>
    <w:rsid w:val="00E66771"/>
    <w:rsid w:val="00E70B6F"/>
    <w:rsid w:val="00E71105"/>
    <w:rsid w:val="00E7115E"/>
    <w:rsid w:val="00E7124B"/>
    <w:rsid w:val="00E75754"/>
    <w:rsid w:val="00E803BC"/>
    <w:rsid w:val="00E87E89"/>
    <w:rsid w:val="00E91232"/>
    <w:rsid w:val="00E93BD1"/>
    <w:rsid w:val="00E94009"/>
    <w:rsid w:val="00E95F03"/>
    <w:rsid w:val="00E97B42"/>
    <w:rsid w:val="00EA351F"/>
    <w:rsid w:val="00EA3C2C"/>
    <w:rsid w:val="00EA5006"/>
    <w:rsid w:val="00EB0CFB"/>
    <w:rsid w:val="00EB2311"/>
    <w:rsid w:val="00EB4BC3"/>
    <w:rsid w:val="00EB6877"/>
    <w:rsid w:val="00EB759B"/>
    <w:rsid w:val="00EC05F0"/>
    <w:rsid w:val="00EC1153"/>
    <w:rsid w:val="00EC1819"/>
    <w:rsid w:val="00EC22D7"/>
    <w:rsid w:val="00EC3996"/>
    <w:rsid w:val="00EC4803"/>
    <w:rsid w:val="00EC5045"/>
    <w:rsid w:val="00EC7772"/>
    <w:rsid w:val="00ED166F"/>
    <w:rsid w:val="00ED33DD"/>
    <w:rsid w:val="00ED3989"/>
    <w:rsid w:val="00ED3A37"/>
    <w:rsid w:val="00ED3B7E"/>
    <w:rsid w:val="00ED5AC9"/>
    <w:rsid w:val="00ED62DD"/>
    <w:rsid w:val="00ED79A4"/>
    <w:rsid w:val="00EE061E"/>
    <w:rsid w:val="00EE126B"/>
    <w:rsid w:val="00EE4B2E"/>
    <w:rsid w:val="00EE5148"/>
    <w:rsid w:val="00EE6DD6"/>
    <w:rsid w:val="00EF1240"/>
    <w:rsid w:val="00EF1F4F"/>
    <w:rsid w:val="00EF4469"/>
    <w:rsid w:val="00EF47F3"/>
    <w:rsid w:val="00F00221"/>
    <w:rsid w:val="00F01429"/>
    <w:rsid w:val="00F077CF"/>
    <w:rsid w:val="00F11BA8"/>
    <w:rsid w:val="00F12602"/>
    <w:rsid w:val="00F13019"/>
    <w:rsid w:val="00F1476D"/>
    <w:rsid w:val="00F1483E"/>
    <w:rsid w:val="00F1492D"/>
    <w:rsid w:val="00F14995"/>
    <w:rsid w:val="00F2063D"/>
    <w:rsid w:val="00F2278D"/>
    <w:rsid w:val="00F22B06"/>
    <w:rsid w:val="00F25BF3"/>
    <w:rsid w:val="00F2655F"/>
    <w:rsid w:val="00F26E66"/>
    <w:rsid w:val="00F27600"/>
    <w:rsid w:val="00F27C2A"/>
    <w:rsid w:val="00F31703"/>
    <w:rsid w:val="00F3202C"/>
    <w:rsid w:val="00F32A48"/>
    <w:rsid w:val="00F34F36"/>
    <w:rsid w:val="00F40053"/>
    <w:rsid w:val="00F40086"/>
    <w:rsid w:val="00F429CA"/>
    <w:rsid w:val="00F45210"/>
    <w:rsid w:val="00F4566C"/>
    <w:rsid w:val="00F50D49"/>
    <w:rsid w:val="00F52AD2"/>
    <w:rsid w:val="00F52EBD"/>
    <w:rsid w:val="00F5308A"/>
    <w:rsid w:val="00F53697"/>
    <w:rsid w:val="00F53BD2"/>
    <w:rsid w:val="00F53DA2"/>
    <w:rsid w:val="00F56C5F"/>
    <w:rsid w:val="00F56D9D"/>
    <w:rsid w:val="00F57BAC"/>
    <w:rsid w:val="00F6154E"/>
    <w:rsid w:val="00F65293"/>
    <w:rsid w:val="00F66FB4"/>
    <w:rsid w:val="00F71483"/>
    <w:rsid w:val="00F71636"/>
    <w:rsid w:val="00F753F5"/>
    <w:rsid w:val="00F8358E"/>
    <w:rsid w:val="00F85DA5"/>
    <w:rsid w:val="00F900DD"/>
    <w:rsid w:val="00F912FE"/>
    <w:rsid w:val="00F93940"/>
    <w:rsid w:val="00F9565B"/>
    <w:rsid w:val="00F97421"/>
    <w:rsid w:val="00FA7864"/>
    <w:rsid w:val="00FB03C2"/>
    <w:rsid w:val="00FB07B0"/>
    <w:rsid w:val="00FB1E06"/>
    <w:rsid w:val="00FB2719"/>
    <w:rsid w:val="00FB571B"/>
    <w:rsid w:val="00FB727A"/>
    <w:rsid w:val="00FC14C0"/>
    <w:rsid w:val="00FC1857"/>
    <w:rsid w:val="00FC4B05"/>
    <w:rsid w:val="00FC51B0"/>
    <w:rsid w:val="00FC524D"/>
    <w:rsid w:val="00FC5B7D"/>
    <w:rsid w:val="00FC5D2F"/>
    <w:rsid w:val="00FD00B2"/>
    <w:rsid w:val="00FD0566"/>
    <w:rsid w:val="00FD2973"/>
    <w:rsid w:val="00FD6380"/>
    <w:rsid w:val="00FE13DC"/>
    <w:rsid w:val="00FE1C2F"/>
    <w:rsid w:val="00FE1FAC"/>
    <w:rsid w:val="00FE2C39"/>
    <w:rsid w:val="00FE34B6"/>
    <w:rsid w:val="00FE3FE9"/>
    <w:rsid w:val="00FE4DDC"/>
    <w:rsid w:val="00FF03A8"/>
    <w:rsid w:val="00FF2E0E"/>
    <w:rsid w:val="00FF417F"/>
    <w:rsid w:val="00FF4E1F"/>
    <w:rsid w:val="00FF6A7C"/>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uiPriority="63"/>
    <w:lsdException w:name="Medium Shading 2 Accent 1"/>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lsdException w:name="Dark List Accent 1"/>
    <w:lsdException w:name="Colorful Shading Accent 1"/>
    <w:lsdException w:name="Colorful List Accent 1"/>
    <w:lsdException w:name="Colorful Grid Accent 1"/>
    <w:lsdException w:name="Light Shading Accent 2" w:uiPriority="6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03CD"/>
    <w:pPr>
      <w:spacing w:before="240"/>
    </w:pPr>
    <w:rPr>
      <w:sz w:val="22"/>
      <w:szCs w:val="22"/>
      <w:lang w:eastAsia="en-US"/>
    </w:rPr>
  </w:style>
  <w:style w:type="paragraph" w:styleId="Heading1">
    <w:name w:val="heading 1"/>
    <w:basedOn w:val="Normal"/>
    <w:next w:val="BodyText"/>
    <w:link w:val="Heading1Char"/>
    <w:uiPriority w:val="9"/>
    <w:qFormat/>
    <w:rsid w:val="00346DFC"/>
    <w:pPr>
      <w:keepNext/>
      <w:keepLines/>
      <w:numPr>
        <w:numId w:val="24"/>
      </w:numPr>
      <w:spacing w:before="360" w:after="240"/>
      <w:outlineLvl w:val="0"/>
    </w:pPr>
    <w:rPr>
      <w:rFonts w:eastAsia="Times New Roman"/>
      <w:b/>
      <w:bCs/>
      <w:sz w:val="40"/>
      <w:szCs w:val="40"/>
    </w:rPr>
  </w:style>
  <w:style w:type="paragraph" w:styleId="Heading2">
    <w:name w:val="heading 2"/>
    <w:basedOn w:val="Normal"/>
    <w:next w:val="BodyText"/>
    <w:link w:val="Heading2Char"/>
    <w:uiPriority w:val="9"/>
    <w:qFormat/>
    <w:rsid w:val="00E204B4"/>
    <w:pPr>
      <w:keepNext/>
      <w:widowControl w:val="0"/>
      <w:numPr>
        <w:ilvl w:val="1"/>
        <w:numId w:val="24"/>
      </w:numPr>
      <w:spacing w:before="280" w:after="200"/>
      <w:ind w:left="1145" w:hanging="578"/>
      <w:outlineLvl w:val="1"/>
    </w:pPr>
    <w:rPr>
      <w:rFonts w:eastAsia="Times New Roman"/>
      <w:b/>
      <w:bCs/>
      <w:sz w:val="28"/>
      <w:szCs w:val="28"/>
    </w:rPr>
  </w:style>
  <w:style w:type="paragraph" w:styleId="Heading3">
    <w:name w:val="heading 3"/>
    <w:basedOn w:val="Normal"/>
    <w:next w:val="BodyText"/>
    <w:link w:val="Heading3Char"/>
    <w:uiPriority w:val="9"/>
    <w:qFormat/>
    <w:rsid w:val="00F12602"/>
    <w:pPr>
      <w:keepNext/>
      <w:keepLines/>
      <w:spacing w:before="200" w:after="120"/>
      <w:outlineLvl w:val="2"/>
    </w:pPr>
    <w:rPr>
      <w:rFonts w:eastAsia="Times New Roman"/>
      <w:b/>
      <w:bCs/>
      <w:sz w:val="24"/>
      <w:szCs w:val="24"/>
    </w:rPr>
  </w:style>
  <w:style w:type="paragraph" w:styleId="Heading4">
    <w:name w:val="heading 4"/>
    <w:basedOn w:val="Normal"/>
    <w:next w:val="BodyText"/>
    <w:link w:val="Heading4Char"/>
    <w:uiPriority w:val="9"/>
    <w:qFormat/>
    <w:rsid w:val="00F12602"/>
    <w:pPr>
      <w:spacing w:after="240"/>
      <w:outlineLvl w:val="3"/>
    </w:pPr>
    <w:rPr>
      <w:b/>
      <w:i/>
      <w:sz w:val="24"/>
      <w:szCs w:val="24"/>
    </w:rPr>
  </w:style>
  <w:style w:type="paragraph" w:styleId="Heading5">
    <w:name w:val="heading 5"/>
    <w:basedOn w:val="Normal"/>
    <w:next w:val="BodyText"/>
    <w:link w:val="Heading5Char"/>
    <w:uiPriority w:val="9"/>
    <w:qFormat/>
    <w:rsid w:val="004E1F67"/>
    <w:pPr>
      <w:keepNext/>
      <w:keepLines/>
      <w:numPr>
        <w:ilvl w:val="4"/>
        <w:numId w:val="21"/>
      </w:numPr>
      <w:spacing w:before="200" w:after="120"/>
      <w:outlineLvl w:val="4"/>
    </w:pPr>
    <w:rPr>
      <w:rFonts w:ascii="Cambria" w:eastAsia="Times New Roman" w:hAnsi="Cambria"/>
    </w:rPr>
  </w:style>
  <w:style w:type="paragraph" w:styleId="Heading6">
    <w:name w:val="heading 6"/>
    <w:basedOn w:val="Normal"/>
    <w:next w:val="Normal"/>
    <w:link w:val="Heading6Char"/>
    <w:uiPriority w:val="9"/>
    <w:semiHidden/>
    <w:unhideWhenUsed/>
    <w:qFormat/>
    <w:rsid w:val="00A0420F"/>
    <w:pPr>
      <w:keepNext/>
      <w:keepLines/>
      <w:numPr>
        <w:ilvl w:val="5"/>
        <w:numId w:val="19"/>
      </w:numPr>
      <w:spacing w:before="200"/>
      <w:outlineLvl w:val="5"/>
    </w:pPr>
    <w:rPr>
      <w:rFonts w:ascii="Cambria" w:eastAsia="Times New Roman" w:hAnsi="Cambria"/>
      <w:i/>
      <w:iCs/>
      <w:color w:val="003847"/>
    </w:rPr>
  </w:style>
  <w:style w:type="paragraph" w:styleId="Heading7">
    <w:name w:val="heading 7"/>
    <w:basedOn w:val="Normal"/>
    <w:next w:val="Normal"/>
    <w:link w:val="Heading7Char"/>
    <w:uiPriority w:val="9"/>
    <w:semiHidden/>
    <w:unhideWhenUsed/>
    <w:qFormat/>
    <w:rsid w:val="00A0420F"/>
    <w:pPr>
      <w:keepNext/>
      <w:keepLines/>
      <w:numPr>
        <w:ilvl w:val="6"/>
        <w:numId w:val="19"/>
      </w:numPr>
      <w:spacing w:before="200"/>
      <w:outlineLvl w:val="6"/>
    </w:pPr>
    <w:rPr>
      <w:rFonts w:ascii="Cambria" w:eastAsia="Times New Roman" w:hAnsi="Cambria"/>
      <w:i/>
      <w:iCs/>
      <w:color w:val="00BBEB"/>
    </w:rPr>
  </w:style>
  <w:style w:type="paragraph" w:styleId="Heading8">
    <w:name w:val="heading 8"/>
    <w:basedOn w:val="Normal"/>
    <w:next w:val="Normal"/>
    <w:link w:val="Heading8Char"/>
    <w:uiPriority w:val="9"/>
    <w:semiHidden/>
    <w:unhideWhenUsed/>
    <w:qFormat/>
    <w:rsid w:val="00A0420F"/>
    <w:pPr>
      <w:keepNext/>
      <w:keepLines/>
      <w:numPr>
        <w:ilvl w:val="7"/>
        <w:numId w:val="19"/>
      </w:numPr>
      <w:spacing w:before="200"/>
      <w:outlineLvl w:val="7"/>
    </w:pPr>
    <w:rPr>
      <w:rFonts w:ascii="Cambria" w:eastAsia="Times New Roman" w:hAnsi="Cambria"/>
      <w:color w:val="00BBEB"/>
      <w:sz w:val="20"/>
      <w:szCs w:val="20"/>
    </w:rPr>
  </w:style>
  <w:style w:type="paragraph" w:styleId="Heading9">
    <w:name w:val="heading 9"/>
    <w:basedOn w:val="Normal"/>
    <w:next w:val="Normal"/>
    <w:link w:val="Heading9Char"/>
    <w:uiPriority w:val="9"/>
    <w:semiHidden/>
    <w:unhideWhenUsed/>
    <w:qFormat/>
    <w:rsid w:val="00A0420F"/>
    <w:pPr>
      <w:keepNext/>
      <w:keepLines/>
      <w:numPr>
        <w:ilvl w:val="8"/>
        <w:numId w:val="19"/>
      </w:numPr>
      <w:spacing w:before="200"/>
      <w:outlineLvl w:val="8"/>
    </w:pPr>
    <w:rPr>
      <w:rFonts w:ascii="Cambria" w:eastAsia="Times New Roman" w:hAnsi="Cambria"/>
      <w:i/>
      <w:iCs/>
      <w:color w:val="00BBEB"/>
      <w:sz w:val="20"/>
      <w:szCs w:val="20"/>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DF59DC"/>
    <w:pPr>
      <w:spacing w:before="480" w:after="360" w:line="440" w:lineRule="atLeast"/>
    </w:pPr>
    <w:rPr>
      <w:rFonts w:ascii="Cambria" w:hAnsi="Cambria"/>
      <w:b/>
      <w:color w:val="00728F"/>
      <w:sz w:val="44"/>
    </w:rPr>
  </w:style>
  <w:style w:type="paragraph" w:customStyle="1" w:styleId="Tablecellheading">
    <w:name w:val="Table cell heading"/>
    <w:basedOn w:val="Normal"/>
    <w:uiPriority w:val="12"/>
    <w:qFormat/>
    <w:rsid w:val="00CB37F9"/>
    <w:pPr>
      <w:spacing w:before="120" w:after="120"/>
    </w:pPr>
    <w:rPr>
      <w:b/>
      <w:sz w:val="24"/>
      <w:szCs w:val="24"/>
      <w:lang w:val="en-US"/>
    </w:rPr>
  </w:style>
  <w:style w:type="paragraph" w:customStyle="1" w:styleId="Tabletext">
    <w:name w:val="Table text"/>
    <w:basedOn w:val="Normal"/>
    <w:uiPriority w:val="12"/>
    <w:qFormat/>
    <w:rsid w:val="003F0E35"/>
    <w:pPr>
      <w:spacing w:before="60" w:after="60"/>
    </w:pPr>
    <w:rPr>
      <w:rFonts w:cs="Calibri"/>
      <w:sz w:val="24"/>
      <w:szCs w:val="24"/>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uiPriority w:val="22"/>
    <w:qFormat/>
    <w:rsid w:val="00BF014B"/>
    <w:rPr>
      <w:b/>
      <w:bCs/>
    </w:rPr>
  </w:style>
  <w:style w:type="paragraph" w:styleId="BalloonText">
    <w:name w:val="Balloon Text"/>
    <w:basedOn w:val="Normal"/>
    <w:link w:val="BalloonTextChar"/>
    <w:uiPriority w:val="99"/>
    <w:semiHidden/>
    <w:rsid w:val="00A66655"/>
    <w:rPr>
      <w:rFonts w:ascii="Tahoma" w:hAnsi="Tahoma" w:cs="Tahoma"/>
      <w:sz w:val="16"/>
      <w:szCs w:val="16"/>
    </w:rPr>
  </w:style>
  <w:style w:type="character" w:styleId="Hyperlink">
    <w:name w:val="Hyperlink"/>
    <w:uiPriority w:val="99"/>
    <w:unhideWhenUsed/>
    <w:rsid w:val="00A66655"/>
    <w:rPr>
      <w:color w:val="0000FF"/>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7E77FD"/>
    <w:pPr>
      <w:pageBreakBefore/>
      <w:numPr>
        <w:numId w:val="22"/>
      </w:numPr>
    </w:pPr>
  </w:style>
  <w:style w:type="paragraph" w:styleId="TOCHeading">
    <w:name w:val="TOC Heading"/>
    <w:basedOn w:val="Heading1"/>
    <w:next w:val="BodyText"/>
    <w:uiPriority w:val="39"/>
    <w:qFormat/>
    <w:rsid w:val="001435DB"/>
    <w:pPr>
      <w:numPr>
        <w:numId w:val="0"/>
      </w:numPr>
      <w:spacing w:after="360"/>
      <w:outlineLvl w:val="9"/>
    </w:pPr>
  </w:style>
  <w:style w:type="paragraph" w:styleId="TOC1">
    <w:name w:val="toc 1"/>
    <w:basedOn w:val="Normal"/>
    <w:next w:val="Normal"/>
    <w:autoRedefine/>
    <w:uiPriority w:val="39"/>
    <w:qFormat/>
    <w:rsid w:val="00C41540"/>
    <w:pPr>
      <w:tabs>
        <w:tab w:val="left" w:pos="567"/>
        <w:tab w:val="right" w:leader="dot" w:pos="9029"/>
      </w:tabs>
      <w:spacing w:before="120" w:after="100"/>
      <w:ind w:left="567" w:right="662" w:hanging="567"/>
    </w:pPr>
    <w:rPr>
      <w:rFonts w:eastAsia="Times New Roman"/>
      <w:b/>
      <w:noProof/>
      <w:color w:val="00728F"/>
      <w:sz w:val="24"/>
    </w:rPr>
  </w:style>
  <w:style w:type="paragraph" w:styleId="TOC2">
    <w:name w:val="toc 2"/>
    <w:basedOn w:val="Normal"/>
    <w:next w:val="Normal"/>
    <w:autoRedefine/>
    <w:uiPriority w:val="39"/>
    <w:qFormat/>
    <w:rsid w:val="00C41540"/>
    <w:pPr>
      <w:tabs>
        <w:tab w:val="left" w:pos="1134"/>
        <w:tab w:val="right" w:leader="dot" w:pos="9029"/>
      </w:tabs>
      <w:spacing w:before="0" w:after="100"/>
      <w:ind w:left="1134" w:right="379" w:hanging="567"/>
    </w:pPr>
    <w:rPr>
      <w:noProof/>
      <w:sz w:val="20"/>
      <w:szCs w:val="20"/>
    </w:rPr>
  </w:style>
  <w:style w:type="paragraph" w:styleId="TOC3">
    <w:name w:val="toc 3"/>
    <w:basedOn w:val="Normal"/>
    <w:next w:val="Normal"/>
    <w:autoRedefine/>
    <w:uiPriority w:val="39"/>
    <w:qFormat/>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3C3B40"/>
    <w:pPr>
      <w:spacing w:after="120" w:line="440" w:lineRule="atLeast"/>
      <w:contextualSpacing/>
    </w:pPr>
    <w:rPr>
      <w:rFonts w:ascii="Cambria" w:eastAsia="Times New Roman" w:hAnsi="Cambria"/>
      <w:color w:val="00728F"/>
      <w:kern w:val="28"/>
      <w:sz w:val="36"/>
      <w:szCs w:val="52"/>
    </w:rPr>
  </w:style>
  <w:style w:type="paragraph" w:customStyle="1" w:styleId="Endmatter-Heading2">
    <w:name w:val="End matter - Heading 2"/>
    <w:basedOn w:val="Heading2"/>
    <w:next w:val="BodyText"/>
    <w:uiPriority w:val="19"/>
    <w:qFormat/>
    <w:rsid w:val="007E77FD"/>
    <w:pPr>
      <w:numPr>
        <w:numId w:val="22"/>
      </w:numPr>
    </w:pPr>
  </w:style>
  <w:style w:type="paragraph" w:styleId="Header">
    <w:name w:val="header"/>
    <w:basedOn w:val="Normal"/>
    <w:link w:val="HeaderChar"/>
    <w:rsid w:val="00DE011D"/>
    <w:pPr>
      <w:tabs>
        <w:tab w:val="center" w:pos="4513"/>
        <w:tab w:val="right" w:pos="9026"/>
      </w:tabs>
      <w:spacing w:before="0"/>
    </w:pPr>
    <w:rPr>
      <w:color w:val="00728F"/>
      <w:sz w:val="20"/>
    </w:rPr>
  </w:style>
  <w:style w:type="paragraph" w:styleId="Footer">
    <w:name w:val="footer"/>
    <w:basedOn w:val="Normal"/>
    <w:link w:val="FooterChar"/>
    <w:uiPriority w:val="99"/>
    <w:rsid w:val="00F53697"/>
    <w:pPr>
      <w:tabs>
        <w:tab w:val="center" w:pos="4513"/>
        <w:tab w:val="right" w:pos="9026"/>
      </w:tabs>
    </w:pPr>
    <w:rPr>
      <w:color w:val="00728F"/>
      <w:sz w:val="20"/>
    </w:rPr>
  </w:style>
  <w:style w:type="paragraph" w:customStyle="1" w:styleId="Bodybullet-Level1">
    <w:name w:val="Body bullet - Level 1"/>
    <w:basedOn w:val="ListParagraph"/>
    <w:uiPriority w:val="1"/>
    <w:qFormat/>
    <w:rsid w:val="004D7C42"/>
    <w:pPr>
      <w:numPr>
        <w:numId w:val="26"/>
      </w:numPr>
      <w:spacing w:before="60" w:after="60"/>
      <w:ind w:left="1560" w:hanging="426"/>
      <w:contextualSpacing w:val="0"/>
    </w:pPr>
    <w:rPr>
      <w:sz w:val="24"/>
      <w:szCs w:val="24"/>
    </w:rPr>
  </w:style>
  <w:style w:type="paragraph" w:customStyle="1" w:styleId="Bodybullet-Level2">
    <w:name w:val="Body bullet - Level 2"/>
    <w:basedOn w:val="Bodybullet-Level1"/>
    <w:uiPriority w:val="1"/>
    <w:qFormat/>
    <w:rsid w:val="008825AB"/>
    <w:pPr>
      <w:numPr>
        <w:ilvl w:val="1"/>
        <w:numId w:val="11"/>
      </w:numPr>
    </w:pPr>
  </w:style>
  <w:style w:type="paragraph" w:customStyle="1" w:styleId="Bodybullet-Level3">
    <w:name w:val="Body bullet - Level 3"/>
    <w:basedOn w:val="Bodybullet-Level1"/>
    <w:uiPriority w:val="1"/>
    <w:qFormat/>
    <w:rsid w:val="00617129"/>
    <w:pPr>
      <w:numPr>
        <w:ilvl w:val="2"/>
        <w:numId w:val="11"/>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uiPriority w:val="49"/>
    <w:rsid w:val="00F53697"/>
    <w:rPr>
      <w:color w:val="00728F"/>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EB6877"/>
    <w:pPr>
      <w:spacing w:before="120" w:after="180"/>
      <w:ind w:left="993" w:hanging="993"/>
    </w:pPr>
    <w:rPr>
      <w:sz w:val="24"/>
      <w:szCs w:val="24"/>
    </w:rPr>
  </w:style>
  <w:style w:type="paragraph" w:customStyle="1" w:styleId="Bodynumbered-Level2">
    <w:name w:val="Body numbered - Level 2"/>
    <w:basedOn w:val="Bodynumbered-Level1"/>
    <w:uiPriority w:val="1"/>
    <w:qFormat/>
    <w:rsid w:val="00C610BE"/>
    <w:pPr>
      <w:numPr>
        <w:numId w:val="28"/>
      </w:numPr>
    </w:pPr>
    <w:rPr>
      <w:rFonts w:cs="Calibri"/>
      <w:b/>
    </w:rPr>
  </w:style>
  <w:style w:type="paragraph" w:customStyle="1" w:styleId="Bodynumbered-Level3">
    <w:name w:val="Body numbered - Level 3"/>
    <w:basedOn w:val="Bodynumbered-Level1"/>
    <w:uiPriority w:val="1"/>
    <w:qFormat/>
    <w:rsid w:val="003D46A5"/>
    <w:pPr>
      <w:numPr>
        <w:numId w:val="29"/>
      </w:numPr>
    </w:pPr>
  </w:style>
  <w:style w:type="paragraph" w:customStyle="1" w:styleId="Preliminaries-Heading1">
    <w:name w:val="Preliminaries - Heading 1"/>
    <w:basedOn w:val="Heading1"/>
    <w:next w:val="BodyText"/>
    <w:uiPriority w:val="18"/>
    <w:qFormat/>
    <w:rsid w:val="007E77FD"/>
    <w:pPr>
      <w:numPr>
        <w:numId w:val="0"/>
      </w:numPr>
    </w:pPr>
  </w:style>
  <w:style w:type="paragraph" w:customStyle="1" w:styleId="Preliminaries-Heading2">
    <w:name w:val="Preliminaries - Heading 2"/>
    <w:basedOn w:val="Heading2"/>
    <w:next w:val="BodyText"/>
    <w:uiPriority w:val="18"/>
    <w:qFormat/>
    <w:rsid w:val="007E77FD"/>
    <w:pPr>
      <w:numPr>
        <w:ilvl w:val="0"/>
        <w:numId w:val="0"/>
      </w:numPr>
    </w:pPr>
  </w:style>
  <w:style w:type="paragraph" w:customStyle="1" w:styleId="Preliminaries-Heading3">
    <w:name w:val="Preliminaries - Heading 3"/>
    <w:basedOn w:val="Heading3"/>
    <w:next w:val="BodyText"/>
    <w:uiPriority w:val="18"/>
    <w:qFormat/>
    <w:rsid w:val="007E77FD"/>
  </w:style>
  <w:style w:type="paragraph" w:styleId="FootnoteText">
    <w:name w:val="footnote text"/>
    <w:basedOn w:val="Normal"/>
    <w:link w:val="FootnoteTextChar"/>
    <w:uiPriority w:val="99"/>
    <w:rsid w:val="008D0A94"/>
    <w:rPr>
      <w:sz w:val="20"/>
      <w:szCs w:val="20"/>
    </w:rPr>
  </w:style>
  <w:style w:type="character" w:styleId="FootnoteReference">
    <w:name w:val="footnote reference"/>
    <w:uiPriority w:val="99"/>
    <w:rsid w:val="008D0A94"/>
    <w:rPr>
      <w:vertAlign w:val="superscript"/>
    </w:rPr>
  </w:style>
  <w:style w:type="paragraph" w:customStyle="1" w:styleId="Bodytext-Indent">
    <w:name w:val="Body text - Indent"/>
    <w:basedOn w:val="Normal"/>
    <w:next w:val="BodyText"/>
    <w:qFormat/>
    <w:rsid w:val="00E65ABB"/>
    <w:rPr>
      <w:rFonts w:cs="Calibri"/>
      <w:bCs/>
      <w:color w:val="000000"/>
      <w:sz w:val="24"/>
      <w:szCs w:val="24"/>
    </w:rPr>
  </w:style>
  <w:style w:type="paragraph" w:customStyle="1" w:styleId="Boxtext">
    <w:name w:val="Box text"/>
    <w:basedOn w:val="BodyText"/>
    <w:uiPriority w:val="14"/>
    <w:qFormat/>
    <w:rsid w:val="004B47F1"/>
    <w:pPr>
      <w:pBdr>
        <w:top w:val="single" w:sz="4" w:space="8" w:color="00728F"/>
        <w:left w:val="single" w:sz="4" w:space="8" w:color="00728F"/>
        <w:bottom w:val="single" w:sz="4" w:space="8" w:color="00728F"/>
        <w:right w:val="single" w:sz="4" w:space="0" w:color="00728F"/>
      </w:pBdr>
      <w:shd w:val="clear" w:color="auto" w:fill="DBEEF3"/>
      <w:ind w:left="198"/>
    </w:pPr>
  </w:style>
  <w:style w:type="paragraph" w:customStyle="1" w:styleId="Boxheading">
    <w:name w:val="Box heading"/>
    <w:basedOn w:val="Boxtext"/>
    <w:next w:val="Boxtext"/>
    <w:uiPriority w:val="14"/>
    <w:qFormat/>
    <w:rsid w:val="004B47F1"/>
    <w:pPr>
      <w:spacing w:after="120"/>
    </w:pPr>
    <w:rPr>
      <w:rFonts w:ascii="Cambria" w:hAnsi="Cambria"/>
      <w:color w:val="00728F"/>
      <w:sz w:val="28"/>
    </w:rPr>
  </w:style>
  <w:style w:type="paragraph" w:customStyle="1" w:styleId="Boxbullet">
    <w:name w:val="Box bullet"/>
    <w:basedOn w:val="Boxtext"/>
    <w:uiPriority w:val="15"/>
    <w:qFormat/>
    <w:rsid w:val="00F01429"/>
    <w:pPr>
      <w:numPr>
        <w:numId w:val="13"/>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7E77FD"/>
    <w:pPr>
      <w:ind w:left="907" w:hanging="907"/>
    </w:pPr>
  </w:style>
  <w:style w:type="paragraph" w:customStyle="1" w:styleId="Titledate">
    <w:name w:val="Title date"/>
    <w:basedOn w:val="Normal"/>
    <w:uiPriority w:val="16"/>
    <w:qFormat/>
    <w:rsid w:val="00A40D4A"/>
    <w:pPr>
      <w:spacing w:before="80" w:after="120" w:line="460" w:lineRule="atLeast"/>
      <w:contextualSpacing/>
    </w:pPr>
    <w:rPr>
      <w:rFonts w:ascii="Cambria" w:eastAsia="Times New Roman" w:hAnsi="Cambria"/>
      <w:b/>
      <w:color w:val="00728F"/>
      <w:kern w:val="28"/>
      <w:sz w:val="32"/>
      <w:szCs w:val="52"/>
    </w:rPr>
  </w:style>
  <w:style w:type="paragraph" w:customStyle="1" w:styleId="Boxlist-Numbered">
    <w:name w:val="Box list - Numbered"/>
    <w:basedOn w:val="Boxtext"/>
    <w:uiPriority w:val="15"/>
    <w:qFormat/>
    <w:rsid w:val="00B1447A"/>
    <w:pPr>
      <w:numPr>
        <w:numId w:val="14"/>
      </w:numPr>
      <w:spacing w:before="120" w:after="180"/>
    </w:pPr>
  </w:style>
  <w:style w:type="paragraph" w:customStyle="1" w:styleId="Boxlist-Alpha">
    <w:name w:val="Box list - Alpha"/>
    <w:basedOn w:val="Boxtext"/>
    <w:uiPriority w:val="15"/>
    <w:qFormat/>
    <w:rsid w:val="004B47F1"/>
    <w:pPr>
      <w:numPr>
        <w:numId w:val="15"/>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6"/>
      </w:numPr>
    </w:pPr>
  </w:style>
  <w:style w:type="paragraph" w:customStyle="1" w:styleId="Tablecellsub-heading">
    <w:name w:val="Table cell sub-heading"/>
    <w:basedOn w:val="Tablecellheading"/>
    <w:uiPriority w:val="12"/>
    <w:qFormat/>
    <w:rsid w:val="00133178"/>
  </w:style>
  <w:style w:type="character" w:styleId="Emphasis">
    <w:name w:val="Emphasis"/>
    <w:uiPriority w:val="20"/>
    <w:qFormat/>
    <w:rsid w:val="00D52C5A"/>
    <w:rPr>
      <w:i/>
      <w:iCs/>
    </w:rPr>
  </w:style>
  <w:style w:type="character" w:styleId="CommentReference">
    <w:name w:val="annotation reference"/>
    <w:uiPriority w:val="99"/>
    <w:semiHidden/>
    <w:rsid w:val="008F23A9"/>
    <w:rPr>
      <w:sz w:val="16"/>
      <w:szCs w:val="16"/>
    </w:rPr>
  </w:style>
  <w:style w:type="paragraph" w:styleId="CommentText">
    <w:name w:val="annotation text"/>
    <w:basedOn w:val="Normal"/>
    <w:link w:val="CommentTextChar"/>
    <w:uiPriority w:val="99"/>
    <w:semiHidden/>
    <w:rsid w:val="008F23A9"/>
    <w:rPr>
      <w:sz w:val="20"/>
      <w:szCs w:val="20"/>
    </w:rPr>
  </w:style>
  <w:style w:type="paragraph" w:styleId="CommentSubject">
    <w:name w:val="annotation subject"/>
    <w:basedOn w:val="CommentText"/>
    <w:next w:val="CommentText"/>
    <w:link w:val="CommentSubjectChar"/>
    <w:uiPriority w:val="99"/>
    <w:semiHidden/>
    <w:rsid w:val="008F23A9"/>
    <w:rPr>
      <w:b/>
      <w:bCs/>
    </w:rPr>
  </w:style>
  <w:style w:type="numbering" w:styleId="111111">
    <w:name w:val="Outline List 2"/>
    <w:basedOn w:val="NoList"/>
    <w:uiPriority w:val="99"/>
    <w:semiHidden/>
    <w:unhideWhenUsed/>
    <w:rsid w:val="00A0420F"/>
    <w:pPr>
      <w:numPr>
        <w:numId w:val="17"/>
      </w:numPr>
    </w:pPr>
  </w:style>
  <w:style w:type="numbering" w:styleId="1ai">
    <w:name w:val="Outline List 1"/>
    <w:basedOn w:val="NoList"/>
    <w:uiPriority w:val="99"/>
    <w:semiHidden/>
    <w:unhideWhenUsed/>
    <w:rsid w:val="00A0420F"/>
    <w:pPr>
      <w:numPr>
        <w:numId w:val="18"/>
      </w:numPr>
    </w:pPr>
  </w:style>
  <w:style w:type="numbering" w:styleId="ArticleSection">
    <w:name w:val="Outline List 3"/>
    <w:basedOn w:val="NoList"/>
    <w:uiPriority w:val="99"/>
    <w:semiHidden/>
    <w:unhideWhenUsed/>
    <w:rsid w:val="00A0420F"/>
    <w:pPr>
      <w:numPr>
        <w:numId w:val="19"/>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shadow="1" w:frame="1"/>
        <w:left w:val="single" w:sz="2" w:space="10" w:color="00728F" w:shadow="1" w:frame="1"/>
        <w:bottom w:val="single" w:sz="2" w:space="10" w:color="00728F" w:shadow="1" w:frame="1"/>
        <w:right w:val="single" w:sz="2" w:space="10" w:color="00728F" w:shadow="1" w:frame="1"/>
      </w:pBdr>
      <w:ind w:left="1152" w:right="1152"/>
    </w:pPr>
    <w:rPr>
      <w:rFonts w:eastAsia="Times New Roman"/>
      <w:i/>
      <w:iCs/>
      <w:color w:val="00728F"/>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uiPriority w:val="33"/>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link w:val="E-mailSignature"/>
    <w:uiPriority w:val="99"/>
    <w:semiHidden/>
    <w:rsid w:val="00A0420F"/>
    <w:rPr>
      <w:rFonts w:ascii="Calibri" w:hAnsi="Calibri"/>
    </w:rPr>
  </w:style>
  <w:style w:type="character" w:styleId="EndnoteReference">
    <w:name w:val="endnote reference"/>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rsid w:val="00A0420F"/>
    <w:rPr>
      <w:rFonts w:ascii="Cambria" w:eastAsia="Times New Roman" w:hAnsi="Cambria"/>
      <w:sz w:val="20"/>
      <w:szCs w:val="20"/>
    </w:rPr>
  </w:style>
  <w:style w:type="character" w:styleId="FollowedHyperlink">
    <w:name w:val="FollowedHyperlink"/>
    <w:uiPriority w:val="99"/>
    <w:semiHidden/>
    <w:rsid w:val="00A0420F"/>
    <w:rPr>
      <w:color w:val="800080"/>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link w:val="HTMLAddress"/>
    <w:uiPriority w:val="99"/>
    <w:semiHidden/>
    <w:rsid w:val="00A0420F"/>
    <w:rPr>
      <w:rFonts w:ascii="Calibri" w:hAnsi="Calibri"/>
      <w:i/>
      <w:iCs/>
    </w:rPr>
  </w:style>
  <w:style w:type="character" w:styleId="HTMLCite">
    <w:name w:val="HTML Cite"/>
    <w:uiPriority w:val="99"/>
    <w:semiHidden/>
    <w:rsid w:val="00A0420F"/>
    <w:rPr>
      <w:i/>
      <w:iCs/>
    </w:rPr>
  </w:style>
  <w:style w:type="character" w:styleId="HTMLCode">
    <w:name w:val="HTML Code"/>
    <w:uiPriority w:val="99"/>
    <w:semiHidden/>
    <w:rsid w:val="00A0420F"/>
    <w:rPr>
      <w:rFonts w:ascii="Consolas" w:hAnsi="Consolas" w:cs="Consolas"/>
      <w:sz w:val="20"/>
      <w:szCs w:val="20"/>
    </w:rPr>
  </w:style>
  <w:style w:type="character" w:styleId="HTMLDefinition">
    <w:name w:val="HTML Definition"/>
    <w:uiPriority w:val="99"/>
    <w:semiHidden/>
    <w:rsid w:val="00A0420F"/>
    <w:rPr>
      <w:i/>
      <w:iCs/>
    </w:rPr>
  </w:style>
  <w:style w:type="character" w:styleId="HTMLKeyboard">
    <w:name w:val="HTML Keyboard"/>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link w:val="HTMLPreformatted"/>
    <w:uiPriority w:val="99"/>
    <w:semiHidden/>
    <w:rsid w:val="00A0420F"/>
    <w:rPr>
      <w:rFonts w:ascii="Consolas" w:hAnsi="Consolas" w:cs="Consolas"/>
      <w:sz w:val="20"/>
      <w:szCs w:val="20"/>
    </w:rPr>
  </w:style>
  <w:style w:type="character" w:styleId="HTMLSample">
    <w:name w:val="HTML Sample"/>
    <w:uiPriority w:val="99"/>
    <w:semiHidden/>
    <w:rsid w:val="00A0420F"/>
    <w:rPr>
      <w:rFonts w:ascii="Consolas" w:hAnsi="Consolas" w:cs="Consolas"/>
      <w:sz w:val="24"/>
      <w:szCs w:val="24"/>
    </w:rPr>
  </w:style>
  <w:style w:type="character" w:styleId="HTMLTypewriter">
    <w:name w:val="HTML Typewriter"/>
    <w:uiPriority w:val="99"/>
    <w:semiHidden/>
    <w:rsid w:val="00A0420F"/>
    <w:rPr>
      <w:rFonts w:ascii="Consolas" w:hAnsi="Consolas" w:cs="Consolas"/>
      <w:sz w:val="20"/>
      <w:szCs w:val="20"/>
    </w:rPr>
  </w:style>
  <w:style w:type="character" w:styleId="HTMLVariable">
    <w:name w:val="HTML Variable"/>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Cambria" w:eastAsia="Times New Roman" w:hAnsi="Cambria"/>
      <w:b/>
      <w:bCs/>
    </w:rPr>
  </w:style>
  <w:style w:type="character" w:styleId="IntenseEmphasis">
    <w:name w:val="Intense Emphasis"/>
    <w:uiPriority w:val="21"/>
    <w:qFormat/>
    <w:rsid w:val="00A0420F"/>
    <w:rPr>
      <w:b/>
      <w:bCs/>
      <w:i/>
      <w:iCs/>
      <w:color w:val="00728F"/>
    </w:rPr>
  </w:style>
  <w:style w:type="paragraph" w:styleId="IntenseQuote">
    <w:name w:val="Intense Quote"/>
    <w:basedOn w:val="Normal"/>
    <w:next w:val="Normal"/>
    <w:link w:val="IntenseQuoteChar"/>
    <w:uiPriority w:val="30"/>
    <w:qFormat/>
    <w:rsid w:val="00A0420F"/>
    <w:pPr>
      <w:pBdr>
        <w:bottom w:val="single" w:sz="4" w:space="4" w:color="00728F"/>
      </w:pBdr>
      <w:spacing w:before="200" w:after="280"/>
      <w:ind w:left="936" w:right="936"/>
    </w:pPr>
    <w:rPr>
      <w:b/>
      <w:bCs/>
      <w:i/>
      <w:iCs/>
      <w:color w:val="00728F"/>
    </w:rPr>
  </w:style>
  <w:style w:type="character" w:customStyle="1" w:styleId="IntenseQuoteChar">
    <w:name w:val="Intense Quote Char"/>
    <w:link w:val="IntenseQuote"/>
    <w:uiPriority w:val="30"/>
    <w:rsid w:val="00A0420F"/>
    <w:rPr>
      <w:rFonts w:ascii="Calibri" w:hAnsi="Calibri"/>
      <w:b/>
      <w:bCs/>
      <w:i/>
      <w:iCs/>
      <w:color w:val="00728F"/>
    </w:rPr>
  </w:style>
  <w:style w:type="character" w:styleId="IntenseReference">
    <w:name w:val="Intense Reference"/>
    <w:uiPriority w:val="32"/>
    <w:qFormat/>
    <w:rsid w:val="00A0420F"/>
    <w:rPr>
      <w:b/>
      <w:bCs/>
      <w:smallCaps/>
      <w:color w:val="B7DDE8"/>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before="240"/>
      <w:ind w:left="1021" w:hanging="1021"/>
    </w:pPr>
    <w:rPr>
      <w:rFonts w:ascii="Consolas" w:hAnsi="Consolas" w:cs="Consolas"/>
      <w:lang w:eastAsia="en-US"/>
    </w:rPr>
  </w:style>
  <w:style w:type="character" w:customStyle="1" w:styleId="MacroTextChar">
    <w:name w:val="Macro Text Char"/>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A0420F"/>
    <w:rPr>
      <w:rFonts w:ascii="Cambria" w:eastAsia="Times New Roman" w:hAnsi="Cambria" w:cs="Times New Roman"/>
      <w:sz w:val="24"/>
      <w:szCs w:val="24"/>
      <w:shd w:val="pct20" w:color="auto" w:fill="auto"/>
    </w:rPr>
  </w:style>
  <w:style w:type="paragraph" w:styleId="NoSpacing">
    <w:name w:val="No Spacing"/>
    <w:uiPriority w:val="1"/>
    <w:qFormat/>
    <w:rsid w:val="00A0420F"/>
    <w:pPr>
      <w:spacing w:before="240"/>
      <w:ind w:left="1021" w:hanging="1021"/>
    </w:pPr>
    <w:rPr>
      <w:sz w:val="22"/>
      <w:szCs w:val="22"/>
      <w:lang w:eastAsia="en-US"/>
    </w:rPr>
  </w:style>
  <w:style w:type="paragraph" w:styleId="NormalWeb">
    <w:name w:val="Normal (Web)"/>
    <w:basedOn w:val="Normal"/>
    <w:uiPriority w:val="99"/>
    <w:semiHidden/>
    <w:rsid w:val="00A0420F"/>
    <w:rPr>
      <w:rFonts w:ascii="Times New Roman" w:hAnsi="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link w:val="NoteHeading"/>
    <w:uiPriority w:val="99"/>
    <w:semiHidden/>
    <w:rsid w:val="00A0420F"/>
    <w:rPr>
      <w:rFonts w:ascii="Calibri" w:hAnsi="Calibri"/>
    </w:rPr>
  </w:style>
  <w:style w:type="character" w:styleId="PlaceholderText">
    <w:name w:val="Placeholder Tex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link w:val="PlainText"/>
    <w:uiPriority w:val="99"/>
    <w:rsid w:val="00A0420F"/>
    <w:rPr>
      <w:rFonts w:ascii="Consolas" w:hAnsi="Consolas" w:cs="Consolas"/>
      <w:sz w:val="21"/>
      <w:szCs w:val="21"/>
    </w:rPr>
  </w:style>
  <w:style w:type="paragraph" w:styleId="Quote">
    <w:name w:val="Quote"/>
    <w:basedOn w:val="Normal"/>
    <w:next w:val="Normal"/>
    <w:link w:val="QuoteChar"/>
    <w:uiPriority w:val="29"/>
    <w:qFormat/>
    <w:rsid w:val="00A0420F"/>
    <w:rPr>
      <w:i/>
      <w:iCs/>
      <w:color w:val="00728F"/>
    </w:rPr>
  </w:style>
  <w:style w:type="character" w:customStyle="1" w:styleId="QuoteChar">
    <w:name w:val="Quote Char"/>
    <w:link w:val="Quote"/>
    <w:uiPriority w:val="29"/>
    <w:rsid w:val="00A0420F"/>
    <w:rPr>
      <w:rFonts w:ascii="Calibri" w:hAnsi="Calibri"/>
      <w:i/>
      <w:iCs/>
      <w:color w:val="00728F"/>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link w:val="Signature"/>
    <w:uiPriority w:val="99"/>
    <w:semiHidden/>
    <w:rsid w:val="00A0420F"/>
    <w:rPr>
      <w:rFonts w:ascii="Calibri" w:hAnsi="Calibri"/>
    </w:rPr>
  </w:style>
  <w:style w:type="paragraph" w:styleId="Subtitle">
    <w:name w:val="Subtitle"/>
    <w:basedOn w:val="Normal"/>
    <w:next w:val="Normal"/>
    <w:link w:val="SubtitleChar"/>
    <w:uiPriority w:val="11"/>
    <w:qFormat/>
    <w:rsid w:val="00A0420F"/>
    <w:pPr>
      <w:numPr>
        <w:ilvl w:val="1"/>
      </w:numPr>
      <w:ind w:left="1021" w:hanging="1021"/>
    </w:pPr>
    <w:rPr>
      <w:rFonts w:ascii="Cambria" w:eastAsia="Times New Roman" w:hAnsi="Cambria"/>
      <w:i/>
      <w:iCs/>
      <w:color w:val="00728F"/>
      <w:spacing w:val="15"/>
      <w:sz w:val="24"/>
      <w:szCs w:val="24"/>
    </w:rPr>
  </w:style>
  <w:style w:type="character" w:customStyle="1" w:styleId="SubtitleChar">
    <w:name w:val="Subtitle Char"/>
    <w:link w:val="Subtitle"/>
    <w:uiPriority w:val="11"/>
    <w:rsid w:val="00A0420F"/>
    <w:rPr>
      <w:rFonts w:ascii="Cambria" w:eastAsia="Times New Roman" w:hAnsi="Cambria" w:cs="Times New Roman"/>
      <w:i/>
      <w:iCs/>
      <w:color w:val="00728F"/>
      <w:spacing w:val="15"/>
      <w:sz w:val="24"/>
      <w:szCs w:val="24"/>
    </w:rPr>
  </w:style>
  <w:style w:type="character" w:styleId="SubtleEmphasis">
    <w:name w:val="Subtle Emphasis"/>
    <w:uiPriority w:val="19"/>
    <w:qFormat/>
    <w:rsid w:val="00A0420F"/>
    <w:rPr>
      <w:i/>
      <w:iCs/>
      <w:color w:val="48D9FF"/>
    </w:rPr>
  </w:style>
  <w:style w:type="character" w:styleId="SubtleReference">
    <w:name w:val="Subtle Reference"/>
    <w:uiPriority w:val="31"/>
    <w:qFormat/>
    <w:rsid w:val="00A0420F"/>
    <w:rPr>
      <w:smallCaps/>
      <w:color w:val="B7DDE8"/>
      <w:u w:val="single"/>
    </w:rPr>
  </w:style>
  <w:style w:type="table" w:styleId="Table3Deffects1">
    <w:name w:val="Table 3D effects 1"/>
    <w:basedOn w:val="TableNormal"/>
    <w:uiPriority w:val="99"/>
    <w:semiHidden/>
    <w:unhideWhenUsed/>
    <w:rsid w:val="00A042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Cambria" w:eastAsia="Times New Roman" w:hAnsi="Cambria"/>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rPr>
      <w:color w:val="00728F"/>
    </w:rPr>
    <w:tblPr>
      <w:tblStyleRowBandSize w:val="1"/>
      <w:tblStyleColBandSize w:val="1"/>
      <w:tblBorders>
        <w:insideH w:val="single" w:sz="4" w:space="0" w:color="FFFFFF"/>
      </w:tblBorders>
    </w:tblPr>
    <w:tcPr>
      <w:shd w:val="clear" w:color="auto" w:fill="B5EFFF"/>
    </w:tcPr>
    <w:tblStylePr w:type="firstRow">
      <w:rPr>
        <w:b/>
        <w:bCs/>
      </w:rPr>
      <w:tblPr/>
      <w:tcPr>
        <w:shd w:val="clear" w:color="auto" w:fill="6CE1FF"/>
      </w:tcPr>
    </w:tblStylePr>
    <w:tblStylePr w:type="lastRow">
      <w:rPr>
        <w:b/>
        <w:bCs/>
        <w:color w:val="00728F"/>
      </w:rPr>
      <w:tblPr/>
      <w:tcPr>
        <w:shd w:val="clear" w:color="auto" w:fill="6CE1FF"/>
      </w:tcPr>
    </w:tblStylePr>
    <w:tblStylePr w:type="firstCol">
      <w:rPr>
        <w:color w:val="FFFFFF"/>
      </w:rPr>
      <w:tblPr/>
      <w:tcPr>
        <w:shd w:val="clear" w:color="auto" w:fill="00556B"/>
      </w:tcPr>
    </w:tblStylePr>
    <w:tblStylePr w:type="lastCol">
      <w:rPr>
        <w:color w:val="FFFFFF"/>
      </w:rPr>
      <w:tblPr/>
      <w:tcPr>
        <w:shd w:val="clear" w:color="auto" w:fill="00556B"/>
      </w:tcPr>
    </w:tblStylePr>
    <w:tblStylePr w:type="band1Vert">
      <w:tblPr/>
      <w:tcPr>
        <w:shd w:val="clear" w:color="auto" w:fill="48D9FF"/>
      </w:tcPr>
    </w:tblStylePr>
    <w:tblStylePr w:type="band1Horz">
      <w:tblPr/>
      <w:tcPr>
        <w:shd w:val="clear" w:color="auto" w:fill="48D9FF"/>
      </w:tcPr>
    </w:tblStylePr>
  </w:style>
  <w:style w:type="table" w:styleId="ColorfulGrid-Accent1">
    <w:name w:val="Colorful Grid Accent 1"/>
    <w:basedOn w:val="TableNormal"/>
    <w:uiPriority w:val="99"/>
    <w:semiHidden/>
    <w:rsid w:val="00361DEB"/>
    <w:rPr>
      <w:color w:val="00728F"/>
    </w:rPr>
    <w:tblPr>
      <w:tblStyleRowBandSize w:val="1"/>
      <w:tblStyleColBandSize w:val="1"/>
      <w:tblBorders>
        <w:insideH w:val="single" w:sz="4" w:space="0" w:color="FFFFFF"/>
      </w:tblBorders>
    </w:tblPr>
    <w:tcPr>
      <w:shd w:val="clear" w:color="auto" w:fill="B5EFFF"/>
    </w:tcPr>
    <w:tblStylePr w:type="firstRow">
      <w:rPr>
        <w:b/>
        <w:bCs/>
      </w:rPr>
      <w:tblPr/>
      <w:tcPr>
        <w:shd w:val="clear" w:color="auto" w:fill="6CE1FF"/>
      </w:tcPr>
    </w:tblStylePr>
    <w:tblStylePr w:type="lastRow">
      <w:rPr>
        <w:b/>
        <w:bCs/>
        <w:color w:val="00728F"/>
      </w:rPr>
      <w:tblPr/>
      <w:tcPr>
        <w:shd w:val="clear" w:color="auto" w:fill="6CE1FF"/>
      </w:tcPr>
    </w:tblStylePr>
    <w:tblStylePr w:type="firstCol">
      <w:rPr>
        <w:color w:val="FFFFFF"/>
      </w:rPr>
      <w:tblPr/>
      <w:tcPr>
        <w:shd w:val="clear" w:color="auto" w:fill="00556B"/>
      </w:tcPr>
    </w:tblStylePr>
    <w:tblStylePr w:type="lastCol">
      <w:rPr>
        <w:color w:val="FFFFFF"/>
      </w:rPr>
      <w:tblPr/>
      <w:tcPr>
        <w:shd w:val="clear" w:color="auto" w:fill="00556B"/>
      </w:tcPr>
    </w:tblStylePr>
    <w:tblStylePr w:type="band1Vert">
      <w:tblPr/>
      <w:tcPr>
        <w:shd w:val="clear" w:color="auto" w:fill="48D9FF"/>
      </w:tcPr>
    </w:tblStylePr>
    <w:tblStylePr w:type="band1Horz">
      <w:tblPr/>
      <w:tcPr>
        <w:shd w:val="clear" w:color="auto" w:fill="48D9FF"/>
      </w:tcPr>
    </w:tblStylePr>
  </w:style>
  <w:style w:type="table" w:styleId="ColorfulGrid-Accent2">
    <w:name w:val="Colorful Grid Accent 2"/>
    <w:basedOn w:val="TableNormal"/>
    <w:uiPriority w:val="99"/>
    <w:semiHidden/>
    <w:rsid w:val="00361DEB"/>
    <w:rPr>
      <w:color w:val="00728F"/>
    </w:rPr>
    <w:tblPr>
      <w:tblStyleRowBandSize w:val="1"/>
      <w:tblStyleColBandSize w:val="1"/>
      <w:tblBorders>
        <w:insideH w:val="single" w:sz="4" w:space="0" w:color="FFFFFF"/>
      </w:tblBorders>
    </w:tblPr>
    <w:tcPr>
      <w:shd w:val="clear" w:color="auto" w:fill="F0F8FA"/>
    </w:tcPr>
    <w:tblStylePr w:type="firstRow">
      <w:rPr>
        <w:b/>
        <w:bCs/>
      </w:rPr>
      <w:tblPr/>
      <w:tcPr>
        <w:shd w:val="clear" w:color="auto" w:fill="E2F1F5"/>
      </w:tcPr>
    </w:tblStylePr>
    <w:tblStylePr w:type="lastRow">
      <w:rPr>
        <w:b/>
        <w:bCs/>
        <w:color w:val="00728F"/>
      </w:rPr>
      <w:tblPr/>
      <w:tcPr>
        <w:shd w:val="clear" w:color="auto" w:fill="E2F1F5"/>
      </w:tcPr>
    </w:tblStylePr>
    <w:tblStylePr w:type="firstCol">
      <w:rPr>
        <w:color w:val="FFFFFF"/>
      </w:rPr>
      <w:tblPr/>
      <w:tcPr>
        <w:shd w:val="clear" w:color="auto" w:fill="67B7CE"/>
      </w:tcPr>
    </w:tblStylePr>
    <w:tblStylePr w:type="lastCol">
      <w:rPr>
        <w:color w:val="FFFFFF"/>
      </w:rPr>
      <w:tblPr/>
      <w:tcPr>
        <w:shd w:val="clear" w:color="auto" w:fill="67B7CE"/>
      </w:tcPr>
    </w:tblStylePr>
    <w:tblStylePr w:type="band1Vert">
      <w:tblPr/>
      <w:tcPr>
        <w:shd w:val="clear" w:color="auto" w:fill="DBEEF3"/>
      </w:tcPr>
    </w:tblStylePr>
    <w:tblStylePr w:type="band1Horz">
      <w:tblPr/>
      <w:tcPr>
        <w:shd w:val="clear" w:color="auto" w:fill="DBEEF3"/>
      </w:tcPr>
    </w:tblStylePr>
  </w:style>
  <w:style w:type="table" w:styleId="ColorfulGrid-Accent3">
    <w:name w:val="Colorful Grid Accent 3"/>
    <w:basedOn w:val="TableNormal"/>
    <w:uiPriority w:val="99"/>
    <w:semiHidden/>
    <w:rsid w:val="00361DEB"/>
    <w:rPr>
      <w:color w:val="00728F"/>
    </w:rPr>
    <w:tblPr>
      <w:tblStyleRowBandSize w:val="1"/>
      <w:tblStyleColBandSize w:val="1"/>
      <w:tblBorders>
        <w:insideH w:val="single" w:sz="4" w:space="0" w:color="FFFFFF"/>
      </w:tblBorders>
    </w:tblPr>
    <w:tcPr>
      <w:shd w:val="clear" w:color="auto" w:fill="F7FBFC"/>
    </w:tcPr>
    <w:tblStylePr w:type="firstRow">
      <w:rPr>
        <w:b/>
        <w:bCs/>
      </w:rPr>
      <w:tblPr/>
      <w:tcPr>
        <w:shd w:val="clear" w:color="auto" w:fill="F0F8FA"/>
      </w:tcPr>
    </w:tblStylePr>
    <w:tblStylePr w:type="lastRow">
      <w:rPr>
        <w:b/>
        <w:bCs/>
        <w:color w:val="00728F"/>
      </w:rPr>
      <w:tblPr/>
      <w:tcPr>
        <w:shd w:val="clear" w:color="auto" w:fill="F0F8FA"/>
      </w:tcPr>
    </w:tblStylePr>
    <w:tblStylePr w:type="firstCol">
      <w:rPr>
        <w:color w:val="FFFFFF"/>
      </w:rPr>
      <w:tblPr/>
      <w:tcPr>
        <w:shd w:val="clear" w:color="auto" w:fill="84C4D6"/>
      </w:tcPr>
    </w:tblStylePr>
    <w:tblStylePr w:type="lastCol">
      <w:rPr>
        <w:color w:val="FFFFFF"/>
      </w:rPr>
      <w:tblPr/>
      <w:tcPr>
        <w:shd w:val="clear" w:color="auto" w:fill="84C4D6"/>
      </w:tcPr>
    </w:tblStylePr>
    <w:tblStylePr w:type="band1Vert">
      <w:tblPr/>
      <w:tcPr>
        <w:shd w:val="clear" w:color="auto" w:fill="EDF6F9"/>
      </w:tcPr>
    </w:tblStylePr>
    <w:tblStylePr w:type="band1Horz">
      <w:tblPr/>
      <w:tcPr>
        <w:shd w:val="clear" w:color="auto" w:fill="EDF6F9"/>
      </w:tcPr>
    </w:tblStylePr>
  </w:style>
  <w:style w:type="table" w:styleId="ColorfulGrid-Accent4">
    <w:name w:val="Colorful Grid Accent 4"/>
    <w:basedOn w:val="TableNormal"/>
    <w:uiPriority w:val="99"/>
    <w:semiHidden/>
    <w:rsid w:val="00361DEB"/>
    <w:rPr>
      <w:color w:val="00728F"/>
    </w:rPr>
    <w:tblPr>
      <w:tblStyleRowBandSize w:val="1"/>
      <w:tblStyleColBandSize w:val="1"/>
      <w:tblBorders>
        <w:insideH w:val="single" w:sz="4" w:space="0" w:color="FFFFFF"/>
      </w:tblBorders>
    </w:tblPr>
    <w:tcPr>
      <w:shd w:val="clear" w:color="auto" w:fill="E9F4F8"/>
    </w:tcPr>
    <w:tblStylePr w:type="firstRow">
      <w:rPr>
        <w:b/>
        <w:bCs/>
      </w:rPr>
      <w:tblPr/>
      <w:tcPr>
        <w:shd w:val="clear" w:color="auto" w:fill="D3EAF1"/>
      </w:tcPr>
    </w:tblStylePr>
    <w:tblStylePr w:type="lastRow">
      <w:rPr>
        <w:b/>
        <w:bCs/>
        <w:color w:val="00728F"/>
      </w:rPr>
      <w:tblPr/>
      <w:tcPr>
        <w:shd w:val="clear" w:color="auto" w:fill="D3EAF1"/>
      </w:tcPr>
    </w:tblStylePr>
    <w:tblStylePr w:type="firstCol">
      <w:rPr>
        <w:color w:val="FFFFFF"/>
      </w:rPr>
      <w:tblPr/>
      <w:tcPr>
        <w:shd w:val="clear" w:color="auto" w:fill="4CACC5"/>
      </w:tcPr>
    </w:tblStylePr>
    <w:tblStylePr w:type="lastCol">
      <w:rPr>
        <w:color w:val="FFFFFF"/>
      </w:rPr>
      <w:tblPr/>
      <w:tcPr>
        <w:shd w:val="clear" w:color="auto" w:fill="4CACC5"/>
      </w:tcPr>
    </w:tblStylePr>
    <w:tblStylePr w:type="band1Vert">
      <w:tblPr/>
      <w:tcPr>
        <w:shd w:val="clear" w:color="auto" w:fill="C8E5ED"/>
      </w:tcPr>
    </w:tblStylePr>
    <w:tblStylePr w:type="band1Horz">
      <w:tblPr/>
      <w:tcPr>
        <w:shd w:val="clear" w:color="auto" w:fill="C8E5ED"/>
      </w:tcPr>
    </w:tblStylePr>
  </w:style>
  <w:style w:type="table" w:styleId="ColorfulGrid-Accent5">
    <w:name w:val="Colorful Grid Accent 5"/>
    <w:basedOn w:val="TableNormal"/>
    <w:uiPriority w:val="99"/>
    <w:semiHidden/>
    <w:rsid w:val="00361DEB"/>
    <w:rPr>
      <w:color w:val="00728F"/>
    </w:rPr>
    <w:tblPr>
      <w:tblStyleRowBandSize w:val="1"/>
      <w:tblStyleColBandSize w:val="1"/>
      <w:tblBorders>
        <w:insideH w:val="single" w:sz="4" w:space="0" w:color="FFFFFF"/>
      </w:tblBorders>
    </w:tblPr>
    <w:tcPr>
      <w:shd w:val="clear" w:color="auto" w:fill="D0E9F0"/>
    </w:tcPr>
    <w:tblStylePr w:type="firstRow">
      <w:rPr>
        <w:b/>
        <w:bCs/>
      </w:rPr>
      <w:tblPr/>
      <w:tcPr>
        <w:shd w:val="clear" w:color="auto" w:fill="A1D4E1"/>
      </w:tcPr>
    </w:tblStylePr>
    <w:tblStylePr w:type="lastRow">
      <w:rPr>
        <w:b/>
        <w:bCs/>
        <w:color w:val="00728F"/>
      </w:rPr>
      <w:tblPr/>
      <w:tcPr>
        <w:shd w:val="clear" w:color="auto" w:fill="A1D4E1"/>
      </w:tcPr>
    </w:tblStylePr>
    <w:tblStylePr w:type="firstCol">
      <w:rPr>
        <w:color w:val="FFFFFF"/>
      </w:rPr>
      <w:tblPr/>
      <w:tcPr>
        <w:shd w:val="clear" w:color="auto" w:fill="246373"/>
      </w:tcPr>
    </w:tblStylePr>
    <w:tblStylePr w:type="lastCol">
      <w:rPr>
        <w:color w:val="FFFFFF"/>
      </w:rPr>
      <w:tblPr/>
      <w:tcPr>
        <w:shd w:val="clear" w:color="auto" w:fill="246373"/>
      </w:tcPr>
    </w:tblStylePr>
    <w:tblStylePr w:type="band1Vert">
      <w:tblPr/>
      <w:tcPr>
        <w:shd w:val="clear" w:color="auto" w:fill="8BC9DA"/>
      </w:tcPr>
    </w:tblStylePr>
    <w:tblStylePr w:type="band1Horz">
      <w:tblPr/>
      <w:tcPr>
        <w:shd w:val="clear" w:color="auto" w:fill="8BC9DA"/>
      </w:tcPr>
    </w:tblStylePr>
  </w:style>
  <w:style w:type="table" w:styleId="ColorfulGrid-Accent6">
    <w:name w:val="Colorful Grid Accent 6"/>
    <w:basedOn w:val="TableNormal"/>
    <w:uiPriority w:val="99"/>
    <w:semiHidden/>
    <w:rsid w:val="00361DEB"/>
    <w:rPr>
      <w:color w:val="00728F"/>
    </w:rPr>
    <w:tblPr>
      <w:tblStyleRowBandSize w:val="1"/>
      <w:tblStyleColBandSize w:val="1"/>
      <w:tblBorders>
        <w:insideH w:val="single" w:sz="4" w:space="0" w:color="FFFFFF"/>
      </w:tblBorders>
    </w:tblPr>
    <w:tcPr>
      <w:shd w:val="clear" w:color="auto" w:fill="DFF0F5"/>
    </w:tcPr>
    <w:tblStylePr w:type="firstRow">
      <w:rPr>
        <w:b/>
        <w:bCs/>
      </w:rPr>
      <w:tblPr/>
      <w:tcPr>
        <w:shd w:val="clear" w:color="auto" w:fill="C0E2EB"/>
      </w:tcPr>
    </w:tblStylePr>
    <w:tblStylePr w:type="lastRow">
      <w:rPr>
        <w:b/>
        <w:bCs/>
        <w:color w:val="00728F"/>
      </w:rPr>
      <w:tblPr/>
      <w:tcPr>
        <w:shd w:val="clear" w:color="auto" w:fill="C0E2EB"/>
      </w:tcPr>
    </w:tblStylePr>
    <w:tblStylePr w:type="firstCol">
      <w:rPr>
        <w:color w:val="FFFFFF"/>
      </w:rPr>
      <w:tblPr/>
      <w:tcPr>
        <w:shd w:val="clear" w:color="auto" w:fill="3795AD"/>
      </w:tcPr>
    </w:tblStylePr>
    <w:tblStylePr w:type="lastCol">
      <w:rPr>
        <w:color w:val="FFFFFF"/>
      </w:rPr>
      <w:tblPr/>
      <w:tcPr>
        <w:shd w:val="clear" w:color="auto" w:fill="3795AD"/>
      </w:tcPr>
    </w:tblStylePr>
    <w:tblStylePr w:type="band1Vert">
      <w:tblPr/>
      <w:tcPr>
        <w:shd w:val="clear" w:color="auto" w:fill="B1DBE6"/>
      </w:tcPr>
    </w:tblStylePr>
    <w:tblStylePr w:type="band1Horz">
      <w:tblPr/>
      <w:tcPr>
        <w:shd w:val="clear" w:color="auto" w:fill="B1DBE6"/>
      </w:tcPr>
    </w:tblStylePr>
  </w:style>
  <w:style w:type="table" w:customStyle="1" w:styleId="ColorfulList1">
    <w:name w:val="Colorful List1"/>
    <w:basedOn w:val="TableNormal"/>
    <w:uiPriority w:val="99"/>
    <w:semiHidden/>
    <w:rsid w:val="00361DEB"/>
    <w:rPr>
      <w:color w:val="00728F"/>
    </w:rPr>
    <w:tblPr>
      <w:tblStyleRowBandSize w:val="1"/>
      <w:tblStyleColBandSize w:val="1"/>
    </w:tblPr>
    <w:tcPr>
      <w:shd w:val="clear" w:color="auto" w:fill="DBF7FF"/>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cPr>
    </w:tblStylePr>
    <w:tblStylePr w:type="band1Horz">
      <w:tblPr/>
      <w:tcPr>
        <w:shd w:val="clear" w:color="auto" w:fill="B5EFFF"/>
      </w:tcPr>
    </w:tblStylePr>
  </w:style>
  <w:style w:type="table" w:styleId="ColorfulList-Accent1">
    <w:name w:val="Colorful List Accent 1"/>
    <w:basedOn w:val="TableNormal"/>
    <w:uiPriority w:val="99"/>
    <w:semiHidden/>
    <w:rsid w:val="00361DEB"/>
    <w:rPr>
      <w:color w:val="00728F"/>
    </w:rPr>
    <w:tblPr>
      <w:tblStyleRowBandSize w:val="1"/>
      <w:tblStyleColBandSize w:val="1"/>
    </w:tblPr>
    <w:tcPr>
      <w:shd w:val="clear" w:color="auto" w:fill="DBF7FF"/>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cPr>
    </w:tblStylePr>
    <w:tblStylePr w:type="band1Horz">
      <w:tblPr/>
      <w:tcPr>
        <w:shd w:val="clear" w:color="auto" w:fill="B5EFFF"/>
      </w:tcPr>
    </w:tblStylePr>
  </w:style>
  <w:style w:type="table" w:styleId="ColorfulList-Accent2">
    <w:name w:val="Colorful List Accent 2"/>
    <w:basedOn w:val="TableNormal"/>
    <w:uiPriority w:val="99"/>
    <w:semiHidden/>
    <w:rsid w:val="00361DEB"/>
    <w:rPr>
      <w:color w:val="00728F"/>
    </w:rPr>
    <w:tblPr>
      <w:tblStyleRowBandSize w:val="1"/>
      <w:tblStyleColBandSize w:val="1"/>
    </w:tblPr>
    <w:tcPr>
      <w:shd w:val="clear" w:color="auto" w:fill="F7FBFC"/>
    </w:tcPr>
    <w:tblStylePr w:type="firstRow">
      <w:rPr>
        <w:b/>
        <w:bCs/>
        <w:color w:val="FFFFFF"/>
      </w:rPr>
      <w:tblPr/>
      <w:tcPr>
        <w:tcBorders>
          <w:bottom w:val="single" w:sz="12" w:space="0" w:color="FFFFFF"/>
        </w:tcBorders>
        <w:shd w:val="clear" w:color="auto" w:fill="78BFD4"/>
      </w:tcPr>
    </w:tblStylePr>
    <w:tblStylePr w:type="lastRow">
      <w:rPr>
        <w:b/>
        <w:bCs/>
        <w:color w:val="78BFD4"/>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cPr>
    </w:tblStylePr>
    <w:tblStylePr w:type="band1Horz">
      <w:tblPr/>
      <w:tcPr>
        <w:shd w:val="clear" w:color="auto" w:fill="F0F8FA"/>
      </w:tcPr>
    </w:tblStylePr>
  </w:style>
  <w:style w:type="table" w:styleId="ColorfulList-Accent3">
    <w:name w:val="Colorful List Accent 3"/>
    <w:basedOn w:val="TableNormal"/>
    <w:uiPriority w:val="99"/>
    <w:semiHidden/>
    <w:rsid w:val="00361DEB"/>
    <w:rPr>
      <w:color w:val="00728F"/>
    </w:rPr>
    <w:tblPr>
      <w:tblStyleRowBandSize w:val="1"/>
      <w:tblStyleColBandSize w:val="1"/>
    </w:tblPr>
    <w:tcPr>
      <w:shd w:val="clear" w:color="auto" w:fill="FBFDFD"/>
    </w:tcPr>
    <w:tblStylePr w:type="firstRow">
      <w:rPr>
        <w:b/>
        <w:bCs/>
        <w:color w:val="FFFFFF"/>
      </w:rPr>
      <w:tblPr/>
      <w:tcPr>
        <w:tcBorders>
          <w:bottom w:val="single" w:sz="12" w:space="0" w:color="FFFFFF"/>
        </w:tcBorders>
        <w:shd w:val="clear" w:color="auto" w:fill="5AB3CA"/>
      </w:tcPr>
    </w:tblStylePr>
    <w:tblStylePr w:type="lastRow">
      <w:rPr>
        <w:b/>
        <w:bCs/>
        <w:color w:val="5AB3CA"/>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cPr>
    </w:tblStylePr>
    <w:tblStylePr w:type="band1Horz">
      <w:tblPr/>
      <w:tcPr>
        <w:shd w:val="clear" w:color="auto" w:fill="F7FBFC"/>
      </w:tcPr>
    </w:tblStylePr>
  </w:style>
  <w:style w:type="table" w:styleId="ColorfulList-Accent4">
    <w:name w:val="Colorful List Accent 4"/>
    <w:basedOn w:val="TableNormal"/>
    <w:uiPriority w:val="99"/>
    <w:semiHidden/>
    <w:rsid w:val="00361DEB"/>
    <w:rPr>
      <w:color w:val="00728F"/>
    </w:rPr>
    <w:tblPr>
      <w:tblStyleRowBandSize w:val="1"/>
      <w:tblStyleColBandSize w:val="1"/>
    </w:tblPr>
    <w:tcPr>
      <w:shd w:val="clear" w:color="auto" w:fill="F4FAFB"/>
    </w:tcPr>
    <w:tblStylePr w:type="firstRow">
      <w:rPr>
        <w:b/>
        <w:bCs/>
        <w:color w:val="FFFFFF"/>
      </w:rPr>
      <w:tblPr/>
      <w:tcPr>
        <w:tcBorders>
          <w:bottom w:val="single" w:sz="12" w:space="0" w:color="FFFFFF"/>
        </w:tcBorders>
        <w:shd w:val="clear" w:color="auto" w:fill="95CCDB"/>
      </w:tcPr>
    </w:tblStylePr>
    <w:tblStylePr w:type="lastRow">
      <w:rPr>
        <w:b/>
        <w:bCs/>
        <w:color w:val="95CCDB"/>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cPr>
    </w:tblStylePr>
    <w:tblStylePr w:type="band1Horz">
      <w:tblPr/>
      <w:tcPr>
        <w:shd w:val="clear" w:color="auto" w:fill="E9F4F8"/>
      </w:tcPr>
    </w:tblStylePr>
  </w:style>
  <w:style w:type="table" w:styleId="ColorfulList-Accent5">
    <w:name w:val="Colorful List Accent 5"/>
    <w:basedOn w:val="TableNormal"/>
    <w:uiPriority w:val="99"/>
    <w:semiHidden/>
    <w:rsid w:val="00361DEB"/>
    <w:rPr>
      <w:color w:val="00728F"/>
    </w:rPr>
    <w:tblPr>
      <w:tblStyleRowBandSize w:val="1"/>
      <w:tblStyleColBandSize w:val="1"/>
    </w:tblPr>
    <w:tcPr>
      <w:shd w:val="clear" w:color="auto" w:fill="E8F4F7"/>
    </w:tcPr>
    <w:tblStylePr w:type="firstRow">
      <w:rPr>
        <w:b/>
        <w:bCs/>
        <w:color w:val="FFFFFF"/>
      </w:rPr>
      <w:tblPr/>
      <w:tcPr>
        <w:tcBorders>
          <w:bottom w:val="single" w:sz="12" w:space="0" w:color="FFFFFF"/>
        </w:tcBorders>
        <w:shd w:val="clear" w:color="auto" w:fill="3A9FB9"/>
      </w:tcPr>
    </w:tblStylePr>
    <w:tblStylePr w:type="lastRow">
      <w:rPr>
        <w:b/>
        <w:bCs/>
        <w:color w:val="3A9FB9"/>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cPr>
    </w:tblStylePr>
    <w:tblStylePr w:type="band1Horz">
      <w:tblPr/>
      <w:tcPr>
        <w:shd w:val="clear" w:color="auto" w:fill="D0E9F0"/>
      </w:tcPr>
    </w:tblStylePr>
  </w:style>
  <w:style w:type="table" w:styleId="ColorfulList-Accent6">
    <w:name w:val="Colorful List Accent 6"/>
    <w:basedOn w:val="TableNormal"/>
    <w:uiPriority w:val="99"/>
    <w:semiHidden/>
    <w:rsid w:val="00361DEB"/>
    <w:rPr>
      <w:color w:val="00728F"/>
    </w:rPr>
    <w:tblPr>
      <w:tblStyleRowBandSize w:val="1"/>
      <w:tblStyleColBandSize w:val="1"/>
    </w:tblPr>
    <w:tcPr>
      <w:shd w:val="clear" w:color="auto" w:fill="EFF8FA"/>
    </w:tcPr>
    <w:tblStylePr w:type="firstRow">
      <w:rPr>
        <w:b/>
        <w:bCs/>
        <w:color w:val="FFFFFF"/>
      </w:rPr>
      <w:tblPr/>
      <w:tcPr>
        <w:tcBorders>
          <w:bottom w:val="single" w:sz="12" w:space="0" w:color="FFFFFF"/>
        </w:tcBorders>
        <w:shd w:val="clear" w:color="auto" w:fill="276A7B"/>
      </w:tcPr>
    </w:tblStylePr>
    <w:tblStylePr w:type="lastRow">
      <w:rPr>
        <w:b/>
        <w:bCs/>
        <w:color w:val="276A7B"/>
      </w:rPr>
      <w:tblPr/>
      <w:tcPr>
        <w:tcBorders>
          <w:top w:val="single" w:sz="12" w:space="0" w:color="00728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cPr>
    </w:tblStylePr>
    <w:tblStylePr w:type="band1Horz">
      <w:tblPr/>
      <w:tcPr>
        <w:shd w:val="clear" w:color="auto" w:fill="DFF0F5"/>
      </w:tcPr>
    </w:tblStylePr>
  </w:style>
  <w:style w:type="table" w:customStyle="1" w:styleId="ColorfulShading1">
    <w:name w:val="Colorful Shading1"/>
    <w:basedOn w:val="TableNormal"/>
    <w:uiPriority w:val="99"/>
    <w:semiHidden/>
    <w:rsid w:val="00361DEB"/>
    <w:rPr>
      <w:color w:val="00728F"/>
    </w:rPr>
    <w:tblPr>
      <w:tblStyleRowBandSize w:val="1"/>
      <w:tblStyleColBandSize w:val="1"/>
      <w:tblBorders>
        <w:top w:val="single" w:sz="24" w:space="0" w:color="B7DDE8"/>
        <w:left w:val="single" w:sz="4" w:space="0" w:color="00728F"/>
        <w:bottom w:val="single" w:sz="4" w:space="0" w:color="00728F"/>
        <w:right w:val="single" w:sz="4" w:space="0" w:color="00728F"/>
        <w:insideH w:val="single" w:sz="4" w:space="0" w:color="FFFFFF"/>
        <w:insideV w:val="single" w:sz="4" w:space="0" w:color="FFFFFF"/>
      </w:tblBorders>
    </w:tblPr>
    <w:tcPr>
      <w:shd w:val="clear" w:color="auto" w:fill="DBF7FF"/>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455"/>
      </w:tcPr>
    </w:tblStylePr>
    <w:tblStylePr w:type="firstCol">
      <w:rPr>
        <w:color w:val="FFFFFF"/>
      </w:rPr>
      <w:tblPr/>
      <w:tcPr>
        <w:tcBorders>
          <w:top w:val="nil"/>
          <w:left w:val="nil"/>
          <w:bottom w:val="nil"/>
          <w:right w:val="nil"/>
          <w:insideH w:val="single" w:sz="4" w:space="0" w:color="004455"/>
          <w:insideV w:val="nil"/>
        </w:tcBorders>
        <w:shd w:val="clear" w:color="auto" w:fill="004455"/>
      </w:tcPr>
    </w:tblStylePr>
    <w:tblStylePr w:type="lastCol">
      <w:rPr>
        <w:color w:val="FFFFFF"/>
      </w:rPr>
      <w:tblPr/>
      <w:tcPr>
        <w:tcBorders>
          <w:top w:val="nil"/>
          <w:left w:val="nil"/>
          <w:bottom w:val="nil"/>
          <w:right w:val="nil"/>
          <w:insideH w:val="nil"/>
          <w:insideV w:val="nil"/>
        </w:tcBorders>
        <w:shd w:val="clear" w:color="auto" w:fill="00556B"/>
      </w:tcPr>
    </w:tblStylePr>
    <w:tblStylePr w:type="band1Vert">
      <w:tblPr/>
      <w:tcPr>
        <w:shd w:val="clear" w:color="auto" w:fill="6CE1FF"/>
      </w:tcPr>
    </w:tblStylePr>
    <w:tblStylePr w:type="band1Horz">
      <w:tblPr/>
      <w:tcPr>
        <w:shd w:val="clear" w:color="auto" w:fill="48D9FF"/>
      </w:tcPr>
    </w:tblStylePr>
    <w:tblStylePr w:type="neCell">
      <w:rPr>
        <w:color w:val="00728F"/>
      </w:rPr>
    </w:tblStylePr>
    <w:tblStylePr w:type="nwCell">
      <w:rPr>
        <w:color w:val="00728F"/>
      </w:rPr>
    </w:tblStylePr>
  </w:style>
  <w:style w:type="table" w:styleId="ColorfulShading-Accent1">
    <w:name w:val="Colorful Shading Accent 1"/>
    <w:basedOn w:val="TableNormal"/>
    <w:uiPriority w:val="99"/>
    <w:semiHidden/>
    <w:rsid w:val="00361DEB"/>
    <w:rPr>
      <w:color w:val="00728F"/>
    </w:rPr>
    <w:tblPr>
      <w:tblStyleRowBandSize w:val="1"/>
      <w:tblStyleColBandSize w:val="1"/>
      <w:tblBorders>
        <w:top w:val="single" w:sz="24" w:space="0" w:color="B7DDE8"/>
        <w:left w:val="single" w:sz="4" w:space="0" w:color="00728F"/>
        <w:bottom w:val="single" w:sz="4" w:space="0" w:color="00728F"/>
        <w:right w:val="single" w:sz="4" w:space="0" w:color="00728F"/>
        <w:insideH w:val="single" w:sz="4" w:space="0" w:color="FFFFFF"/>
        <w:insideV w:val="single" w:sz="4" w:space="0" w:color="FFFFFF"/>
      </w:tblBorders>
    </w:tblPr>
    <w:tcPr>
      <w:shd w:val="clear" w:color="auto" w:fill="DBF7FF"/>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455"/>
      </w:tcPr>
    </w:tblStylePr>
    <w:tblStylePr w:type="firstCol">
      <w:rPr>
        <w:color w:val="FFFFFF"/>
      </w:rPr>
      <w:tblPr/>
      <w:tcPr>
        <w:tcBorders>
          <w:top w:val="nil"/>
          <w:left w:val="nil"/>
          <w:bottom w:val="nil"/>
          <w:right w:val="nil"/>
          <w:insideH w:val="single" w:sz="4" w:space="0" w:color="004455"/>
          <w:insideV w:val="nil"/>
        </w:tcBorders>
        <w:shd w:val="clear" w:color="auto" w:fill="004455"/>
      </w:tcPr>
    </w:tblStylePr>
    <w:tblStylePr w:type="lastCol">
      <w:rPr>
        <w:color w:val="FFFFFF"/>
      </w:rPr>
      <w:tblPr/>
      <w:tcPr>
        <w:tcBorders>
          <w:top w:val="nil"/>
          <w:left w:val="nil"/>
          <w:bottom w:val="nil"/>
          <w:right w:val="nil"/>
          <w:insideH w:val="nil"/>
          <w:insideV w:val="nil"/>
        </w:tcBorders>
        <w:shd w:val="clear" w:color="auto" w:fill="004455"/>
      </w:tcPr>
    </w:tblStylePr>
    <w:tblStylePr w:type="band1Vert">
      <w:tblPr/>
      <w:tcPr>
        <w:shd w:val="clear" w:color="auto" w:fill="6CE1FF"/>
      </w:tcPr>
    </w:tblStylePr>
    <w:tblStylePr w:type="band1Horz">
      <w:tblPr/>
      <w:tcPr>
        <w:shd w:val="clear" w:color="auto" w:fill="48D9FF"/>
      </w:tcPr>
    </w:tblStylePr>
    <w:tblStylePr w:type="neCell">
      <w:rPr>
        <w:color w:val="00728F"/>
      </w:rPr>
    </w:tblStylePr>
    <w:tblStylePr w:type="nwCell">
      <w:rPr>
        <w:color w:val="00728F"/>
      </w:rPr>
    </w:tblStylePr>
  </w:style>
  <w:style w:type="table" w:styleId="ColorfulShading-Accent2">
    <w:name w:val="Colorful Shading Accent 2"/>
    <w:basedOn w:val="TableNormal"/>
    <w:uiPriority w:val="99"/>
    <w:semiHidden/>
    <w:rsid w:val="00361DEB"/>
    <w:rPr>
      <w:color w:val="00728F"/>
    </w:rPr>
    <w:tblPr>
      <w:tblStyleRowBandSize w:val="1"/>
      <w:tblStyleColBandSize w:val="1"/>
      <w:tblBorders>
        <w:top w:val="single" w:sz="24" w:space="0" w:color="B7DDE8"/>
        <w:left w:val="single" w:sz="4" w:space="0" w:color="B7DDE8"/>
        <w:bottom w:val="single" w:sz="4" w:space="0" w:color="B7DDE8"/>
        <w:right w:val="single" w:sz="4" w:space="0" w:color="B7DDE8"/>
        <w:insideH w:val="single" w:sz="4" w:space="0" w:color="FFFFFF"/>
        <w:insideV w:val="single" w:sz="4" w:space="0" w:color="FFFFFF"/>
      </w:tblBorders>
    </w:tblPr>
    <w:tcPr>
      <w:shd w:val="clear" w:color="auto" w:fill="F7FBFC"/>
    </w:tcPr>
    <w:tblStylePr w:type="firstRow">
      <w:rPr>
        <w:b/>
        <w:bCs/>
      </w:rPr>
      <w:tblPr/>
      <w:tcPr>
        <w:tcBorders>
          <w:top w:val="nil"/>
          <w:left w:val="nil"/>
          <w:bottom w:val="single" w:sz="24" w:space="0" w:color="B7DDE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C9FBC"/>
      </w:tcPr>
    </w:tblStylePr>
    <w:tblStylePr w:type="firstCol">
      <w:rPr>
        <w:color w:val="FFFFFF"/>
      </w:rPr>
      <w:tblPr/>
      <w:tcPr>
        <w:tcBorders>
          <w:top w:val="nil"/>
          <w:left w:val="nil"/>
          <w:bottom w:val="nil"/>
          <w:right w:val="nil"/>
          <w:insideH w:val="single" w:sz="4" w:space="0" w:color="3C9FBC"/>
          <w:insideV w:val="nil"/>
        </w:tcBorders>
        <w:shd w:val="clear" w:color="auto" w:fill="3C9FBC"/>
      </w:tcPr>
    </w:tblStylePr>
    <w:tblStylePr w:type="lastCol">
      <w:rPr>
        <w:color w:val="FFFFFF"/>
      </w:rPr>
      <w:tblPr/>
      <w:tcPr>
        <w:tcBorders>
          <w:top w:val="nil"/>
          <w:left w:val="nil"/>
          <w:bottom w:val="nil"/>
          <w:right w:val="nil"/>
          <w:insideH w:val="nil"/>
          <w:insideV w:val="nil"/>
        </w:tcBorders>
        <w:shd w:val="clear" w:color="auto" w:fill="3C9FBC"/>
      </w:tcPr>
    </w:tblStylePr>
    <w:tblStylePr w:type="band1Vert">
      <w:tblPr/>
      <w:tcPr>
        <w:shd w:val="clear" w:color="auto" w:fill="E2F1F5"/>
      </w:tcPr>
    </w:tblStylePr>
    <w:tblStylePr w:type="band1Horz">
      <w:tblPr/>
      <w:tcPr>
        <w:shd w:val="clear" w:color="auto" w:fill="DBEEF3"/>
      </w:tcPr>
    </w:tblStylePr>
    <w:tblStylePr w:type="neCell">
      <w:rPr>
        <w:color w:val="00728F"/>
      </w:rPr>
    </w:tblStylePr>
    <w:tblStylePr w:type="nwCell">
      <w:rPr>
        <w:color w:val="00728F"/>
      </w:rPr>
    </w:tblStylePr>
  </w:style>
  <w:style w:type="table" w:styleId="ColorfulShading-Accent3">
    <w:name w:val="Colorful Shading Accent 3"/>
    <w:basedOn w:val="TableNormal"/>
    <w:uiPriority w:val="99"/>
    <w:semiHidden/>
    <w:rsid w:val="00361DEB"/>
    <w:rPr>
      <w:color w:val="00728F"/>
    </w:rPr>
    <w:tblPr>
      <w:tblStyleRowBandSize w:val="1"/>
      <w:tblStyleColBandSize w:val="1"/>
      <w:tblBorders>
        <w:top w:val="single" w:sz="24" w:space="0" w:color="92CDDC"/>
        <w:left w:val="single" w:sz="4" w:space="0" w:color="DBEEF3"/>
        <w:bottom w:val="single" w:sz="4" w:space="0" w:color="DBEEF3"/>
        <w:right w:val="single" w:sz="4" w:space="0" w:color="DBEEF3"/>
        <w:insideH w:val="single" w:sz="4" w:space="0" w:color="FFFFFF"/>
        <w:insideV w:val="single" w:sz="4" w:space="0" w:color="FFFFFF"/>
      </w:tblBorders>
    </w:tblPr>
    <w:tcPr>
      <w:shd w:val="clear" w:color="auto" w:fill="FBFDFD"/>
    </w:tcPr>
    <w:tblStylePr w:type="firstRow">
      <w:rPr>
        <w:b/>
        <w:bCs/>
      </w:rPr>
      <w:tblPr/>
      <w:tcPr>
        <w:tcBorders>
          <w:top w:val="nil"/>
          <w:left w:val="nil"/>
          <w:bottom w:val="single" w:sz="24" w:space="0" w:color="92CDD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0ACC4"/>
      </w:tcPr>
    </w:tblStylePr>
    <w:tblStylePr w:type="firstCol">
      <w:rPr>
        <w:color w:val="FFFFFF"/>
      </w:rPr>
      <w:tblPr/>
      <w:tcPr>
        <w:tcBorders>
          <w:top w:val="nil"/>
          <w:left w:val="nil"/>
          <w:bottom w:val="nil"/>
          <w:right w:val="nil"/>
          <w:insideH w:val="single" w:sz="4" w:space="0" w:color="50ACC4"/>
          <w:insideV w:val="nil"/>
        </w:tcBorders>
        <w:shd w:val="clear" w:color="auto" w:fill="50ACC4"/>
      </w:tcPr>
    </w:tblStylePr>
    <w:tblStylePr w:type="lastCol">
      <w:rPr>
        <w:color w:val="FFFFFF"/>
      </w:rPr>
      <w:tblPr/>
      <w:tcPr>
        <w:tcBorders>
          <w:top w:val="nil"/>
          <w:left w:val="nil"/>
          <w:bottom w:val="nil"/>
          <w:right w:val="nil"/>
          <w:insideH w:val="nil"/>
          <w:insideV w:val="nil"/>
        </w:tcBorders>
        <w:shd w:val="clear" w:color="auto" w:fill="50ACC4"/>
      </w:tcPr>
    </w:tblStylePr>
    <w:tblStylePr w:type="band1Vert">
      <w:tblPr/>
      <w:tcPr>
        <w:shd w:val="clear" w:color="auto" w:fill="F0F8FA"/>
      </w:tcPr>
    </w:tblStylePr>
    <w:tblStylePr w:type="band1Horz">
      <w:tblPr/>
      <w:tcPr>
        <w:shd w:val="clear" w:color="auto" w:fill="EDF6F9"/>
      </w:tcPr>
    </w:tblStylePr>
  </w:style>
  <w:style w:type="table" w:styleId="ColorfulShading-Accent4">
    <w:name w:val="Colorful Shading Accent 4"/>
    <w:basedOn w:val="TableNormal"/>
    <w:uiPriority w:val="99"/>
    <w:semiHidden/>
    <w:rsid w:val="00361DEB"/>
    <w:rPr>
      <w:color w:val="00728F"/>
    </w:rPr>
    <w:tblPr>
      <w:tblStyleRowBandSize w:val="1"/>
      <w:tblStyleColBandSize w:val="1"/>
      <w:tblBorders>
        <w:top w:val="single" w:sz="24" w:space="0" w:color="DBEEF3"/>
        <w:left w:val="single" w:sz="4" w:space="0" w:color="92CDDC"/>
        <w:bottom w:val="single" w:sz="4" w:space="0" w:color="92CDDC"/>
        <w:right w:val="single" w:sz="4" w:space="0" w:color="92CDDC"/>
        <w:insideH w:val="single" w:sz="4" w:space="0" w:color="FFFFFF"/>
        <w:insideV w:val="single" w:sz="4" w:space="0" w:color="FFFFFF"/>
      </w:tblBorders>
    </w:tblPr>
    <w:tcPr>
      <w:shd w:val="clear" w:color="auto" w:fill="F4FAFB"/>
    </w:tcPr>
    <w:tblStylePr w:type="firstRow">
      <w:rPr>
        <w:b/>
        <w:bCs/>
      </w:rPr>
      <w:tblPr/>
      <w:tcPr>
        <w:tcBorders>
          <w:top w:val="nil"/>
          <w:left w:val="nil"/>
          <w:bottom w:val="single" w:sz="24" w:space="0" w:color="DBEEF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8FA6"/>
      </w:tcPr>
    </w:tblStylePr>
    <w:tblStylePr w:type="firstCol">
      <w:rPr>
        <w:color w:val="FFFFFF"/>
      </w:rPr>
      <w:tblPr/>
      <w:tcPr>
        <w:tcBorders>
          <w:top w:val="nil"/>
          <w:left w:val="nil"/>
          <w:bottom w:val="nil"/>
          <w:right w:val="nil"/>
          <w:insideH w:val="single" w:sz="4" w:space="0" w:color="358FA6"/>
          <w:insideV w:val="nil"/>
        </w:tcBorders>
        <w:shd w:val="clear" w:color="auto" w:fill="358FA6"/>
      </w:tcPr>
    </w:tblStylePr>
    <w:tblStylePr w:type="lastCol">
      <w:rPr>
        <w:color w:val="FFFFFF"/>
      </w:rPr>
      <w:tblPr/>
      <w:tcPr>
        <w:tcBorders>
          <w:top w:val="nil"/>
          <w:left w:val="nil"/>
          <w:bottom w:val="nil"/>
          <w:right w:val="nil"/>
          <w:insideH w:val="nil"/>
          <w:insideV w:val="nil"/>
        </w:tcBorders>
        <w:shd w:val="clear" w:color="auto" w:fill="358FA6"/>
      </w:tcPr>
    </w:tblStylePr>
    <w:tblStylePr w:type="band1Vert">
      <w:tblPr/>
      <w:tcPr>
        <w:shd w:val="clear" w:color="auto" w:fill="D3EAF1"/>
      </w:tcPr>
    </w:tblStylePr>
    <w:tblStylePr w:type="band1Horz">
      <w:tblPr/>
      <w:tcPr>
        <w:shd w:val="clear" w:color="auto" w:fill="C8E5ED"/>
      </w:tcPr>
    </w:tblStylePr>
    <w:tblStylePr w:type="neCell">
      <w:rPr>
        <w:color w:val="00728F"/>
      </w:rPr>
    </w:tblStylePr>
    <w:tblStylePr w:type="nwCell">
      <w:rPr>
        <w:color w:val="00728F"/>
      </w:rPr>
    </w:tblStylePr>
  </w:style>
  <w:style w:type="table" w:styleId="ColorfulShading-Accent5">
    <w:name w:val="Colorful Shading Accent 5"/>
    <w:basedOn w:val="TableNormal"/>
    <w:uiPriority w:val="99"/>
    <w:semiHidden/>
    <w:rsid w:val="00361DEB"/>
    <w:rPr>
      <w:color w:val="00728F"/>
    </w:rPr>
    <w:tblPr>
      <w:tblStyleRowBandSize w:val="1"/>
      <w:tblStyleColBandSize w:val="1"/>
      <w:tblBorders>
        <w:top w:val="single" w:sz="24" w:space="0" w:color="64B8CE"/>
        <w:left w:val="single" w:sz="4" w:space="0" w:color="31859B"/>
        <w:bottom w:val="single" w:sz="4" w:space="0" w:color="31859B"/>
        <w:right w:val="single" w:sz="4" w:space="0" w:color="31859B"/>
        <w:insideH w:val="single" w:sz="4" w:space="0" w:color="FFFFFF"/>
        <w:insideV w:val="single" w:sz="4" w:space="0" w:color="FFFFFF"/>
      </w:tblBorders>
    </w:tblPr>
    <w:tcPr>
      <w:shd w:val="clear" w:color="auto" w:fill="E8F4F7"/>
    </w:tcPr>
    <w:tblStylePr w:type="firstRow">
      <w:rPr>
        <w:b/>
        <w:bCs/>
      </w:rPr>
      <w:tblPr/>
      <w:tcPr>
        <w:tcBorders>
          <w:top w:val="nil"/>
          <w:left w:val="nil"/>
          <w:bottom w:val="single" w:sz="24" w:space="0" w:color="64B8C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D4F5C"/>
      </w:tcPr>
    </w:tblStylePr>
    <w:tblStylePr w:type="firstCol">
      <w:rPr>
        <w:color w:val="FFFFFF"/>
      </w:rPr>
      <w:tblPr/>
      <w:tcPr>
        <w:tcBorders>
          <w:top w:val="nil"/>
          <w:left w:val="nil"/>
          <w:bottom w:val="nil"/>
          <w:right w:val="nil"/>
          <w:insideH w:val="single" w:sz="4" w:space="0" w:color="1D4F5C"/>
          <w:insideV w:val="nil"/>
        </w:tcBorders>
        <w:shd w:val="clear" w:color="auto" w:fill="1D4F5C"/>
      </w:tcPr>
    </w:tblStylePr>
    <w:tblStylePr w:type="lastCol">
      <w:rPr>
        <w:color w:val="FFFFFF"/>
      </w:rPr>
      <w:tblPr/>
      <w:tcPr>
        <w:tcBorders>
          <w:top w:val="nil"/>
          <w:left w:val="nil"/>
          <w:bottom w:val="nil"/>
          <w:right w:val="nil"/>
          <w:insideH w:val="nil"/>
          <w:insideV w:val="nil"/>
        </w:tcBorders>
        <w:shd w:val="clear" w:color="auto" w:fill="1D4F5C"/>
      </w:tcPr>
    </w:tblStylePr>
    <w:tblStylePr w:type="band1Vert">
      <w:tblPr/>
      <w:tcPr>
        <w:shd w:val="clear" w:color="auto" w:fill="A1D4E1"/>
      </w:tcPr>
    </w:tblStylePr>
    <w:tblStylePr w:type="band1Horz">
      <w:tblPr/>
      <w:tcPr>
        <w:shd w:val="clear" w:color="auto" w:fill="8BC9DA"/>
      </w:tcPr>
    </w:tblStylePr>
    <w:tblStylePr w:type="neCell">
      <w:rPr>
        <w:color w:val="00728F"/>
      </w:rPr>
    </w:tblStylePr>
    <w:tblStylePr w:type="nwCell">
      <w:rPr>
        <w:color w:val="00728F"/>
      </w:rPr>
    </w:tblStylePr>
  </w:style>
  <w:style w:type="table" w:styleId="ColorfulShading-Accent6">
    <w:name w:val="Colorful Shading Accent 6"/>
    <w:basedOn w:val="TableNormal"/>
    <w:uiPriority w:val="99"/>
    <w:semiHidden/>
    <w:rsid w:val="00361DEB"/>
    <w:rPr>
      <w:color w:val="00728F"/>
    </w:rPr>
    <w:tblPr>
      <w:tblStyleRowBandSize w:val="1"/>
      <w:tblStyleColBandSize w:val="1"/>
      <w:tblBorders>
        <w:top w:val="single" w:sz="24" w:space="0" w:color="31859B"/>
        <w:left w:val="single" w:sz="4" w:space="0" w:color="64B8CE"/>
        <w:bottom w:val="single" w:sz="4" w:space="0" w:color="64B8CE"/>
        <w:right w:val="single" w:sz="4" w:space="0" w:color="64B8CE"/>
        <w:insideH w:val="single" w:sz="4" w:space="0" w:color="FFFFFF"/>
        <w:insideV w:val="single" w:sz="4" w:space="0" w:color="FFFFFF"/>
      </w:tblBorders>
    </w:tblPr>
    <w:tcPr>
      <w:shd w:val="clear" w:color="auto" w:fill="EFF8FA"/>
    </w:tcPr>
    <w:tblStylePr w:type="firstRow">
      <w:rPr>
        <w:b/>
        <w:bCs/>
      </w:rPr>
      <w:tblPr/>
      <w:tcPr>
        <w:tcBorders>
          <w:top w:val="nil"/>
          <w:left w:val="nil"/>
          <w:bottom w:val="single" w:sz="24" w:space="0" w:color="31859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778B"/>
      </w:tcPr>
    </w:tblStylePr>
    <w:tblStylePr w:type="firstCol">
      <w:rPr>
        <w:color w:val="FFFFFF"/>
      </w:rPr>
      <w:tblPr/>
      <w:tcPr>
        <w:tcBorders>
          <w:top w:val="nil"/>
          <w:left w:val="nil"/>
          <w:bottom w:val="nil"/>
          <w:right w:val="nil"/>
          <w:insideH w:val="single" w:sz="4" w:space="0" w:color="2C778B"/>
          <w:insideV w:val="nil"/>
        </w:tcBorders>
        <w:shd w:val="clear" w:color="auto" w:fill="2C778B"/>
      </w:tcPr>
    </w:tblStylePr>
    <w:tblStylePr w:type="lastCol">
      <w:rPr>
        <w:color w:val="FFFFFF"/>
      </w:rPr>
      <w:tblPr/>
      <w:tcPr>
        <w:tcBorders>
          <w:top w:val="nil"/>
          <w:left w:val="nil"/>
          <w:bottom w:val="nil"/>
          <w:right w:val="nil"/>
          <w:insideH w:val="nil"/>
          <w:insideV w:val="nil"/>
        </w:tcBorders>
        <w:shd w:val="clear" w:color="auto" w:fill="2C778B"/>
      </w:tcPr>
    </w:tblStylePr>
    <w:tblStylePr w:type="band1Vert">
      <w:tblPr/>
      <w:tcPr>
        <w:shd w:val="clear" w:color="auto" w:fill="C0E2EB"/>
      </w:tcPr>
    </w:tblStylePr>
    <w:tblStylePr w:type="band1Horz">
      <w:tblPr/>
      <w:tcPr>
        <w:shd w:val="clear" w:color="auto" w:fill="B1DBE6"/>
      </w:tcPr>
    </w:tblStylePr>
    <w:tblStylePr w:type="neCell">
      <w:rPr>
        <w:color w:val="00728F"/>
      </w:rPr>
    </w:tblStylePr>
    <w:tblStylePr w:type="nwCell">
      <w:rPr>
        <w:color w:val="00728F"/>
      </w:rPr>
    </w:tblStylePr>
  </w:style>
  <w:style w:type="table" w:customStyle="1" w:styleId="DarkList1">
    <w:name w:val="Dark List1"/>
    <w:basedOn w:val="TableNormal"/>
    <w:uiPriority w:val="99"/>
    <w:semiHidden/>
    <w:rsid w:val="00361DEB"/>
    <w:rPr>
      <w:color w:val="FFFFFF"/>
    </w:rPr>
    <w:tblPr>
      <w:tblStyleRowBandSize w:val="1"/>
      <w:tblStyleColBandSize w:val="1"/>
    </w:tblPr>
    <w:tcPr>
      <w:shd w:val="clear" w:color="auto" w:fill="00728F"/>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003847"/>
      </w:tcPr>
    </w:tblStylePr>
    <w:tblStylePr w:type="firstCol">
      <w:tblPr/>
      <w:tcPr>
        <w:tcBorders>
          <w:top w:val="nil"/>
          <w:left w:val="nil"/>
          <w:bottom w:val="nil"/>
          <w:right w:val="single" w:sz="18" w:space="0" w:color="FFFFFF"/>
          <w:insideH w:val="nil"/>
          <w:insideV w:val="nil"/>
        </w:tcBorders>
        <w:shd w:val="clear" w:color="auto" w:fill="00556B"/>
      </w:tcPr>
    </w:tblStylePr>
    <w:tblStylePr w:type="lastCol">
      <w:tblPr/>
      <w:tcPr>
        <w:tcBorders>
          <w:top w:val="nil"/>
          <w:left w:val="single" w:sz="18" w:space="0" w:color="FFFFFF"/>
          <w:bottom w:val="nil"/>
          <w:right w:val="nil"/>
          <w:insideH w:val="nil"/>
          <w:insideV w:val="nil"/>
        </w:tcBorders>
        <w:shd w:val="clear" w:color="auto" w:fill="00556B"/>
      </w:tcPr>
    </w:tblStylePr>
    <w:tblStylePr w:type="band1Vert">
      <w:tblPr/>
      <w:tcPr>
        <w:tcBorders>
          <w:top w:val="nil"/>
          <w:left w:val="nil"/>
          <w:bottom w:val="nil"/>
          <w:right w:val="nil"/>
          <w:insideH w:val="nil"/>
          <w:insideV w:val="nil"/>
        </w:tcBorders>
        <w:shd w:val="clear" w:color="auto" w:fill="00556B"/>
      </w:tcPr>
    </w:tblStylePr>
    <w:tblStylePr w:type="band1Horz">
      <w:tblPr/>
      <w:tcPr>
        <w:tcBorders>
          <w:top w:val="nil"/>
          <w:left w:val="nil"/>
          <w:bottom w:val="nil"/>
          <w:right w:val="nil"/>
          <w:insideH w:val="nil"/>
          <w:insideV w:val="nil"/>
        </w:tcBorders>
        <w:shd w:val="clear" w:color="auto" w:fill="00556B"/>
      </w:tcPr>
    </w:tblStylePr>
  </w:style>
  <w:style w:type="table" w:styleId="DarkList-Accent1">
    <w:name w:val="Dark List Accent 1"/>
    <w:basedOn w:val="TableNormal"/>
    <w:uiPriority w:val="99"/>
    <w:semiHidden/>
    <w:rsid w:val="00361DEB"/>
    <w:rPr>
      <w:color w:val="FFFFFF"/>
    </w:rPr>
    <w:tblPr>
      <w:tblStyleRowBandSize w:val="1"/>
      <w:tblStyleColBandSize w:val="1"/>
    </w:tblPr>
    <w:tcPr>
      <w:shd w:val="clear" w:color="auto" w:fill="00728F"/>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003847"/>
      </w:tcPr>
    </w:tblStylePr>
    <w:tblStylePr w:type="firstCol">
      <w:tblPr/>
      <w:tcPr>
        <w:tcBorders>
          <w:top w:val="nil"/>
          <w:left w:val="nil"/>
          <w:bottom w:val="nil"/>
          <w:right w:val="single" w:sz="18" w:space="0" w:color="FFFFFF"/>
          <w:insideH w:val="nil"/>
          <w:insideV w:val="nil"/>
        </w:tcBorders>
        <w:shd w:val="clear" w:color="auto" w:fill="00556B"/>
      </w:tcPr>
    </w:tblStylePr>
    <w:tblStylePr w:type="lastCol">
      <w:tblPr/>
      <w:tcPr>
        <w:tcBorders>
          <w:top w:val="nil"/>
          <w:left w:val="single" w:sz="18" w:space="0" w:color="FFFFFF"/>
          <w:bottom w:val="nil"/>
          <w:right w:val="nil"/>
          <w:insideH w:val="nil"/>
          <w:insideV w:val="nil"/>
        </w:tcBorders>
        <w:shd w:val="clear" w:color="auto" w:fill="00556B"/>
      </w:tcPr>
    </w:tblStylePr>
    <w:tblStylePr w:type="band1Vert">
      <w:tblPr/>
      <w:tcPr>
        <w:tcBorders>
          <w:top w:val="nil"/>
          <w:left w:val="nil"/>
          <w:bottom w:val="nil"/>
          <w:right w:val="nil"/>
          <w:insideH w:val="nil"/>
          <w:insideV w:val="nil"/>
        </w:tcBorders>
        <w:shd w:val="clear" w:color="auto" w:fill="00556B"/>
      </w:tcPr>
    </w:tblStylePr>
    <w:tblStylePr w:type="band1Horz">
      <w:tblPr/>
      <w:tcPr>
        <w:tcBorders>
          <w:top w:val="nil"/>
          <w:left w:val="nil"/>
          <w:bottom w:val="nil"/>
          <w:right w:val="nil"/>
          <w:insideH w:val="nil"/>
          <w:insideV w:val="nil"/>
        </w:tcBorders>
        <w:shd w:val="clear" w:color="auto" w:fill="00556B"/>
      </w:tcPr>
    </w:tblStylePr>
  </w:style>
  <w:style w:type="table" w:styleId="DarkList-Accent2">
    <w:name w:val="Dark List Accent 2"/>
    <w:basedOn w:val="TableNormal"/>
    <w:uiPriority w:val="99"/>
    <w:semiHidden/>
    <w:rsid w:val="00361DEB"/>
    <w:rPr>
      <w:color w:val="FFFFFF"/>
    </w:rPr>
    <w:tblPr>
      <w:tblStyleRowBandSize w:val="1"/>
      <w:tblStyleColBandSize w:val="1"/>
    </w:tblPr>
    <w:tcPr>
      <w:shd w:val="clear" w:color="auto" w:fill="B7DDE8"/>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32849C"/>
      </w:tcPr>
    </w:tblStylePr>
    <w:tblStylePr w:type="firstCol">
      <w:tblPr/>
      <w:tcPr>
        <w:tcBorders>
          <w:top w:val="nil"/>
          <w:left w:val="nil"/>
          <w:bottom w:val="nil"/>
          <w:right w:val="single" w:sz="18" w:space="0" w:color="FFFFFF"/>
          <w:insideH w:val="nil"/>
          <w:insideV w:val="nil"/>
        </w:tcBorders>
        <w:shd w:val="clear" w:color="auto" w:fill="67B7CE"/>
      </w:tcPr>
    </w:tblStylePr>
    <w:tblStylePr w:type="lastCol">
      <w:tblPr/>
      <w:tcPr>
        <w:tcBorders>
          <w:top w:val="nil"/>
          <w:left w:val="single" w:sz="18" w:space="0" w:color="FFFFFF"/>
          <w:bottom w:val="nil"/>
          <w:right w:val="nil"/>
          <w:insideH w:val="nil"/>
          <w:insideV w:val="nil"/>
        </w:tcBorders>
        <w:shd w:val="clear" w:color="auto" w:fill="67B7CE"/>
      </w:tcPr>
    </w:tblStylePr>
    <w:tblStylePr w:type="band1Vert">
      <w:tblPr/>
      <w:tcPr>
        <w:tcBorders>
          <w:top w:val="nil"/>
          <w:left w:val="nil"/>
          <w:bottom w:val="nil"/>
          <w:right w:val="nil"/>
          <w:insideH w:val="nil"/>
          <w:insideV w:val="nil"/>
        </w:tcBorders>
        <w:shd w:val="clear" w:color="auto" w:fill="67B7CE"/>
      </w:tcPr>
    </w:tblStylePr>
    <w:tblStylePr w:type="band1Horz">
      <w:tblPr/>
      <w:tcPr>
        <w:tcBorders>
          <w:top w:val="nil"/>
          <w:left w:val="nil"/>
          <w:bottom w:val="nil"/>
          <w:right w:val="nil"/>
          <w:insideH w:val="nil"/>
          <w:insideV w:val="nil"/>
        </w:tcBorders>
        <w:shd w:val="clear" w:color="auto" w:fill="67B7CE"/>
      </w:tcPr>
    </w:tblStylePr>
  </w:style>
  <w:style w:type="table" w:styleId="DarkList-Accent3">
    <w:name w:val="Dark List Accent 3"/>
    <w:basedOn w:val="TableNormal"/>
    <w:uiPriority w:val="99"/>
    <w:semiHidden/>
    <w:rsid w:val="00361DEB"/>
    <w:rPr>
      <w:color w:val="FFFFFF"/>
    </w:rPr>
    <w:tblPr>
      <w:tblStyleRowBandSize w:val="1"/>
      <w:tblStyleColBandSize w:val="1"/>
    </w:tblPr>
    <w:tcPr>
      <w:shd w:val="clear" w:color="auto" w:fill="DBEEF3"/>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3994AC"/>
      </w:tcPr>
    </w:tblStylePr>
    <w:tblStylePr w:type="firstCol">
      <w:tblPr/>
      <w:tcPr>
        <w:tcBorders>
          <w:top w:val="nil"/>
          <w:left w:val="nil"/>
          <w:bottom w:val="nil"/>
          <w:right w:val="single" w:sz="18" w:space="0" w:color="FFFFFF"/>
          <w:insideH w:val="nil"/>
          <w:insideV w:val="nil"/>
        </w:tcBorders>
        <w:shd w:val="clear" w:color="auto" w:fill="84C4D6"/>
      </w:tcPr>
    </w:tblStylePr>
    <w:tblStylePr w:type="lastCol">
      <w:tblPr/>
      <w:tcPr>
        <w:tcBorders>
          <w:top w:val="nil"/>
          <w:left w:val="single" w:sz="18" w:space="0" w:color="FFFFFF"/>
          <w:bottom w:val="nil"/>
          <w:right w:val="nil"/>
          <w:insideH w:val="nil"/>
          <w:insideV w:val="nil"/>
        </w:tcBorders>
        <w:shd w:val="clear" w:color="auto" w:fill="84C4D6"/>
      </w:tcPr>
    </w:tblStylePr>
    <w:tblStylePr w:type="band1Vert">
      <w:tblPr/>
      <w:tcPr>
        <w:tcBorders>
          <w:top w:val="nil"/>
          <w:left w:val="nil"/>
          <w:bottom w:val="nil"/>
          <w:right w:val="nil"/>
          <w:insideH w:val="nil"/>
          <w:insideV w:val="nil"/>
        </w:tcBorders>
        <w:shd w:val="clear" w:color="auto" w:fill="84C4D6"/>
      </w:tcPr>
    </w:tblStylePr>
    <w:tblStylePr w:type="band1Horz">
      <w:tblPr/>
      <w:tcPr>
        <w:tcBorders>
          <w:top w:val="nil"/>
          <w:left w:val="nil"/>
          <w:bottom w:val="nil"/>
          <w:right w:val="nil"/>
          <w:insideH w:val="nil"/>
          <w:insideV w:val="nil"/>
        </w:tcBorders>
        <w:shd w:val="clear" w:color="auto" w:fill="84C4D6"/>
      </w:tcPr>
    </w:tblStylePr>
  </w:style>
  <w:style w:type="table" w:styleId="DarkList-Accent4">
    <w:name w:val="Dark List Accent 4"/>
    <w:basedOn w:val="TableNormal"/>
    <w:uiPriority w:val="99"/>
    <w:semiHidden/>
    <w:rsid w:val="00361DEB"/>
    <w:rPr>
      <w:color w:val="FFFFFF"/>
    </w:rPr>
    <w:tblPr>
      <w:tblStyleRowBandSize w:val="1"/>
      <w:tblStyleColBandSize w:val="1"/>
    </w:tblPr>
    <w:tcPr>
      <w:shd w:val="clear" w:color="auto" w:fill="92CDDC"/>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2C7689"/>
      </w:tcPr>
    </w:tblStylePr>
    <w:tblStylePr w:type="firstCol">
      <w:tblPr/>
      <w:tcPr>
        <w:tcBorders>
          <w:top w:val="nil"/>
          <w:left w:val="nil"/>
          <w:bottom w:val="nil"/>
          <w:right w:val="single" w:sz="18" w:space="0" w:color="FFFFFF"/>
          <w:insideH w:val="nil"/>
          <w:insideV w:val="nil"/>
        </w:tcBorders>
        <w:shd w:val="clear" w:color="auto" w:fill="4CACC5"/>
      </w:tcPr>
    </w:tblStylePr>
    <w:tblStylePr w:type="lastCol">
      <w:tblPr/>
      <w:tcPr>
        <w:tcBorders>
          <w:top w:val="nil"/>
          <w:left w:val="single" w:sz="18" w:space="0" w:color="FFFFFF"/>
          <w:bottom w:val="nil"/>
          <w:right w:val="nil"/>
          <w:insideH w:val="nil"/>
          <w:insideV w:val="nil"/>
        </w:tcBorders>
        <w:shd w:val="clear" w:color="auto" w:fill="4CACC5"/>
      </w:tcPr>
    </w:tblStylePr>
    <w:tblStylePr w:type="band1Vert">
      <w:tblPr/>
      <w:tcPr>
        <w:tcBorders>
          <w:top w:val="nil"/>
          <w:left w:val="nil"/>
          <w:bottom w:val="nil"/>
          <w:right w:val="nil"/>
          <w:insideH w:val="nil"/>
          <w:insideV w:val="nil"/>
        </w:tcBorders>
        <w:shd w:val="clear" w:color="auto" w:fill="4CACC5"/>
      </w:tcPr>
    </w:tblStylePr>
    <w:tblStylePr w:type="band1Horz">
      <w:tblPr/>
      <w:tcPr>
        <w:tcBorders>
          <w:top w:val="nil"/>
          <w:left w:val="nil"/>
          <w:bottom w:val="nil"/>
          <w:right w:val="nil"/>
          <w:insideH w:val="nil"/>
          <w:insideV w:val="nil"/>
        </w:tcBorders>
        <w:shd w:val="clear" w:color="auto" w:fill="4CACC5"/>
      </w:tcPr>
    </w:tblStylePr>
  </w:style>
  <w:style w:type="table" w:styleId="DarkList-Accent5">
    <w:name w:val="Dark List Accent 5"/>
    <w:basedOn w:val="TableNormal"/>
    <w:uiPriority w:val="99"/>
    <w:semiHidden/>
    <w:rsid w:val="00361DEB"/>
    <w:rPr>
      <w:color w:val="FFFFFF"/>
    </w:rPr>
    <w:tblPr>
      <w:tblStyleRowBandSize w:val="1"/>
      <w:tblStyleColBandSize w:val="1"/>
    </w:tblPr>
    <w:tcPr>
      <w:shd w:val="clear" w:color="auto" w:fill="31859B"/>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18414C"/>
      </w:tcPr>
    </w:tblStylePr>
    <w:tblStylePr w:type="firstCol">
      <w:tblPr/>
      <w:tcPr>
        <w:tcBorders>
          <w:top w:val="nil"/>
          <w:left w:val="nil"/>
          <w:bottom w:val="nil"/>
          <w:right w:val="single" w:sz="18" w:space="0" w:color="FFFFFF"/>
          <w:insideH w:val="nil"/>
          <w:insideV w:val="nil"/>
        </w:tcBorders>
        <w:shd w:val="clear" w:color="auto" w:fill="246373"/>
      </w:tcPr>
    </w:tblStylePr>
    <w:tblStylePr w:type="lastCol">
      <w:tblPr/>
      <w:tcPr>
        <w:tcBorders>
          <w:top w:val="nil"/>
          <w:left w:val="single" w:sz="18" w:space="0" w:color="FFFFFF"/>
          <w:bottom w:val="nil"/>
          <w:right w:val="nil"/>
          <w:insideH w:val="nil"/>
          <w:insideV w:val="nil"/>
        </w:tcBorders>
        <w:shd w:val="clear" w:color="auto" w:fill="246373"/>
      </w:tcPr>
    </w:tblStylePr>
    <w:tblStylePr w:type="band1Vert">
      <w:tblPr/>
      <w:tcPr>
        <w:tcBorders>
          <w:top w:val="nil"/>
          <w:left w:val="nil"/>
          <w:bottom w:val="nil"/>
          <w:right w:val="nil"/>
          <w:insideH w:val="nil"/>
          <w:insideV w:val="nil"/>
        </w:tcBorders>
        <w:shd w:val="clear" w:color="auto" w:fill="246373"/>
      </w:tcPr>
    </w:tblStylePr>
    <w:tblStylePr w:type="band1Horz">
      <w:tblPr/>
      <w:tcPr>
        <w:tcBorders>
          <w:top w:val="nil"/>
          <w:left w:val="nil"/>
          <w:bottom w:val="nil"/>
          <w:right w:val="nil"/>
          <w:insideH w:val="nil"/>
          <w:insideV w:val="nil"/>
        </w:tcBorders>
        <w:shd w:val="clear" w:color="auto" w:fill="246373"/>
      </w:tcPr>
    </w:tblStylePr>
  </w:style>
  <w:style w:type="table" w:styleId="DarkList-Accent6">
    <w:name w:val="Dark List Accent 6"/>
    <w:basedOn w:val="TableNormal"/>
    <w:uiPriority w:val="99"/>
    <w:semiHidden/>
    <w:rsid w:val="00361DEB"/>
    <w:rPr>
      <w:color w:val="FFFFFF"/>
    </w:rPr>
    <w:tblPr>
      <w:tblStyleRowBandSize w:val="1"/>
      <w:tblStyleColBandSize w:val="1"/>
    </w:tblPr>
    <w:tcPr>
      <w:shd w:val="clear" w:color="auto" w:fill="64B8CE"/>
    </w:tcPr>
    <w:tblStylePr w:type="firstRow">
      <w:rPr>
        <w:b/>
        <w:bCs/>
      </w:rPr>
      <w:tblPr/>
      <w:tcPr>
        <w:tcBorders>
          <w:top w:val="nil"/>
          <w:left w:val="nil"/>
          <w:bottom w:val="single" w:sz="18" w:space="0" w:color="FFFFFF"/>
          <w:right w:val="nil"/>
          <w:insideH w:val="nil"/>
          <w:insideV w:val="nil"/>
        </w:tcBorders>
        <w:shd w:val="clear" w:color="auto" w:fill="00728F"/>
      </w:tcPr>
    </w:tblStylePr>
    <w:tblStylePr w:type="lastRow">
      <w:tblPr/>
      <w:tcPr>
        <w:tcBorders>
          <w:top w:val="single" w:sz="18" w:space="0" w:color="FFFFFF"/>
          <w:left w:val="nil"/>
          <w:bottom w:val="nil"/>
          <w:right w:val="nil"/>
          <w:insideH w:val="nil"/>
          <w:insideV w:val="nil"/>
        </w:tcBorders>
        <w:shd w:val="clear" w:color="auto" w:fill="246373"/>
      </w:tcPr>
    </w:tblStylePr>
    <w:tblStylePr w:type="firstCol">
      <w:tblPr/>
      <w:tcPr>
        <w:tcBorders>
          <w:top w:val="nil"/>
          <w:left w:val="nil"/>
          <w:bottom w:val="nil"/>
          <w:right w:val="single" w:sz="18" w:space="0" w:color="FFFFFF"/>
          <w:insideH w:val="nil"/>
          <w:insideV w:val="nil"/>
        </w:tcBorders>
        <w:shd w:val="clear" w:color="auto" w:fill="3795AD"/>
      </w:tcPr>
    </w:tblStylePr>
    <w:tblStylePr w:type="lastCol">
      <w:tblPr/>
      <w:tcPr>
        <w:tcBorders>
          <w:top w:val="nil"/>
          <w:left w:val="single" w:sz="18" w:space="0" w:color="FFFFFF"/>
          <w:bottom w:val="nil"/>
          <w:right w:val="nil"/>
          <w:insideH w:val="nil"/>
          <w:insideV w:val="nil"/>
        </w:tcBorders>
        <w:shd w:val="clear" w:color="auto" w:fill="3795AD"/>
      </w:tcPr>
    </w:tblStylePr>
    <w:tblStylePr w:type="band1Vert">
      <w:tblPr/>
      <w:tcPr>
        <w:tcBorders>
          <w:top w:val="nil"/>
          <w:left w:val="nil"/>
          <w:bottom w:val="nil"/>
          <w:right w:val="nil"/>
          <w:insideH w:val="nil"/>
          <w:insideV w:val="nil"/>
        </w:tcBorders>
        <w:shd w:val="clear" w:color="auto" w:fill="3795AD"/>
      </w:tcPr>
    </w:tblStylePr>
    <w:tblStylePr w:type="band1Horz">
      <w:tblPr/>
      <w:tcPr>
        <w:tcBorders>
          <w:top w:val="nil"/>
          <w:left w:val="nil"/>
          <w:bottom w:val="nil"/>
          <w:right w:val="nil"/>
          <w:insideH w:val="nil"/>
          <w:insideV w:val="nil"/>
        </w:tcBorders>
        <w:shd w:val="clear" w:color="auto" w:fill="3795AD"/>
      </w:tcPr>
    </w:tblStylePr>
  </w:style>
  <w:style w:type="table" w:customStyle="1" w:styleId="LightGrid1">
    <w:name w:val="Light Grid1"/>
    <w:basedOn w:val="TableNormal"/>
    <w:uiPriority w:val="99"/>
    <w:semiHidden/>
    <w:rsid w:val="00361DEB"/>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blStylePr w:type="firstRow">
      <w:pPr>
        <w:spacing w:before="0" w:after="0" w:line="240" w:lineRule="auto"/>
      </w:pPr>
      <w:rPr>
        <w:rFonts w:ascii="Tahoma" w:eastAsia="Times New Roman" w:hAnsi="Tahoma" w:cs="Times New Roman"/>
        <w:b/>
        <w:bCs/>
      </w:rPr>
      <w:tblPr/>
      <w:tcPr>
        <w:tcBorders>
          <w:top w:val="single" w:sz="8" w:space="0" w:color="00728F"/>
          <w:left w:val="single" w:sz="8" w:space="0" w:color="00728F"/>
          <w:bottom w:val="single" w:sz="18" w:space="0" w:color="00728F"/>
          <w:right w:val="single" w:sz="8" w:space="0" w:color="00728F"/>
          <w:insideH w:val="nil"/>
          <w:insideV w:val="single" w:sz="8" w:space="0" w:color="00728F"/>
        </w:tcBorders>
      </w:tcPr>
    </w:tblStylePr>
    <w:tblStylePr w:type="lastRow">
      <w:pPr>
        <w:spacing w:before="0" w:after="0" w:line="240" w:lineRule="auto"/>
      </w:pPr>
      <w:rPr>
        <w:rFonts w:ascii="Tahoma" w:eastAsia="Times New Roman" w:hAnsi="Tahoma" w:cs="Times New Roman"/>
        <w:b/>
        <w:bCs/>
      </w:rPr>
      <w:tblPr/>
      <w:tcPr>
        <w:tcBorders>
          <w:top w:val="double" w:sz="6" w:space="0" w:color="00728F"/>
          <w:left w:val="single" w:sz="8" w:space="0" w:color="00728F"/>
          <w:bottom w:val="single" w:sz="8" w:space="0" w:color="00728F"/>
          <w:right w:val="single" w:sz="8" w:space="0" w:color="00728F"/>
          <w:insideH w:val="nil"/>
          <w:insideV w:val="single" w:sz="8" w:space="0" w:color="00728F"/>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728F"/>
          <w:left w:val="single" w:sz="8" w:space="0" w:color="00728F"/>
          <w:bottom w:val="single" w:sz="8" w:space="0" w:color="00728F"/>
          <w:right w:val="single" w:sz="8" w:space="0" w:color="00728F"/>
        </w:tcBorders>
      </w:tcPr>
    </w:tblStylePr>
    <w:tblStylePr w:type="band1Vert">
      <w:tblPr/>
      <w:tcPr>
        <w:tcBorders>
          <w:top w:val="single" w:sz="8" w:space="0" w:color="00728F"/>
          <w:left w:val="single" w:sz="8" w:space="0" w:color="00728F"/>
          <w:bottom w:val="single" w:sz="8" w:space="0" w:color="00728F"/>
          <w:right w:val="single" w:sz="8" w:space="0" w:color="00728F"/>
        </w:tcBorders>
        <w:shd w:val="clear" w:color="auto" w:fill="A4ECFF"/>
      </w:tcPr>
    </w:tblStylePr>
    <w:tblStylePr w:type="band1Horz">
      <w:tblPr/>
      <w:tcPr>
        <w:tcBorders>
          <w:top w:val="single" w:sz="8" w:space="0" w:color="00728F"/>
          <w:left w:val="single" w:sz="8" w:space="0" w:color="00728F"/>
          <w:bottom w:val="single" w:sz="8" w:space="0" w:color="00728F"/>
          <w:right w:val="single" w:sz="8" w:space="0" w:color="00728F"/>
          <w:insideV w:val="single" w:sz="8" w:space="0" w:color="00728F"/>
        </w:tcBorders>
        <w:shd w:val="clear" w:color="auto" w:fill="A4ECFF"/>
      </w:tcPr>
    </w:tblStylePr>
    <w:tblStylePr w:type="band2Horz">
      <w:tblPr/>
      <w:tcPr>
        <w:tcBorders>
          <w:top w:val="single" w:sz="8" w:space="0" w:color="00728F"/>
          <w:left w:val="single" w:sz="8" w:space="0" w:color="00728F"/>
          <w:bottom w:val="single" w:sz="8" w:space="0" w:color="00728F"/>
          <w:right w:val="single" w:sz="8" w:space="0" w:color="00728F"/>
          <w:insideV w:val="single" w:sz="8" w:space="0" w:color="00728F"/>
        </w:tcBorders>
      </w:tcPr>
    </w:tblStylePr>
  </w:style>
  <w:style w:type="table" w:customStyle="1" w:styleId="LightGrid-Accent11">
    <w:name w:val="Light Grid - Accent 11"/>
    <w:basedOn w:val="TableNormal"/>
    <w:uiPriority w:val="99"/>
    <w:semiHidden/>
    <w:rsid w:val="00361DEB"/>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blStylePr w:type="firstRow">
      <w:pPr>
        <w:spacing w:before="0" w:after="0" w:line="240" w:lineRule="auto"/>
      </w:pPr>
      <w:rPr>
        <w:rFonts w:ascii="Tahoma" w:eastAsia="Times New Roman" w:hAnsi="Tahoma" w:cs="Times New Roman"/>
        <w:b/>
        <w:bCs/>
      </w:rPr>
      <w:tblPr/>
      <w:tcPr>
        <w:tcBorders>
          <w:top w:val="single" w:sz="8" w:space="0" w:color="00728F"/>
          <w:left w:val="single" w:sz="8" w:space="0" w:color="00728F"/>
          <w:bottom w:val="single" w:sz="18" w:space="0" w:color="00728F"/>
          <w:right w:val="single" w:sz="8" w:space="0" w:color="00728F"/>
          <w:insideH w:val="nil"/>
          <w:insideV w:val="single" w:sz="8" w:space="0" w:color="00728F"/>
        </w:tcBorders>
      </w:tcPr>
    </w:tblStylePr>
    <w:tblStylePr w:type="lastRow">
      <w:pPr>
        <w:spacing w:before="0" w:after="0" w:line="240" w:lineRule="auto"/>
      </w:pPr>
      <w:rPr>
        <w:rFonts w:ascii="Tahoma" w:eastAsia="Times New Roman" w:hAnsi="Tahoma" w:cs="Times New Roman"/>
        <w:b/>
        <w:bCs/>
      </w:rPr>
      <w:tblPr/>
      <w:tcPr>
        <w:tcBorders>
          <w:top w:val="double" w:sz="6" w:space="0" w:color="00728F"/>
          <w:left w:val="single" w:sz="8" w:space="0" w:color="00728F"/>
          <w:bottom w:val="single" w:sz="8" w:space="0" w:color="00728F"/>
          <w:right w:val="single" w:sz="8" w:space="0" w:color="00728F"/>
          <w:insideH w:val="nil"/>
          <w:insideV w:val="single" w:sz="8" w:space="0" w:color="00728F"/>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728F"/>
          <w:left w:val="single" w:sz="8" w:space="0" w:color="00728F"/>
          <w:bottom w:val="single" w:sz="8" w:space="0" w:color="00728F"/>
          <w:right w:val="single" w:sz="8" w:space="0" w:color="00728F"/>
        </w:tcBorders>
      </w:tcPr>
    </w:tblStylePr>
    <w:tblStylePr w:type="band1Vert">
      <w:tblPr/>
      <w:tcPr>
        <w:tcBorders>
          <w:top w:val="single" w:sz="8" w:space="0" w:color="00728F"/>
          <w:left w:val="single" w:sz="8" w:space="0" w:color="00728F"/>
          <w:bottom w:val="single" w:sz="8" w:space="0" w:color="00728F"/>
          <w:right w:val="single" w:sz="8" w:space="0" w:color="00728F"/>
        </w:tcBorders>
        <w:shd w:val="clear" w:color="auto" w:fill="A4ECFF"/>
      </w:tcPr>
    </w:tblStylePr>
    <w:tblStylePr w:type="band1Horz">
      <w:tblPr/>
      <w:tcPr>
        <w:tcBorders>
          <w:top w:val="single" w:sz="8" w:space="0" w:color="00728F"/>
          <w:left w:val="single" w:sz="8" w:space="0" w:color="00728F"/>
          <w:bottom w:val="single" w:sz="8" w:space="0" w:color="00728F"/>
          <w:right w:val="single" w:sz="8" w:space="0" w:color="00728F"/>
          <w:insideV w:val="single" w:sz="8" w:space="0" w:color="00728F"/>
        </w:tcBorders>
        <w:shd w:val="clear" w:color="auto" w:fill="A4ECFF"/>
      </w:tcPr>
    </w:tblStylePr>
    <w:tblStylePr w:type="band2Horz">
      <w:tblPr/>
      <w:tcPr>
        <w:tcBorders>
          <w:top w:val="single" w:sz="8" w:space="0" w:color="00728F"/>
          <w:left w:val="single" w:sz="8" w:space="0" w:color="00728F"/>
          <w:bottom w:val="single" w:sz="8" w:space="0" w:color="00728F"/>
          <w:right w:val="single" w:sz="8" w:space="0" w:color="00728F"/>
          <w:insideV w:val="single" w:sz="8" w:space="0" w:color="00728F"/>
        </w:tcBorders>
      </w:tcPr>
    </w:tblStylePr>
  </w:style>
  <w:style w:type="table" w:styleId="LightGrid-Accent2">
    <w:name w:val="Light Grid Accent 2"/>
    <w:basedOn w:val="TableNormal"/>
    <w:uiPriority w:val="99"/>
    <w:semiHidden/>
    <w:rsid w:val="00361DEB"/>
    <w:tblPr>
      <w:tblStyleRowBandSize w:val="1"/>
      <w:tblStyleColBandSize w:val="1"/>
      <w:tblBorders>
        <w:top w:val="single" w:sz="8" w:space="0" w:color="B7DDE8"/>
        <w:left w:val="single" w:sz="8" w:space="0" w:color="B7DDE8"/>
        <w:bottom w:val="single" w:sz="8" w:space="0" w:color="B7DDE8"/>
        <w:right w:val="single" w:sz="8" w:space="0" w:color="B7DDE8"/>
        <w:insideH w:val="single" w:sz="8" w:space="0" w:color="B7DDE8"/>
        <w:insideV w:val="single" w:sz="8" w:space="0" w:color="B7DDE8"/>
      </w:tblBorders>
    </w:tblPr>
    <w:tblStylePr w:type="firstRow">
      <w:pPr>
        <w:spacing w:before="0" w:after="0" w:line="240" w:lineRule="auto"/>
      </w:pPr>
      <w:rPr>
        <w:rFonts w:ascii="Tahoma" w:eastAsia="Times New Roman" w:hAnsi="Tahoma" w:cs="Times New Roman"/>
        <w:b/>
        <w:bCs/>
      </w:rPr>
      <w:tblPr/>
      <w:tcPr>
        <w:tcBorders>
          <w:top w:val="single" w:sz="8" w:space="0" w:color="B7DDE8"/>
          <w:left w:val="single" w:sz="8" w:space="0" w:color="B7DDE8"/>
          <w:bottom w:val="single" w:sz="18" w:space="0" w:color="B7DDE8"/>
          <w:right w:val="single" w:sz="8" w:space="0" w:color="B7DDE8"/>
          <w:insideH w:val="nil"/>
          <w:insideV w:val="single" w:sz="8" w:space="0" w:color="B7DDE8"/>
        </w:tcBorders>
      </w:tcPr>
    </w:tblStylePr>
    <w:tblStylePr w:type="lastRow">
      <w:pPr>
        <w:spacing w:before="0" w:after="0" w:line="240" w:lineRule="auto"/>
      </w:pPr>
      <w:rPr>
        <w:rFonts w:ascii="Tahoma" w:eastAsia="Times New Roman" w:hAnsi="Tahoma" w:cs="Times New Roman"/>
        <w:b/>
        <w:bCs/>
      </w:rPr>
      <w:tblPr/>
      <w:tcPr>
        <w:tcBorders>
          <w:top w:val="double" w:sz="6" w:space="0" w:color="B7DDE8"/>
          <w:left w:val="single" w:sz="8" w:space="0" w:color="B7DDE8"/>
          <w:bottom w:val="single" w:sz="8" w:space="0" w:color="B7DDE8"/>
          <w:right w:val="single" w:sz="8" w:space="0" w:color="B7DDE8"/>
          <w:insideH w:val="nil"/>
          <w:insideV w:val="single" w:sz="8" w:space="0" w:color="B7DDE8"/>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7DDE8"/>
          <w:left w:val="single" w:sz="8" w:space="0" w:color="B7DDE8"/>
          <w:bottom w:val="single" w:sz="8" w:space="0" w:color="B7DDE8"/>
          <w:right w:val="single" w:sz="8" w:space="0" w:color="B7DDE8"/>
        </w:tcBorders>
      </w:tcPr>
    </w:tblStylePr>
    <w:tblStylePr w:type="band1Vert">
      <w:tblPr/>
      <w:tcPr>
        <w:tcBorders>
          <w:top w:val="single" w:sz="8" w:space="0" w:color="B7DDE8"/>
          <w:left w:val="single" w:sz="8" w:space="0" w:color="B7DDE8"/>
          <w:bottom w:val="single" w:sz="8" w:space="0" w:color="B7DDE8"/>
          <w:right w:val="single" w:sz="8" w:space="0" w:color="B7DDE8"/>
        </w:tcBorders>
        <w:shd w:val="clear" w:color="auto" w:fill="EDF6F9"/>
      </w:tcPr>
    </w:tblStylePr>
    <w:tblStylePr w:type="band1Horz">
      <w:tblPr/>
      <w:tcPr>
        <w:tcBorders>
          <w:top w:val="single" w:sz="8" w:space="0" w:color="B7DDE8"/>
          <w:left w:val="single" w:sz="8" w:space="0" w:color="B7DDE8"/>
          <w:bottom w:val="single" w:sz="8" w:space="0" w:color="B7DDE8"/>
          <w:right w:val="single" w:sz="8" w:space="0" w:color="B7DDE8"/>
          <w:insideV w:val="single" w:sz="8" w:space="0" w:color="B7DDE8"/>
        </w:tcBorders>
        <w:shd w:val="clear" w:color="auto" w:fill="EDF6F9"/>
      </w:tcPr>
    </w:tblStylePr>
    <w:tblStylePr w:type="band2Horz">
      <w:tblPr/>
      <w:tcPr>
        <w:tcBorders>
          <w:top w:val="single" w:sz="8" w:space="0" w:color="B7DDE8"/>
          <w:left w:val="single" w:sz="8" w:space="0" w:color="B7DDE8"/>
          <w:bottom w:val="single" w:sz="8" w:space="0" w:color="B7DDE8"/>
          <w:right w:val="single" w:sz="8" w:space="0" w:color="B7DDE8"/>
          <w:insideV w:val="single" w:sz="8" w:space="0" w:color="B7DDE8"/>
        </w:tcBorders>
      </w:tcPr>
    </w:tblStylePr>
  </w:style>
  <w:style w:type="table" w:styleId="LightGrid-Accent3">
    <w:name w:val="Light Grid Accent 3"/>
    <w:basedOn w:val="TableNormal"/>
    <w:uiPriority w:val="99"/>
    <w:semiHidden/>
    <w:rsid w:val="00361DEB"/>
    <w:tblPr>
      <w:tblStyleRowBandSize w:val="1"/>
      <w:tblStyleColBandSize w:val="1"/>
      <w:tblBorders>
        <w:top w:val="single" w:sz="8" w:space="0" w:color="DBEEF3"/>
        <w:left w:val="single" w:sz="8" w:space="0" w:color="DBEEF3"/>
        <w:bottom w:val="single" w:sz="8" w:space="0" w:color="DBEEF3"/>
        <w:right w:val="single" w:sz="8" w:space="0" w:color="DBEEF3"/>
        <w:insideH w:val="single" w:sz="8" w:space="0" w:color="DBEEF3"/>
        <w:insideV w:val="single" w:sz="8" w:space="0" w:color="DBEEF3"/>
      </w:tblBorders>
    </w:tblPr>
    <w:tblStylePr w:type="firstRow">
      <w:pPr>
        <w:spacing w:before="0" w:after="0" w:line="240" w:lineRule="auto"/>
      </w:pPr>
      <w:rPr>
        <w:rFonts w:ascii="Tahoma" w:eastAsia="Times New Roman" w:hAnsi="Tahoma" w:cs="Times New Roman"/>
        <w:b/>
        <w:bCs/>
      </w:rPr>
      <w:tblPr/>
      <w:tcPr>
        <w:tcBorders>
          <w:top w:val="single" w:sz="8" w:space="0" w:color="DBEEF3"/>
          <w:left w:val="single" w:sz="8" w:space="0" w:color="DBEEF3"/>
          <w:bottom w:val="single" w:sz="18" w:space="0" w:color="DBEEF3"/>
          <w:right w:val="single" w:sz="8" w:space="0" w:color="DBEEF3"/>
          <w:insideH w:val="nil"/>
          <w:insideV w:val="single" w:sz="8" w:space="0" w:color="DBEEF3"/>
        </w:tcBorders>
      </w:tcPr>
    </w:tblStylePr>
    <w:tblStylePr w:type="lastRow">
      <w:pPr>
        <w:spacing w:before="0" w:after="0" w:line="240" w:lineRule="auto"/>
      </w:pPr>
      <w:rPr>
        <w:rFonts w:ascii="Tahoma" w:eastAsia="Times New Roman" w:hAnsi="Tahoma" w:cs="Times New Roman"/>
        <w:b/>
        <w:bCs/>
      </w:rPr>
      <w:tblPr/>
      <w:tcPr>
        <w:tcBorders>
          <w:top w:val="double" w:sz="6" w:space="0" w:color="DBEEF3"/>
          <w:left w:val="single" w:sz="8" w:space="0" w:color="DBEEF3"/>
          <w:bottom w:val="single" w:sz="8" w:space="0" w:color="DBEEF3"/>
          <w:right w:val="single" w:sz="8" w:space="0" w:color="DBEEF3"/>
          <w:insideH w:val="nil"/>
          <w:insideV w:val="single" w:sz="8" w:space="0" w:color="DBEEF3"/>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DBEEF3"/>
          <w:left w:val="single" w:sz="8" w:space="0" w:color="DBEEF3"/>
          <w:bottom w:val="single" w:sz="8" w:space="0" w:color="DBEEF3"/>
          <w:right w:val="single" w:sz="8" w:space="0" w:color="DBEEF3"/>
        </w:tcBorders>
      </w:tcPr>
    </w:tblStylePr>
    <w:tblStylePr w:type="band1Vert">
      <w:tblPr/>
      <w:tcPr>
        <w:tcBorders>
          <w:top w:val="single" w:sz="8" w:space="0" w:color="DBEEF3"/>
          <w:left w:val="single" w:sz="8" w:space="0" w:color="DBEEF3"/>
          <w:bottom w:val="single" w:sz="8" w:space="0" w:color="DBEEF3"/>
          <w:right w:val="single" w:sz="8" w:space="0" w:color="DBEEF3"/>
        </w:tcBorders>
        <w:shd w:val="clear" w:color="auto" w:fill="F6FAFC"/>
      </w:tcPr>
    </w:tblStylePr>
    <w:tblStylePr w:type="band1Horz">
      <w:tblPr/>
      <w:tcPr>
        <w:tcBorders>
          <w:top w:val="single" w:sz="8" w:space="0" w:color="DBEEF3"/>
          <w:left w:val="single" w:sz="8" w:space="0" w:color="DBEEF3"/>
          <w:bottom w:val="single" w:sz="8" w:space="0" w:color="DBEEF3"/>
          <w:right w:val="single" w:sz="8" w:space="0" w:color="DBEEF3"/>
          <w:insideV w:val="single" w:sz="8" w:space="0" w:color="DBEEF3"/>
        </w:tcBorders>
        <w:shd w:val="clear" w:color="auto" w:fill="F6FAFC"/>
      </w:tcPr>
    </w:tblStylePr>
    <w:tblStylePr w:type="band2Horz">
      <w:tblPr/>
      <w:tcPr>
        <w:tcBorders>
          <w:top w:val="single" w:sz="8" w:space="0" w:color="DBEEF3"/>
          <w:left w:val="single" w:sz="8" w:space="0" w:color="DBEEF3"/>
          <w:bottom w:val="single" w:sz="8" w:space="0" w:color="DBEEF3"/>
          <w:right w:val="single" w:sz="8" w:space="0" w:color="DBEEF3"/>
          <w:insideV w:val="single" w:sz="8" w:space="0" w:color="DBEEF3"/>
        </w:tcBorders>
      </w:tcPr>
    </w:tblStylePr>
  </w:style>
  <w:style w:type="table" w:styleId="LightGrid-Accent4">
    <w:name w:val="Light Grid Accent 4"/>
    <w:basedOn w:val="TableNormal"/>
    <w:uiPriority w:val="99"/>
    <w:semiHidden/>
    <w:rsid w:val="00361DEB"/>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blStylePr w:type="firstRow">
      <w:pPr>
        <w:spacing w:before="0" w:after="0" w:line="240" w:lineRule="auto"/>
      </w:pPr>
      <w:rPr>
        <w:rFonts w:ascii="Tahoma" w:eastAsia="Times New Roman" w:hAnsi="Tahoma" w:cs="Times New Roman"/>
        <w:b/>
        <w:bCs/>
      </w:rPr>
      <w:tblPr/>
      <w:tcPr>
        <w:tcBorders>
          <w:top w:val="single" w:sz="8" w:space="0" w:color="92CDDC"/>
          <w:left w:val="single" w:sz="8" w:space="0" w:color="92CDDC"/>
          <w:bottom w:val="single" w:sz="18" w:space="0" w:color="92CDDC"/>
          <w:right w:val="single" w:sz="8" w:space="0" w:color="92CDDC"/>
          <w:insideH w:val="nil"/>
          <w:insideV w:val="single" w:sz="8" w:space="0" w:color="92CDDC"/>
        </w:tcBorders>
      </w:tcPr>
    </w:tblStylePr>
    <w:tblStylePr w:type="lastRow">
      <w:pPr>
        <w:spacing w:before="0" w:after="0" w:line="240" w:lineRule="auto"/>
      </w:pPr>
      <w:rPr>
        <w:rFonts w:ascii="Tahoma" w:eastAsia="Times New Roman" w:hAnsi="Tahoma" w:cs="Times New Roman"/>
        <w:b/>
        <w:bCs/>
      </w:rPr>
      <w:tblPr/>
      <w:tcPr>
        <w:tcBorders>
          <w:top w:val="double" w:sz="6" w:space="0" w:color="92CDDC"/>
          <w:left w:val="single" w:sz="8" w:space="0" w:color="92CDDC"/>
          <w:bottom w:val="single" w:sz="8" w:space="0" w:color="92CDDC"/>
          <w:right w:val="single" w:sz="8" w:space="0" w:color="92CDDC"/>
          <w:insideH w:val="nil"/>
          <w:insideV w:val="single" w:sz="8" w:space="0" w:color="92CDDC"/>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2CDDC"/>
          <w:left w:val="single" w:sz="8" w:space="0" w:color="92CDDC"/>
          <w:bottom w:val="single" w:sz="8" w:space="0" w:color="92CDDC"/>
          <w:right w:val="single" w:sz="8" w:space="0" w:color="92CDDC"/>
        </w:tcBorders>
      </w:tcPr>
    </w:tblStylePr>
    <w:tblStylePr w:type="band1Vert">
      <w:tblPr/>
      <w:tcPr>
        <w:tcBorders>
          <w:top w:val="single" w:sz="8" w:space="0" w:color="92CDDC"/>
          <w:left w:val="single" w:sz="8" w:space="0" w:color="92CDDC"/>
          <w:bottom w:val="single" w:sz="8" w:space="0" w:color="92CDDC"/>
          <w:right w:val="single" w:sz="8" w:space="0" w:color="92CDDC"/>
        </w:tcBorders>
        <w:shd w:val="clear" w:color="auto" w:fill="E4F2F6"/>
      </w:tcPr>
    </w:tblStylePr>
    <w:tblStylePr w:type="band1Horz">
      <w:tblPr/>
      <w:tcPr>
        <w:tcBorders>
          <w:top w:val="single" w:sz="8" w:space="0" w:color="92CDDC"/>
          <w:left w:val="single" w:sz="8" w:space="0" w:color="92CDDC"/>
          <w:bottom w:val="single" w:sz="8" w:space="0" w:color="92CDDC"/>
          <w:right w:val="single" w:sz="8" w:space="0" w:color="92CDDC"/>
          <w:insideV w:val="single" w:sz="8" w:space="0" w:color="92CDDC"/>
        </w:tcBorders>
        <w:shd w:val="clear" w:color="auto" w:fill="E4F2F6"/>
      </w:tcPr>
    </w:tblStylePr>
    <w:tblStylePr w:type="band2Horz">
      <w:tblPr/>
      <w:tcPr>
        <w:tcBorders>
          <w:top w:val="single" w:sz="8" w:space="0" w:color="92CDDC"/>
          <w:left w:val="single" w:sz="8" w:space="0" w:color="92CDDC"/>
          <w:bottom w:val="single" w:sz="8" w:space="0" w:color="92CDDC"/>
          <w:right w:val="single" w:sz="8" w:space="0" w:color="92CDDC"/>
          <w:insideV w:val="single" w:sz="8" w:space="0" w:color="92CDDC"/>
        </w:tcBorders>
      </w:tcPr>
    </w:tblStylePr>
  </w:style>
  <w:style w:type="table" w:styleId="LightGrid-Accent5">
    <w:name w:val="Light Grid Accent 5"/>
    <w:basedOn w:val="TableNormal"/>
    <w:uiPriority w:val="99"/>
    <w:semiHidden/>
    <w:rsid w:val="00361DEB"/>
    <w:tblPr>
      <w:tblStyleRowBandSize w:val="1"/>
      <w:tblStyleColBandSize w:val="1"/>
      <w:tblBorders>
        <w:top w:val="single" w:sz="8" w:space="0" w:color="31859B"/>
        <w:left w:val="single" w:sz="8" w:space="0" w:color="31859B"/>
        <w:bottom w:val="single" w:sz="8" w:space="0" w:color="31859B"/>
        <w:right w:val="single" w:sz="8" w:space="0" w:color="31859B"/>
        <w:insideH w:val="single" w:sz="8" w:space="0" w:color="31859B"/>
        <w:insideV w:val="single" w:sz="8" w:space="0" w:color="31859B"/>
      </w:tblBorders>
    </w:tblPr>
    <w:tblStylePr w:type="firstRow">
      <w:pPr>
        <w:spacing w:before="0" w:after="0" w:line="240" w:lineRule="auto"/>
      </w:pPr>
      <w:rPr>
        <w:rFonts w:ascii="Tahoma" w:eastAsia="Times New Roman" w:hAnsi="Tahoma" w:cs="Times New Roman"/>
        <w:b/>
        <w:bCs/>
      </w:rPr>
      <w:tblPr/>
      <w:tcPr>
        <w:tcBorders>
          <w:top w:val="single" w:sz="8" w:space="0" w:color="31859B"/>
          <w:left w:val="single" w:sz="8" w:space="0" w:color="31859B"/>
          <w:bottom w:val="single" w:sz="18" w:space="0" w:color="31859B"/>
          <w:right w:val="single" w:sz="8" w:space="0" w:color="31859B"/>
          <w:insideH w:val="nil"/>
          <w:insideV w:val="single" w:sz="8" w:space="0" w:color="31859B"/>
        </w:tcBorders>
      </w:tcPr>
    </w:tblStylePr>
    <w:tblStylePr w:type="lastRow">
      <w:pPr>
        <w:spacing w:before="0" w:after="0" w:line="240" w:lineRule="auto"/>
      </w:pPr>
      <w:rPr>
        <w:rFonts w:ascii="Tahoma" w:eastAsia="Times New Roman" w:hAnsi="Tahoma" w:cs="Times New Roman"/>
        <w:b/>
        <w:bCs/>
      </w:rPr>
      <w:tblPr/>
      <w:tcPr>
        <w:tcBorders>
          <w:top w:val="double" w:sz="6" w:space="0" w:color="31859B"/>
          <w:left w:val="single" w:sz="8" w:space="0" w:color="31859B"/>
          <w:bottom w:val="single" w:sz="8" w:space="0" w:color="31859B"/>
          <w:right w:val="single" w:sz="8" w:space="0" w:color="31859B"/>
          <w:insideH w:val="nil"/>
          <w:insideV w:val="single" w:sz="8" w:space="0" w:color="31859B"/>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31859B"/>
          <w:left w:val="single" w:sz="8" w:space="0" w:color="31859B"/>
          <w:bottom w:val="single" w:sz="8" w:space="0" w:color="31859B"/>
          <w:right w:val="single" w:sz="8" w:space="0" w:color="31859B"/>
        </w:tcBorders>
      </w:tcPr>
    </w:tblStylePr>
    <w:tblStylePr w:type="band1Vert">
      <w:tblPr/>
      <w:tcPr>
        <w:tcBorders>
          <w:top w:val="single" w:sz="8" w:space="0" w:color="31859B"/>
          <w:left w:val="single" w:sz="8" w:space="0" w:color="31859B"/>
          <w:bottom w:val="single" w:sz="8" w:space="0" w:color="31859B"/>
          <w:right w:val="single" w:sz="8" w:space="0" w:color="31859B"/>
        </w:tcBorders>
        <w:shd w:val="clear" w:color="auto" w:fill="C5E4EC"/>
      </w:tcPr>
    </w:tblStylePr>
    <w:tblStylePr w:type="band1Horz">
      <w:tblPr/>
      <w:tcPr>
        <w:tcBorders>
          <w:top w:val="single" w:sz="8" w:space="0" w:color="31859B"/>
          <w:left w:val="single" w:sz="8" w:space="0" w:color="31859B"/>
          <w:bottom w:val="single" w:sz="8" w:space="0" w:color="31859B"/>
          <w:right w:val="single" w:sz="8" w:space="0" w:color="31859B"/>
          <w:insideV w:val="single" w:sz="8" w:space="0" w:color="31859B"/>
        </w:tcBorders>
        <w:shd w:val="clear" w:color="auto" w:fill="C5E4EC"/>
      </w:tcPr>
    </w:tblStylePr>
    <w:tblStylePr w:type="band2Horz">
      <w:tblPr/>
      <w:tcPr>
        <w:tcBorders>
          <w:top w:val="single" w:sz="8" w:space="0" w:color="31859B"/>
          <w:left w:val="single" w:sz="8" w:space="0" w:color="31859B"/>
          <w:bottom w:val="single" w:sz="8" w:space="0" w:color="31859B"/>
          <w:right w:val="single" w:sz="8" w:space="0" w:color="31859B"/>
          <w:insideV w:val="single" w:sz="8" w:space="0" w:color="31859B"/>
        </w:tcBorders>
      </w:tcPr>
    </w:tblStylePr>
  </w:style>
  <w:style w:type="table" w:styleId="LightGrid-Accent6">
    <w:name w:val="Light Grid Accent 6"/>
    <w:basedOn w:val="TableNormal"/>
    <w:uiPriority w:val="99"/>
    <w:semiHidden/>
    <w:rsid w:val="00361DEB"/>
    <w:tblPr>
      <w:tblStyleRowBandSize w:val="1"/>
      <w:tblStyleColBandSize w:val="1"/>
      <w:tblBorders>
        <w:top w:val="single" w:sz="8" w:space="0" w:color="64B8CE"/>
        <w:left w:val="single" w:sz="8" w:space="0" w:color="64B8CE"/>
        <w:bottom w:val="single" w:sz="8" w:space="0" w:color="64B8CE"/>
        <w:right w:val="single" w:sz="8" w:space="0" w:color="64B8CE"/>
        <w:insideH w:val="single" w:sz="8" w:space="0" w:color="64B8CE"/>
        <w:insideV w:val="single" w:sz="8" w:space="0" w:color="64B8CE"/>
      </w:tblBorders>
    </w:tblPr>
    <w:tblStylePr w:type="firstRow">
      <w:pPr>
        <w:spacing w:before="0" w:after="0" w:line="240" w:lineRule="auto"/>
      </w:pPr>
      <w:rPr>
        <w:rFonts w:ascii="Tahoma" w:eastAsia="Times New Roman" w:hAnsi="Tahoma" w:cs="Times New Roman"/>
        <w:b/>
        <w:bCs/>
      </w:rPr>
      <w:tblPr/>
      <w:tcPr>
        <w:tcBorders>
          <w:top w:val="single" w:sz="8" w:space="0" w:color="64B8CE"/>
          <w:left w:val="single" w:sz="8" w:space="0" w:color="64B8CE"/>
          <w:bottom w:val="single" w:sz="18" w:space="0" w:color="64B8CE"/>
          <w:right w:val="single" w:sz="8" w:space="0" w:color="64B8CE"/>
          <w:insideH w:val="nil"/>
          <w:insideV w:val="single" w:sz="8" w:space="0" w:color="64B8CE"/>
        </w:tcBorders>
      </w:tcPr>
    </w:tblStylePr>
    <w:tblStylePr w:type="lastRow">
      <w:pPr>
        <w:spacing w:before="0" w:after="0" w:line="240" w:lineRule="auto"/>
      </w:pPr>
      <w:rPr>
        <w:rFonts w:ascii="Tahoma" w:eastAsia="Times New Roman" w:hAnsi="Tahoma" w:cs="Times New Roman"/>
        <w:b/>
        <w:bCs/>
      </w:rPr>
      <w:tblPr/>
      <w:tcPr>
        <w:tcBorders>
          <w:top w:val="double" w:sz="6" w:space="0" w:color="64B8CE"/>
          <w:left w:val="single" w:sz="8" w:space="0" w:color="64B8CE"/>
          <w:bottom w:val="single" w:sz="8" w:space="0" w:color="64B8CE"/>
          <w:right w:val="single" w:sz="8" w:space="0" w:color="64B8CE"/>
          <w:insideH w:val="nil"/>
          <w:insideV w:val="single" w:sz="8" w:space="0" w:color="64B8CE"/>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64B8CE"/>
          <w:left w:val="single" w:sz="8" w:space="0" w:color="64B8CE"/>
          <w:bottom w:val="single" w:sz="8" w:space="0" w:color="64B8CE"/>
          <w:right w:val="single" w:sz="8" w:space="0" w:color="64B8CE"/>
        </w:tcBorders>
      </w:tcPr>
    </w:tblStylePr>
    <w:tblStylePr w:type="band1Vert">
      <w:tblPr/>
      <w:tcPr>
        <w:tcBorders>
          <w:top w:val="single" w:sz="8" w:space="0" w:color="64B8CE"/>
          <w:left w:val="single" w:sz="8" w:space="0" w:color="64B8CE"/>
          <w:bottom w:val="single" w:sz="8" w:space="0" w:color="64B8CE"/>
          <w:right w:val="single" w:sz="8" w:space="0" w:color="64B8CE"/>
        </w:tcBorders>
        <w:shd w:val="clear" w:color="auto" w:fill="D8EDF2"/>
      </w:tcPr>
    </w:tblStylePr>
    <w:tblStylePr w:type="band1Horz">
      <w:tblPr/>
      <w:tcPr>
        <w:tcBorders>
          <w:top w:val="single" w:sz="8" w:space="0" w:color="64B8CE"/>
          <w:left w:val="single" w:sz="8" w:space="0" w:color="64B8CE"/>
          <w:bottom w:val="single" w:sz="8" w:space="0" w:color="64B8CE"/>
          <w:right w:val="single" w:sz="8" w:space="0" w:color="64B8CE"/>
          <w:insideV w:val="single" w:sz="8" w:space="0" w:color="64B8CE"/>
        </w:tcBorders>
        <w:shd w:val="clear" w:color="auto" w:fill="D8EDF2"/>
      </w:tcPr>
    </w:tblStylePr>
    <w:tblStylePr w:type="band2Horz">
      <w:tblPr/>
      <w:tcPr>
        <w:tcBorders>
          <w:top w:val="single" w:sz="8" w:space="0" w:color="64B8CE"/>
          <w:left w:val="single" w:sz="8" w:space="0" w:color="64B8CE"/>
          <w:bottom w:val="single" w:sz="8" w:space="0" w:color="64B8CE"/>
          <w:right w:val="single" w:sz="8" w:space="0" w:color="64B8CE"/>
          <w:insideV w:val="single" w:sz="8" w:space="0" w:color="64B8CE"/>
        </w:tcBorders>
      </w:tcPr>
    </w:tblStylePr>
  </w:style>
  <w:style w:type="table" w:customStyle="1" w:styleId="LightList1">
    <w:name w:val="Light List1"/>
    <w:basedOn w:val="TableNormal"/>
    <w:uiPriority w:val="99"/>
    <w:semiHidden/>
    <w:rsid w:val="00361DEB"/>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pPr>
        <w:spacing w:before="0" w:after="0" w:line="240" w:lineRule="auto"/>
      </w:pPr>
      <w:rPr>
        <w:b/>
        <w:bCs/>
        <w:color w:val="FFFFFF"/>
      </w:rPr>
      <w:tblPr/>
      <w:tcPr>
        <w:shd w:val="clear" w:color="auto" w:fill="00728F"/>
      </w:tcPr>
    </w:tblStylePr>
    <w:tblStylePr w:type="lastRow">
      <w:pPr>
        <w:spacing w:before="0" w:after="0" w:line="240" w:lineRule="auto"/>
      </w:pPr>
      <w:rPr>
        <w:b/>
        <w:bCs/>
      </w:rPr>
      <w:tblPr/>
      <w:tcPr>
        <w:tcBorders>
          <w:top w:val="double" w:sz="6" w:space="0" w:color="00728F"/>
          <w:left w:val="single" w:sz="8" w:space="0" w:color="00728F"/>
          <w:bottom w:val="single" w:sz="8" w:space="0" w:color="00728F"/>
          <w:right w:val="single" w:sz="8" w:space="0" w:color="00728F"/>
        </w:tcBorders>
      </w:tcPr>
    </w:tblStylePr>
    <w:tblStylePr w:type="firstCol">
      <w:rPr>
        <w:b/>
        <w:bCs/>
      </w:rPr>
    </w:tblStylePr>
    <w:tblStylePr w:type="lastCol">
      <w:rPr>
        <w:b/>
        <w:bCs/>
      </w:rPr>
    </w:tblStylePr>
    <w:tblStylePr w:type="band1Vert">
      <w:tblPr/>
      <w:tcPr>
        <w:tcBorders>
          <w:top w:val="single" w:sz="8" w:space="0" w:color="00728F"/>
          <w:left w:val="single" w:sz="8" w:space="0" w:color="00728F"/>
          <w:bottom w:val="single" w:sz="8" w:space="0" w:color="00728F"/>
          <w:right w:val="single" w:sz="8" w:space="0" w:color="00728F"/>
        </w:tcBorders>
      </w:tcPr>
    </w:tblStylePr>
    <w:tblStylePr w:type="band1Horz">
      <w:tblPr/>
      <w:tcPr>
        <w:tcBorders>
          <w:top w:val="single" w:sz="8" w:space="0" w:color="00728F"/>
          <w:left w:val="single" w:sz="8" w:space="0" w:color="00728F"/>
          <w:bottom w:val="single" w:sz="8" w:space="0" w:color="00728F"/>
          <w:right w:val="single" w:sz="8" w:space="0" w:color="00728F"/>
        </w:tcBorders>
      </w:tcPr>
    </w:tblStylePr>
  </w:style>
  <w:style w:type="table" w:customStyle="1" w:styleId="LightList-Accent11">
    <w:name w:val="Light List - Accent 11"/>
    <w:basedOn w:val="TableNormal"/>
    <w:uiPriority w:val="99"/>
    <w:semiHidden/>
    <w:rsid w:val="00361DEB"/>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pPr>
        <w:spacing w:before="0" w:after="0" w:line="240" w:lineRule="auto"/>
      </w:pPr>
      <w:rPr>
        <w:b/>
        <w:bCs/>
        <w:color w:val="FFFFFF"/>
      </w:rPr>
      <w:tblPr/>
      <w:tcPr>
        <w:shd w:val="clear" w:color="auto" w:fill="00728F"/>
      </w:tcPr>
    </w:tblStylePr>
    <w:tblStylePr w:type="lastRow">
      <w:pPr>
        <w:spacing w:before="0" w:after="0" w:line="240" w:lineRule="auto"/>
      </w:pPr>
      <w:rPr>
        <w:b/>
        <w:bCs/>
      </w:rPr>
      <w:tblPr/>
      <w:tcPr>
        <w:tcBorders>
          <w:top w:val="double" w:sz="6" w:space="0" w:color="00728F"/>
          <w:left w:val="single" w:sz="8" w:space="0" w:color="00728F"/>
          <w:bottom w:val="single" w:sz="8" w:space="0" w:color="00728F"/>
          <w:right w:val="single" w:sz="8" w:space="0" w:color="00728F"/>
        </w:tcBorders>
      </w:tcPr>
    </w:tblStylePr>
    <w:tblStylePr w:type="firstCol">
      <w:rPr>
        <w:b/>
        <w:bCs/>
      </w:rPr>
    </w:tblStylePr>
    <w:tblStylePr w:type="lastCol">
      <w:rPr>
        <w:b/>
        <w:bCs/>
      </w:rPr>
    </w:tblStylePr>
    <w:tblStylePr w:type="band1Vert">
      <w:tblPr/>
      <w:tcPr>
        <w:tcBorders>
          <w:top w:val="single" w:sz="8" w:space="0" w:color="00728F"/>
          <w:left w:val="single" w:sz="8" w:space="0" w:color="00728F"/>
          <w:bottom w:val="single" w:sz="8" w:space="0" w:color="00728F"/>
          <w:right w:val="single" w:sz="8" w:space="0" w:color="00728F"/>
        </w:tcBorders>
      </w:tcPr>
    </w:tblStylePr>
    <w:tblStylePr w:type="band1Horz">
      <w:tblPr/>
      <w:tcPr>
        <w:tcBorders>
          <w:top w:val="single" w:sz="8" w:space="0" w:color="00728F"/>
          <w:left w:val="single" w:sz="8" w:space="0" w:color="00728F"/>
          <w:bottom w:val="single" w:sz="8" w:space="0" w:color="00728F"/>
          <w:right w:val="single" w:sz="8" w:space="0" w:color="00728F"/>
        </w:tcBorders>
      </w:tcPr>
    </w:tblStylePr>
  </w:style>
  <w:style w:type="table" w:styleId="LightList-Accent2">
    <w:name w:val="Light List Accent 2"/>
    <w:basedOn w:val="TableNormal"/>
    <w:uiPriority w:val="99"/>
    <w:semiHidden/>
    <w:rsid w:val="00361DEB"/>
    <w:tblPr>
      <w:tblStyleRowBandSize w:val="1"/>
      <w:tblStyleColBandSize w:val="1"/>
      <w:tblBorders>
        <w:top w:val="single" w:sz="8" w:space="0" w:color="B7DDE8"/>
        <w:left w:val="single" w:sz="8" w:space="0" w:color="B7DDE8"/>
        <w:bottom w:val="single" w:sz="8" w:space="0" w:color="B7DDE8"/>
        <w:right w:val="single" w:sz="8" w:space="0" w:color="B7DDE8"/>
      </w:tblBorders>
    </w:tblPr>
    <w:tblStylePr w:type="firstRow">
      <w:pPr>
        <w:spacing w:before="0" w:after="0" w:line="240" w:lineRule="auto"/>
      </w:pPr>
      <w:rPr>
        <w:b/>
        <w:bCs/>
        <w:color w:val="FFFFFF"/>
      </w:rPr>
      <w:tblPr/>
      <w:tcPr>
        <w:shd w:val="clear" w:color="auto" w:fill="B7DDE8"/>
      </w:tcPr>
    </w:tblStylePr>
    <w:tblStylePr w:type="lastRow">
      <w:pPr>
        <w:spacing w:before="0" w:after="0" w:line="240" w:lineRule="auto"/>
      </w:pPr>
      <w:rPr>
        <w:b/>
        <w:bCs/>
      </w:rPr>
      <w:tblPr/>
      <w:tcPr>
        <w:tcBorders>
          <w:top w:val="double" w:sz="6" w:space="0" w:color="B7DDE8"/>
          <w:left w:val="single" w:sz="8" w:space="0" w:color="B7DDE8"/>
          <w:bottom w:val="single" w:sz="8" w:space="0" w:color="B7DDE8"/>
          <w:right w:val="single" w:sz="8" w:space="0" w:color="B7DDE8"/>
        </w:tcBorders>
      </w:tcPr>
    </w:tblStylePr>
    <w:tblStylePr w:type="firstCol">
      <w:rPr>
        <w:b/>
        <w:bCs/>
      </w:rPr>
    </w:tblStylePr>
    <w:tblStylePr w:type="lastCol">
      <w:rPr>
        <w:b/>
        <w:bCs/>
      </w:rPr>
    </w:tblStylePr>
    <w:tblStylePr w:type="band1Vert">
      <w:tblPr/>
      <w:tcPr>
        <w:tcBorders>
          <w:top w:val="single" w:sz="8" w:space="0" w:color="B7DDE8"/>
          <w:left w:val="single" w:sz="8" w:space="0" w:color="B7DDE8"/>
          <w:bottom w:val="single" w:sz="8" w:space="0" w:color="B7DDE8"/>
          <w:right w:val="single" w:sz="8" w:space="0" w:color="B7DDE8"/>
        </w:tcBorders>
      </w:tcPr>
    </w:tblStylePr>
    <w:tblStylePr w:type="band1Horz">
      <w:tblPr/>
      <w:tcPr>
        <w:tcBorders>
          <w:top w:val="single" w:sz="8" w:space="0" w:color="B7DDE8"/>
          <w:left w:val="single" w:sz="8" w:space="0" w:color="B7DDE8"/>
          <w:bottom w:val="single" w:sz="8" w:space="0" w:color="B7DDE8"/>
          <w:right w:val="single" w:sz="8" w:space="0" w:color="B7DDE8"/>
        </w:tcBorders>
      </w:tcPr>
    </w:tblStylePr>
  </w:style>
  <w:style w:type="table" w:styleId="LightList-Accent3">
    <w:name w:val="Light List Accent 3"/>
    <w:basedOn w:val="TableNormal"/>
    <w:uiPriority w:val="99"/>
    <w:semiHidden/>
    <w:rsid w:val="00361DEB"/>
    <w:tblPr>
      <w:tblStyleRowBandSize w:val="1"/>
      <w:tblStyleColBandSize w:val="1"/>
      <w:tblBorders>
        <w:top w:val="single" w:sz="8" w:space="0" w:color="DBEEF3"/>
        <w:left w:val="single" w:sz="8" w:space="0" w:color="DBEEF3"/>
        <w:bottom w:val="single" w:sz="8" w:space="0" w:color="DBEEF3"/>
        <w:right w:val="single" w:sz="8" w:space="0" w:color="DBEEF3"/>
      </w:tblBorders>
    </w:tblPr>
    <w:tblStylePr w:type="firstRow">
      <w:pPr>
        <w:spacing w:before="0" w:after="0" w:line="240" w:lineRule="auto"/>
      </w:pPr>
      <w:rPr>
        <w:b/>
        <w:bCs/>
        <w:color w:val="FFFFFF"/>
      </w:rPr>
      <w:tblPr/>
      <w:tcPr>
        <w:shd w:val="clear" w:color="auto" w:fill="DBEEF3"/>
      </w:tcPr>
    </w:tblStylePr>
    <w:tblStylePr w:type="lastRow">
      <w:pPr>
        <w:spacing w:before="0" w:after="0" w:line="240" w:lineRule="auto"/>
      </w:pPr>
      <w:rPr>
        <w:b/>
        <w:bCs/>
      </w:rPr>
      <w:tblPr/>
      <w:tcPr>
        <w:tcBorders>
          <w:top w:val="double" w:sz="6" w:space="0" w:color="DBEEF3"/>
          <w:left w:val="single" w:sz="8" w:space="0" w:color="DBEEF3"/>
          <w:bottom w:val="single" w:sz="8" w:space="0" w:color="DBEEF3"/>
          <w:right w:val="single" w:sz="8" w:space="0" w:color="DBEEF3"/>
        </w:tcBorders>
      </w:tcPr>
    </w:tblStylePr>
    <w:tblStylePr w:type="firstCol">
      <w:rPr>
        <w:b/>
        <w:bCs/>
      </w:rPr>
    </w:tblStylePr>
    <w:tblStylePr w:type="lastCol">
      <w:rPr>
        <w:b/>
        <w:bCs/>
      </w:rPr>
    </w:tblStylePr>
    <w:tblStylePr w:type="band1Vert">
      <w:tblPr/>
      <w:tcPr>
        <w:tcBorders>
          <w:top w:val="single" w:sz="8" w:space="0" w:color="DBEEF3"/>
          <w:left w:val="single" w:sz="8" w:space="0" w:color="DBEEF3"/>
          <w:bottom w:val="single" w:sz="8" w:space="0" w:color="DBEEF3"/>
          <w:right w:val="single" w:sz="8" w:space="0" w:color="DBEEF3"/>
        </w:tcBorders>
      </w:tcPr>
    </w:tblStylePr>
    <w:tblStylePr w:type="band1Horz">
      <w:tblPr/>
      <w:tcPr>
        <w:tcBorders>
          <w:top w:val="single" w:sz="8" w:space="0" w:color="DBEEF3"/>
          <w:left w:val="single" w:sz="8" w:space="0" w:color="DBEEF3"/>
          <w:bottom w:val="single" w:sz="8" w:space="0" w:color="DBEEF3"/>
          <w:right w:val="single" w:sz="8" w:space="0" w:color="DBEEF3"/>
        </w:tcBorders>
      </w:tcPr>
    </w:tblStylePr>
  </w:style>
  <w:style w:type="table" w:styleId="LightList-Accent4">
    <w:name w:val="Light List Accent 4"/>
    <w:basedOn w:val="TableNormal"/>
    <w:uiPriority w:val="99"/>
    <w:semiHidden/>
    <w:rsid w:val="00361DEB"/>
    <w:tblPr>
      <w:tblStyleRowBandSize w:val="1"/>
      <w:tblStyleColBandSize w:val="1"/>
      <w:tblBorders>
        <w:top w:val="single" w:sz="8" w:space="0" w:color="92CDDC"/>
        <w:left w:val="single" w:sz="8" w:space="0" w:color="92CDDC"/>
        <w:bottom w:val="single" w:sz="8" w:space="0" w:color="92CDDC"/>
        <w:right w:val="single" w:sz="8" w:space="0" w:color="92CDDC"/>
      </w:tblBorders>
    </w:tblPr>
    <w:tblStylePr w:type="firstRow">
      <w:pPr>
        <w:spacing w:before="0" w:after="0" w:line="240" w:lineRule="auto"/>
      </w:pPr>
      <w:rPr>
        <w:b/>
        <w:bCs/>
        <w:color w:val="FFFFFF"/>
      </w:rPr>
      <w:tblPr/>
      <w:tcPr>
        <w:shd w:val="clear" w:color="auto" w:fill="92CDDC"/>
      </w:tcPr>
    </w:tblStylePr>
    <w:tblStylePr w:type="lastRow">
      <w:pPr>
        <w:spacing w:before="0" w:after="0" w:line="240" w:lineRule="auto"/>
      </w:pPr>
      <w:rPr>
        <w:b/>
        <w:bCs/>
      </w:rPr>
      <w:tblPr/>
      <w:tcPr>
        <w:tcBorders>
          <w:top w:val="double" w:sz="6" w:space="0" w:color="92CDDC"/>
          <w:left w:val="single" w:sz="8" w:space="0" w:color="92CDDC"/>
          <w:bottom w:val="single" w:sz="8" w:space="0" w:color="92CDDC"/>
          <w:right w:val="single" w:sz="8" w:space="0" w:color="92CDDC"/>
        </w:tcBorders>
      </w:tcPr>
    </w:tblStylePr>
    <w:tblStylePr w:type="firstCol">
      <w:rPr>
        <w:b/>
        <w:bCs/>
      </w:rPr>
    </w:tblStylePr>
    <w:tblStylePr w:type="lastCol">
      <w:rPr>
        <w:b/>
        <w:bCs/>
      </w:rPr>
    </w:tblStylePr>
    <w:tblStylePr w:type="band1Vert">
      <w:tblPr/>
      <w:tcPr>
        <w:tcBorders>
          <w:top w:val="single" w:sz="8" w:space="0" w:color="92CDDC"/>
          <w:left w:val="single" w:sz="8" w:space="0" w:color="92CDDC"/>
          <w:bottom w:val="single" w:sz="8" w:space="0" w:color="92CDDC"/>
          <w:right w:val="single" w:sz="8" w:space="0" w:color="92CDDC"/>
        </w:tcBorders>
      </w:tcPr>
    </w:tblStylePr>
    <w:tblStylePr w:type="band1Horz">
      <w:tblPr/>
      <w:tcPr>
        <w:tcBorders>
          <w:top w:val="single" w:sz="8" w:space="0" w:color="92CDDC"/>
          <w:left w:val="single" w:sz="8" w:space="0" w:color="92CDDC"/>
          <w:bottom w:val="single" w:sz="8" w:space="0" w:color="92CDDC"/>
          <w:right w:val="single" w:sz="8" w:space="0" w:color="92CDDC"/>
        </w:tcBorders>
      </w:tcPr>
    </w:tblStylePr>
  </w:style>
  <w:style w:type="table" w:styleId="LightList-Accent5">
    <w:name w:val="Light List Accent 5"/>
    <w:basedOn w:val="TableNormal"/>
    <w:uiPriority w:val="99"/>
    <w:semiHidden/>
    <w:rsid w:val="00361DEB"/>
    <w:tblPr>
      <w:tblStyleRowBandSize w:val="1"/>
      <w:tblStyleColBandSize w:val="1"/>
      <w:tblBorders>
        <w:top w:val="single" w:sz="8" w:space="0" w:color="31859B"/>
        <w:left w:val="single" w:sz="8" w:space="0" w:color="31859B"/>
        <w:bottom w:val="single" w:sz="8" w:space="0" w:color="31859B"/>
        <w:right w:val="single" w:sz="8" w:space="0" w:color="31859B"/>
      </w:tblBorders>
    </w:tblPr>
    <w:tblStylePr w:type="firstRow">
      <w:pPr>
        <w:spacing w:before="0" w:after="0" w:line="240" w:lineRule="auto"/>
      </w:pPr>
      <w:rPr>
        <w:b/>
        <w:bCs/>
        <w:color w:val="FFFFFF"/>
      </w:rPr>
      <w:tblPr/>
      <w:tcPr>
        <w:shd w:val="clear" w:color="auto" w:fill="31859B"/>
      </w:tcPr>
    </w:tblStylePr>
    <w:tblStylePr w:type="lastRow">
      <w:pPr>
        <w:spacing w:before="0" w:after="0" w:line="240" w:lineRule="auto"/>
      </w:pPr>
      <w:rPr>
        <w:b/>
        <w:bCs/>
      </w:rPr>
      <w:tblPr/>
      <w:tcPr>
        <w:tcBorders>
          <w:top w:val="double" w:sz="6" w:space="0" w:color="31859B"/>
          <w:left w:val="single" w:sz="8" w:space="0" w:color="31859B"/>
          <w:bottom w:val="single" w:sz="8" w:space="0" w:color="31859B"/>
          <w:right w:val="single" w:sz="8" w:space="0" w:color="31859B"/>
        </w:tcBorders>
      </w:tcPr>
    </w:tblStylePr>
    <w:tblStylePr w:type="firstCol">
      <w:rPr>
        <w:b/>
        <w:bCs/>
      </w:rPr>
    </w:tblStylePr>
    <w:tblStylePr w:type="lastCol">
      <w:rPr>
        <w:b/>
        <w:bCs/>
      </w:rPr>
    </w:tblStylePr>
    <w:tblStylePr w:type="band1Vert">
      <w:tblPr/>
      <w:tcPr>
        <w:tcBorders>
          <w:top w:val="single" w:sz="8" w:space="0" w:color="31859B"/>
          <w:left w:val="single" w:sz="8" w:space="0" w:color="31859B"/>
          <w:bottom w:val="single" w:sz="8" w:space="0" w:color="31859B"/>
          <w:right w:val="single" w:sz="8" w:space="0" w:color="31859B"/>
        </w:tcBorders>
      </w:tcPr>
    </w:tblStylePr>
    <w:tblStylePr w:type="band1Horz">
      <w:tblPr/>
      <w:tcPr>
        <w:tcBorders>
          <w:top w:val="single" w:sz="8" w:space="0" w:color="31859B"/>
          <w:left w:val="single" w:sz="8" w:space="0" w:color="31859B"/>
          <w:bottom w:val="single" w:sz="8" w:space="0" w:color="31859B"/>
          <w:right w:val="single" w:sz="8" w:space="0" w:color="31859B"/>
        </w:tcBorders>
      </w:tcPr>
    </w:tblStylePr>
  </w:style>
  <w:style w:type="table" w:styleId="LightList-Accent6">
    <w:name w:val="Light List Accent 6"/>
    <w:basedOn w:val="TableNormal"/>
    <w:uiPriority w:val="99"/>
    <w:semiHidden/>
    <w:rsid w:val="00361DEB"/>
    <w:tblPr>
      <w:tblStyleRowBandSize w:val="1"/>
      <w:tblStyleColBandSize w:val="1"/>
      <w:tblBorders>
        <w:top w:val="single" w:sz="8" w:space="0" w:color="64B8CE"/>
        <w:left w:val="single" w:sz="8" w:space="0" w:color="64B8CE"/>
        <w:bottom w:val="single" w:sz="8" w:space="0" w:color="64B8CE"/>
        <w:right w:val="single" w:sz="8" w:space="0" w:color="64B8CE"/>
      </w:tblBorders>
    </w:tblPr>
    <w:tblStylePr w:type="firstRow">
      <w:pPr>
        <w:spacing w:before="0" w:after="0" w:line="240" w:lineRule="auto"/>
      </w:pPr>
      <w:rPr>
        <w:b/>
        <w:bCs/>
        <w:color w:val="FFFFFF"/>
      </w:rPr>
      <w:tblPr/>
      <w:tcPr>
        <w:shd w:val="clear" w:color="auto" w:fill="64B8CE"/>
      </w:tcPr>
    </w:tblStylePr>
    <w:tblStylePr w:type="lastRow">
      <w:pPr>
        <w:spacing w:before="0" w:after="0" w:line="240" w:lineRule="auto"/>
      </w:pPr>
      <w:rPr>
        <w:b/>
        <w:bCs/>
      </w:rPr>
      <w:tblPr/>
      <w:tcPr>
        <w:tcBorders>
          <w:top w:val="double" w:sz="6" w:space="0" w:color="64B8CE"/>
          <w:left w:val="single" w:sz="8" w:space="0" w:color="64B8CE"/>
          <w:bottom w:val="single" w:sz="8" w:space="0" w:color="64B8CE"/>
          <w:right w:val="single" w:sz="8" w:space="0" w:color="64B8CE"/>
        </w:tcBorders>
      </w:tcPr>
    </w:tblStylePr>
    <w:tblStylePr w:type="firstCol">
      <w:rPr>
        <w:b/>
        <w:bCs/>
      </w:rPr>
    </w:tblStylePr>
    <w:tblStylePr w:type="lastCol">
      <w:rPr>
        <w:b/>
        <w:bCs/>
      </w:rPr>
    </w:tblStylePr>
    <w:tblStylePr w:type="band1Vert">
      <w:tblPr/>
      <w:tcPr>
        <w:tcBorders>
          <w:top w:val="single" w:sz="8" w:space="0" w:color="64B8CE"/>
          <w:left w:val="single" w:sz="8" w:space="0" w:color="64B8CE"/>
          <w:bottom w:val="single" w:sz="8" w:space="0" w:color="64B8CE"/>
          <w:right w:val="single" w:sz="8" w:space="0" w:color="64B8CE"/>
        </w:tcBorders>
      </w:tcPr>
    </w:tblStylePr>
    <w:tblStylePr w:type="band1Horz">
      <w:tblPr/>
      <w:tcPr>
        <w:tcBorders>
          <w:top w:val="single" w:sz="8" w:space="0" w:color="64B8CE"/>
          <w:left w:val="single" w:sz="8" w:space="0" w:color="64B8CE"/>
          <w:bottom w:val="single" w:sz="8" w:space="0" w:color="64B8CE"/>
          <w:right w:val="single" w:sz="8" w:space="0" w:color="64B8CE"/>
        </w:tcBorders>
      </w:tcPr>
    </w:tblStylePr>
  </w:style>
  <w:style w:type="table" w:customStyle="1" w:styleId="LightShading1">
    <w:name w:val="Light Shading1"/>
    <w:basedOn w:val="TableNormal"/>
    <w:uiPriority w:val="99"/>
    <w:semiHidden/>
    <w:rsid w:val="00361DEB"/>
    <w:rPr>
      <w:color w:val="00556B"/>
    </w:rPr>
    <w:tblPr>
      <w:tblStyleRowBandSize w:val="1"/>
      <w:tblStyleColBandSize w:val="1"/>
      <w:tblBorders>
        <w:top w:val="single" w:sz="8" w:space="0" w:color="00728F"/>
        <w:bottom w:val="single" w:sz="8" w:space="0" w:color="00728F"/>
      </w:tblBorders>
    </w:tblPr>
    <w:tblStylePr w:type="fir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la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cPr>
    </w:tblStylePr>
    <w:tblStylePr w:type="band1Horz">
      <w:tblPr/>
      <w:tcPr>
        <w:tcBorders>
          <w:left w:val="nil"/>
          <w:right w:val="nil"/>
          <w:insideH w:val="nil"/>
          <w:insideV w:val="nil"/>
        </w:tcBorders>
        <w:shd w:val="clear" w:color="auto" w:fill="A4ECFF"/>
      </w:tcPr>
    </w:tblStylePr>
  </w:style>
  <w:style w:type="table" w:customStyle="1" w:styleId="LightShading-Accent11">
    <w:name w:val="Light Shading - Accent 11"/>
    <w:basedOn w:val="TableNormal"/>
    <w:uiPriority w:val="99"/>
    <w:semiHidden/>
    <w:rsid w:val="00361DEB"/>
    <w:rPr>
      <w:color w:val="00556B"/>
    </w:rPr>
    <w:tblPr>
      <w:tblStyleRowBandSize w:val="1"/>
      <w:tblStyleColBandSize w:val="1"/>
      <w:tblBorders>
        <w:top w:val="single" w:sz="8" w:space="0" w:color="00728F"/>
        <w:bottom w:val="single" w:sz="8" w:space="0" w:color="00728F"/>
      </w:tblBorders>
    </w:tblPr>
    <w:tblStylePr w:type="fir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lastRow">
      <w:pPr>
        <w:spacing w:before="0" w:after="0" w:line="240" w:lineRule="auto"/>
      </w:pPr>
      <w:rPr>
        <w:b/>
        <w:bCs/>
      </w:rPr>
      <w:tblPr/>
      <w:tcPr>
        <w:tcBorders>
          <w:top w:val="single" w:sz="8" w:space="0" w:color="00728F"/>
          <w:left w:val="nil"/>
          <w:bottom w:val="single" w:sz="8" w:space="0" w:color="00728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cPr>
    </w:tblStylePr>
    <w:tblStylePr w:type="band1Horz">
      <w:tblPr/>
      <w:tcPr>
        <w:tcBorders>
          <w:left w:val="nil"/>
          <w:right w:val="nil"/>
          <w:insideH w:val="nil"/>
          <w:insideV w:val="nil"/>
        </w:tcBorders>
        <w:shd w:val="clear" w:color="auto" w:fill="A4ECFF"/>
      </w:tcPr>
    </w:tblStylePr>
  </w:style>
  <w:style w:type="table" w:styleId="LightShading-Accent2">
    <w:name w:val="Light Shading Accent 2"/>
    <w:basedOn w:val="TableNormal"/>
    <w:uiPriority w:val="60"/>
    <w:rsid w:val="00361DEB"/>
    <w:rPr>
      <w:color w:val="67B7CE"/>
    </w:rPr>
    <w:tblPr>
      <w:tblStyleRowBandSize w:val="1"/>
      <w:tblStyleColBandSize w:val="1"/>
      <w:tblBorders>
        <w:top w:val="single" w:sz="8" w:space="0" w:color="B7DDE8"/>
        <w:bottom w:val="single" w:sz="8" w:space="0" w:color="B7DDE8"/>
      </w:tblBorders>
    </w:tblPr>
    <w:tblStylePr w:type="firstRow">
      <w:pPr>
        <w:spacing w:before="0" w:after="0" w:line="240" w:lineRule="auto"/>
      </w:pPr>
      <w:rPr>
        <w:b/>
        <w:bCs/>
      </w:rPr>
      <w:tblPr/>
      <w:tcPr>
        <w:tcBorders>
          <w:top w:val="single" w:sz="8" w:space="0" w:color="B7DDE8"/>
          <w:left w:val="nil"/>
          <w:bottom w:val="single" w:sz="8" w:space="0" w:color="B7DDE8"/>
          <w:right w:val="nil"/>
          <w:insideH w:val="nil"/>
          <w:insideV w:val="nil"/>
        </w:tcBorders>
      </w:tcPr>
    </w:tblStylePr>
    <w:tblStylePr w:type="lastRow">
      <w:pPr>
        <w:spacing w:before="0" w:after="0" w:line="240" w:lineRule="auto"/>
      </w:pPr>
      <w:rPr>
        <w:b/>
        <w:bCs/>
      </w:rPr>
      <w:tblPr/>
      <w:tcPr>
        <w:tcBorders>
          <w:top w:val="single" w:sz="8" w:space="0" w:color="B7DDE8"/>
          <w:left w:val="nil"/>
          <w:bottom w:val="single" w:sz="8" w:space="0" w:color="B7DDE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cPr>
    </w:tblStylePr>
    <w:tblStylePr w:type="band1Horz">
      <w:tblPr/>
      <w:tcPr>
        <w:tcBorders>
          <w:left w:val="nil"/>
          <w:right w:val="nil"/>
          <w:insideH w:val="nil"/>
          <w:insideV w:val="nil"/>
        </w:tcBorders>
        <w:shd w:val="clear" w:color="auto" w:fill="EDF6F9"/>
      </w:tcPr>
    </w:tblStylePr>
  </w:style>
  <w:style w:type="table" w:styleId="LightShading-Accent3">
    <w:name w:val="Light Shading Accent 3"/>
    <w:basedOn w:val="TableNormal"/>
    <w:uiPriority w:val="60"/>
    <w:rsid w:val="00361DEB"/>
    <w:rPr>
      <w:color w:val="84C4D6"/>
    </w:rPr>
    <w:tblPr>
      <w:tblStyleRowBandSize w:val="1"/>
      <w:tblStyleColBandSize w:val="1"/>
      <w:tblBorders>
        <w:top w:val="single" w:sz="8" w:space="0" w:color="DBEEF3"/>
        <w:bottom w:val="single" w:sz="8" w:space="0" w:color="DBEEF3"/>
      </w:tblBorders>
    </w:tblPr>
    <w:tblStylePr w:type="firstRow">
      <w:pPr>
        <w:spacing w:before="0" w:after="0" w:line="240" w:lineRule="auto"/>
      </w:pPr>
      <w:rPr>
        <w:b/>
        <w:bCs/>
      </w:rPr>
      <w:tblPr/>
      <w:tcPr>
        <w:tcBorders>
          <w:top w:val="single" w:sz="8" w:space="0" w:color="DBEEF3"/>
          <w:left w:val="nil"/>
          <w:bottom w:val="single" w:sz="8" w:space="0" w:color="DBEEF3"/>
          <w:right w:val="nil"/>
          <w:insideH w:val="nil"/>
          <w:insideV w:val="nil"/>
        </w:tcBorders>
      </w:tcPr>
    </w:tblStylePr>
    <w:tblStylePr w:type="lastRow">
      <w:pPr>
        <w:spacing w:before="0" w:after="0" w:line="240" w:lineRule="auto"/>
      </w:pPr>
      <w:rPr>
        <w:b/>
        <w:bCs/>
      </w:rPr>
      <w:tblPr/>
      <w:tcPr>
        <w:tcBorders>
          <w:top w:val="single" w:sz="8" w:space="0" w:color="DBEEF3"/>
          <w:left w:val="nil"/>
          <w:bottom w:val="single" w:sz="8" w:space="0" w:color="DBEEF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cPr>
    </w:tblStylePr>
    <w:tblStylePr w:type="band1Horz">
      <w:tblPr/>
      <w:tcPr>
        <w:tcBorders>
          <w:left w:val="nil"/>
          <w:right w:val="nil"/>
          <w:insideH w:val="nil"/>
          <w:insideV w:val="nil"/>
        </w:tcBorders>
        <w:shd w:val="clear" w:color="auto" w:fill="F6FAFC"/>
      </w:tcPr>
    </w:tblStylePr>
  </w:style>
  <w:style w:type="table" w:styleId="LightShading-Accent4">
    <w:name w:val="Light Shading Accent 4"/>
    <w:basedOn w:val="TableNormal"/>
    <w:uiPriority w:val="99"/>
    <w:semiHidden/>
    <w:rsid w:val="00361DEB"/>
    <w:rPr>
      <w:color w:val="4CACC5"/>
    </w:rPr>
    <w:tblPr>
      <w:tblStyleRowBandSize w:val="1"/>
      <w:tblStyleColBandSize w:val="1"/>
      <w:tblBorders>
        <w:top w:val="single" w:sz="8" w:space="0" w:color="92CDDC"/>
        <w:bottom w:val="single" w:sz="8" w:space="0" w:color="92CDDC"/>
      </w:tblBorders>
    </w:tblPr>
    <w:tblStylePr w:type="firstRow">
      <w:pPr>
        <w:spacing w:before="0" w:after="0" w:line="240" w:lineRule="auto"/>
      </w:pPr>
      <w:rPr>
        <w:b/>
        <w:bCs/>
      </w:rPr>
      <w:tblPr/>
      <w:tcPr>
        <w:tcBorders>
          <w:top w:val="single" w:sz="8" w:space="0" w:color="92CDDC"/>
          <w:left w:val="nil"/>
          <w:bottom w:val="single" w:sz="8" w:space="0" w:color="92CDDC"/>
          <w:right w:val="nil"/>
          <w:insideH w:val="nil"/>
          <w:insideV w:val="nil"/>
        </w:tcBorders>
      </w:tcPr>
    </w:tblStylePr>
    <w:tblStylePr w:type="lastRow">
      <w:pPr>
        <w:spacing w:before="0" w:after="0" w:line="240" w:lineRule="auto"/>
      </w:pPr>
      <w:rPr>
        <w:b/>
        <w:bCs/>
      </w:rPr>
      <w:tblPr/>
      <w:tcPr>
        <w:tcBorders>
          <w:top w:val="single" w:sz="8" w:space="0" w:color="92CDDC"/>
          <w:left w:val="nil"/>
          <w:bottom w:val="single" w:sz="8" w:space="0" w:color="92C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cPr>
    </w:tblStylePr>
    <w:tblStylePr w:type="band1Horz">
      <w:tblPr/>
      <w:tcPr>
        <w:tcBorders>
          <w:left w:val="nil"/>
          <w:right w:val="nil"/>
          <w:insideH w:val="nil"/>
          <w:insideV w:val="nil"/>
        </w:tcBorders>
        <w:shd w:val="clear" w:color="auto" w:fill="E4F2F6"/>
      </w:tcPr>
    </w:tblStylePr>
  </w:style>
  <w:style w:type="table" w:styleId="LightShading-Accent5">
    <w:name w:val="Light Shading Accent 5"/>
    <w:basedOn w:val="TableNormal"/>
    <w:uiPriority w:val="99"/>
    <w:semiHidden/>
    <w:rsid w:val="00361DEB"/>
    <w:rPr>
      <w:color w:val="246373"/>
    </w:rPr>
    <w:tblPr>
      <w:tblStyleRowBandSize w:val="1"/>
      <w:tblStyleColBandSize w:val="1"/>
      <w:tblBorders>
        <w:top w:val="single" w:sz="8" w:space="0" w:color="31859B"/>
        <w:bottom w:val="single" w:sz="8" w:space="0" w:color="31859B"/>
      </w:tblBorders>
    </w:tblPr>
    <w:tblStylePr w:type="firstRow">
      <w:pPr>
        <w:spacing w:before="0" w:after="0" w:line="240" w:lineRule="auto"/>
      </w:pPr>
      <w:rPr>
        <w:b/>
        <w:bCs/>
      </w:rPr>
      <w:tblPr/>
      <w:tcPr>
        <w:tcBorders>
          <w:top w:val="single" w:sz="8" w:space="0" w:color="31859B"/>
          <w:left w:val="nil"/>
          <w:bottom w:val="single" w:sz="8" w:space="0" w:color="31859B"/>
          <w:right w:val="nil"/>
          <w:insideH w:val="nil"/>
          <w:insideV w:val="nil"/>
        </w:tcBorders>
      </w:tcPr>
    </w:tblStylePr>
    <w:tblStylePr w:type="lastRow">
      <w:pPr>
        <w:spacing w:before="0" w:after="0" w:line="240" w:lineRule="auto"/>
      </w:pPr>
      <w:rPr>
        <w:b/>
        <w:bCs/>
      </w:rPr>
      <w:tblPr/>
      <w:tcPr>
        <w:tcBorders>
          <w:top w:val="single" w:sz="8" w:space="0" w:color="31859B"/>
          <w:left w:val="nil"/>
          <w:bottom w:val="single" w:sz="8" w:space="0" w:color="31859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cPr>
    </w:tblStylePr>
    <w:tblStylePr w:type="band1Horz">
      <w:tblPr/>
      <w:tcPr>
        <w:tcBorders>
          <w:left w:val="nil"/>
          <w:right w:val="nil"/>
          <w:insideH w:val="nil"/>
          <w:insideV w:val="nil"/>
        </w:tcBorders>
        <w:shd w:val="clear" w:color="auto" w:fill="C5E4EC"/>
      </w:tcPr>
    </w:tblStylePr>
  </w:style>
  <w:style w:type="table" w:styleId="LightShading-Accent6">
    <w:name w:val="Light Shading Accent 6"/>
    <w:basedOn w:val="TableNormal"/>
    <w:uiPriority w:val="99"/>
    <w:semiHidden/>
    <w:rsid w:val="00361DEB"/>
    <w:rPr>
      <w:color w:val="3795AD"/>
    </w:rPr>
    <w:tblPr>
      <w:tblStyleRowBandSize w:val="1"/>
      <w:tblStyleColBandSize w:val="1"/>
      <w:tblBorders>
        <w:top w:val="single" w:sz="8" w:space="0" w:color="64B8CE"/>
        <w:bottom w:val="single" w:sz="8" w:space="0" w:color="64B8CE"/>
      </w:tblBorders>
    </w:tblPr>
    <w:tblStylePr w:type="firstRow">
      <w:pPr>
        <w:spacing w:before="0" w:after="0" w:line="240" w:lineRule="auto"/>
      </w:pPr>
      <w:rPr>
        <w:b/>
        <w:bCs/>
      </w:rPr>
      <w:tblPr/>
      <w:tcPr>
        <w:tcBorders>
          <w:top w:val="single" w:sz="8" w:space="0" w:color="64B8CE"/>
          <w:left w:val="nil"/>
          <w:bottom w:val="single" w:sz="8" w:space="0" w:color="64B8CE"/>
          <w:right w:val="nil"/>
          <w:insideH w:val="nil"/>
          <w:insideV w:val="nil"/>
        </w:tcBorders>
      </w:tcPr>
    </w:tblStylePr>
    <w:tblStylePr w:type="lastRow">
      <w:pPr>
        <w:spacing w:before="0" w:after="0" w:line="240" w:lineRule="auto"/>
      </w:pPr>
      <w:rPr>
        <w:b/>
        <w:bCs/>
      </w:rPr>
      <w:tblPr/>
      <w:tcPr>
        <w:tcBorders>
          <w:top w:val="single" w:sz="8" w:space="0" w:color="64B8CE"/>
          <w:left w:val="nil"/>
          <w:bottom w:val="single" w:sz="8" w:space="0" w:color="64B8C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cPr>
    </w:tblStylePr>
    <w:tblStylePr w:type="band1Horz">
      <w:tblPr/>
      <w:tcPr>
        <w:tcBorders>
          <w:left w:val="nil"/>
          <w:right w:val="nil"/>
          <w:insideH w:val="nil"/>
          <w:insideV w:val="nil"/>
        </w:tcBorders>
        <w:shd w:val="clear" w:color="auto" w:fill="D8EDF2"/>
      </w:tcPr>
    </w:tblStylePr>
  </w:style>
  <w:style w:type="table" w:customStyle="1" w:styleId="MediumGrid11">
    <w:name w:val="Medium Grid 11"/>
    <w:basedOn w:val="TableNormal"/>
    <w:uiPriority w:val="99"/>
    <w:semiHidden/>
    <w:rsid w:val="00361DEB"/>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insideV w:val="single" w:sz="8" w:space="0" w:color="00BBEB"/>
      </w:tblBorders>
    </w:tblPr>
    <w:tcPr>
      <w:shd w:val="clear" w:color="auto" w:fill="A4ECFF"/>
    </w:tcPr>
    <w:tblStylePr w:type="firstRow">
      <w:rPr>
        <w:b/>
        <w:bCs/>
      </w:rPr>
    </w:tblStylePr>
    <w:tblStylePr w:type="lastRow">
      <w:rPr>
        <w:b/>
        <w:bCs/>
      </w:rPr>
      <w:tblPr/>
      <w:tcPr>
        <w:tcBorders>
          <w:top w:val="single" w:sz="18" w:space="0" w:color="00BBEB"/>
        </w:tcBorders>
      </w:tcPr>
    </w:tblStylePr>
    <w:tblStylePr w:type="firstCol">
      <w:rPr>
        <w:b/>
        <w:bCs/>
      </w:rPr>
    </w:tblStylePr>
    <w:tblStylePr w:type="lastCol">
      <w:rPr>
        <w:b/>
        <w:bCs/>
      </w:rPr>
    </w:tblStylePr>
    <w:tblStylePr w:type="band1Vert">
      <w:tblPr/>
      <w:tcPr>
        <w:shd w:val="clear" w:color="auto" w:fill="48D9FF"/>
      </w:tcPr>
    </w:tblStylePr>
    <w:tblStylePr w:type="band1Horz">
      <w:tblPr/>
      <w:tcPr>
        <w:shd w:val="clear" w:color="auto" w:fill="48D9FF"/>
      </w:tcPr>
    </w:tblStylePr>
  </w:style>
  <w:style w:type="table" w:styleId="MediumGrid1-Accent1">
    <w:name w:val="Medium Grid 1 Accent 1"/>
    <w:basedOn w:val="TableNormal"/>
    <w:uiPriority w:val="67"/>
    <w:rsid w:val="00361DEB"/>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insideV w:val="single" w:sz="8" w:space="0" w:color="00BBEB"/>
      </w:tblBorders>
    </w:tblPr>
    <w:tcPr>
      <w:shd w:val="clear" w:color="auto" w:fill="A4ECFF"/>
    </w:tcPr>
    <w:tblStylePr w:type="firstRow">
      <w:rPr>
        <w:b/>
        <w:bCs/>
      </w:rPr>
    </w:tblStylePr>
    <w:tblStylePr w:type="lastRow">
      <w:rPr>
        <w:b/>
        <w:bCs/>
      </w:rPr>
      <w:tblPr/>
      <w:tcPr>
        <w:tcBorders>
          <w:top w:val="single" w:sz="18" w:space="0" w:color="00BBEB"/>
        </w:tcBorders>
      </w:tcPr>
    </w:tblStylePr>
    <w:tblStylePr w:type="firstCol">
      <w:rPr>
        <w:b/>
        <w:bCs/>
      </w:rPr>
    </w:tblStylePr>
    <w:tblStylePr w:type="lastCol">
      <w:rPr>
        <w:b/>
        <w:bCs/>
      </w:rPr>
    </w:tblStylePr>
    <w:tblStylePr w:type="band1Vert">
      <w:tblPr/>
      <w:tcPr>
        <w:shd w:val="clear" w:color="auto" w:fill="48D9FF"/>
      </w:tcPr>
    </w:tblStylePr>
    <w:tblStylePr w:type="band1Horz">
      <w:tblPr/>
      <w:tcPr>
        <w:shd w:val="clear" w:color="auto" w:fill="48D9FF"/>
      </w:tcPr>
    </w:tblStylePr>
  </w:style>
  <w:style w:type="table" w:styleId="MediumGrid1-Accent2">
    <w:name w:val="Medium Grid 1 Accent 2"/>
    <w:basedOn w:val="TableNormal"/>
    <w:uiPriority w:val="99"/>
    <w:semiHidden/>
    <w:rsid w:val="00361DEB"/>
    <w:tblPr>
      <w:tblStyleRowBandSize w:val="1"/>
      <w:tblStyleColBandSize w:val="1"/>
      <w:tblBorders>
        <w:top w:val="single" w:sz="8" w:space="0" w:color="C8E5ED"/>
        <w:left w:val="single" w:sz="8" w:space="0" w:color="C8E5ED"/>
        <w:bottom w:val="single" w:sz="8" w:space="0" w:color="C8E5ED"/>
        <w:right w:val="single" w:sz="8" w:space="0" w:color="C8E5ED"/>
        <w:insideH w:val="single" w:sz="8" w:space="0" w:color="C8E5ED"/>
        <w:insideV w:val="single" w:sz="8" w:space="0" w:color="C8E5ED"/>
      </w:tblBorders>
    </w:tblPr>
    <w:tcPr>
      <w:shd w:val="clear" w:color="auto" w:fill="EDF6F9"/>
    </w:tcPr>
    <w:tblStylePr w:type="firstRow">
      <w:rPr>
        <w:b/>
        <w:bCs/>
      </w:rPr>
    </w:tblStylePr>
    <w:tblStylePr w:type="lastRow">
      <w:rPr>
        <w:b/>
        <w:bCs/>
      </w:rPr>
      <w:tblPr/>
      <w:tcPr>
        <w:tcBorders>
          <w:top w:val="single" w:sz="18" w:space="0" w:color="C8E5ED"/>
        </w:tcBorders>
      </w:tcPr>
    </w:tblStylePr>
    <w:tblStylePr w:type="firstCol">
      <w:rPr>
        <w:b/>
        <w:bCs/>
      </w:rPr>
    </w:tblStylePr>
    <w:tblStylePr w:type="lastCol">
      <w:rPr>
        <w:b/>
        <w:bCs/>
      </w:rPr>
    </w:tblStylePr>
    <w:tblStylePr w:type="band1Vert">
      <w:tblPr/>
      <w:tcPr>
        <w:shd w:val="clear" w:color="auto" w:fill="DBEEF3"/>
      </w:tcPr>
    </w:tblStylePr>
    <w:tblStylePr w:type="band1Horz">
      <w:tblPr/>
      <w:tcPr>
        <w:shd w:val="clear" w:color="auto" w:fill="DBEEF3"/>
      </w:tcPr>
    </w:tblStylePr>
  </w:style>
  <w:style w:type="table" w:styleId="MediumGrid1-Accent3">
    <w:name w:val="Medium Grid 1 Accent 3"/>
    <w:basedOn w:val="TableNormal"/>
    <w:uiPriority w:val="99"/>
    <w:semiHidden/>
    <w:rsid w:val="00361DEB"/>
    <w:tblPr>
      <w:tblStyleRowBandSize w:val="1"/>
      <w:tblStyleColBandSize w:val="1"/>
      <w:tblBorders>
        <w:top w:val="single" w:sz="8" w:space="0" w:color="E4F2F6"/>
        <w:left w:val="single" w:sz="8" w:space="0" w:color="E4F2F6"/>
        <w:bottom w:val="single" w:sz="8" w:space="0" w:color="E4F2F6"/>
        <w:right w:val="single" w:sz="8" w:space="0" w:color="E4F2F6"/>
        <w:insideH w:val="single" w:sz="8" w:space="0" w:color="E4F2F6"/>
        <w:insideV w:val="single" w:sz="8" w:space="0" w:color="E4F2F6"/>
      </w:tblBorders>
    </w:tblPr>
    <w:tcPr>
      <w:shd w:val="clear" w:color="auto" w:fill="F6FAFC"/>
    </w:tcPr>
    <w:tblStylePr w:type="firstRow">
      <w:rPr>
        <w:b/>
        <w:bCs/>
      </w:rPr>
    </w:tblStylePr>
    <w:tblStylePr w:type="lastRow">
      <w:rPr>
        <w:b/>
        <w:bCs/>
      </w:rPr>
      <w:tblPr/>
      <w:tcPr>
        <w:tcBorders>
          <w:top w:val="single" w:sz="18" w:space="0" w:color="E4F2F6"/>
        </w:tcBorders>
      </w:tcPr>
    </w:tblStylePr>
    <w:tblStylePr w:type="firstCol">
      <w:rPr>
        <w:b/>
        <w:bCs/>
      </w:rPr>
    </w:tblStylePr>
    <w:tblStylePr w:type="lastCol">
      <w:rPr>
        <w:b/>
        <w:bCs/>
      </w:rPr>
    </w:tblStylePr>
    <w:tblStylePr w:type="band1Vert">
      <w:tblPr/>
      <w:tcPr>
        <w:shd w:val="clear" w:color="auto" w:fill="EDF6F9"/>
      </w:tcPr>
    </w:tblStylePr>
    <w:tblStylePr w:type="band1Horz">
      <w:tblPr/>
      <w:tcPr>
        <w:shd w:val="clear" w:color="auto" w:fill="EDF6F9"/>
      </w:tcPr>
    </w:tblStylePr>
  </w:style>
  <w:style w:type="table" w:styleId="MediumGrid1-Accent4">
    <w:name w:val="Medium Grid 1 Accent 4"/>
    <w:basedOn w:val="TableNormal"/>
    <w:uiPriority w:val="99"/>
    <w:semiHidden/>
    <w:rsid w:val="00361DEB"/>
    <w:tblPr>
      <w:tblStyleRowBandSize w:val="1"/>
      <w:tblStyleColBandSize w:val="1"/>
      <w:tblBorders>
        <w:top w:val="single" w:sz="8" w:space="0" w:color="ADD9E4"/>
        <w:left w:val="single" w:sz="8" w:space="0" w:color="ADD9E4"/>
        <w:bottom w:val="single" w:sz="8" w:space="0" w:color="ADD9E4"/>
        <w:right w:val="single" w:sz="8" w:space="0" w:color="ADD9E4"/>
        <w:insideH w:val="single" w:sz="8" w:space="0" w:color="ADD9E4"/>
        <w:insideV w:val="single" w:sz="8" w:space="0" w:color="ADD9E4"/>
      </w:tblBorders>
    </w:tblPr>
    <w:tcPr>
      <w:shd w:val="clear" w:color="auto" w:fill="E4F2F6"/>
    </w:tcPr>
    <w:tblStylePr w:type="firstRow">
      <w:rPr>
        <w:b/>
        <w:bCs/>
      </w:rPr>
    </w:tblStylePr>
    <w:tblStylePr w:type="lastRow">
      <w:rPr>
        <w:b/>
        <w:bCs/>
      </w:rPr>
      <w:tblPr/>
      <w:tcPr>
        <w:tcBorders>
          <w:top w:val="single" w:sz="18" w:space="0" w:color="ADD9E4"/>
        </w:tcBorders>
      </w:tcPr>
    </w:tblStylePr>
    <w:tblStylePr w:type="firstCol">
      <w:rPr>
        <w:b/>
        <w:bCs/>
      </w:rPr>
    </w:tblStylePr>
    <w:tblStylePr w:type="lastCol">
      <w:rPr>
        <w:b/>
        <w:bCs/>
      </w:rPr>
    </w:tblStylePr>
    <w:tblStylePr w:type="band1Vert">
      <w:tblPr/>
      <w:tcPr>
        <w:shd w:val="clear" w:color="auto" w:fill="C8E5ED"/>
      </w:tcPr>
    </w:tblStylePr>
    <w:tblStylePr w:type="band1Horz">
      <w:tblPr/>
      <w:tcPr>
        <w:shd w:val="clear" w:color="auto" w:fill="C8E5ED"/>
      </w:tcPr>
    </w:tblStylePr>
  </w:style>
  <w:style w:type="table" w:styleId="MediumGrid1-Accent5">
    <w:name w:val="Medium Grid 1 Accent 5"/>
    <w:basedOn w:val="TableNormal"/>
    <w:uiPriority w:val="99"/>
    <w:semiHidden/>
    <w:rsid w:val="00361DEB"/>
    <w:tblPr>
      <w:tblStyleRowBandSize w:val="1"/>
      <w:tblStyleColBandSize w:val="1"/>
      <w:tblBorders>
        <w:top w:val="single" w:sz="8" w:space="0" w:color="50AFC8"/>
        <w:left w:val="single" w:sz="8" w:space="0" w:color="50AFC8"/>
        <w:bottom w:val="single" w:sz="8" w:space="0" w:color="50AFC8"/>
        <w:right w:val="single" w:sz="8" w:space="0" w:color="50AFC8"/>
        <w:insideH w:val="single" w:sz="8" w:space="0" w:color="50AFC8"/>
        <w:insideV w:val="single" w:sz="8" w:space="0" w:color="50AFC8"/>
      </w:tblBorders>
    </w:tblPr>
    <w:tcPr>
      <w:shd w:val="clear" w:color="auto" w:fill="C5E4EC"/>
    </w:tcPr>
    <w:tblStylePr w:type="firstRow">
      <w:rPr>
        <w:b/>
        <w:bCs/>
      </w:rPr>
    </w:tblStylePr>
    <w:tblStylePr w:type="lastRow">
      <w:rPr>
        <w:b/>
        <w:bCs/>
      </w:rPr>
      <w:tblPr/>
      <w:tcPr>
        <w:tcBorders>
          <w:top w:val="single" w:sz="18" w:space="0" w:color="50AFC8"/>
        </w:tcBorders>
      </w:tcPr>
    </w:tblStylePr>
    <w:tblStylePr w:type="firstCol">
      <w:rPr>
        <w:b/>
        <w:bCs/>
      </w:rPr>
    </w:tblStylePr>
    <w:tblStylePr w:type="lastCol">
      <w:rPr>
        <w:b/>
        <w:bCs/>
      </w:rPr>
    </w:tblStylePr>
    <w:tblStylePr w:type="band1Vert">
      <w:tblPr/>
      <w:tcPr>
        <w:shd w:val="clear" w:color="auto" w:fill="8BC9DA"/>
      </w:tcPr>
    </w:tblStylePr>
    <w:tblStylePr w:type="band1Horz">
      <w:tblPr/>
      <w:tcPr>
        <w:shd w:val="clear" w:color="auto" w:fill="8BC9DA"/>
      </w:tcPr>
    </w:tblStylePr>
  </w:style>
  <w:style w:type="table" w:styleId="MediumGrid1-Accent6">
    <w:name w:val="Medium Grid 1 Accent 6"/>
    <w:basedOn w:val="TableNormal"/>
    <w:uiPriority w:val="99"/>
    <w:semiHidden/>
    <w:rsid w:val="00361DEB"/>
    <w:tblPr>
      <w:tblStyleRowBandSize w:val="1"/>
      <w:tblStyleColBandSize w:val="1"/>
      <w:tblBorders>
        <w:top w:val="single" w:sz="8" w:space="0" w:color="8AC9DA"/>
        <w:left w:val="single" w:sz="8" w:space="0" w:color="8AC9DA"/>
        <w:bottom w:val="single" w:sz="8" w:space="0" w:color="8AC9DA"/>
        <w:right w:val="single" w:sz="8" w:space="0" w:color="8AC9DA"/>
        <w:insideH w:val="single" w:sz="8" w:space="0" w:color="8AC9DA"/>
        <w:insideV w:val="single" w:sz="8" w:space="0" w:color="8AC9DA"/>
      </w:tblBorders>
    </w:tblPr>
    <w:tcPr>
      <w:shd w:val="clear" w:color="auto" w:fill="D8EDF2"/>
    </w:tcPr>
    <w:tblStylePr w:type="firstRow">
      <w:rPr>
        <w:b/>
        <w:bCs/>
      </w:rPr>
    </w:tblStylePr>
    <w:tblStylePr w:type="lastRow">
      <w:rPr>
        <w:b/>
        <w:bCs/>
      </w:rPr>
      <w:tblPr/>
      <w:tcPr>
        <w:tcBorders>
          <w:top w:val="single" w:sz="18" w:space="0" w:color="8AC9DA"/>
        </w:tcBorders>
      </w:tcPr>
    </w:tblStylePr>
    <w:tblStylePr w:type="firstCol">
      <w:rPr>
        <w:b/>
        <w:bCs/>
      </w:rPr>
    </w:tblStylePr>
    <w:tblStylePr w:type="lastCol">
      <w:rPr>
        <w:b/>
        <w:bCs/>
      </w:rPr>
    </w:tblStylePr>
    <w:tblStylePr w:type="band1Vert">
      <w:tblPr/>
      <w:tcPr>
        <w:shd w:val="clear" w:color="auto" w:fill="B1DBE6"/>
      </w:tcPr>
    </w:tblStylePr>
    <w:tblStylePr w:type="band1Horz">
      <w:tblPr/>
      <w:tcPr>
        <w:shd w:val="clear" w:color="auto" w:fill="B1DBE6"/>
      </w:tcPr>
    </w:tblStylePr>
  </w:style>
  <w:style w:type="table" w:customStyle="1" w:styleId="MediumGrid21">
    <w:name w:val="Medium Grid 21"/>
    <w:basedOn w:val="TableNormal"/>
    <w:uiPriority w:val="99"/>
    <w:semiHidden/>
    <w:rsid w:val="00361DEB"/>
    <w:rPr>
      <w:rFonts w:ascii="Cambria" w:eastAsia="Times New Roman" w:hAnsi="Cambria"/>
      <w:color w:val="00728F"/>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cPr>
      <w:shd w:val="clear" w:color="auto" w:fill="A4ECFF"/>
    </w:tcPr>
    <w:tblStylePr w:type="firstRow">
      <w:rPr>
        <w:b/>
        <w:bCs/>
        <w:color w:val="00728F"/>
      </w:rPr>
      <w:tblPr/>
      <w:tcPr>
        <w:shd w:val="clear" w:color="auto" w:fill="DBF7FF"/>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B5EFFF"/>
      </w:tcPr>
    </w:tblStylePr>
    <w:tblStylePr w:type="band1Vert">
      <w:tblPr/>
      <w:tcPr>
        <w:shd w:val="clear" w:color="auto" w:fill="48D9FF"/>
      </w:tcPr>
    </w:tblStylePr>
    <w:tblStylePr w:type="band1Horz">
      <w:tblPr/>
      <w:tcPr>
        <w:tcBorders>
          <w:insideH w:val="single" w:sz="6" w:space="0" w:color="00728F"/>
          <w:insideV w:val="single" w:sz="6" w:space="0" w:color="00728F"/>
        </w:tcBorders>
        <w:shd w:val="clear" w:color="auto" w:fill="48D9FF"/>
      </w:tcPr>
    </w:tblStylePr>
    <w:tblStylePr w:type="nwCell">
      <w:tblPr/>
      <w:tcPr>
        <w:shd w:val="clear" w:color="auto" w:fill="FFFFFF"/>
      </w:tcPr>
    </w:tblStylePr>
  </w:style>
  <w:style w:type="table" w:styleId="MediumGrid2-Accent1">
    <w:name w:val="Medium Grid 2 Accent 1"/>
    <w:basedOn w:val="TableNormal"/>
    <w:uiPriority w:val="68"/>
    <w:rsid w:val="00361DEB"/>
    <w:rPr>
      <w:rFonts w:ascii="Cambria" w:eastAsia="Times New Roman" w:hAnsi="Cambria"/>
      <w:color w:val="00728F"/>
    </w:rPr>
    <w:tblPr>
      <w:tblStyleRowBandSize w:val="1"/>
      <w:tblStyleColBandSize w:val="1"/>
      <w:tblBorders>
        <w:top w:val="single" w:sz="8" w:space="0" w:color="00728F"/>
        <w:left w:val="single" w:sz="8" w:space="0" w:color="00728F"/>
        <w:bottom w:val="single" w:sz="8" w:space="0" w:color="00728F"/>
        <w:right w:val="single" w:sz="8" w:space="0" w:color="00728F"/>
        <w:insideH w:val="single" w:sz="8" w:space="0" w:color="00728F"/>
        <w:insideV w:val="single" w:sz="8" w:space="0" w:color="00728F"/>
      </w:tblBorders>
    </w:tblPr>
    <w:tcPr>
      <w:shd w:val="clear" w:color="auto" w:fill="A4ECFF"/>
    </w:tcPr>
    <w:tblStylePr w:type="firstRow">
      <w:rPr>
        <w:b/>
        <w:bCs/>
        <w:color w:val="00728F"/>
      </w:rPr>
      <w:tblPr/>
      <w:tcPr>
        <w:shd w:val="clear" w:color="auto" w:fill="DBF7FF"/>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B5EFFF"/>
      </w:tcPr>
    </w:tblStylePr>
    <w:tblStylePr w:type="band1Vert">
      <w:tblPr/>
      <w:tcPr>
        <w:shd w:val="clear" w:color="auto" w:fill="48D9FF"/>
      </w:tcPr>
    </w:tblStylePr>
    <w:tblStylePr w:type="band1Horz">
      <w:tblPr/>
      <w:tcPr>
        <w:tcBorders>
          <w:insideH w:val="single" w:sz="6" w:space="0" w:color="00728F"/>
          <w:insideV w:val="single" w:sz="6" w:space="0" w:color="00728F"/>
        </w:tcBorders>
        <w:shd w:val="clear" w:color="auto" w:fill="48D9FF"/>
      </w:tcPr>
    </w:tblStylePr>
    <w:tblStylePr w:type="nwCell">
      <w:tblPr/>
      <w:tcPr>
        <w:shd w:val="clear" w:color="auto" w:fill="FFFFFF"/>
      </w:tcPr>
    </w:tblStylePr>
  </w:style>
  <w:style w:type="table" w:styleId="MediumGrid2-Accent2">
    <w:name w:val="Medium Grid 2 Accent 2"/>
    <w:basedOn w:val="TableNormal"/>
    <w:uiPriority w:val="99"/>
    <w:semiHidden/>
    <w:rsid w:val="00361DEB"/>
    <w:rPr>
      <w:rFonts w:ascii="Cambria" w:eastAsia="Times New Roman" w:hAnsi="Cambria"/>
      <w:color w:val="00728F"/>
    </w:rPr>
    <w:tblPr>
      <w:tblStyleRowBandSize w:val="1"/>
      <w:tblStyleColBandSize w:val="1"/>
      <w:tblBorders>
        <w:top w:val="single" w:sz="8" w:space="0" w:color="B7DDE8"/>
        <w:left w:val="single" w:sz="8" w:space="0" w:color="B7DDE8"/>
        <w:bottom w:val="single" w:sz="8" w:space="0" w:color="B7DDE8"/>
        <w:right w:val="single" w:sz="8" w:space="0" w:color="B7DDE8"/>
        <w:insideH w:val="single" w:sz="8" w:space="0" w:color="B7DDE8"/>
        <w:insideV w:val="single" w:sz="8" w:space="0" w:color="B7DDE8"/>
      </w:tblBorders>
    </w:tblPr>
    <w:tcPr>
      <w:shd w:val="clear" w:color="auto" w:fill="EDF6F9"/>
    </w:tcPr>
    <w:tblStylePr w:type="firstRow">
      <w:rPr>
        <w:b/>
        <w:bCs/>
        <w:color w:val="00728F"/>
      </w:rPr>
      <w:tblPr/>
      <w:tcPr>
        <w:shd w:val="clear" w:color="auto" w:fill="F7FBFC"/>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F0F8FA"/>
      </w:tcPr>
    </w:tblStylePr>
    <w:tblStylePr w:type="band1Vert">
      <w:tblPr/>
      <w:tcPr>
        <w:shd w:val="clear" w:color="auto" w:fill="DBEEF3"/>
      </w:tcPr>
    </w:tblStylePr>
    <w:tblStylePr w:type="band1Horz">
      <w:tblPr/>
      <w:tcPr>
        <w:tcBorders>
          <w:insideH w:val="single" w:sz="6" w:space="0" w:color="B7DDE8"/>
          <w:insideV w:val="single" w:sz="6" w:space="0" w:color="B7DDE8"/>
        </w:tcBorders>
        <w:shd w:val="clear" w:color="auto" w:fill="DBEEF3"/>
      </w:tcPr>
    </w:tblStylePr>
    <w:tblStylePr w:type="nwCell">
      <w:tblPr/>
      <w:tcPr>
        <w:shd w:val="clear" w:color="auto" w:fill="FFFFFF"/>
      </w:tcPr>
    </w:tblStylePr>
  </w:style>
  <w:style w:type="table" w:styleId="MediumGrid2-Accent3">
    <w:name w:val="Medium Grid 2 Accent 3"/>
    <w:basedOn w:val="TableNormal"/>
    <w:uiPriority w:val="99"/>
    <w:semiHidden/>
    <w:rsid w:val="00361DEB"/>
    <w:rPr>
      <w:rFonts w:ascii="Cambria" w:eastAsia="Times New Roman" w:hAnsi="Cambria"/>
      <w:color w:val="00728F"/>
    </w:rPr>
    <w:tblPr>
      <w:tblStyleRowBandSize w:val="1"/>
      <w:tblStyleColBandSize w:val="1"/>
      <w:tblBorders>
        <w:top w:val="single" w:sz="8" w:space="0" w:color="DBEEF3"/>
        <w:left w:val="single" w:sz="8" w:space="0" w:color="DBEEF3"/>
        <w:bottom w:val="single" w:sz="8" w:space="0" w:color="DBEEF3"/>
        <w:right w:val="single" w:sz="8" w:space="0" w:color="DBEEF3"/>
        <w:insideH w:val="single" w:sz="8" w:space="0" w:color="DBEEF3"/>
        <w:insideV w:val="single" w:sz="8" w:space="0" w:color="DBEEF3"/>
      </w:tblBorders>
    </w:tblPr>
    <w:tcPr>
      <w:shd w:val="clear" w:color="auto" w:fill="F6FAFC"/>
    </w:tcPr>
    <w:tblStylePr w:type="firstRow">
      <w:rPr>
        <w:b/>
        <w:bCs/>
        <w:color w:val="00728F"/>
      </w:rPr>
      <w:tblPr/>
      <w:tcPr>
        <w:shd w:val="clear" w:color="auto" w:fill="FBFDFD"/>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F7FBFC"/>
      </w:tcPr>
    </w:tblStylePr>
    <w:tblStylePr w:type="band1Vert">
      <w:tblPr/>
      <w:tcPr>
        <w:shd w:val="clear" w:color="auto" w:fill="EDF6F9"/>
      </w:tcPr>
    </w:tblStylePr>
    <w:tblStylePr w:type="band1Horz">
      <w:tblPr/>
      <w:tcPr>
        <w:tcBorders>
          <w:insideH w:val="single" w:sz="6" w:space="0" w:color="DBEEF3"/>
          <w:insideV w:val="single" w:sz="6" w:space="0" w:color="DBEEF3"/>
        </w:tcBorders>
        <w:shd w:val="clear" w:color="auto" w:fill="EDF6F9"/>
      </w:tcPr>
    </w:tblStylePr>
    <w:tblStylePr w:type="nwCell">
      <w:tblPr/>
      <w:tcPr>
        <w:shd w:val="clear" w:color="auto" w:fill="FFFFFF"/>
      </w:tcPr>
    </w:tblStylePr>
  </w:style>
  <w:style w:type="table" w:styleId="MediumGrid2-Accent4">
    <w:name w:val="Medium Grid 2 Accent 4"/>
    <w:basedOn w:val="TableNormal"/>
    <w:uiPriority w:val="99"/>
    <w:semiHidden/>
    <w:rsid w:val="00361DEB"/>
    <w:rPr>
      <w:rFonts w:ascii="Cambria" w:eastAsia="Times New Roman" w:hAnsi="Cambria"/>
      <w:color w:val="00728F"/>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cPr>
      <w:shd w:val="clear" w:color="auto" w:fill="E4F2F6"/>
    </w:tcPr>
    <w:tblStylePr w:type="firstRow">
      <w:rPr>
        <w:b/>
        <w:bCs/>
        <w:color w:val="00728F"/>
      </w:rPr>
      <w:tblPr/>
      <w:tcPr>
        <w:shd w:val="clear" w:color="auto" w:fill="F4FAFB"/>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E9F4F8"/>
      </w:tcPr>
    </w:tblStylePr>
    <w:tblStylePr w:type="band1Vert">
      <w:tblPr/>
      <w:tcPr>
        <w:shd w:val="clear" w:color="auto" w:fill="C8E5ED"/>
      </w:tcPr>
    </w:tblStylePr>
    <w:tblStylePr w:type="band1Horz">
      <w:tblPr/>
      <w:tcPr>
        <w:tcBorders>
          <w:insideH w:val="single" w:sz="6" w:space="0" w:color="92CDDC"/>
          <w:insideV w:val="single" w:sz="6" w:space="0" w:color="92CDDC"/>
        </w:tcBorders>
        <w:shd w:val="clear" w:color="auto" w:fill="C8E5ED"/>
      </w:tcPr>
    </w:tblStylePr>
    <w:tblStylePr w:type="nwCell">
      <w:tblPr/>
      <w:tcPr>
        <w:shd w:val="clear" w:color="auto" w:fill="FFFFFF"/>
      </w:tcPr>
    </w:tblStylePr>
  </w:style>
  <w:style w:type="table" w:styleId="MediumGrid2-Accent5">
    <w:name w:val="Medium Grid 2 Accent 5"/>
    <w:basedOn w:val="TableNormal"/>
    <w:uiPriority w:val="99"/>
    <w:semiHidden/>
    <w:rsid w:val="00361DEB"/>
    <w:rPr>
      <w:rFonts w:ascii="Cambria" w:eastAsia="Times New Roman" w:hAnsi="Cambria"/>
      <w:color w:val="00728F"/>
    </w:rPr>
    <w:tblPr>
      <w:tblStyleRowBandSize w:val="1"/>
      <w:tblStyleColBandSize w:val="1"/>
      <w:tblBorders>
        <w:top w:val="single" w:sz="8" w:space="0" w:color="31859B"/>
        <w:left w:val="single" w:sz="8" w:space="0" w:color="31859B"/>
        <w:bottom w:val="single" w:sz="8" w:space="0" w:color="31859B"/>
        <w:right w:val="single" w:sz="8" w:space="0" w:color="31859B"/>
        <w:insideH w:val="single" w:sz="8" w:space="0" w:color="31859B"/>
        <w:insideV w:val="single" w:sz="8" w:space="0" w:color="31859B"/>
      </w:tblBorders>
    </w:tblPr>
    <w:tcPr>
      <w:shd w:val="clear" w:color="auto" w:fill="C5E4EC"/>
    </w:tcPr>
    <w:tblStylePr w:type="firstRow">
      <w:rPr>
        <w:b/>
        <w:bCs/>
        <w:color w:val="00728F"/>
      </w:rPr>
      <w:tblPr/>
      <w:tcPr>
        <w:shd w:val="clear" w:color="auto" w:fill="E8F4F7"/>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D0E9F0"/>
      </w:tcPr>
    </w:tblStylePr>
    <w:tblStylePr w:type="band1Vert">
      <w:tblPr/>
      <w:tcPr>
        <w:shd w:val="clear" w:color="auto" w:fill="8BC9DA"/>
      </w:tcPr>
    </w:tblStylePr>
    <w:tblStylePr w:type="band1Horz">
      <w:tblPr/>
      <w:tcPr>
        <w:tcBorders>
          <w:insideH w:val="single" w:sz="6" w:space="0" w:color="31859B"/>
          <w:insideV w:val="single" w:sz="6" w:space="0" w:color="31859B"/>
        </w:tcBorders>
        <w:shd w:val="clear" w:color="auto" w:fill="8BC9DA"/>
      </w:tcPr>
    </w:tblStylePr>
    <w:tblStylePr w:type="nwCell">
      <w:tblPr/>
      <w:tcPr>
        <w:shd w:val="clear" w:color="auto" w:fill="FFFFFF"/>
      </w:tcPr>
    </w:tblStylePr>
  </w:style>
  <w:style w:type="table" w:styleId="MediumGrid2-Accent6">
    <w:name w:val="Medium Grid 2 Accent 6"/>
    <w:basedOn w:val="TableNormal"/>
    <w:uiPriority w:val="99"/>
    <w:semiHidden/>
    <w:rsid w:val="00361DEB"/>
    <w:rPr>
      <w:rFonts w:ascii="Cambria" w:eastAsia="Times New Roman" w:hAnsi="Cambria"/>
      <w:color w:val="00728F"/>
    </w:rPr>
    <w:tblPr>
      <w:tblStyleRowBandSize w:val="1"/>
      <w:tblStyleColBandSize w:val="1"/>
      <w:tblBorders>
        <w:top w:val="single" w:sz="8" w:space="0" w:color="64B8CE"/>
        <w:left w:val="single" w:sz="8" w:space="0" w:color="64B8CE"/>
        <w:bottom w:val="single" w:sz="8" w:space="0" w:color="64B8CE"/>
        <w:right w:val="single" w:sz="8" w:space="0" w:color="64B8CE"/>
        <w:insideH w:val="single" w:sz="8" w:space="0" w:color="64B8CE"/>
        <w:insideV w:val="single" w:sz="8" w:space="0" w:color="64B8CE"/>
      </w:tblBorders>
    </w:tblPr>
    <w:tcPr>
      <w:shd w:val="clear" w:color="auto" w:fill="D8EDF2"/>
    </w:tcPr>
    <w:tblStylePr w:type="firstRow">
      <w:rPr>
        <w:b/>
        <w:bCs/>
        <w:color w:val="00728F"/>
      </w:rPr>
      <w:tblPr/>
      <w:tcPr>
        <w:shd w:val="clear" w:color="auto" w:fill="EFF8FA"/>
      </w:tcPr>
    </w:tblStylePr>
    <w:tblStylePr w:type="lastRow">
      <w:rPr>
        <w:b/>
        <w:bCs/>
        <w:color w:val="00728F"/>
      </w:rPr>
      <w:tblPr/>
      <w:tcPr>
        <w:tcBorders>
          <w:top w:val="single" w:sz="12" w:space="0" w:color="00728F"/>
          <w:left w:val="nil"/>
          <w:bottom w:val="nil"/>
          <w:right w:val="nil"/>
          <w:insideH w:val="nil"/>
          <w:insideV w:val="nil"/>
        </w:tcBorders>
        <w:shd w:val="clear" w:color="auto" w:fill="FFFFFF"/>
      </w:tcPr>
    </w:tblStylePr>
    <w:tblStylePr w:type="firstCol">
      <w:rPr>
        <w:b/>
        <w:bCs/>
        <w:color w:val="00728F"/>
      </w:rPr>
      <w:tblPr/>
      <w:tcPr>
        <w:tcBorders>
          <w:top w:val="nil"/>
          <w:left w:val="nil"/>
          <w:bottom w:val="nil"/>
          <w:right w:val="nil"/>
          <w:insideH w:val="nil"/>
          <w:insideV w:val="nil"/>
        </w:tcBorders>
        <w:shd w:val="clear" w:color="auto" w:fill="FFFFFF"/>
      </w:tcPr>
    </w:tblStylePr>
    <w:tblStylePr w:type="lastCol">
      <w:rPr>
        <w:b w:val="0"/>
        <w:bCs w:val="0"/>
        <w:color w:val="00728F"/>
      </w:rPr>
      <w:tblPr/>
      <w:tcPr>
        <w:tcBorders>
          <w:top w:val="nil"/>
          <w:left w:val="nil"/>
          <w:bottom w:val="nil"/>
          <w:right w:val="nil"/>
          <w:insideH w:val="nil"/>
          <w:insideV w:val="nil"/>
        </w:tcBorders>
        <w:shd w:val="clear" w:color="auto" w:fill="DFF0F5"/>
      </w:tcPr>
    </w:tblStylePr>
    <w:tblStylePr w:type="band1Vert">
      <w:tblPr/>
      <w:tcPr>
        <w:shd w:val="clear" w:color="auto" w:fill="B1DBE6"/>
      </w:tcPr>
    </w:tblStylePr>
    <w:tblStylePr w:type="band1Horz">
      <w:tblPr/>
      <w:tcPr>
        <w:tcBorders>
          <w:insideH w:val="single" w:sz="6" w:space="0" w:color="64B8CE"/>
          <w:insideV w:val="single" w:sz="6" w:space="0" w:color="64B8CE"/>
        </w:tcBorders>
        <w:shd w:val="clear" w:color="auto" w:fill="B1DBE6"/>
      </w:tcPr>
    </w:tblStylePr>
    <w:tblStylePr w:type="nwCell">
      <w:tblPr/>
      <w:tcPr>
        <w:shd w:val="clear" w:color="auto" w:fill="FFFFFF"/>
      </w:tcPr>
    </w:tblStylePr>
  </w:style>
  <w:style w:type="table" w:customStyle="1" w:styleId="MediumGrid31">
    <w:name w:val="Medium Grid 31"/>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4EC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28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28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28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28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8D9FF"/>
      </w:tcPr>
    </w:tblStylePr>
  </w:style>
  <w:style w:type="table" w:styleId="MediumGrid3-Accent1">
    <w:name w:val="Medium Grid 3 Accent 1"/>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4EC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28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28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28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28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8D9FF"/>
      </w:tcPr>
    </w:tblStylePr>
  </w:style>
  <w:style w:type="table" w:styleId="MediumGrid3-Accent2">
    <w:name w:val="Medium Grid 3 Accent 2"/>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F6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7DDE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7DDE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7DDE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7DDE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BEE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BEEF3"/>
      </w:tcPr>
    </w:tblStylePr>
  </w:style>
  <w:style w:type="table" w:styleId="MediumGrid3-Accent3">
    <w:name w:val="Medium Grid 3 Accent 3"/>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FAF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BEEF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BEEF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BEE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BEEF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DF6F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DF6F9"/>
      </w:tcPr>
    </w:tblStylePr>
  </w:style>
  <w:style w:type="table" w:styleId="MediumGrid3-Accent4">
    <w:name w:val="Medium Grid 3 Accent 4"/>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F2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2CD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2CD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2CD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2CD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E5E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E5ED"/>
      </w:tcPr>
    </w:tblStylePr>
  </w:style>
  <w:style w:type="table" w:styleId="MediumGrid3-Accent5">
    <w:name w:val="Medium Grid 3 Accent 5"/>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5E4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185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185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185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185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BC9D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BC9DA"/>
      </w:tcPr>
    </w:tblStylePr>
  </w:style>
  <w:style w:type="table" w:styleId="MediumGrid3-Accent6">
    <w:name w:val="Medium Grid 3 Accent 6"/>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EDF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4B8C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4B8C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4B8C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4B8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DBE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DBE6"/>
      </w:tcPr>
    </w:tblStylePr>
  </w:style>
  <w:style w:type="table" w:customStyle="1" w:styleId="MediumList11">
    <w:name w:val="Medium List 11"/>
    <w:basedOn w:val="TableNormal"/>
    <w:uiPriority w:val="99"/>
    <w:semiHidden/>
    <w:rsid w:val="00361DEB"/>
    <w:rPr>
      <w:color w:val="00728F"/>
    </w:rPr>
    <w:tblPr>
      <w:tblStyleRowBandSize w:val="1"/>
      <w:tblStyleColBandSize w:val="1"/>
      <w:tblBorders>
        <w:top w:val="single" w:sz="8" w:space="0" w:color="00728F"/>
        <w:bottom w:val="single" w:sz="8" w:space="0" w:color="00728F"/>
      </w:tblBorders>
    </w:tblPr>
    <w:tblStylePr w:type="firstRow">
      <w:rPr>
        <w:rFonts w:ascii="Tahoma" w:eastAsia="Times New Roman" w:hAnsi="Tahoma" w:cs="Times New Roman"/>
      </w:rPr>
      <w:tblPr/>
      <w:tcPr>
        <w:tcBorders>
          <w:top w:val="nil"/>
          <w:bottom w:val="single" w:sz="8" w:space="0" w:color="00728F"/>
        </w:tcBorders>
      </w:tcPr>
    </w:tblStylePr>
    <w:tblStylePr w:type="lastRow">
      <w:rPr>
        <w:b/>
        <w:bCs/>
        <w:color w:val="B7DDE8"/>
      </w:rPr>
      <w:tblPr/>
      <w:tcPr>
        <w:tcBorders>
          <w:top w:val="single" w:sz="8" w:space="0" w:color="00728F"/>
          <w:bottom w:val="single" w:sz="8" w:space="0" w:color="00728F"/>
        </w:tcBorders>
      </w:tcPr>
    </w:tblStylePr>
    <w:tblStylePr w:type="firstCol">
      <w:rPr>
        <w:b/>
        <w:bCs/>
      </w:rPr>
    </w:tblStylePr>
    <w:tblStylePr w:type="lastCol">
      <w:rPr>
        <w:b/>
        <w:bCs/>
      </w:rPr>
      <w:tblPr/>
      <w:tcPr>
        <w:tcBorders>
          <w:top w:val="single" w:sz="8" w:space="0" w:color="00728F"/>
          <w:bottom w:val="single" w:sz="8" w:space="0" w:color="00728F"/>
        </w:tcBorders>
      </w:tcPr>
    </w:tblStylePr>
    <w:tblStylePr w:type="band1Vert">
      <w:tblPr/>
      <w:tcPr>
        <w:shd w:val="clear" w:color="auto" w:fill="A4ECFF"/>
      </w:tcPr>
    </w:tblStylePr>
    <w:tblStylePr w:type="band1Horz">
      <w:tblPr/>
      <w:tcPr>
        <w:shd w:val="clear" w:color="auto" w:fill="A4ECFF"/>
      </w:tcPr>
    </w:tblStylePr>
  </w:style>
  <w:style w:type="table" w:customStyle="1" w:styleId="MediumList1-Accent11">
    <w:name w:val="Medium List 1 - Accent 11"/>
    <w:basedOn w:val="TableNormal"/>
    <w:uiPriority w:val="99"/>
    <w:semiHidden/>
    <w:rsid w:val="00361DEB"/>
    <w:rPr>
      <w:color w:val="00728F"/>
    </w:rPr>
    <w:tblPr>
      <w:tblStyleRowBandSize w:val="1"/>
      <w:tblStyleColBandSize w:val="1"/>
      <w:tblBorders>
        <w:top w:val="single" w:sz="8" w:space="0" w:color="00728F"/>
        <w:bottom w:val="single" w:sz="8" w:space="0" w:color="00728F"/>
      </w:tblBorders>
    </w:tblPr>
    <w:tblStylePr w:type="firstRow">
      <w:rPr>
        <w:rFonts w:ascii="Tahoma" w:eastAsia="Times New Roman" w:hAnsi="Tahoma" w:cs="Times New Roman"/>
      </w:rPr>
      <w:tblPr/>
      <w:tcPr>
        <w:tcBorders>
          <w:top w:val="nil"/>
          <w:bottom w:val="single" w:sz="8" w:space="0" w:color="00728F"/>
        </w:tcBorders>
      </w:tcPr>
    </w:tblStylePr>
    <w:tblStylePr w:type="lastRow">
      <w:rPr>
        <w:b/>
        <w:bCs/>
        <w:color w:val="B7DDE8"/>
      </w:rPr>
      <w:tblPr/>
      <w:tcPr>
        <w:tcBorders>
          <w:top w:val="single" w:sz="8" w:space="0" w:color="00728F"/>
          <w:bottom w:val="single" w:sz="8" w:space="0" w:color="00728F"/>
        </w:tcBorders>
      </w:tcPr>
    </w:tblStylePr>
    <w:tblStylePr w:type="firstCol">
      <w:rPr>
        <w:b/>
        <w:bCs/>
      </w:rPr>
    </w:tblStylePr>
    <w:tblStylePr w:type="lastCol">
      <w:rPr>
        <w:b/>
        <w:bCs/>
      </w:rPr>
      <w:tblPr/>
      <w:tcPr>
        <w:tcBorders>
          <w:top w:val="single" w:sz="8" w:space="0" w:color="00728F"/>
          <w:bottom w:val="single" w:sz="8" w:space="0" w:color="00728F"/>
        </w:tcBorders>
      </w:tcPr>
    </w:tblStylePr>
    <w:tblStylePr w:type="band1Vert">
      <w:tblPr/>
      <w:tcPr>
        <w:shd w:val="clear" w:color="auto" w:fill="A4ECFF"/>
      </w:tcPr>
    </w:tblStylePr>
    <w:tblStylePr w:type="band1Horz">
      <w:tblPr/>
      <w:tcPr>
        <w:shd w:val="clear" w:color="auto" w:fill="A4ECFF"/>
      </w:tcPr>
    </w:tblStylePr>
  </w:style>
  <w:style w:type="table" w:styleId="MediumList1-Accent2">
    <w:name w:val="Medium List 1 Accent 2"/>
    <w:basedOn w:val="TableNormal"/>
    <w:uiPriority w:val="99"/>
    <w:semiHidden/>
    <w:rsid w:val="00361DEB"/>
    <w:rPr>
      <w:color w:val="00728F"/>
    </w:rPr>
    <w:tblPr>
      <w:tblStyleRowBandSize w:val="1"/>
      <w:tblStyleColBandSize w:val="1"/>
      <w:tblBorders>
        <w:top w:val="single" w:sz="8" w:space="0" w:color="B7DDE8"/>
        <w:bottom w:val="single" w:sz="8" w:space="0" w:color="B7DDE8"/>
      </w:tblBorders>
    </w:tblPr>
    <w:tblStylePr w:type="firstRow">
      <w:rPr>
        <w:rFonts w:ascii="Tahoma" w:eastAsia="Times New Roman" w:hAnsi="Tahoma" w:cs="Times New Roman"/>
      </w:rPr>
      <w:tblPr/>
      <w:tcPr>
        <w:tcBorders>
          <w:top w:val="nil"/>
          <w:bottom w:val="single" w:sz="8" w:space="0" w:color="B7DDE8"/>
        </w:tcBorders>
      </w:tcPr>
    </w:tblStylePr>
    <w:tblStylePr w:type="lastRow">
      <w:rPr>
        <w:b/>
        <w:bCs/>
        <w:color w:val="B7DDE8"/>
      </w:rPr>
      <w:tblPr/>
      <w:tcPr>
        <w:tcBorders>
          <w:top w:val="single" w:sz="8" w:space="0" w:color="B7DDE8"/>
          <w:bottom w:val="single" w:sz="8" w:space="0" w:color="B7DDE8"/>
        </w:tcBorders>
      </w:tcPr>
    </w:tblStylePr>
    <w:tblStylePr w:type="firstCol">
      <w:rPr>
        <w:b/>
        <w:bCs/>
      </w:rPr>
    </w:tblStylePr>
    <w:tblStylePr w:type="lastCol">
      <w:rPr>
        <w:b/>
        <w:bCs/>
      </w:rPr>
      <w:tblPr/>
      <w:tcPr>
        <w:tcBorders>
          <w:top w:val="single" w:sz="8" w:space="0" w:color="B7DDE8"/>
          <w:bottom w:val="single" w:sz="8" w:space="0" w:color="B7DDE8"/>
        </w:tcBorders>
      </w:tcPr>
    </w:tblStylePr>
    <w:tblStylePr w:type="band1Vert">
      <w:tblPr/>
      <w:tcPr>
        <w:shd w:val="clear" w:color="auto" w:fill="EDF6F9"/>
      </w:tcPr>
    </w:tblStylePr>
    <w:tblStylePr w:type="band1Horz">
      <w:tblPr/>
      <w:tcPr>
        <w:shd w:val="clear" w:color="auto" w:fill="EDF6F9"/>
      </w:tcPr>
    </w:tblStylePr>
  </w:style>
  <w:style w:type="table" w:styleId="MediumList1-Accent3">
    <w:name w:val="Medium List 1 Accent 3"/>
    <w:basedOn w:val="TableNormal"/>
    <w:uiPriority w:val="99"/>
    <w:semiHidden/>
    <w:rsid w:val="00361DEB"/>
    <w:rPr>
      <w:color w:val="00728F"/>
    </w:rPr>
    <w:tblPr>
      <w:tblStyleRowBandSize w:val="1"/>
      <w:tblStyleColBandSize w:val="1"/>
      <w:tblBorders>
        <w:top w:val="single" w:sz="8" w:space="0" w:color="DBEEF3"/>
        <w:bottom w:val="single" w:sz="8" w:space="0" w:color="DBEEF3"/>
      </w:tblBorders>
    </w:tblPr>
    <w:tblStylePr w:type="firstRow">
      <w:rPr>
        <w:rFonts w:ascii="Tahoma" w:eastAsia="Times New Roman" w:hAnsi="Tahoma" w:cs="Times New Roman"/>
      </w:rPr>
      <w:tblPr/>
      <w:tcPr>
        <w:tcBorders>
          <w:top w:val="nil"/>
          <w:bottom w:val="single" w:sz="8" w:space="0" w:color="DBEEF3"/>
        </w:tcBorders>
      </w:tcPr>
    </w:tblStylePr>
    <w:tblStylePr w:type="lastRow">
      <w:rPr>
        <w:b/>
        <w:bCs/>
        <w:color w:val="B7DDE8"/>
      </w:rPr>
      <w:tblPr/>
      <w:tcPr>
        <w:tcBorders>
          <w:top w:val="single" w:sz="8" w:space="0" w:color="DBEEF3"/>
          <w:bottom w:val="single" w:sz="8" w:space="0" w:color="DBEEF3"/>
        </w:tcBorders>
      </w:tcPr>
    </w:tblStylePr>
    <w:tblStylePr w:type="firstCol">
      <w:rPr>
        <w:b/>
        <w:bCs/>
      </w:rPr>
    </w:tblStylePr>
    <w:tblStylePr w:type="lastCol">
      <w:rPr>
        <w:b/>
        <w:bCs/>
      </w:rPr>
      <w:tblPr/>
      <w:tcPr>
        <w:tcBorders>
          <w:top w:val="single" w:sz="8" w:space="0" w:color="DBEEF3"/>
          <w:bottom w:val="single" w:sz="8" w:space="0" w:color="DBEEF3"/>
        </w:tcBorders>
      </w:tcPr>
    </w:tblStylePr>
    <w:tblStylePr w:type="band1Vert">
      <w:tblPr/>
      <w:tcPr>
        <w:shd w:val="clear" w:color="auto" w:fill="F6FAFC"/>
      </w:tcPr>
    </w:tblStylePr>
    <w:tblStylePr w:type="band1Horz">
      <w:tblPr/>
      <w:tcPr>
        <w:shd w:val="clear" w:color="auto" w:fill="F6FAFC"/>
      </w:tcPr>
    </w:tblStylePr>
  </w:style>
  <w:style w:type="table" w:styleId="MediumList1-Accent4">
    <w:name w:val="Medium List 1 Accent 4"/>
    <w:basedOn w:val="TableNormal"/>
    <w:uiPriority w:val="99"/>
    <w:semiHidden/>
    <w:rsid w:val="00361DEB"/>
    <w:rPr>
      <w:color w:val="00728F"/>
    </w:rPr>
    <w:tblPr>
      <w:tblStyleRowBandSize w:val="1"/>
      <w:tblStyleColBandSize w:val="1"/>
      <w:tblBorders>
        <w:top w:val="single" w:sz="8" w:space="0" w:color="92CDDC"/>
        <w:bottom w:val="single" w:sz="8" w:space="0" w:color="92CDDC"/>
      </w:tblBorders>
    </w:tblPr>
    <w:tblStylePr w:type="firstRow">
      <w:rPr>
        <w:rFonts w:ascii="Tahoma" w:eastAsia="Times New Roman" w:hAnsi="Tahoma" w:cs="Times New Roman"/>
      </w:rPr>
      <w:tblPr/>
      <w:tcPr>
        <w:tcBorders>
          <w:top w:val="nil"/>
          <w:bottom w:val="single" w:sz="8" w:space="0" w:color="92CDDC"/>
        </w:tcBorders>
      </w:tcPr>
    </w:tblStylePr>
    <w:tblStylePr w:type="lastRow">
      <w:rPr>
        <w:b/>
        <w:bCs/>
        <w:color w:val="B7DDE8"/>
      </w:rPr>
      <w:tblPr/>
      <w:tcPr>
        <w:tcBorders>
          <w:top w:val="single" w:sz="8" w:space="0" w:color="92CDDC"/>
          <w:bottom w:val="single" w:sz="8" w:space="0" w:color="92CDDC"/>
        </w:tcBorders>
      </w:tcPr>
    </w:tblStylePr>
    <w:tblStylePr w:type="firstCol">
      <w:rPr>
        <w:b/>
        <w:bCs/>
      </w:rPr>
    </w:tblStylePr>
    <w:tblStylePr w:type="lastCol">
      <w:rPr>
        <w:b/>
        <w:bCs/>
      </w:rPr>
      <w:tblPr/>
      <w:tcPr>
        <w:tcBorders>
          <w:top w:val="single" w:sz="8" w:space="0" w:color="92CDDC"/>
          <w:bottom w:val="single" w:sz="8" w:space="0" w:color="92CDDC"/>
        </w:tcBorders>
      </w:tcPr>
    </w:tblStylePr>
    <w:tblStylePr w:type="band1Vert">
      <w:tblPr/>
      <w:tcPr>
        <w:shd w:val="clear" w:color="auto" w:fill="E4F2F6"/>
      </w:tcPr>
    </w:tblStylePr>
    <w:tblStylePr w:type="band1Horz">
      <w:tblPr/>
      <w:tcPr>
        <w:shd w:val="clear" w:color="auto" w:fill="E4F2F6"/>
      </w:tcPr>
    </w:tblStylePr>
  </w:style>
  <w:style w:type="table" w:styleId="MediumList1-Accent5">
    <w:name w:val="Medium List 1 Accent 5"/>
    <w:basedOn w:val="TableNormal"/>
    <w:uiPriority w:val="99"/>
    <w:semiHidden/>
    <w:rsid w:val="00361DEB"/>
    <w:rPr>
      <w:color w:val="00728F"/>
    </w:rPr>
    <w:tblPr>
      <w:tblStyleRowBandSize w:val="1"/>
      <w:tblStyleColBandSize w:val="1"/>
      <w:tblBorders>
        <w:top w:val="single" w:sz="8" w:space="0" w:color="31859B"/>
        <w:bottom w:val="single" w:sz="8" w:space="0" w:color="31859B"/>
      </w:tblBorders>
    </w:tblPr>
    <w:tblStylePr w:type="firstRow">
      <w:rPr>
        <w:rFonts w:ascii="Tahoma" w:eastAsia="Times New Roman" w:hAnsi="Tahoma" w:cs="Times New Roman"/>
      </w:rPr>
      <w:tblPr/>
      <w:tcPr>
        <w:tcBorders>
          <w:top w:val="nil"/>
          <w:bottom w:val="single" w:sz="8" w:space="0" w:color="31859B"/>
        </w:tcBorders>
      </w:tcPr>
    </w:tblStylePr>
    <w:tblStylePr w:type="lastRow">
      <w:rPr>
        <w:b/>
        <w:bCs/>
        <w:color w:val="B7DDE8"/>
      </w:rPr>
      <w:tblPr/>
      <w:tcPr>
        <w:tcBorders>
          <w:top w:val="single" w:sz="8" w:space="0" w:color="31859B"/>
          <w:bottom w:val="single" w:sz="8" w:space="0" w:color="31859B"/>
        </w:tcBorders>
      </w:tcPr>
    </w:tblStylePr>
    <w:tblStylePr w:type="firstCol">
      <w:rPr>
        <w:b/>
        <w:bCs/>
      </w:rPr>
    </w:tblStylePr>
    <w:tblStylePr w:type="lastCol">
      <w:rPr>
        <w:b/>
        <w:bCs/>
      </w:rPr>
      <w:tblPr/>
      <w:tcPr>
        <w:tcBorders>
          <w:top w:val="single" w:sz="8" w:space="0" w:color="31859B"/>
          <w:bottom w:val="single" w:sz="8" w:space="0" w:color="31859B"/>
        </w:tcBorders>
      </w:tcPr>
    </w:tblStylePr>
    <w:tblStylePr w:type="band1Vert">
      <w:tblPr/>
      <w:tcPr>
        <w:shd w:val="clear" w:color="auto" w:fill="C5E4EC"/>
      </w:tcPr>
    </w:tblStylePr>
    <w:tblStylePr w:type="band1Horz">
      <w:tblPr/>
      <w:tcPr>
        <w:shd w:val="clear" w:color="auto" w:fill="C5E4EC"/>
      </w:tcPr>
    </w:tblStylePr>
  </w:style>
  <w:style w:type="table" w:styleId="MediumList1-Accent6">
    <w:name w:val="Medium List 1 Accent 6"/>
    <w:basedOn w:val="TableNormal"/>
    <w:uiPriority w:val="99"/>
    <w:semiHidden/>
    <w:rsid w:val="00361DEB"/>
    <w:rPr>
      <w:color w:val="00728F"/>
    </w:rPr>
    <w:tblPr>
      <w:tblStyleRowBandSize w:val="1"/>
      <w:tblStyleColBandSize w:val="1"/>
      <w:tblBorders>
        <w:top w:val="single" w:sz="8" w:space="0" w:color="64B8CE"/>
        <w:bottom w:val="single" w:sz="8" w:space="0" w:color="64B8CE"/>
      </w:tblBorders>
    </w:tblPr>
    <w:tblStylePr w:type="firstRow">
      <w:rPr>
        <w:rFonts w:ascii="Tahoma" w:eastAsia="Times New Roman" w:hAnsi="Tahoma" w:cs="Times New Roman"/>
      </w:rPr>
      <w:tblPr/>
      <w:tcPr>
        <w:tcBorders>
          <w:top w:val="nil"/>
          <w:bottom w:val="single" w:sz="8" w:space="0" w:color="64B8CE"/>
        </w:tcBorders>
      </w:tcPr>
    </w:tblStylePr>
    <w:tblStylePr w:type="lastRow">
      <w:rPr>
        <w:b/>
        <w:bCs/>
        <w:color w:val="B7DDE8"/>
      </w:rPr>
      <w:tblPr/>
      <w:tcPr>
        <w:tcBorders>
          <w:top w:val="single" w:sz="8" w:space="0" w:color="64B8CE"/>
          <w:bottom w:val="single" w:sz="8" w:space="0" w:color="64B8CE"/>
        </w:tcBorders>
      </w:tcPr>
    </w:tblStylePr>
    <w:tblStylePr w:type="firstCol">
      <w:rPr>
        <w:b/>
        <w:bCs/>
      </w:rPr>
    </w:tblStylePr>
    <w:tblStylePr w:type="lastCol">
      <w:rPr>
        <w:b/>
        <w:bCs/>
      </w:rPr>
      <w:tblPr/>
      <w:tcPr>
        <w:tcBorders>
          <w:top w:val="single" w:sz="8" w:space="0" w:color="64B8CE"/>
          <w:bottom w:val="single" w:sz="8" w:space="0" w:color="64B8CE"/>
        </w:tcBorders>
      </w:tcPr>
    </w:tblStylePr>
    <w:tblStylePr w:type="band1Vert">
      <w:tblPr/>
      <w:tcPr>
        <w:shd w:val="clear" w:color="auto" w:fill="D8EDF2"/>
      </w:tcPr>
    </w:tblStylePr>
    <w:tblStylePr w:type="band1Horz">
      <w:tblPr/>
      <w:tcPr>
        <w:shd w:val="clear" w:color="auto" w:fill="D8EDF2"/>
      </w:tcPr>
    </w:tblStylePr>
  </w:style>
  <w:style w:type="table" w:customStyle="1" w:styleId="MediumList21">
    <w:name w:val="Medium List 21"/>
    <w:basedOn w:val="TableNormal"/>
    <w:uiPriority w:val="99"/>
    <w:semiHidden/>
    <w:rsid w:val="00361DEB"/>
    <w:rPr>
      <w:rFonts w:ascii="Cambria" w:eastAsia="Times New Roman" w:hAnsi="Cambria"/>
      <w:color w:val="00728F"/>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rPr>
        <w:sz w:val="24"/>
        <w:szCs w:val="24"/>
      </w:rPr>
      <w:tblPr/>
      <w:tcPr>
        <w:tcBorders>
          <w:top w:val="nil"/>
          <w:left w:val="nil"/>
          <w:bottom w:val="single" w:sz="24" w:space="0" w:color="00728F"/>
          <w:right w:val="nil"/>
          <w:insideH w:val="nil"/>
          <w:insideV w:val="nil"/>
        </w:tcBorders>
        <w:shd w:val="clear" w:color="auto" w:fill="FFFFFF"/>
      </w:tcPr>
    </w:tblStylePr>
    <w:tblStylePr w:type="lastRow">
      <w:tblPr/>
      <w:tcPr>
        <w:tcBorders>
          <w:top w:val="single" w:sz="8" w:space="0" w:color="00728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28F"/>
          <w:insideH w:val="nil"/>
          <w:insideV w:val="nil"/>
        </w:tcBorders>
        <w:shd w:val="clear" w:color="auto" w:fill="FFFFFF"/>
      </w:tcPr>
    </w:tblStylePr>
    <w:tblStylePr w:type="lastCol">
      <w:tblPr/>
      <w:tcPr>
        <w:tcBorders>
          <w:top w:val="nil"/>
          <w:left w:val="single" w:sz="8" w:space="0" w:color="00728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4ECFF"/>
      </w:tcPr>
    </w:tblStylePr>
    <w:tblStylePr w:type="band1Horz">
      <w:tblPr/>
      <w:tcPr>
        <w:tcBorders>
          <w:top w:val="nil"/>
          <w:bottom w:val="nil"/>
          <w:insideH w:val="nil"/>
          <w:insideV w:val="nil"/>
        </w:tcBorders>
        <w:shd w:val="clear" w:color="auto" w:fill="A4ECF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rsid w:val="00361DEB"/>
    <w:rPr>
      <w:rFonts w:ascii="Cambria" w:eastAsia="Times New Roman" w:hAnsi="Cambria"/>
      <w:color w:val="00728F"/>
    </w:rPr>
    <w:tblPr>
      <w:tblStyleRowBandSize w:val="1"/>
      <w:tblStyleColBandSize w:val="1"/>
      <w:tblBorders>
        <w:top w:val="single" w:sz="8" w:space="0" w:color="00728F"/>
        <w:left w:val="single" w:sz="8" w:space="0" w:color="00728F"/>
        <w:bottom w:val="single" w:sz="8" w:space="0" w:color="00728F"/>
        <w:right w:val="single" w:sz="8" w:space="0" w:color="00728F"/>
      </w:tblBorders>
    </w:tblPr>
    <w:tblStylePr w:type="firstRow">
      <w:rPr>
        <w:sz w:val="24"/>
        <w:szCs w:val="24"/>
      </w:rPr>
      <w:tblPr/>
      <w:tcPr>
        <w:tcBorders>
          <w:top w:val="nil"/>
          <w:left w:val="nil"/>
          <w:bottom w:val="single" w:sz="24" w:space="0" w:color="00728F"/>
          <w:right w:val="nil"/>
          <w:insideH w:val="nil"/>
          <w:insideV w:val="nil"/>
        </w:tcBorders>
        <w:shd w:val="clear" w:color="auto" w:fill="FFFFFF"/>
      </w:tcPr>
    </w:tblStylePr>
    <w:tblStylePr w:type="lastRow">
      <w:tblPr/>
      <w:tcPr>
        <w:tcBorders>
          <w:top w:val="single" w:sz="8" w:space="0" w:color="00728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28F"/>
          <w:insideH w:val="nil"/>
          <w:insideV w:val="nil"/>
        </w:tcBorders>
        <w:shd w:val="clear" w:color="auto" w:fill="FFFFFF"/>
      </w:tcPr>
    </w:tblStylePr>
    <w:tblStylePr w:type="lastCol">
      <w:tblPr/>
      <w:tcPr>
        <w:tcBorders>
          <w:top w:val="nil"/>
          <w:left w:val="single" w:sz="8" w:space="0" w:color="00728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4ECFF"/>
      </w:tcPr>
    </w:tblStylePr>
    <w:tblStylePr w:type="band1Horz">
      <w:tblPr/>
      <w:tcPr>
        <w:tcBorders>
          <w:top w:val="nil"/>
          <w:bottom w:val="nil"/>
          <w:insideH w:val="nil"/>
          <w:insideV w:val="nil"/>
        </w:tcBorders>
        <w:shd w:val="clear" w:color="auto" w:fill="A4EC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rsid w:val="00361DEB"/>
    <w:rPr>
      <w:rFonts w:ascii="Cambria" w:eastAsia="Times New Roman" w:hAnsi="Cambria"/>
      <w:color w:val="00728F"/>
    </w:rPr>
    <w:tblPr>
      <w:tblStyleRowBandSize w:val="1"/>
      <w:tblStyleColBandSize w:val="1"/>
      <w:tblBorders>
        <w:top w:val="single" w:sz="8" w:space="0" w:color="B7DDE8"/>
        <w:left w:val="single" w:sz="8" w:space="0" w:color="B7DDE8"/>
        <w:bottom w:val="single" w:sz="8" w:space="0" w:color="B7DDE8"/>
        <w:right w:val="single" w:sz="8" w:space="0" w:color="B7DDE8"/>
      </w:tblBorders>
    </w:tblPr>
    <w:tblStylePr w:type="firstRow">
      <w:rPr>
        <w:sz w:val="24"/>
        <w:szCs w:val="24"/>
      </w:rPr>
      <w:tblPr/>
      <w:tcPr>
        <w:tcBorders>
          <w:top w:val="nil"/>
          <w:left w:val="nil"/>
          <w:bottom w:val="single" w:sz="24" w:space="0" w:color="B7DDE8"/>
          <w:right w:val="nil"/>
          <w:insideH w:val="nil"/>
          <w:insideV w:val="nil"/>
        </w:tcBorders>
        <w:shd w:val="clear" w:color="auto" w:fill="FFFFFF"/>
      </w:tcPr>
    </w:tblStylePr>
    <w:tblStylePr w:type="lastRow">
      <w:tblPr/>
      <w:tcPr>
        <w:tcBorders>
          <w:top w:val="single" w:sz="8" w:space="0" w:color="B7DDE8"/>
          <w:left w:val="nil"/>
          <w:bottom w:val="nil"/>
          <w:right w:val="nil"/>
          <w:insideH w:val="nil"/>
          <w:insideV w:val="nil"/>
        </w:tcBorders>
        <w:shd w:val="clear" w:color="auto" w:fill="FFFFFF"/>
      </w:tcPr>
    </w:tblStylePr>
    <w:tblStylePr w:type="firstCol">
      <w:tblPr/>
      <w:tcPr>
        <w:tcBorders>
          <w:top w:val="nil"/>
          <w:left w:val="nil"/>
          <w:bottom w:val="nil"/>
          <w:right w:val="single" w:sz="8" w:space="0" w:color="B7DDE8"/>
          <w:insideH w:val="nil"/>
          <w:insideV w:val="nil"/>
        </w:tcBorders>
        <w:shd w:val="clear" w:color="auto" w:fill="FFFFFF"/>
      </w:tcPr>
    </w:tblStylePr>
    <w:tblStylePr w:type="lastCol">
      <w:tblPr/>
      <w:tcPr>
        <w:tcBorders>
          <w:top w:val="nil"/>
          <w:left w:val="single" w:sz="8" w:space="0" w:color="B7DDE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F6F9"/>
      </w:tcPr>
    </w:tblStylePr>
    <w:tblStylePr w:type="band1Horz">
      <w:tblPr/>
      <w:tcPr>
        <w:tcBorders>
          <w:top w:val="nil"/>
          <w:bottom w:val="nil"/>
          <w:insideH w:val="nil"/>
          <w:insideV w:val="nil"/>
        </w:tcBorders>
        <w:shd w:val="clear" w:color="auto" w:fill="EDF6F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rsid w:val="00361DEB"/>
    <w:rPr>
      <w:rFonts w:ascii="Cambria" w:eastAsia="Times New Roman" w:hAnsi="Cambria"/>
      <w:color w:val="00728F"/>
    </w:rPr>
    <w:tblPr>
      <w:tblStyleRowBandSize w:val="1"/>
      <w:tblStyleColBandSize w:val="1"/>
      <w:tblBorders>
        <w:top w:val="single" w:sz="8" w:space="0" w:color="DBEEF3"/>
        <w:left w:val="single" w:sz="8" w:space="0" w:color="DBEEF3"/>
        <w:bottom w:val="single" w:sz="8" w:space="0" w:color="DBEEF3"/>
        <w:right w:val="single" w:sz="8" w:space="0" w:color="DBEEF3"/>
      </w:tblBorders>
    </w:tblPr>
    <w:tblStylePr w:type="firstRow">
      <w:rPr>
        <w:sz w:val="24"/>
        <w:szCs w:val="24"/>
      </w:rPr>
      <w:tblPr/>
      <w:tcPr>
        <w:tcBorders>
          <w:top w:val="nil"/>
          <w:left w:val="nil"/>
          <w:bottom w:val="single" w:sz="24" w:space="0" w:color="DBEEF3"/>
          <w:right w:val="nil"/>
          <w:insideH w:val="nil"/>
          <w:insideV w:val="nil"/>
        </w:tcBorders>
        <w:shd w:val="clear" w:color="auto" w:fill="FFFFFF"/>
      </w:tcPr>
    </w:tblStylePr>
    <w:tblStylePr w:type="lastRow">
      <w:tblPr/>
      <w:tcPr>
        <w:tcBorders>
          <w:top w:val="single" w:sz="8" w:space="0" w:color="DBEEF3"/>
          <w:left w:val="nil"/>
          <w:bottom w:val="nil"/>
          <w:right w:val="nil"/>
          <w:insideH w:val="nil"/>
          <w:insideV w:val="nil"/>
        </w:tcBorders>
        <w:shd w:val="clear" w:color="auto" w:fill="FFFFFF"/>
      </w:tcPr>
    </w:tblStylePr>
    <w:tblStylePr w:type="firstCol">
      <w:tblPr/>
      <w:tcPr>
        <w:tcBorders>
          <w:top w:val="nil"/>
          <w:left w:val="nil"/>
          <w:bottom w:val="nil"/>
          <w:right w:val="single" w:sz="8" w:space="0" w:color="DBEEF3"/>
          <w:insideH w:val="nil"/>
          <w:insideV w:val="nil"/>
        </w:tcBorders>
        <w:shd w:val="clear" w:color="auto" w:fill="FFFFFF"/>
      </w:tcPr>
    </w:tblStylePr>
    <w:tblStylePr w:type="lastCol">
      <w:tblPr/>
      <w:tcPr>
        <w:tcBorders>
          <w:top w:val="nil"/>
          <w:left w:val="single" w:sz="8" w:space="0" w:color="DBEEF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AFC"/>
      </w:tcPr>
    </w:tblStylePr>
    <w:tblStylePr w:type="band1Horz">
      <w:tblPr/>
      <w:tcPr>
        <w:tcBorders>
          <w:top w:val="nil"/>
          <w:bottom w:val="nil"/>
          <w:insideH w:val="nil"/>
          <w:insideV w:val="nil"/>
        </w:tcBorders>
        <w:shd w:val="clear" w:color="auto" w:fill="F6FAFC"/>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rsid w:val="00361DEB"/>
    <w:rPr>
      <w:rFonts w:ascii="Cambria" w:eastAsia="Times New Roman" w:hAnsi="Cambria"/>
      <w:color w:val="00728F"/>
    </w:rPr>
    <w:tblPr>
      <w:tblStyleRowBandSize w:val="1"/>
      <w:tblStyleColBandSize w:val="1"/>
      <w:tblBorders>
        <w:top w:val="single" w:sz="8" w:space="0" w:color="92CDDC"/>
        <w:left w:val="single" w:sz="8" w:space="0" w:color="92CDDC"/>
        <w:bottom w:val="single" w:sz="8" w:space="0" w:color="92CDDC"/>
        <w:right w:val="single" w:sz="8" w:space="0" w:color="92CDDC"/>
      </w:tblBorders>
    </w:tblPr>
    <w:tblStylePr w:type="firstRow">
      <w:rPr>
        <w:sz w:val="24"/>
        <w:szCs w:val="24"/>
      </w:rPr>
      <w:tblPr/>
      <w:tcPr>
        <w:tcBorders>
          <w:top w:val="nil"/>
          <w:left w:val="nil"/>
          <w:bottom w:val="single" w:sz="24" w:space="0" w:color="92CDDC"/>
          <w:right w:val="nil"/>
          <w:insideH w:val="nil"/>
          <w:insideV w:val="nil"/>
        </w:tcBorders>
        <w:shd w:val="clear" w:color="auto" w:fill="FFFFFF"/>
      </w:tcPr>
    </w:tblStylePr>
    <w:tblStylePr w:type="lastRow">
      <w:tblPr/>
      <w:tcPr>
        <w:tcBorders>
          <w:top w:val="single" w:sz="8" w:space="0" w:color="92CDDC"/>
          <w:left w:val="nil"/>
          <w:bottom w:val="nil"/>
          <w:right w:val="nil"/>
          <w:insideH w:val="nil"/>
          <w:insideV w:val="nil"/>
        </w:tcBorders>
        <w:shd w:val="clear" w:color="auto" w:fill="FFFFFF"/>
      </w:tcPr>
    </w:tblStylePr>
    <w:tblStylePr w:type="firstCol">
      <w:tblPr/>
      <w:tcPr>
        <w:tcBorders>
          <w:top w:val="nil"/>
          <w:left w:val="nil"/>
          <w:bottom w:val="nil"/>
          <w:right w:val="single" w:sz="8" w:space="0" w:color="92CDDC"/>
          <w:insideH w:val="nil"/>
          <w:insideV w:val="nil"/>
        </w:tcBorders>
        <w:shd w:val="clear" w:color="auto" w:fill="FFFFFF"/>
      </w:tcPr>
    </w:tblStylePr>
    <w:tblStylePr w:type="lastCol">
      <w:tblPr/>
      <w:tcPr>
        <w:tcBorders>
          <w:top w:val="nil"/>
          <w:left w:val="single" w:sz="8" w:space="0" w:color="92CD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F2F6"/>
      </w:tcPr>
    </w:tblStylePr>
    <w:tblStylePr w:type="band1Horz">
      <w:tblPr/>
      <w:tcPr>
        <w:tcBorders>
          <w:top w:val="nil"/>
          <w:bottom w:val="nil"/>
          <w:insideH w:val="nil"/>
          <w:insideV w:val="nil"/>
        </w:tcBorders>
        <w:shd w:val="clear" w:color="auto" w:fill="E4F2F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rsid w:val="00361DEB"/>
    <w:rPr>
      <w:rFonts w:ascii="Cambria" w:eastAsia="Times New Roman" w:hAnsi="Cambria"/>
      <w:color w:val="00728F"/>
    </w:rPr>
    <w:tblPr>
      <w:tblStyleRowBandSize w:val="1"/>
      <w:tblStyleColBandSize w:val="1"/>
      <w:tblBorders>
        <w:top w:val="single" w:sz="8" w:space="0" w:color="31859B"/>
        <w:left w:val="single" w:sz="8" w:space="0" w:color="31859B"/>
        <w:bottom w:val="single" w:sz="8" w:space="0" w:color="31859B"/>
        <w:right w:val="single" w:sz="8" w:space="0" w:color="31859B"/>
      </w:tblBorders>
    </w:tblPr>
    <w:tblStylePr w:type="firstRow">
      <w:rPr>
        <w:sz w:val="24"/>
        <w:szCs w:val="24"/>
      </w:rPr>
      <w:tblPr/>
      <w:tcPr>
        <w:tcBorders>
          <w:top w:val="nil"/>
          <w:left w:val="nil"/>
          <w:bottom w:val="single" w:sz="24" w:space="0" w:color="31859B"/>
          <w:right w:val="nil"/>
          <w:insideH w:val="nil"/>
          <w:insideV w:val="nil"/>
        </w:tcBorders>
        <w:shd w:val="clear" w:color="auto" w:fill="FFFFFF"/>
      </w:tcPr>
    </w:tblStylePr>
    <w:tblStylePr w:type="lastRow">
      <w:tblPr/>
      <w:tcPr>
        <w:tcBorders>
          <w:top w:val="single" w:sz="8" w:space="0" w:color="31859B"/>
          <w:left w:val="nil"/>
          <w:bottom w:val="nil"/>
          <w:right w:val="nil"/>
          <w:insideH w:val="nil"/>
          <w:insideV w:val="nil"/>
        </w:tcBorders>
        <w:shd w:val="clear" w:color="auto" w:fill="FFFFFF"/>
      </w:tcPr>
    </w:tblStylePr>
    <w:tblStylePr w:type="firstCol">
      <w:tblPr/>
      <w:tcPr>
        <w:tcBorders>
          <w:top w:val="nil"/>
          <w:left w:val="nil"/>
          <w:bottom w:val="nil"/>
          <w:right w:val="single" w:sz="8" w:space="0" w:color="31859B"/>
          <w:insideH w:val="nil"/>
          <w:insideV w:val="nil"/>
        </w:tcBorders>
        <w:shd w:val="clear" w:color="auto" w:fill="FFFFFF"/>
      </w:tcPr>
    </w:tblStylePr>
    <w:tblStylePr w:type="lastCol">
      <w:tblPr/>
      <w:tcPr>
        <w:tcBorders>
          <w:top w:val="nil"/>
          <w:left w:val="single" w:sz="8" w:space="0" w:color="31859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5E4EC"/>
      </w:tcPr>
    </w:tblStylePr>
    <w:tblStylePr w:type="band1Horz">
      <w:tblPr/>
      <w:tcPr>
        <w:tcBorders>
          <w:top w:val="nil"/>
          <w:bottom w:val="nil"/>
          <w:insideH w:val="nil"/>
          <w:insideV w:val="nil"/>
        </w:tcBorders>
        <w:shd w:val="clear" w:color="auto" w:fill="C5E4EC"/>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rsid w:val="00361DEB"/>
    <w:rPr>
      <w:rFonts w:ascii="Cambria" w:eastAsia="Times New Roman" w:hAnsi="Cambria"/>
      <w:color w:val="00728F"/>
    </w:rPr>
    <w:tblPr>
      <w:tblStyleRowBandSize w:val="1"/>
      <w:tblStyleColBandSize w:val="1"/>
      <w:tblBorders>
        <w:top w:val="single" w:sz="8" w:space="0" w:color="64B8CE"/>
        <w:left w:val="single" w:sz="8" w:space="0" w:color="64B8CE"/>
        <w:bottom w:val="single" w:sz="8" w:space="0" w:color="64B8CE"/>
        <w:right w:val="single" w:sz="8" w:space="0" w:color="64B8CE"/>
      </w:tblBorders>
    </w:tblPr>
    <w:tblStylePr w:type="firstRow">
      <w:rPr>
        <w:sz w:val="24"/>
        <w:szCs w:val="24"/>
      </w:rPr>
      <w:tblPr/>
      <w:tcPr>
        <w:tcBorders>
          <w:top w:val="nil"/>
          <w:left w:val="nil"/>
          <w:bottom w:val="single" w:sz="24" w:space="0" w:color="64B8CE"/>
          <w:right w:val="nil"/>
          <w:insideH w:val="nil"/>
          <w:insideV w:val="nil"/>
        </w:tcBorders>
        <w:shd w:val="clear" w:color="auto" w:fill="FFFFFF"/>
      </w:tcPr>
    </w:tblStylePr>
    <w:tblStylePr w:type="lastRow">
      <w:tblPr/>
      <w:tcPr>
        <w:tcBorders>
          <w:top w:val="single" w:sz="8" w:space="0" w:color="64B8CE"/>
          <w:left w:val="nil"/>
          <w:bottom w:val="nil"/>
          <w:right w:val="nil"/>
          <w:insideH w:val="nil"/>
          <w:insideV w:val="nil"/>
        </w:tcBorders>
        <w:shd w:val="clear" w:color="auto" w:fill="FFFFFF"/>
      </w:tcPr>
    </w:tblStylePr>
    <w:tblStylePr w:type="firstCol">
      <w:tblPr/>
      <w:tcPr>
        <w:tcBorders>
          <w:top w:val="nil"/>
          <w:left w:val="nil"/>
          <w:bottom w:val="nil"/>
          <w:right w:val="single" w:sz="8" w:space="0" w:color="64B8CE"/>
          <w:insideH w:val="nil"/>
          <w:insideV w:val="nil"/>
        </w:tcBorders>
        <w:shd w:val="clear" w:color="auto" w:fill="FFFFFF"/>
      </w:tcPr>
    </w:tblStylePr>
    <w:tblStylePr w:type="lastCol">
      <w:tblPr/>
      <w:tcPr>
        <w:tcBorders>
          <w:top w:val="nil"/>
          <w:left w:val="single" w:sz="8" w:space="0" w:color="64B8C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DF2"/>
      </w:tcPr>
    </w:tblStylePr>
    <w:tblStylePr w:type="band1Horz">
      <w:tblPr/>
      <w:tcPr>
        <w:tcBorders>
          <w:top w:val="nil"/>
          <w:bottom w:val="nil"/>
          <w:insideH w:val="nil"/>
          <w:insideV w:val="nil"/>
        </w:tcBorders>
        <w:shd w:val="clear" w:color="auto" w:fill="D8EDF2"/>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99"/>
    <w:semiHidden/>
    <w:rsid w:val="00361DEB"/>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tblBorders>
    </w:tblPr>
    <w:tblStylePr w:type="firstRow">
      <w:pPr>
        <w:spacing w:before="0" w:after="0" w:line="240" w:lineRule="auto"/>
      </w:pPr>
      <w:rPr>
        <w:b/>
        <w:bCs/>
        <w:color w:val="FFFFFF"/>
      </w:rPr>
      <w:tblPr/>
      <w:tcPr>
        <w:tcBorders>
          <w:top w:val="single" w:sz="8" w:space="0" w:color="00BBEB"/>
          <w:left w:val="single" w:sz="8" w:space="0" w:color="00BBEB"/>
          <w:bottom w:val="single" w:sz="8" w:space="0" w:color="00BBEB"/>
          <w:right w:val="single" w:sz="8" w:space="0" w:color="00BBEB"/>
          <w:insideH w:val="nil"/>
          <w:insideV w:val="nil"/>
        </w:tcBorders>
        <w:shd w:val="clear" w:color="auto" w:fill="00728F"/>
      </w:tcPr>
    </w:tblStylePr>
    <w:tblStylePr w:type="lastRow">
      <w:pPr>
        <w:spacing w:before="0" w:after="0" w:line="240" w:lineRule="auto"/>
      </w:pPr>
      <w:rPr>
        <w:b/>
        <w:bCs/>
      </w:rPr>
      <w:tblPr/>
      <w:tcPr>
        <w:tcBorders>
          <w:top w:val="double" w:sz="6" w:space="0" w:color="00BBEB"/>
          <w:left w:val="single" w:sz="8" w:space="0" w:color="00BBEB"/>
          <w:bottom w:val="single" w:sz="8" w:space="0" w:color="00BBEB"/>
          <w:right w:val="single" w:sz="8" w:space="0" w:color="00BBEB"/>
          <w:insideH w:val="nil"/>
          <w:insideV w:val="nil"/>
        </w:tcBorders>
      </w:tcPr>
    </w:tblStylePr>
    <w:tblStylePr w:type="firstCol">
      <w:rPr>
        <w:b/>
        <w:bCs/>
      </w:rPr>
    </w:tblStylePr>
    <w:tblStylePr w:type="lastCol">
      <w:rPr>
        <w:b/>
        <w:bCs/>
      </w:rPr>
    </w:tblStylePr>
    <w:tblStylePr w:type="band1Vert">
      <w:tblPr/>
      <w:tcPr>
        <w:shd w:val="clear" w:color="auto" w:fill="A4ECFF"/>
      </w:tcPr>
    </w:tblStylePr>
    <w:tblStylePr w:type="band1Horz">
      <w:tblPr/>
      <w:tcPr>
        <w:tcBorders>
          <w:insideH w:val="nil"/>
          <w:insideV w:val="nil"/>
        </w:tcBorders>
        <w:shd w:val="clear" w:color="auto" w:fill="A4ECF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tblPr>
      <w:tblStyleRowBandSize w:val="1"/>
      <w:tblStyleColBandSize w:val="1"/>
      <w:tblBorders>
        <w:top w:val="single" w:sz="8" w:space="0" w:color="00BBEB"/>
        <w:left w:val="single" w:sz="8" w:space="0" w:color="00BBEB"/>
        <w:bottom w:val="single" w:sz="8" w:space="0" w:color="00BBEB"/>
        <w:right w:val="single" w:sz="8" w:space="0" w:color="00BBEB"/>
        <w:insideH w:val="single" w:sz="8" w:space="0" w:color="00BBEB"/>
      </w:tblBorders>
    </w:tblPr>
    <w:tblStylePr w:type="firstRow">
      <w:pPr>
        <w:spacing w:before="0" w:after="0" w:line="240" w:lineRule="auto"/>
      </w:pPr>
      <w:rPr>
        <w:b/>
        <w:bCs/>
        <w:color w:val="FFFFFF"/>
      </w:rPr>
      <w:tblPr/>
      <w:tcPr>
        <w:tcBorders>
          <w:top w:val="single" w:sz="8" w:space="0" w:color="00BBEB"/>
          <w:left w:val="single" w:sz="8" w:space="0" w:color="00BBEB"/>
          <w:bottom w:val="single" w:sz="8" w:space="0" w:color="00BBEB"/>
          <w:right w:val="single" w:sz="8" w:space="0" w:color="00BBEB"/>
          <w:insideH w:val="nil"/>
          <w:insideV w:val="nil"/>
        </w:tcBorders>
        <w:shd w:val="clear" w:color="auto" w:fill="00728F"/>
      </w:tcPr>
    </w:tblStylePr>
    <w:tblStylePr w:type="lastRow">
      <w:pPr>
        <w:spacing w:before="0" w:after="0" w:line="240" w:lineRule="auto"/>
      </w:pPr>
      <w:rPr>
        <w:b/>
        <w:bCs/>
      </w:rPr>
      <w:tblPr/>
      <w:tcPr>
        <w:tcBorders>
          <w:top w:val="double" w:sz="6" w:space="0" w:color="00BBEB"/>
          <w:left w:val="single" w:sz="8" w:space="0" w:color="00BBEB"/>
          <w:bottom w:val="single" w:sz="8" w:space="0" w:color="00BBEB"/>
          <w:right w:val="single" w:sz="8" w:space="0" w:color="00BBEB"/>
          <w:insideH w:val="nil"/>
          <w:insideV w:val="nil"/>
        </w:tcBorders>
      </w:tcPr>
    </w:tblStylePr>
    <w:tblStylePr w:type="firstCol">
      <w:rPr>
        <w:b/>
        <w:bCs/>
      </w:rPr>
    </w:tblStylePr>
    <w:tblStylePr w:type="lastCol">
      <w:rPr>
        <w:b/>
        <w:bCs/>
      </w:rPr>
    </w:tblStylePr>
    <w:tblStylePr w:type="band1Vert">
      <w:tblPr/>
      <w:tcPr>
        <w:shd w:val="clear" w:color="auto" w:fill="A4ECFF"/>
      </w:tcPr>
    </w:tblStylePr>
    <w:tblStylePr w:type="band1Horz">
      <w:tblPr/>
      <w:tcPr>
        <w:tcBorders>
          <w:insideH w:val="nil"/>
          <w:insideV w:val="nil"/>
        </w:tcBorders>
        <w:shd w:val="clear" w:color="auto" w:fill="A4EC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tblPr>
      <w:tblStyleRowBandSize w:val="1"/>
      <w:tblStyleColBandSize w:val="1"/>
      <w:tblBorders>
        <w:top w:val="single" w:sz="8" w:space="0" w:color="C8E5ED"/>
        <w:left w:val="single" w:sz="8" w:space="0" w:color="C8E5ED"/>
        <w:bottom w:val="single" w:sz="8" w:space="0" w:color="C8E5ED"/>
        <w:right w:val="single" w:sz="8" w:space="0" w:color="C8E5ED"/>
        <w:insideH w:val="single" w:sz="8" w:space="0" w:color="C8E5ED"/>
      </w:tblBorders>
    </w:tblPr>
    <w:tblStylePr w:type="firstRow">
      <w:pPr>
        <w:spacing w:before="0" w:after="0" w:line="240" w:lineRule="auto"/>
      </w:pPr>
      <w:rPr>
        <w:b/>
        <w:bCs/>
        <w:color w:val="FFFFFF"/>
      </w:rPr>
      <w:tblPr/>
      <w:tcPr>
        <w:tcBorders>
          <w:top w:val="single" w:sz="8" w:space="0" w:color="C8E5ED"/>
          <w:left w:val="single" w:sz="8" w:space="0" w:color="C8E5ED"/>
          <w:bottom w:val="single" w:sz="8" w:space="0" w:color="C8E5ED"/>
          <w:right w:val="single" w:sz="8" w:space="0" w:color="C8E5ED"/>
          <w:insideH w:val="nil"/>
          <w:insideV w:val="nil"/>
        </w:tcBorders>
        <w:shd w:val="clear" w:color="auto" w:fill="B7DDE8"/>
      </w:tcPr>
    </w:tblStylePr>
    <w:tblStylePr w:type="lastRow">
      <w:pPr>
        <w:spacing w:before="0" w:after="0" w:line="240" w:lineRule="auto"/>
      </w:pPr>
      <w:rPr>
        <w:b/>
        <w:bCs/>
      </w:rPr>
      <w:tblPr/>
      <w:tcPr>
        <w:tcBorders>
          <w:top w:val="double" w:sz="6" w:space="0" w:color="C8E5ED"/>
          <w:left w:val="single" w:sz="8" w:space="0" w:color="C8E5ED"/>
          <w:bottom w:val="single" w:sz="8" w:space="0" w:color="C8E5ED"/>
          <w:right w:val="single" w:sz="8" w:space="0" w:color="C8E5ED"/>
          <w:insideH w:val="nil"/>
          <w:insideV w:val="nil"/>
        </w:tcBorders>
      </w:tcPr>
    </w:tblStylePr>
    <w:tblStylePr w:type="firstCol">
      <w:rPr>
        <w:b/>
        <w:bCs/>
      </w:rPr>
    </w:tblStylePr>
    <w:tblStylePr w:type="lastCol">
      <w:rPr>
        <w:b/>
        <w:bCs/>
      </w:rPr>
    </w:tblStylePr>
    <w:tblStylePr w:type="band1Vert">
      <w:tblPr/>
      <w:tcPr>
        <w:shd w:val="clear" w:color="auto" w:fill="EDF6F9"/>
      </w:tcPr>
    </w:tblStylePr>
    <w:tblStylePr w:type="band1Horz">
      <w:tblPr/>
      <w:tcPr>
        <w:tcBorders>
          <w:insideH w:val="nil"/>
          <w:insideV w:val="nil"/>
        </w:tcBorders>
        <w:shd w:val="clear" w:color="auto" w:fill="EDF6F9"/>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tblPr>
      <w:tblStyleRowBandSize w:val="1"/>
      <w:tblStyleColBandSize w:val="1"/>
      <w:tblBorders>
        <w:top w:val="single" w:sz="8" w:space="0" w:color="E4F2F6"/>
        <w:left w:val="single" w:sz="8" w:space="0" w:color="E4F2F6"/>
        <w:bottom w:val="single" w:sz="8" w:space="0" w:color="E4F2F6"/>
        <w:right w:val="single" w:sz="8" w:space="0" w:color="E4F2F6"/>
        <w:insideH w:val="single" w:sz="8" w:space="0" w:color="E4F2F6"/>
      </w:tblBorders>
    </w:tblPr>
    <w:tblStylePr w:type="firstRow">
      <w:pPr>
        <w:spacing w:before="0" w:after="0" w:line="240" w:lineRule="auto"/>
      </w:pPr>
      <w:rPr>
        <w:b/>
        <w:bCs/>
        <w:color w:val="FFFFFF"/>
      </w:rPr>
      <w:tblPr/>
      <w:tcPr>
        <w:tcBorders>
          <w:top w:val="single" w:sz="8" w:space="0" w:color="E4F2F6"/>
          <w:left w:val="single" w:sz="8" w:space="0" w:color="E4F2F6"/>
          <w:bottom w:val="single" w:sz="8" w:space="0" w:color="E4F2F6"/>
          <w:right w:val="single" w:sz="8" w:space="0" w:color="E4F2F6"/>
          <w:insideH w:val="nil"/>
          <w:insideV w:val="nil"/>
        </w:tcBorders>
        <w:shd w:val="clear" w:color="auto" w:fill="DBEEF3"/>
      </w:tcPr>
    </w:tblStylePr>
    <w:tblStylePr w:type="lastRow">
      <w:pPr>
        <w:spacing w:before="0" w:after="0" w:line="240" w:lineRule="auto"/>
      </w:pPr>
      <w:rPr>
        <w:b/>
        <w:bCs/>
      </w:rPr>
      <w:tblPr/>
      <w:tcPr>
        <w:tcBorders>
          <w:top w:val="double" w:sz="6" w:space="0" w:color="E4F2F6"/>
          <w:left w:val="single" w:sz="8" w:space="0" w:color="E4F2F6"/>
          <w:bottom w:val="single" w:sz="8" w:space="0" w:color="E4F2F6"/>
          <w:right w:val="single" w:sz="8" w:space="0" w:color="E4F2F6"/>
          <w:insideH w:val="nil"/>
          <w:insideV w:val="nil"/>
        </w:tcBorders>
      </w:tcPr>
    </w:tblStylePr>
    <w:tblStylePr w:type="firstCol">
      <w:rPr>
        <w:b/>
        <w:bCs/>
      </w:rPr>
    </w:tblStylePr>
    <w:tblStylePr w:type="lastCol">
      <w:rPr>
        <w:b/>
        <w:bCs/>
      </w:rPr>
    </w:tblStylePr>
    <w:tblStylePr w:type="band1Vert">
      <w:tblPr/>
      <w:tcPr>
        <w:shd w:val="clear" w:color="auto" w:fill="F6FAFC"/>
      </w:tcPr>
    </w:tblStylePr>
    <w:tblStylePr w:type="band1Horz">
      <w:tblPr/>
      <w:tcPr>
        <w:tcBorders>
          <w:insideH w:val="nil"/>
          <w:insideV w:val="nil"/>
        </w:tcBorders>
        <w:shd w:val="clear" w:color="auto" w:fill="F6FAFC"/>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tblPr>
      <w:tblStyleRowBandSize w:val="1"/>
      <w:tblStyleColBandSize w:val="1"/>
      <w:tblBorders>
        <w:top w:val="single" w:sz="8" w:space="0" w:color="ADD9E4"/>
        <w:left w:val="single" w:sz="8" w:space="0" w:color="ADD9E4"/>
        <w:bottom w:val="single" w:sz="8" w:space="0" w:color="ADD9E4"/>
        <w:right w:val="single" w:sz="8" w:space="0" w:color="ADD9E4"/>
        <w:insideH w:val="single" w:sz="8" w:space="0" w:color="ADD9E4"/>
      </w:tblBorders>
    </w:tblPr>
    <w:tblStylePr w:type="firstRow">
      <w:pPr>
        <w:spacing w:before="0" w:after="0" w:line="240" w:lineRule="auto"/>
      </w:pPr>
      <w:rPr>
        <w:b/>
        <w:bCs/>
        <w:color w:val="FFFFFF"/>
      </w:rPr>
      <w:tblPr/>
      <w:tcPr>
        <w:tcBorders>
          <w:top w:val="single" w:sz="8" w:space="0" w:color="ADD9E4"/>
          <w:left w:val="single" w:sz="8" w:space="0" w:color="ADD9E4"/>
          <w:bottom w:val="single" w:sz="8" w:space="0" w:color="ADD9E4"/>
          <w:right w:val="single" w:sz="8" w:space="0" w:color="ADD9E4"/>
          <w:insideH w:val="nil"/>
          <w:insideV w:val="nil"/>
        </w:tcBorders>
        <w:shd w:val="clear" w:color="auto" w:fill="92CDDC"/>
      </w:tcPr>
    </w:tblStylePr>
    <w:tblStylePr w:type="lastRow">
      <w:pPr>
        <w:spacing w:before="0" w:after="0" w:line="240" w:lineRule="auto"/>
      </w:pPr>
      <w:rPr>
        <w:b/>
        <w:bCs/>
      </w:rPr>
      <w:tblPr/>
      <w:tcPr>
        <w:tcBorders>
          <w:top w:val="double" w:sz="6" w:space="0" w:color="ADD9E4"/>
          <w:left w:val="single" w:sz="8" w:space="0" w:color="ADD9E4"/>
          <w:bottom w:val="single" w:sz="8" w:space="0" w:color="ADD9E4"/>
          <w:right w:val="single" w:sz="8" w:space="0" w:color="ADD9E4"/>
          <w:insideH w:val="nil"/>
          <w:insideV w:val="nil"/>
        </w:tcBorders>
      </w:tcPr>
    </w:tblStylePr>
    <w:tblStylePr w:type="firstCol">
      <w:rPr>
        <w:b/>
        <w:bCs/>
      </w:rPr>
    </w:tblStylePr>
    <w:tblStylePr w:type="lastCol">
      <w:rPr>
        <w:b/>
        <w:bCs/>
      </w:rPr>
    </w:tblStylePr>
    <w:tblStylePr w:type="band1Vert">
      <w:tblPr/>
      <w:tcPr>
        <w:shd w:val="clear" w:color="auto" w:fill="E4F2F6"/>
      </w:tcPr>
    </w:tblStylePr>
    <w:tblStylePr w:type="band1Horz">
      <w:tblPr/>
      <w:tcPr>
        <w:tcBorders>
          <w:insideH w:val="nil"/>
          <w:insideV w:val="nil"/>
        </w:tcBorders>
        <w:shd w:val="clear" w:color="auto" w:fill="E4F2F6"/>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tblPr>
      <w:tblStyleRowBandSize w:val="1"/>
      <w:tblStyleColBandSize w:val="1"/>
      <w:tblBorders>
        <w:top w:val="single" w:sz="8" w:space="0" w:color="50AFC8"/>
        <w:left w:val="single" w:sz="8" w:space="0" w:color="50AFC8"/>
        <w:bottom w:val="single" w:sz="8" w:space="0" w:color="50AFC8"/>
        <w:right w:val="single" w:sz="8" w:space="0" w:color="50AFC8"/>
        <w:insideH w:val="single" w:sz="8" w:space="0" w:color="50AFC8"/>
      </w:tblBorders>
    </w:tblPr>
    <w:tblStylePr w:type="firstRow">
      <w:pPr>
        <w:spacing w:before="0" w:after="0" w:line="240" w:lineRule="auto"/>
      </w:pPr>
      <w:rPr>
        <w:b/>
        <w:bCs/>
        <w:color w:val="FFFFFF"/>
      </w:rPr>
      <w:tblPr/>
      <w:tcPr>
        <w:tcBorders>
          <w:top w:val="single" w:sz="8" w:space="0" w:color="50AFC8"/>
          <w:left w:val="single" w:sz="8" w:space="0" w:color="50AFC8"/>
          <w:bottom w:val="single" w:sz="8" w:space="0" w:color="50AFC8"/>
          <w:right w:val="single" w:sz="8" w:space="0" w:color="50AFC8"/>
          <w:insideH w:val="nil"/>
          <w:insideV w:val="nil"/>
        </w:tcBorders>
        <w:shd w:val="clear" w:color="auto" w:fill="31859B"/>
      </w:tcPr>
    </w:tblStylePr>
    <w:tblStylePr w:type="lastRow">
      <w:pPr>
        <w:spacing w:before="0" w:after="0" w:line="240" w:lineRule="auto"/>
      </w:pPr>
      <w:rPr>
        <w:b/>
        <w:bCs/>
      </w:rPr>
      <w:tblPr/>
      <w:tcPr>
        <w:tcBorders>
          <w:top w:val="double" w:sz="6" w:space="0" w:color="50AFC8"/>
          <w:left w:val="single" w:sz="8" w:space="0" w:color="50AFC8"/>
          <w:bottom w:val="single" w:sz="8" w:space="0" w:color="50AFC8"/>
          <w:right w:val="single" w:sz="8" w:space="0" w:color="50AFC8"/>
          <w:insideH w:val="nil"/>
          <w:insideV w:val="nil"/>
        </w:tcBorders>
      </w:tcPr>
    </w:tblStylePr>
    <w:tblStylePr w:type="firstCol">
      <w:rPr>
        <w:b/>
        <w:bCs/>
      </w:rPr>
    </w:tblStylePr>
    <w:tblStylePr w:type="lastCol">
      <w:rPr>
        <w:b/>
        <w:bCs/>
      </w:rPr>
    </w:tblStylePr>
    <w:tblStylePr w:type="band1Vert">
      <w:tblPr/>
      <w:tcPr>
        <w:shd w:val="clear" w:color="auto" w:fill="C5E4EC"/>
      </w:tcPr>
    </w:tblStylePr>
    <w:tblStylePr w:type="band1Horz">
      <w:tblPr/>
      <w:tcPr>
        <w:tcBorders>
          <w:insideH w:val="nil"/>
          <w:insideV w:val="nil"/>
        </w:tcBorders>
        <w:shd w:val="clear" w:color="auto" w:fill="C5E4EC"/>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tblPr>
      <w:tblStyleRowBandSize w:val="1"/>
      <w:tblStyleColBandSize w:val="1"/>
      <w:tblBorders>
        <w:top w:val="single" w:sz="8" w:space="0" w:color="8AC9DA"/>
        <w:left w:val="single" w:sz="8" w:space="0" w:color="8AC9DA"/>
        <w:bottom w:val="single" w:sz="8" w:space="0" w:color="8AC9DA"/>
        <w:right w:val="single" w:sz="8" w:space="0" w:color="8AC9DA"/>
        <w:insideH w:val="single" w:sz="8" w:space="0" w:color="8AC9DA"/>
      </w:tblBorders>
    </w:tblPr>
    <w:tblStylePr w:type="firstRow">
      <w:pPr>
        <w:spacing w:before="0" w:after="0" w:line="240" w:lineRule="auto"/>
      </w:pPr>
      <w:rPr>
        <w:b/>
        <w:bCs/>
        <w:color w:val="FFFFFF"/>
      </w:rPr>
      <w:tblPr/>
      <w:tcPr>
        <w:tcBorders>
          <w:top w:val="single" w:sz="8" w:space="0" w:color="8AC9DA"/>
          <w:left w:val="single" w:sz="8" w:space="0" w:color="8AC9DA"/>
          <w:bottom w:val="single" w:sz="8" w:space="0" w:color="8AC9DA"/>
          <w:right w:val="single" w:sz="8" w:space="0" w:color="8AC9DA"/>
          <w:insideH w:val="nil"/>
          <w:insideV w:val="nil"/>
        </w:tcBorders>
        <w:shd w:val="clear" w:color="auto" w:fill="64B8CE"/>
      </w:tcPr>
    </w:tblStylePr>
    <w:tblStylePr w:type="lastRow">
      <w:pPr>
        <w:spacing w:before="0" w:after="0" w:line="240" w:lineRule="auto"/>
      </w:pPr>
      <w:rPr>
        <w:b/>
        <w:bCs/>
      </w:rPr>
      <w:tblPr/>
      <w:tcPr>
        <w:tcBorders>
          <w:top w:val="double" w:sz="6" w:space="0" w:color="8AC9DA"/>
          <w:left w:val="single" w:sz="8" w:space="0" w:color="8AC9DA"/>
          <w:bottom w:val="single" w:sz="8" w:space="0" w:color="8AC9DA"/>
          <w:right w:val="single" w:sz="8" w:space="0" w:color="8AC9DA"/>
          <w:insideH w:val="nil"/>
          <w:insideV w:val="nil"/>
        </w:tcBorders>
      </w:tcPr>
    </w:tblStylePr>
    <w:tblStylePr w:type="firstCol">
      <w:rPr>
        <w:b/>
        <w:bCs/>
      </w:rPr>
    </w:tblStylePr>
    <w:tblStylePr w:type="lastCol">
      <w:rPr>
        <w:b/>
        <w:bCs/>
      </w:rPr>
    </w:tblStylePr>
    <w:tblStylePr w:type="band1Vert">
      <w:tblPr/>
      <w:tcPr>
        <w:shd w:val="clear" w:color="auto" w:fill="D8EDF2"/>
      </w:tcPr>
    </w:tblStylePr>
    <w:tblStylePr w:type="band1Horz">
      <w:tblPr/>
      <w:tcPr>
        <w:tcBorders>
          <w:insideH w:val="nil"/>
          <w:insideV w:val="nil"/>
        </w:tcBorders>
        <w:shd w:val="clear" w:color="auto" w:fill="D8EDF2"/>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728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728F"/>
      </w:tcPr>
    </w:tblStylePr>
    <w:tblStylePr w:type="lastCol">
      <w:rPr>
        <w:b/>
        <w:bCs/>
        <w:color w:val="FFFFFF"/>
      </w:rPr>
      <w:tblPr/>
      <w:tcPr>
        <w:tcBorders>
          <w:left w:val="nil"/>
          <w:right w:val="nil"/>
          <w:insideH w:val="nil"/>
          <w:insideV w:val="nil"/>
        </w:tcBorders>
        <w:shd w:val="clear" w:color="auto" w:fill="00728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728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728F"/>
      </w:tcPr>
    </w:tblStylePr>
    <w:tblStylePr w:type="lastCol">
      <w:rPr>
        <w:b/>
        <w:bCs/>
        <w:color w:val="FFFFFF"/>
      </w:rPr>
      <w:tblPr/>
      <w:tcPr>
        <w:tcBorders>
          <w:left w:val="nil"/>
          <w:right w:val="nil"/>
          <w:insideH w:val="nil"/>
          <w:insideV w:val="nil"/>
        </w:tcBorders>
        <w:shd w:val="clear" w:color="auto" w:fill="00728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7DDE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7DDE8"/>
      </w:tcPr>
    </w:tblStylePr>
    <w:tblStylePr w:type="lastCol">
      <w:rPr>
        <w:b/>
        <w:bCs/>
        <w:color w:val="FFFFFF"/>
      </w:rPr>
      <w:tblPr/>
      <w:tcPr>
        <w:tcBorders>
          <w:left w:val="nil"/>
          <w:right w:val="nil"/>
          <w:insideH w:val="nil"/>
          <w:insideV w:val="nil"/>
        </w:tcBorders>
        <w:shd w:val="clear" w:color="auto" w:fill="B7DDE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BEEF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BEEF3"/>
      </w:tcPr>
    </w:tblStylePr>
    <w:tblStylePr w:type="lastCol">
      <w:rPr>
        <w:b/>
        <w:bCs/>
        <w:color w:val="FFFFFF"/>
      </w:rPr>
      <w:tblPr/>
      <w:tcPr>
        <w:tcBorders>
          <w:left w:val="nil"/>
          <w:right w:val="nil"/>
          <w:insideH w:val="nil"/>
          <w:insideV w:val="nil"/>
        </w:tcBorders>
        <w:shd w:val="clear" w:color="auto" w:fill="DBEEF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2CD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2CDDC"/>
      </w:tcPr>
    </w:tblStylePr>
    <w:tblStylePr w:type="lastCol">
      <w:rPr>
        <w:b/>
        <w:bCs/>
        <w:color w:val="FFFFFF"/>
      </w:rPr>
      <w:tblPr/>
      <w:tcPr>
        <w:tcBorders>
          <w:left w:val="nil"/>
          <w:right w:val="nil"/>
          <w:insideH w:val="nil"/>
          <w:insideV w:val="nil"/>
        </w:tcBorders>
        <w:shd w:val="clear" w:color="auto" w:fill="92CD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1859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1859B"/>
      </w:tcPr>
    </w:tblStylePr>
    <w:tblStylePr w:type="lastCol">
      <w:rPr>
        <w:b/>
        <w:bCs/>
        <w:color w:val="FFFFFF"/>
      </w:rPr>
      <w:tblPr/>
      <w:tcPr>
        <w:tcBorders>
          <w:left w:val="nil"/>
          <w:right w:val="nil"/>
          <w:insideH w:val="nil"/>
          <w:insideV w:val="nil"/>
        </w:tcBorders>
        <w:shd w:val="clear" w:color="auto" w:fill="31859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4B8C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4B8CE"/>
      </w:tcPr>
    </w:tblStylePr>
    <w:tblStylePr w:type="lastCol">
      <w:rPr>
        <w:b/>
        <w:bCs/>
        <w:color w:val="FFFFFF"/>
      </w:rPr>
      <w:tblPr/>
      <w:tcPr>
        <w:tcBorders>
          <w:left w:val="nil"/>
          <w:right w:val="nil"/>
          <w:insideH w:val="nil"/>
          <w:insideV w:val="nil"/>
        </w:tcBorders>
        <w:shd w:val="clear" w:color="auto" w:fill="64B8C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36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66771"/>
    <w:pPr>
      <w:jc w:val="center"/>
    </w:pPr>
    <w:rPr>
      <w:b/>
      <w:color w:val="244061"/>
      <w:sz w:val="56"/>
      <w:szCs w:val="56"/>
    </w:rPr>
  </w:style>
  <w:style w:type="character" w:customStyle="1" w:styleId="TitleChar">
    <w:name w:val="Title Char"/>
    <w:link w:val="Title"/>
    <w:uiPriority w:val="10"/>
    <w:rsid w:val="00E66771"/>
    <w:rPr>
      <w:rFonts w:ascii="Calibri" w:hAnsi="Calibri"/>
      <w:b/>
      <w:color w:val="244061"/>
      <w:sz w:val="56"/>
      <w:szCs w:val="56"/>
    </w:rPr>
  </w:style>
  <w:style w:type="character" w:customStyle="1" w:styleId="FigurecaptionCharChar">
    <w:name w:val="Figure caption Char Char"/>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link w:val="BodyText"/>
    <w:rsid w:val="00BA5622"/>
    <w:rPr>
      <w:rFonts w:ascii="Calibri" w:hAnsi="Calibri"/>
    </w:rPr>
  </w:style>
  <w:style w:type="paragraph" w:customStyle="1" w:styleId="Bodytext-Quote">
    <w:name w:val="Body text - Quote"/>
    <w:basedOn w:val="BodyText"/>
    <w:next w:val="BodyText"/>
    <w:qFormat/>
    <w:rsid w:val="00DE4968"/>
    <w:pPr>
      <w:ind w:right="567"/>
    </w:pPr>
    <w:rPr>
      <w:sz w:val="24"/>
      <w:szCs w:val="24"/>
    </w:r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0"/>
      </w:numPr>
      <w:spacing w:after="240"/>
    </w:pPr>
    <w:rPr>
      <w:i/>
      <w:color w:val="0066FF"/>
    </w:rPr>
  </w:style>
  <w:style w:type="character" w:customStyle="1" w:styleId="Exampletext">
    <w:name w:val="Example text"/>
    <w:uiPriority w:val="60"/>
    <w:qFormat/>
    <w:rsid w:val="00135456"/>
    <w:rPr>
      <w:color w:val="CC0000"/>
    </w:rPr>
  </w:style>
  <w:style w:type="character" w:customStyle="1" w:styleId="Heading2Char">
    <w:name w:val="Heading 2 Char"/>
    <w:link w:val="Heading2"/>
    <w:uiPriority w:val="9"/>
    <w:rsid w:val="00E204B4"/>
    <w:rPr>
      <w:rFonts w:eastAsia="Times New Roman"/>
      <w:b/>
      <w:bCs/>
      <w:sz w:val="28"/>
      <w:szCs w:val="28"/>
      <w:lang w:eastAsia="en-US"/>
    </w:rPr>
  </w:style>
  <w:style w:type="paragraph" w:customStyle="1" w:styleId="NormalText">
    <w:name w:val="Normal Text"/>
    <w:basedOn w:val="Normal"/>
    <w:uiPriority w:val="99"/>
    <w:rsid w:val="00F52AD2"/>
    <w:pPr>
      <w:widowControl w:val="0"/>
      <w:suppressAutoHyphens/>
      <w:autoSpaceDE w:val="0"/>
      <w:autoSpaceDN w:val="0"/>
      <w:adjustRightInd w:val="0"/>
      <w:spacing w:before="170" w:line="220" w:lineRule="atLeast"/>
      <w:textAlignment w:val="center"/>
    </w:pPr>
    <w:rPr>
      <w:rFonts w:ascii="TradeGothicLTStd" w:eastAsia="Times New Roman" w:hAnsi="TradeGothicLTStd" w:cs="TradeGothicLTStd"/>
      <w:color w:val="000000"/>
      <w:sz w:val="19"/>
      <w:szCs w:val="19"/>
      <w:lang w:val="en-GB"/>
    </w:rPr>
  </w:style>
  <w:style w:type="character" w:customStyle="1" w:styleId="BoldTrade">
    <w:name w:val="Bold Trade"/>
    <w:uiPriority w:val="99"/>
    <w:rsid w:val="00F52AD2"/>
    <w:rPr>
      <w:rFonts w:ascii="TradeGothicLTStd-Bd2" w:hAnsi="TradeGothicLTStd-Bd2"/>
      <w:b/>
    </w:rPr>
  </w:style>
  <w:style w:type="character" w:customStyle="1" w:styleId="CommentTextChar">
    <w:name w:val="Comment Text Char"/>
    <w:link w:val="CommentText"/>
    <w:uiPriority w:val="99"/>
    <w:semiHidden/>
    <w:rsid w:val="00FF03A8"/>
    <w:rPr>
      <w:rFonts w:ascii="Calibri" w:hAnsi="Calibri"/>
      <w:sz w:val="20"/>
      <w:szCs w:val="20"/>
    </w:rPr>
  </w:style>
  <w:style w:type="character" w:customStyle="1" w:styleId="Heading1Char">
    <w:name w:val="Heading 1 Char"/>
    <w:link w:val="Heading1"/>
    <w:uiPriority w:val="9"/>
    <w:rsid w:val="00D02157"/>
    <w:rPr>
      <w:rFonts w:eastAsia="Times New Roman"/>
      <w:b/>
      <w:bCs/>
      <w:sz w:val="40"/>
      <w:szCs w:val="40"/>
      <w:lang w:eastAsia="en-US"/>
    </w:rPr>
  </w:style>
  <w:style w:type="character" w:customStyle="1" w:styleId="Heading3Char">
    <w:name w:val="Heading 3 Char"/>
    <w:link w:val="Heading3"/>
    <w:uiPriority w:val="9"/>
    <w:rsid w:val="00F12602"/>
    <w:rPr>
      <w:rFonts w:eastAsia="Times New Roman" w:cs="Times New Roman"/>
      <w:b/>
      <w:bCs/>
      <w:sz w:val="24"/>
      <w:szCs w:val="24"/>
    </w:rPr>
  </w:style>
  <w:style w:type="character" w:customStyle="1" w:styleId="Heading4Char">
    <w:name w:val="Heading 4 Char"/>
    <w:link w:val="Heading4"/>
    <w:uiPriority w:val="9"/>
    <w:rsid w:val="00F12602"/>
    <w:rPr>
      <w:rFonts w:ascii="Calibri" w:hAnsi="Calibri"/>
      <w:b/>
      <w:i/>
      <w:sz w:val="24"/>
      <w:szCs w:val="24"/>
    </w:rPr>
  </w:style>
  <w:style w:type="character" w:customStyle="1" w:styleId="Heading5Char">
    <w:name w:val="Heading 5 Char"/>
    <w:link w:val="Heading5"/>
    <w:uiPriority w:val="9"/>
    <w:rsid w:val="00E66771"/>
    <w:rPr>
      <w:rFonts w:ascii="Cambria" w:eastAsia="Times New Roman" w:hAnsi="Cambria" w:cs="Times New Roman"/>
    </w:rPr>
  </w:style>
  <w:style w:type="character" w:customStyle="1" w:styleId="Heading6Char">
    <w:name w:val="Heading 6 Char"/>
    <w:link w:val="Heading6"/>
    <w:uiPriority w:val="9"/>
    <w:semiHidden/>
    <w:rsid w:val="00E66771"/>
    <w:rPr>
      <w:rFonts w:ascii="Cambria" w:eastAsia="Times New Roman" w:hAnsi="Cambria" w:cs="Times New Roman"/>
      <w:i/>
      <w:iCs/>
      <w:color w:val="003847"/>
    </w:rPr>
  </w:style>
  <w:style w:type="character" w:customStyle="1" w:styleId="Heading7Char">
    <w:name w:val="Heading 7 Char"/>
    <w:link w:val="Heading7"/>
    <w:uiPriority w:val="9"/>
    <w:semiHidden/>
    <w:rsid w:val="00E66771"/>
    <w:rPr>
      <w:rFonts w:ascii="Cambria" w:eastAsia="Times New Roman" w:hAnsi="Cambria" w:cs="Times New Roman"/>
      <w:i/>
      <w:iCs/>
      <w:color w:val="00BBEB"/>
    </w:rPr>
  </w:style>
  <w:style w:type="character" w:customStyle="1" w:styleId="Heading8Char">
    <w:name w:val="Heading 8 Char"/>
    <w:link w:val="Heading8"/>
    <w:uiPriority w:val="9"/>
    <w:semiHidden/>
    <w:rsid w:val="00E66771"/>
    <w:rPr>
      <w:rFonts w:ascii="Cambria" w:eastAsia="Times New Roman" w:hAnsi="Cambria" w:cs="Times New Roman"/>
      <w:color w:val="00BBEB"/>
      <w:sz w:val="20"/>
      <w:szCs w:val="20"/>
    </w:rPr>
  </w:style>
  <w:style w:type="character" w:customStyle="1" w:styleId="Heading9Char">
    <w:name w:val="Heading 9 Char"/>
    <w:link w:val="Heading9"/>
    <w:uiPriority w:val="9"/>
    <w:semiHidden/>
    <w:rsid w:val="00E66771"/>
    <w:rPr>
      <w:rFonts w:ascii="Cambria" w:eastAsia="Times New Roman" w:hAnsi="Cambria" w:cs="Times New Roman"/>
      <w:i/>
      <w:iCs/>
      <w:color w:val="00BBEB"/>
      <w:sz w:val="20"/>
      <w:szCs w:val="20"/>
    </w:rPr>
  </w:style>
  <w:style w:type="paragraph" w:customStyle="1" w:styleId="Default">
    <w:name w:val="Default"/>
    <w:uiPriority w:val="99"/>
    <w:rsid w:val="00E66771"/>
    <w:rPr>
      <w:rFonts w:ascii="Verdana" w:eastAsia="Cambria" w:hAnsi="Verdana" w:cs="Verdana"/>
      <w:color w:val="000000"/>
      <w:sz w:val="24"/>
      <w:lang w:eastAsia="en-US"/>
    </w:rPr>
  </w:style>
  <w:style w:type="paragraph" w:customStyle="1" w:styleId="TableHeading">
    <w:name w:val="Table Heading"/>
    <w:basedOn w:val="Normal"/>
    <w:uiPriority w:val="99"/>
    <w:qFormat/>
    <w:rsid w:val="003F0E35"/>
    <w:pPr>
      <w:spacing w:before="360" w:after="240"/>
    </w:pPr>
    <w:rPr>
      <w:b/>
      <w:sz w:val="28"/>
      <w:szCs w:val="28"/>
    </w:rPr>
  </w:style>
  <w:style w:type="character" w:customStyle="1" w:styleId="BalloonTextChar">
    <w:name w:val="Balloon Text Char"/>
    <w:link w:val="BalloonText"/>
    <w:uiPriority w:val="99"/>
    <w:semiHidden/>
    <w:rsid w:val="00E66771"/>
    <w:rPr>
      <w:rFonts w:ascii="Tahoma" w:hAnsi="Tahoma" w:cs="Tahoma"/>
      <w:sz w:val="16"/>
      <w:szCs w:val="16"/>
    </w:rPr>
  </w:style>
  <w:style w:type="paragraph" w:customStyle="1" w:styleId="Table">
    <w:name w:val="Table"/>
    <w:basedOn w:val="Normal"/>
    <w:next w:val="NoSpacing"/>
    <w:uiPriority w:val="99"/>
    <w:qFormat/>
    <w:rsid w:val="00E65ABB"/>
    <w:pPr>
      <w:spacing w:before="60" w:after="60"/>
    </w:pPr>
    <w:rPr>
      <w:rFonts w:cs="Calibri"/>
      <w:sz w:val="20"/>
      <w:lang w:eastAsia="en-AU"/>
    </w:rPr>
  </w:style>
  <w:style w:type="character" w:customStyle="1" w:styleId="FootnoteTextChar">
    <w:name w:val="Footnote Text Char"/>
    <w:link w:val="FootnoteText"/>
    <w:uiPriority w:val="99"/>
    <w:rsid w:val="00E66771"/>
    <w:rPr>
      <w:rFonts w:ascii="Calibri" w:hAnsi="Calibri"/>
      <w:sz w:val="20"/>
      <w:szCs w:val="20"/>
    </w:rPr>
  </w:style>
  <w:style w:type="character" w:customStyle="1" w:styleId="HeaderChar">
    <w:name w:val="Header Char"/>
    <w:link w:val="Header"/>
    <w:rsid w:val="00E66771"/>
    <w:rPr>
      <w:rFonts w:ascii="Calibri" w:hAnsi="Calibri"/>
      <w:color w:val="00728F"/>
      <w:sz w:val="20"/>
    </w:rPr>
  </w:style>
  <w:style w:type="character" w:customStyle="1" w:styleId="FooterChar">
    <w:name w:val="Footer Char"/>
    <w:link w:val="Footer"/>
    <w:uiPriority w:val="99"/>
    <w:rsid w:val="00E66771"/>
    <w:rPr>
      <w:rFonts w:ascii="Calibri" w:hAnsi="Calibri"/>
      <w:color w:val="00728F"/>
      <w:sz w:val="20"/>
    </w:rPr>
  </w:style>
  <w:style w:type="character" w:customStyle="1" w:styleId="CommentSubjectChar">
    <w:name w:val="Comment Subject Char"/>
    <w:link w:val="CommentSubject"/>
    <w:uiPriority w:val="99"/>
    <w:semiHidden/>
    <w:rsid w:val="00E66771"/>
    <w:rPr>
      <w:rFonts w:ascii="Calibri" w:hAnsi="Calibri"/>
      <w:b/>
      <w:bCs/>
      <w:sz w:val="20"/>
      <w:szCs w:val="20"/>
    </w:rPr>
  </w:style>
  <w:style w:type="paragraph" w:styleId="Revision">
    <w:name w:val="Revision"/>
    <w:hidden/>
    <w:uiPriority w:val="99"/>
    <w:semiHidden/>
    <w:rsid w:val="00E66771"/>
    <w:rPr>
      <w:rFonts w:eastAsia="Times New Roman"/>
      <w:sz w:val="22"/>
      <w:lang w:eastAsia="en-US"/>
    </w:rPr>
  </w:style>
  <w:style w:type="paragraph" w:customStyle="1" w:styleId="Abc-Text">
    <w:name w:val="Abc - Text"/>
    <w:basedOn w:val="Normal"/>
    <w:link w:val="Abc-TextChar"/>
    <w:unhideWhenUsed/>
    <w:qFormat/>
    <w:rsid w:val="00E66771"/>
    <w:pPr>
      <w:spacing w:before="0"/>
    </w:pPr>
    <w:rPr>
      <w:rFonts w:ascii="Times New Roman" w:hAnsi="Times New Roman"/>
      <w:color w:val="000000"/>
      <w:sz w:val="24"/>
      <w:szCs w:val="24"/>
    </w:rPr>
  </w:style>
  <w:style w:type="character" w:customStyle="1" w:styleId="Abc-TextChar">
    <w:name w:val="Abc - Text Char"/>
    <w:link w:val="Abc-Text"/>
    <w:rsid w:val="00E66771"/>
    <w:rPr>
      <w:rFonts w:ascii="Times New Roman" w:eastAsia="Calibri" w:hAnsi="Times New Roman" w:cs="Times New Roman"/>
      <w:color w:val="000000"/>
      <w:sz w:val="24"/>
      <w:szCs w:val="24"/>
    </w:rPr>
  </w:style>
  <w:style w:type="paragraph" w:customStyle="1" w:styleId="DONOTUSE-HeadingGrayBoldCaps">
    <w:name w:val="DO NOT USE - Heading Gray Bold Caps"/>
    <w:basedOn w:val="Normal"/>
    <w:link w:val="DONOTUSE-HeadingGrayBoldCapsChar"/>
    <w:uiPriority w:val="3"/>
    <w:unhideWhenUsed/>
    <w:qFormat/>
    <w:locked/>
    <w:rsid w:val="00E66771"/>
    <w:pPr>
      <w:shd w:val="clear" w:color="auto" w:fill="F2F2F2"/>
      <w:tabs>
        <w:tab w:val="left" w:pos="0"/>
      </w:tabs>
      <w:spacing w:before="0"/>
      <w:ind w:left="34" w:right="3"/>
      <w:outlineLvl w:val="0"/>
    </w:pPr>
    <w:rPr>
      <w:rFonts w:ascii="Times New Roman" w:eastAsia="Times New Roman" w:hAnsi="Times New Roman"/>
      <w:b/>
      <w:color w:val="000000"/>
      <w:sz w:val="24"/>
      <w:szCs w:val="24"/>
    </w:rPr>
  </w:style>
  <w:style w:type="character" w:customStyle="1" w:styleId="DONOTUSE-HeadingGrayBoldCapsChar">
    <w:name w:val="DO NOT USE - Heading Gray Bold Caps Char"/>
    <w:link w:val="DONOTUSE-HeadingGrayBoldCaps"/>
    <w:uiPriority w:val="3"/>
    <w:rsid w:val="00E66771"/>
    <w:rPr>
      <w:rFonts w:ascii="Times New Roman" w:eastAsia="Times New Roman" w:hAnsi="Times New Roman" w:cs="Times New Roman"/>
      <w:b/>
      <w:color w:val="000000"/>
      <w:sz w:val="24"/>
      <w:szCs w:val="24"/>
      <w:shd w:val="clear" w:color="auto" w:fill="F2F2F2"/>
    </w:rPr>
  </w:style>
  <w:style w:type="paragraph" w:customStyle="1" w:styleId="MinSubheading">
    <w:name w:val="Min Sub heading"/>
    <w:basedOn w:val="Normal"/>
    <w:next w:val="Normal"/>
    <w:uiPriority w:val="3"/>
    <w:qFormat/>
    <w:rsid w:val="00E66771"/>
    <w:pPr>
      <w:tabs>
        <w:tab w:val="right" w:pos="9923"/>
      </w:tabs>
      <w:spacing w:before="0"/>
      <w:ind w:left="-142" w:right="-142"/>
      <w:outlineLvl w:val="0"/>
    </w:pPr>
    <w:rPr>
      <w:rFonts w:ascii="Times New Roman" w:eastAsia="Times New Roman" w:hAnsi="Times New Roman"/>
      <w:b/>
      <w:caps/>
      <w:color w:val="000000"/>
      <w:sz w:val="24"/>
      <w:szCs w:val="24"/>
    </w:rPr>
  </w:style>
  <w:style w:type="paragraph" w:customStyle="1" w:styleId="Al">
    <w:name w:val="Al"/>
    <w:basedOn w:val="Normal"/>
    <w:rsid w:val="00E66771"/>
    <w:pPr>
      <w:tabs>
        <w:tab w:val="left" w:pos="851"/>
      </w:tabs>
      <w:spacing w:before="0" w:after="240"/>
      <w:ind w:left="1287" w:hanging="567"/>
      <w:jc w:val="both"/>
    </w:pPr>
    <w:rPr>
      <w:rFonts w:ascii="Arial" w:eastAsia="Times New Roman" w:hAnsi="Arial"/>
      <w:szCs w:val="20"/>
      <w:lang w:val="en-GB"/>
    </w:rPr>
  </w:style>
  <w:style w:type="paragraph" w:customStyle="1" w:styleId="xl72">
    <w:name w:val="xl72"/>
    <w:basedOn w:val="Normal"/>
    <w:rsid w:val="00E66771"/>
    <w:pPr>
      <w:spacing w:before="100" w:beforeAutospacing="1" w:after="100" w:afterAutospacing="1"/>
      <w:textAlignment w:val="center"/>
    </w:pPr>
    <w:rPr>
      <w:rFonts w:ascii="Times New Roman" w:eastAsia="Times New Roman" w:hAnsi="Times New Roman"/>
      <w:b/>
      <w:bCs/>
      <w:sz w:val="18"/>
      <w:szCs w:val="18"/>
      <w:lang w:eastAsia="en-AU"/>
    </w:rPr>
  </w:style>
  <w:style w:type="paragraph" w:customStyle="1" w:styleId="xl73">
    <w:name w:val="xl73"/>
    <w:basedOn w:val="Normal"/>
    <w:rsid w:val="00E66771"/>
    <w:pP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74">
    <w:name w:val="xl74"/>
    <w:basedOn w:val="Normal"/>
    <w:rsid w:val="00E66771"/>
    <w:pPr>
      <w:spacing w:before="100" w:beforeAutospacing="1" w:after="100" w:afterAutospacing="1"/>
      <w:jc w:val="center"/>
      <w:textAlignment w:val="center"/>
    </w:pPr>
    <w:rPr>
      <w:rFonts w:ascii="Times New Roman" w:eastAsia="Times New Roman" w:hAnsi="Times New Roman"/>
      <w:sz w:val="18"/>
      <w:szCs w:val="18"/>
      <w:lang w:eastAsia="en-AU"/>
    </w:rPr>
  </w:style>
  <w:style w:type="paragraph" w:customStyle="1" w:styleId="xl75">
    <w:name w:val="xl75"/>
    <w:basedOn w:val="Normal"/>
    <w:rsid w:val="00E66771"/>
    <w:pPr>
      <w:spacing w:before="100" w:beforeAutospacing="1" w:after="100" w:afterAutospacing="1"/>
      <w:jc w:val="center"/>
      <w:textAlignment w:val="center"/>
    </w:pPr>
    <w:rPr>
      <w:rFonts w:ascii="Times New Roman" w:eastAsia="Times New Roman" w:hAnsi="Times New Roman"/>
      <w:sz w:val="18"/>
      <w:szCs w:val="18"/>
      <w:lang w:eastAsia="en-AU"/>
    </w:rPr>
  </w:style>
  <w:style w:type="paragraph" w:customStyle="1" w:styleId="xl76">
    <w:name w:val="xl76"/>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77">
    <w:name w:val="xl77"/>
    <w:basedOn w:val="Normal"/>
    <w:rsid w:val="00E66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78">
    <w:name w:val="xl78"/>
    <w:basedOn w:val="Normal"/>
    <w:rsid w:val="00E66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79">
    <w:name w:val="xl79"/>
    <w:basedOn w:val="Normal"/>
    <w:rsid w:val="00E66771"/>
    <w:pP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0">
    <w:name w:val="xl80"/>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1">
    <w:name w:val="xl81"/>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2">
    <w:name w:val="xl82"/>
    <w:basedOn w:val="Normal"/>
    <w:rsid w:val="00E66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3">
    <w:name w:val="xl83"/>
    <w:basedOn w:val="Normal"/>
    <w:rsid w:val="00E66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4">
    <w:name w:val="xl84"/>
    <w:basedOn w:val="Normal"/>
    <w:rsid w:val="00E66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5">
    <w:name w:val="xl85"/>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6">
    <w:name w:val="xl86"/>
    <w:basedOn w:val="Normal"/>
    <w:rsid w:val="00E667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b/>
      <w:bCs/>
      <w:sz w:val="18"/>
      <w:szCs w:val="18"/>
      <w:lang w:eastAsia="en-AU"/>
    </w:rPr>
  </w:style>
  <w:style w:type="paragraph" w:customStyle="1" w:styleId="xl87">
    <w:name w:val="xl87"/>
    <w:basedOn w:val="Normal"/>
    <w:rsid w:val="00E667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b/>
      <w:bCs/>
      <w:sz w:val="18"/>
      <w:szCs w:val="18"/>
      <w:lang w:eastAsia="en-AU"/>
    </w:rPr>
  </w:style>
  <w:style w:type="paragraph" w:customStyle="1" w:styleId="xl88">
    <w:name w:val="xl88"/>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89">
    <w:name w:val="xl89"/>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90">
    <w:name w:val="xl90"/>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en-AU"/>
    </w:rPr>
  </w:style>
  <w:style w:type="paragraph" w:customStyle="1" w:styleId="xl91">
    <w:name w:val="xl91"/>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u w:val="single"/>
      <w:lang w:eastAsia="en-AU"/>
    </w:rPr>
  </w:style>
  <w:style w:type="paragraph" w:customStyle="1" w:styleId="xl92">
    <w:name w:val="xl92"/>
    <w:basedOn w:val="Normal"/>
    <w:rsid w:val="00E66771"/>
    <w:pPr>
      <w:spacing w:before="100" w:beforeAutospacing="1" w:after="100" w:afterAutospacing="1"/>
      <w:textAlignment w:val="center"/>
    </w:pPr>
    <w:rPr>
      <w:rFonts w:ascii="Times New Roman" w:eastAsia="Times New Roman" w:hAnsi="Times New Roman"/>
      <w:sz w:val="18"/>
      <w:szCs w:val="18"/>
      <w:lang w:eastAsia="en-AU"/>
    </w:rPr>
  </w:style>
  <w:style w:type="paragraph" w:customStyle="1" w:styleId="xl93">
    <w:name w:val="xl93"/>
    <w:basedOn w:val="Normal"/>
    <w:rsid w:val="00E66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en-AU"/>
    </w:rPr>
  </w:style>
  <w:style w:type="table" w:styleId="LightShading">
    <w:name w:val="Light Shading"/>
    <w:basedOn w:val="TableNormal"/>
    <w:uiPriority w:val="60"/>
    <w:rsid w:val="00E66771"/>
    <w:rPr>
      <w:rFonts w:ascii="Cambria" w:eastAsia="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66771"/>
    <w:rPr>
      <w:rFonts w:ascii="Cambria" w:eastAsia="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E66771"/>
    <w:rPr>
      <w:rFonts w:ascii="Cambria" w:eastAsia="Cambria" w:hAnsi="Cambri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1">
    <w:name w:val="Medium List 1 Accent 1"/>
    <w:basedOn w:val="TableNormal"/>
    <w:uiPriority w:val="65"/>
    <w:rsid w:val="00E66771"/>
    <w:rPr>
      <w:rFonts w:ascii="Cambria" w:eastAsia="Cambria" w:hAnsi="Cambria"/>
      <w:color w:val="000000"/>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23556666">
      <w:bodyDiv w:val="1"/>
      <w:marLeft w:val="0"/>
      <w:marRight w:val="0"/>
      <w:marTop w:val="0"/>
      <w:marBottom w:val="0"/>
      <w:divBdr>
        <w:top w:val="none" w:sz="0" w:space="0" w:color="auto"/>
        <w:left w:val="none" w:sz="0" w:space="0" w:color="auto"/>
        <w:bottom w:val="none" w:sz="0" w:space="0" w:color="auto"/>
        <w:right w:val="none" w:sz="0" w:space="0" w:color="auto"/>
      </w:divBdr>
    </w:div>
    <w:div w:id="440994615">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922399871">
      <w:bodyDiv w:val="1"/>
      <w:marLeft w:val="0"/>
      <w:marRight w:val="0"/>
      <w:marTop w:val="0"/>
      <w:marBottom w:val="0"/>
      <w:divBdr>
        <w:top w:val="none" w:sz="0" w:space="0" w:color="auto"/>
        <w:left w:val="none" w:sz="0" w:space="0" w:color="auto"/>
        <w:bottom w:val="none" w:sz="0" w:space="0" w:color="auto"/>
        <w:right w:val="none" w:sz="0" w:space="0" w:color="auto"/>
      </w:divBdr>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bilecoverage@communications.gov.au" TargetMode="External"/><Relationship Id="rId18" Type="http://schemas.openxmlformats.org/officeDocument/2006/relationships/hyperlink" Target="mailto:clientservice@communication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mmunications.gov.au/mobile_coverage" TargetMode="External"/><Relationship Id="rId7" Type="http://schemas.openxmlformats.org/officeDocument/2006/relationships/settings" Target="settings.xml"/><Relationship Id="rId12" Type="http://schemas.openxmlformats.org/officeDocument/2006/relationships/hyperlink" Target="http://www.communications.gov.au/mobile_coverage" TargetMode="External"/><Relationship Id="rId17" Type="http://schemas.openxmlformats.org/officeDocument/2006/relationships/hyperlink" Target="mailto:clientservice@communications.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munications.gov.au/privacy" TargetMode="External"/><Relationship Id="rId20" Type="http://schemas.openxmlformats.org/officeDocument/2006/relationships/hyperlink" Target="http://www.oa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obilecoverage@communications.gov.au" TargetMode="External"/><Relationship Id="rId23" Type="http://schemas.openxmlformats.org/officeDocument/2006/relationships/hyperlink" Target="http://www.communications.gov.au/mobile_coverage" TargetMode="External"/><Relationship Id="rId10" Type="http://schemas.openxmlformats.org/officeDocument/2006/relationships/endnotes" Target="endnotes.xml"/><Relationship Id="rId19" Type="http://schemas.openxmlformats.org/officeDocument/2006/relationships/hyperlink" Target="http://www.oa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budsman.gov.au/" TargetMode="External"/><Relationship Id="rId22" Type="http://schemas.openxmlformats.org/officeDocument/2006/relationships/hyperlink" Target="http://www.communications.gov.au/mobile_covera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46a6c2a60293ce712db4e34eb75135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FF97D-B4AF-46E2-885A-A3B92387EFEE}">
  <ds:schemaRefs>
    <ds:schemaRef ds:uri="http://schemas.microsoft.com/office/2006/metadata/longProperties"/>
  </ds:schemaRefs>
</ds:datastoreItem>
</file>

<file path=customXml/itemProps2.xml><?xml version="1.0" encoding="utf-8"?>
<ds:datastoreItem xmlns:ds="http://schemas.openxmlformats.org/officeDocument/2006/customXml" ds:itemID="{52FEBEA4-E4EC-4FEF-990D-1D545CA4D934}">
  <ds:schemaRefs>
    <ds:schemaRef ds:uri="http://schemas.microsoft.com/sharepoint/v3/contenttype/forms"/>
  </ds:schemaRefs>
</ds:datastoreItem>
</file>

<file path=customXml/itemProps3.xml><?xml version="1.0" encoding="utf-8"?>
<ds:datastoreItem xmlns:ds="http://schemas.openxmlformats.org/officeDocument/2006/customXml" ds:itemID="{CC2FA4B8-BD34-4EEC-BB70-291B5A0A9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A324F4-4C8B-4100-9F53-9C6DB4AA5B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12524</Words>
  <Characters>71393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MBSP Guidelines version 1.1 (22 December 2014).doc</vt:lpstr>
    </vt:vector>
  </TitlesOfParts>
  <Company/>
  <LinksUpToDate>false</LinksUpToDate>
  <CharactersWithSpaces>83750</CharactersWithSpaces>
  <SharedDoc>false</SharedDoc>
  <HLinks>
    <vt:vector size="498" baseType="variant">
      <vt:variant>
        <vt:i4>7798795</vt:i4>
      </vt:variant>
      <vt:variant>
        <vt:i4>486</vt:i4>
      </vt:variant>
      <vt:variant>
        <vt:i4>0</vt:i4>
      </vt:variant>
      <vt:variant>
        <vt:i4>5</vt:i4>
      </vt:variant>
      <vt:variant>
        <vt:lpwstr>http://www.communications.gov.au/mobile_coverage</vt:lpwstr>
      </vt:variant>
      <vt:variant>
        <vt:lpwstr/>
      </vt:variant>
      <vt:variant>
        <vt:i4>7798795</vt:i4>
      </vt:variant>
      <vt:variant>
        <vt:i4>483</vt:i4>
      </vt:variant>
      <vt:variant>
        <vt:i4>0</vt:i4>
      </vt:variant>
      <vt:variant>
        <vt:i4>5</vt:i4>
      </vt:variant>
      <vt:variant>
        <vt:lpwstr>http://www.communications.gov.au/mobile_coverage</vt:lpwstr>
      </vt:variant>
      <vt:variant>
        <vt:lpwstr/>
      </vt:variant>
      <vt:variant>
        <vt:i4>7798795</vt:i4>
      </vt:variant>
      <vt:variant>
        <vt:i4>480</vt:i4>
      </vt:variant>
      <vt:variant>
        <vt:i4>0</vt:i4>
      </vt:variant>
      <vt:variant>
        <vt:i4>5</vt:i4>
      </vt:variant>
      <vt:variant>
        <vt:lpwstr>http://www.communications.gov.au/mobile_coverage</vt:lpwstr>
      </vt:variant>
      <vt:variant>
        <vt:lpwstr/>
      </vt:variant>
      <vt:variant>
        <vt:i4>3604514</vt:i4>
      </vt:variant>
      <vt:variant>
        <vt:i4>477</vt:i4>
      </vt:variant>
      <vt:variant>
        <vt:i4>0</vt:i4>
      </vt:variant>
      <vt:variant>
        <vt:i4>5</vt:i4>
      </vt:variant>
      <vt:variant>
        <vt:lpwstr>http://www.oaic.gov.au/</vt:lpwstr>
      </vt:variant>
      <vt:variant>
        <vt:lpwstr/>
      </vt:variant>
      <vt:variant>
        <vt:i4>3604514</vt:i4>
      </vt:variant>
      <vt:variant>
        <vt:i4>474</vt:i4>
      </vt:variant>
      <vt:variant>
        <vt:i4>0</vt:i4>
      </vt:variant>
      <vt:variant>
        <vt:i4>5</vt:i4>
      </vt:variant>
      <vt:variant>
        <vt:lpwstr>http://www.oaic.gov.au/</vt:lpwstr>
      </vt:variant>
      <vt:variant>
        <vt:lpwstr/>
      </vt:variant>
      <vt:variant>
        <vt:i4>6619152</vt:i4>
      </vt:variant>
      <vt:variant>
        <vt:i4>471</vt:i4>
      </vt:variant>
      <vt:variant>
        <vt:i4>0</vt:i4>
      </vt:variant>
      <vt:variant>
        <vt:i4>5</vt:i4>
      </vt:variant>
      <vt:variant>
        <vt:lpwstr>mailto:clientservice@communications.gov.au</vt:lpwstr>
      </vt:variant>
      <vt:variant>
        <vt:lpwstr/>
      </vt:variant>
      <vt:variant>
        <vt:i4>6619152</vt:i4>
      </vt:variant>
      <vt:variant>
        <vt:i4>468</vt:i4>
      </vt:variant>
      <vt:variant>
        <vt:i4>0</vt:i4>
      </vt:variant>
      <vt:variant>
        <vt:i4>5</vt:i4>
      </vt:variant>
      <vt:variant>
        <vt:lpwstr>mailto:clientservice@communications.gov.au</vt:lpwstr>
      </vt:variant>
      <vt:variant>
        <vt:lpwstr/>
      </vt:variant>
      <vt:variant>
        <vt:i4>4456463</vt:i4>
      </vt:variant>
      <vt:variant>
        <vt:i4>465</vt:i4>
      </vt:variant>
      <vt:variant>
        <vt:i4>0</vt:i4>
      </vt:variant>
      <vt:variant>
        <vt:i4>5</vt:i4>
      </vt:variant>
      <vt:variant>
        <vt:lpwstr>http://www.communications.gov.au/privacy</vt:lpwstr>
      </vt:variant>
      <vt:variant>
        <vt:lpwstr/>
      </vt:variant>
      <vt:variant>
        <vt:i4>5636156</vt:i4>
      </vt:variant>
      <vt:variant>
        <vt:i4>462</vt:i4>
      </vt:variant>
      <vt:variant>
        <vt:i4>0</vt:i4>
      </vt:variant>
      <vt:variant>
        <vt:i4>5</vt:i4>
      </vt:variant>
      <vt:variant>
        <vt:lpwstr>mailto:mobilecoverage@communications.gov.au</vt:lpwstr>
      </vt:variant>
      <vt:variant>
        <vt:lpwstr/>
      </vt:variant>
      <vt:variant>
        <vt:i4>1966144</vt:i4>
      </vt:variant>
      <vt:variant>
        <vt:i4>459</vt:i4>
      </vt:variant>
      <vt:variant>
        <vt:i4>0</vt:i4>
      </vt:variant>
      <vt:variant>
        <vt:i4>5</vt:i4>
      </vt:variant>
      <vt:variant>
        <vt:lpwstr>http://www.ombudsman.gov.au/</vt:lpwstr>
      </vt:variant>
      <vt:variant>
        <vt:lpwstr/>
      </vt:variant>
      <vt:variant>
        <vt:i4>5636156</vt:i4>
      </vt:variant>
      <vt:variant>
        <vt:i4>432</vt:i4>
      </vt:variant>
      <vt:variant>
        <vt:i4>0</vt:i4>
      </vt:variant>
      <vt:variant>
        <vt:i4>5</vt:i4>
      </vt:variant>
      <vt:variant>
        <vt:lpwstr>mailto:mobilecoverage@communications.gov.au</vt:lpwstr>
      </vt:variant>
      <vt:variant>
        <vt:lpwstr/>
      </vt:variant>
      <vt:variant>
        <vt:i4>7798795</vt:i4>
      </vt:variant>
      <vt:variant>
        <vt:i4>429</vt:i4>
      </vt:variant>
      <vt:variant>
        <vt:i4>0</vt:i4>
      </vt:variant>
      <vt:variant>
        <vt:i4>5</vt:i4>
      </vt:variant>
      <vt:variant>
        <vt:lpwstr>http://www.communications.gov.au/mobile_coverage</vt:lpwstr>
      </vt:variant>
      <vt:variant>
        <vt:lpwstr/>
      </vt:variant>
      <vt:variant>
        <vt:i4>1638449</vt:i4>
      </vt:variant>
      <vt:variant>
        <vt:i4>422</vt:i4>
      </vt:variant>
      <vt:variant>
        <vt:i4>0</vt:i4>
      </vt:variant>
      <vt:variant>
        <vt:i4>5</vt:i4>
      </vt:variant>
      <vt:variant>
        <vt:lpwstr/>
      </vt:variant>
      <vt:variant>
        <vt:lpwstr>_Toc407007294</vt:lpwstr>
      </vt:variant>
      <vt:variant>
        <vt:i4>1638449</vt:i4>
      </vt:variant>
      <vt:variant>
        <vt:i4>416</vt:i4>
      </vt:variant>
      <vt:variant>
        <vt:i4>0</vt:i4>
      </vt:variant>
      <vt:variant>
        <vt:i4>5</vt:i4>
      </vt:variant>
      <vt:variant>
        <vt:lpwstr/>
      </vt:variant>
      <vt:variant>
        <vt:lpwstr>_Toc407007293</vt:lpwstr>
      </vt:variant>
      <vt:variant>
        <vt:i4>1638449</vt:i4>
      </vt:variant>
      <vt:variant>
        <vt:i4>410</vt:i4>
      </vt:variant>
      <vt:variant>
        <vt:i4>0</vt:i4>
      </vt:variant>
      <vt:variant>
        <vt:i4>5</vt:i4>
      </vt:variant>
      <vt:variant>
        <vt:lpwstr/>
      </vt:variant>
      <vt:variant>
        <vt:lpwstr>_Toc407007292</vt:lpwstr>
      </vt:variant>
      <vt:variant>
        <vt:i4>1638449</vt:i4>
      </vt:variant>
      <vt:variant>
        <vt:i4>404</vt:i4>
      </vt:variant>
      <vt:variant>
        <vt:i4>0</vt:i4>
      </vt:variant>
      <vt:variant>
        <vt:i4>5</vt:i4>
      </vt:variant>
      <vt:variant>
        <vt:lpwstr/>
      </vt:variant>
      <vt:variant>
        <vt:lpwstr>_Toc407007291</vt:lpwstr>
      </vt:variant>
      <vt:variant>
        <vt:i4>1638449</vt:i4>
      </vt:variant>
      <vt:variant>
        <vt:i4>398</vt:i4>
      </vt:variant>
      <vt:variant>
        <vt:i4>0</vt:i4>
      </vt:variant>
      <vt:variant>
        <vt:i4>5</vt:i4>
      </vt:variant>
      <vt:variant>
        <vt:lpwstr/>
      </vt:variant>
      <vt:variant>
        <vt:lpwstr>_Toc407007290</vt:lpwstr>
      </vt:variant>
      <vt:variant>
        <vt:i4>1572913</vt:i4>
      </vt:variant>
      <vt:variant>
        <vt:i4>392</vt:i4>
      </vt:variant>
      <vt:variant>
        <vt:i4>0</vt:i4>
      </vt:variant>
      <vt:variant>
        <vt:i4>5</vt:i4>
      </vt:variant>
      <vt:variant>
        <vt:lpwstr/>
      </vt:variant>
      <vt:variant>
        <vt:lpwstr>_Toc407007289</vt:lpwstr>
      </vt:variant>
      <vt:variant>
        <vt:i4>1572913</vt:i4>
      </vt:variant>
      <vt:variant>
        <vt:i4>386</vt:i4>
      </vt:variant>
      <vt:variant>
        <vt:i4>0</vt:i4>
      </vt:variant>
      <vt:variant>
        <vt:i4>5</vt:i4>
      </vt:variant>
      <vt:variant>
        <vt:lpwstr/>
      </vt:variant>
      <vt:variant>
        <vt:lpwstr>_Toc407007288</vt:lpwstr>
      </vt:variant>
      <vt:variant>
        <vt:i4>1572913</vt:i4>
      </vt:variant>
      <vt:variant>
        <vt:i4>380</vt:i4>
      </vt:variant>
      <vt:variant>
        <vt:i4>0</vt:i4>
      </vt:variant>
      <vt:variant>
        <vt:i4>5</vt:i4>
      </vt:variant>
      <vt:variant>
        <vt:lpwstr/>
      </vt:variant>
      <vt:variant>
        <vt:lpwstr>_Toc407007287</vt:lpwstr>
      </vt:variant>
      <vt:variant>
        <vt:i4>1572913</vt:i4>
      </vt:variant>
      <vt:variant>
        <vt:i4>374</vt:i4>
      </vt:variant>
      <vt:variant>
        <vt:i4>0</vt:i4>
      </vt:variant>
      <vt:variant>
        <vt:i4>5</vt:i4>
      </vt:variant>
      <vt:variant>
        <vt:lpwstr/>
      </vt:variant>
      <vt:variant>
        <vt:lpwstr>_Toc407007286</vt:lpwstr>
      </vt:variant>
      <vt:variant>
        <vt:i4>1572913</vt:i4>
      </vt:variant>
      <vt:variant>
        <vt:i4>368</vt:i4>
      </vt:variant>
      <vt:variant>
        <vt:i4>0</vt:i4>
      </vt:variant>
      <vt:variant>
        <vt:i4>5</vt:i4>
      </vt:variant>
      <vt:variant>
        <vt:lpwstr/>
      </vt:variant>
      <vt:variant>
        <vt:lpwstr>_Toc407007285</vt:lpwstr>
      </vt:variant>
      <vt:variant>
        <vt:i4>1572913</vt:i4>
      </vt:variant>
      <vt:variant>
        <vt:i4>362</vt:i4>
      </vt:variant>
      <vt:variant>
        <vt:i4>0</vt:i4>
      </vt:variant>
      <vt:variant>
        <vt:i4>5</vt:i4>
      </vt:variant>
      <vt:variant>
        <vt:lpwstr/>
      </vt:variant>
      <vt:variant>
        <vt:lpwstr>_Toc407007284</vt:lpwstr>
      </vt:variant>
      <vt:variant>
        <vt:i4>1572913</vt:i4>
      </vt:variant>
      <vt:variant>
        <vt:i4>356</vt:i4>
      </vt:variant>
      <vt:variant>
        <vt:i4>0</vt:i4>
      </vt:variant>
      <vt:variant>
        <vt:i4>5</vt:i4>
      </vt:variant>
      <vt:variant>
        <vt:lpwstr/>
      </vt:variant>
      <vt:variant>
        <vt:lpwstr>_Toc407007283</vt:lpwstr>
      </vt:variant>
      <vt:variant>
        <vt:i4>1572913</vt:i4>
      </vt:variant>
      <vt:variant>
        <vt:i4>350</vt:i4>
      </vt:variant>
      <vt:variant>
        <vt:i4>0</vt:i4>
      </vt:variant>
      <vt:variant>
        <vt:i4>5</vt:i4>
      </vt:variant>
      <vt:variant>
        <vt:lpwstr/>
      </vt:variant>
      <vt:variant>
        <vt:lpwstr>_Toc407007282</vt:lpwstr>
      </vt:variant>
      <vt:variant>
        <vt:i4>1572913</vt:i4>
      </vt:variant>
      <vt:variant>
        <vt:i4>344</vt:i4>
      </vt:variant>
      <vt:variant>
        <vt:i4>0</vt:i4>
      </vt:variant>
      <vt:variant>
        <vt:i4>5</vt:i4>
      </vt:variant>
      <vt:variant>
        <vt:lpwstr/>
      </vt:variant>
      <vt:variant>
        <vt:lpwstr>_Toc407007281</vt:lpwstr>
      </vt:variant>
      <vt:variant>
        <vt:i4>1572913</vt:i4>
      </vt:variant>
      <vt:variant>
        <vt:i4>338</vt:i4>
      </vt:variant>
      <vt:variant>
        <vt:i4>0</vt:i4>
      </vt:variant>
      <vt:variant>
        <vt:i4>5</vt:i4>
      </vt:variant>
      <vt:variant>
        <vt:lpwstr/>
      </vt:variant>
      <vt:variant>
        <vt:lpwstr>_Toc407007280</vt:lpwstr>
      </vt:variant>
      <vt:variant>
        <vt:i4>1507377</vt:i4>
      </vt:variant>
      <vt:variant>
        <vt:i4>332</vt:i4>
      </vt:variant>
      <vt:variant>
        <vt:i4>0</vt:i4>
      </vt:variant>
      <vt:variant>
        <vt:i4>5</vt:i4>
      </vt:variant>
      <vt:variant>
        <vt:lpwstr/>
      </vt:variant>
      <vt:variant>
        <vt:lpwstr>_Toc407007279</vt:lpwstr>
      </vt:variant>
      <vt:variant>
        <vt:i4>1507377</vt:i4>
      </vt:variant>
      <vt:variant>
        <vt:i4>326</vt:i4>
      </vt:variant>
      <vt:variant>
        <vt:i4>0</vt:i4>
      </vt:variant>
      <vt:variant>
        <vt:i4>5</vt:i4>
      </vt:variant>
      <vt:variant>
        <vt:lpwstr/>
      </vt:variant>
      <vt:variant>
        <vt:lpwstr>_Toc407007278</vt:lpwstr>
      </vt:variant>
      <vt:variant>
        <vt:i4>1507377</vt:i4>
      </vt:variant>
      <vt:variant>
        <vt:i4>320</vt:i4>
      </vt:variant>
      <vt:variant>
        <vt:i4>0</vt:i4>
      </vt:variant>
      <vt:variant>
        <vt:i4>5</vt:i4>
      </vt:variant>
      <vt:variant>
        <vt:lpwstr/>
      </vt:variant>
      <vt:variant>
        <vt:lpwstr>_Toc407007277</vt:lpwstr>
      </vt:variant>
      <vt:variant>
        <vt:i4>1507377</vt:i4>
      </vt:variant>
      <vt:variant>
        <vt:i4>314</vt:i4>
      </vt:variant>
      <vt:variant>
        <vt:i4>0</vt:i4>
      </vt:variant>
      <vt:variant>
        <vt:i4>5</vt:i4>
      </vt:variant>
      <vt:variant>
        <vt:lpwstr/>
      </vt:variant>
      <vt:variant>
        <vt:lpwstr>_Toc407007276</vt:lpwstr>
      </vt:variant>
      <vt:variant>
        <vt:i4>1507377</vt:i4>
      </vt:variant>
      <vt:variant>
        <vt:i4>308</vt:i4>
      </vt:variant>
      <vt:variant>
        <vt:i4>0</vt:i4>
      </vt:variant>
      <vt:variant>
        <vt:i4>5</vt:i4>
      </vt:variant>
      <vt:variant>
        <vt:lpwstr/>
      </vt:variant>
      <vt:variant>
        <vt:lpwstr>_Toc407007275</vt:lpwstr>
      </vt:variant>
      <vt:variant>
        <vt:i4>1507377</vt:i4>
      </vt:variant>
      <vt:variant>
        <vt:i4>302</vt:i4>
      </vt:variant>
      <vt:variant>
        <vt:i4>0</vt:i4>
      </vt:variant>
      <vt:variant>
        <vt:i4>5</vt:i4>
      </vt:variant>
      <vt:variant>
        <vt:lpwstr/>
      </vt:variant>
      <vt:variant>
        <vt:lpwstr>_Toc407007274</vt:lpwstr>
      </vt:variant>
      <vt:variant>
        <vt:i4>1507377</vt:i4>
      </vt:variant>
      <vt:variant>
        <vt:i4>296</vt:i4>
      </vt:variant>
      <vt:variant>
        <vt:i4>0</vt:i4>
      </vt:variant>
      <vt:variant>
        <vt:i4>5</vt:i4>
      </vt:variant>
      <vt:variant>
        <vt:lpwstr/>
      </vt:variant>
      <vt:variant>
        <vt:lpwstr>_Toc407007273</vt:lpwstr>
      </vt:variant>
      <vt:variant>
        <vt:i4>1507377</vt:i4>
      </vt:variant>
      <vt:variant>
        <vt:i4>290</vt:i4>
      </vt:variant>
      <vt:variant>
        <vt:i4>0</vt:i4>
      </vt:variant>
      <vt:variant>
        <vt:i4>5</vt:i4>
      </vt:variant>
      <vt:variant>
        <vt:lpwstr/>
      </vt:variant>
      <vt:variant>
        <vt:lpwstr>_Toc407007272</vt:lpwstr>
      </vt:variant>
      <vt:variant>
        <vt:i4>1507377</vt:i4>
      </vt:variant>
      <vt:variant>
        <vt:i4>284</vt:i4>
      </vt:variant>
      <vt:variant>
        <vt:i4>0</vt:i4>
      </vt:variant>
      <vt:variant>
        <vt:i4>5</vt:i4>
      </vt:variant>
      <vt:variant>
        <vt:lpwstr/>
      </vt:variant>
      <vt:variant>
        <vt:lpwstr>_Toc407007271</vt:lpwstr>
      </vt:variant>
      <vt:variant>
        <vt:i4>1507377</vt:i4>
      </vt:variant>
      <vt:variant>
        <vt:i4>278</vt:i4>
      </vt:variant>
      <vt:variant>
        <vt:i4>0</vt:i4>
      </vt:variant>
      <vt:variant>
        <vt:i4>5</vt:i4>
      </vt:variant>
      <vt:variant>
        <vt:lpwstr/>
      </vt:variant>
      <vt:variant>
        <vt:lpwstr>_Toc407007270</vt:lpwstr>
      </vt:variant>
      <vt:variant>
        <vt:i4>1441841</vt:i4>
      </vt:variant>
      <vt:variant>
        <vt:i4>272</vt:i4>
      </vt:variant>
      <vt:variant>
        <vt:i4>0</vt:i4>
      </vt:variant>
      <vt:variant>
        <vt:i4>5</vt:i4>
      </vt:variant>
      <vt:variant>
        <vt:lpwstr/>
      </vt:variant>
      <vt:variant>
        <vt:lpwstr>_Toc407007269</vt:lpwstr>
      </vt:variant>
      <vt:variant>
        <vt:i4>1441841</vt:i4>
      </vt:variant>
      <vt:variant>
        <vt:i4>266</vt:i4>
      </vt:variant>
      <vt:variant>
        <vt:i4>0</vt:i4>
      </vt:variant>
      <vt:variant>
        <vt:i4>5</vt:i4>
      </vt:variant>
      <vt:variant>
        <vt:lpwstr/>
      </vt:variant>
      <vt:variant>
        <vt:lpwstr>_Toc407007268</vt:lpwstr>
      </vt:variant>
      <vt:variant>
        <vt:i4>1441841</vt:i4>
      </vt:variant>
      <vt:variant>
        <vt:i4>260</vt:i4>
      </vt:variant>
      <vt:variant>
        <vt:i4>0</vt:i4>
      </vt:variant>
      <vt:variant>
        <vt:i4>5</vt:i4>
      </vt:variant>
      <vt:variant>
        <vt:lpwstr/>
      </vt:variant>
      <vt:variant>
        <vt:lpwstr>_Toc407007267</vt:lpwstr>
      </vt:variant>
      <vt:variant>
        <vt:i4>1441841</vt:i4>
      </vt:variant>
      <vt:variant>
        <vt:i4>254</vt:i4>
      </vt:variant>
      <vt:variant>
        <vt:i4>0</vt:i4>
      </vt:variant>
      <vt:variant>
        <vt:i4>5</vt:i4>
      </vt:variant>
      <vt:variant>
        <vt:lpwstr/>
      </vt:variant>
      <vt:variant>
        <vt:lpwstr>_Toc407007266</vt:lpwstr>
      </vt:variant>
      <vt:variant>
        <vt:i4>1441841</vt:i4>
      </vt:variant>
      <vt:variant>
        <vt:i4>248</vt:i4>
      </vt:variant>
      <vt:variant>
        <vt:i4>0</vt:i4>
      </vt:variant>
      <vt:variant>
        <vt:i4>5</vt:i4>
      </vt:variant>
      <vt:variant>
        <vt:lpwstr/>
      </vt:variant>
      <vt:variant>
        <vt:lpwstr>_Toc407007265</vt:lpwstr>
      </vt:variant>
      <vt:variant>
        <vt:i4>1441841</vt:i4>
      </vt:variant>
      <vt:variant>
        <vt:i4>242</vt:i4>
      </vt:variant>
      <vt:variant>
        <vt:i4>0</vt:i4>
      </vt:variant>
      <vt:variant>
        <vt:i4>5</vt:i4>
      </vt:variant>
      <vt:variant>
        <vt:lpwstr/>
      </vt:variant>
      <vt:variant>
        <vt:lpwstr>_Toc407007264</vt:lpwstr>
      </vt:variant>
      <vt:variant>
        <vt:i4>1441841</vt:i4>
      </vt:variant>
      <vt:variant>
        <vt:i4>236</vt:i4>
      </vt:variant>
      <vt:variant>
        <vt:i4>0</vt:i4>
      </vt:variant>
      <vt:variant>
        <vt:i4>5</vt:i4>
      </vt:variant>
      <vt:variant>
        <vt:lpwstr/>
      </vt:variant>
      <vt:variant>
        <vt:lpwstr>_Toc407007263</vt:lpwstr>
      </vt:variant>
      <vt:variant>
        <vt:i4>1441841</vt:i4>
      </vt:variant>
      <vt:variant>
        <vt:i4>230</vt:i4>
      </vt:variant>
      <vt:variant>
        <vt:i4>0</vt:i4>
      </vt:variant>
      <vt:variant>
        <vt:i4>5</vt:i4>
      </vt:variant>
      <vt:variant>
        <vt:lpwstr/>
      </vt:variant>
      <vt:variant>
        <vt:lpwstr>_Toc407007262</vt:lpwstr>
      </vt:variant>
      <vt:variant>
        <vt:i4>1441841</vt:i4>
      </vt:variant>
      <vt:variant>
        <vt:i4>224</vt:i4>
      </vt:variant>
      <vt:variant>
        <vt:i4>0</vt:i4>
      </vt:variant>
      <vt:variant>
        <vt:i4>5</vt:i4>
      </vt:variant>
      <vt:variant>
        <vt:lpwstr/>
      </vt:variant>
      <vt:variant>
        <vt:lpwstr>_Toc407007261</vt:lpwstr>
      </vt:variant>
      <vt:variant>
        <vt:i4>1441841</vt:i4>
      </vt:variant>
      <vt:variant>
        <vt:i4>218</vt:i4>
      </vt:variant>
      <vt:variant>
        <vt:i4>0</vt:i4>
      </vt:variant>
      <vt:variant>
        <vt:i4>5</vt:i4>
      </vt:variant>
      <vt:variant>
        <vt:lpwstr/>
      </vt:variant>
      <vt:variant>
        <vt:lpwstr>_Toc407007260</vt:lpwstr>
      </vt:variant>
      <vt:variant>
        <vt:i4>1376305</vt:i4>
      </vt:variant>
      <vt:variant>
        <vt:i4>212</vt:i4>
      </vt:variant>
      <vt:variant>
        <vt:i4>0</vt:i4>
      </vt:variant>
      <vt:variant>
        <vt:i4>5</vt:i4>
      </vt:variant>
      <vt:variant>
        <vt:lpwstr/>
      </vt:variant>
      <vt:variant>
        <vt:lpwstr>_Toc407007259</vt:lpwstr>
      </vt:variant>
      <vt:variant>
        <vt:i4>1376305</vt:i4>
      </vt:variant>
      <vt:variant>
        <vt:i4>206</vt:i4>
      </vt:variant>
      <vt:variant>
        <vt:i4>0</vt:i4>
      </vt:variant>
      <vt:variant>
        <vt:i4>5</vt:i4>
      </vt:variant>
      <vt:variant>
        <vt:lpwstr/>
      </vt:variant>
      <vt:variant>
        <vt:lpwstr>_Toc407007258</vt:lpwstr>
      </vt:variant>
      <vt:variant>
        <vt:i4>1376305</vt:i4>
      </vt:variant>
      <vt:variant>
        <vt:i4>200</vt:i4>
      </vt:variant>
      <vt:variant>
        <vt:i4>0</vt:i4>
      </vt:variant>
      <vt:variant>
        <vt:i4>5</vt:i4>
      </vt:variant>
      <vt:variant>
        <vt:lpwstr/>
      </vt:variant>
      <vt:variant>
        <vt:lpwstr>_Toc407007257</vt:lpwstr>
      </vt:variant>
      <vt:variant>
        <vt:i4>1376305</vt:i4>
      </vt:variant>
      <vt:variant>
        <vt:i4>194</vt:i4>
      </vt:variant>
      <vt:variant>
        <vt:i4>0</vt:i4>
      </vt:variant>
      <vt:variant>
        <vt:i4>5</vt:i4>
      </vt:variant>
      <vt:variant>
        <vt:lpwstr/>
      </vt:variant>
      <vt:variant>
        <vt:lpwstr>_Toc407007256</vt:lpwstr>
      </vt:variant>
      <vt:variant>
        <vt:i4>1376305</vt:i4>
      </vt:variant>
      <vt:variant>
        <vt:i4>188</vt:i4>
      </vt:variant>
      <vt:variant>
        <vt:i4>0</vt:i4>
      </vt:variant>
      <vt:variant>
        <vt:i4>5</vt:i4>
      </vt:variant>
      <vt:variant>
        <vt:lpwstr/>
      </vt:variant>
      <vt:variant>
        <vt:lpwstr>_Toc407007255</vt:lpwstr>
      </vt:variant>
      <vt:variant>
        <vt:i4>1376305</vt:i4>
      </vt:variant>
      <vt:variant>
        <vt:i4>182</vt:i4>
      </vt:variant>
      <vt:variant>
        <vt:i4>0</vt:i4>
      </vt:variant>
      <vt:variant>
        <vt:i4>5</vt:i4>
      </vt:variant>
      <vt:variant>
        <vt:lpwstr/>
      </vt:variant>
      <vt:variant>
        <vt:lpwstr>_Toc407007254</vt:lpwstr>
      </vt:variant>
      <vt:variant>
        <vt:i4>1376305</vt:i4>
      </vt:variant>
      <vt:variant>
        <vt:i4>176</vt:i4>
      </vt:variant>
      <vt:variant>
        <vt:i4>0</vt:i4>
      </vt:variant>
      <vt:variant>
        <vt:i4>5</vt:i4>
      </vt:variant>
      <vt:variant>
        <vt:lpwstr/>
      </vt:variant>
      <vt:variant>
        <vt:lpwstr>_Toc407007253</vt:lpwstr>
      </vt:variant>
      <vt:variant>
        <vt:i4>1376305</vt:i4>
      </vt:variant>
      <vt:variant>
        <vt:i4>170</vt:i4>
      </vt:variant>
      <vt:variant>
        <vt:i4>0</vt:i4>
      </vt:variant>
      <vt:variant>
        <vt:i4>5</vt:i4>
      </vt:variant>
      <vt:variant>
        <vt:lpwstr/>
      </vt:variant>
      <vt:variant>
        <vt:lpwstr>_Toc407007252</vt:lpwstr>
      </vt:variant>
      <vt:variant>
        <vt:i4>1376305</vt:i4>
      </vt:variant>
      <vt:variant>
        <vt:i4>164</vt:i4>
      </vt:variant>
      <vt:variant>
        <vt:i4>0</vt:i4>
      </vt:variant>
      <vt:variant>
        <vt:i4>5</vt:i4>
      </vt:variant>
      <vt:variant>
        <vt:lpwstr/>
      </vt:variant>
      <vt:variant>
        <vt:lpwstr>_Toc407007251</vt:lpwstr>
      </vt:variant>
      <vt:variant>
        <vt:i4>1376305</vt:i4>
      </vt:variant>
      <vt:variant>
        <vt:i4>158</vt:i4>
      </vt:variant>
      <vt:variant>
        <vt:i4>0</vt:i4>
      </vt:variant>
      <vt:variant>
        <vt:i4>5</vt:i4>
      </vt:variant>
      <vt:variant>
        <vt:lpwstr/>
      </vt:variant>
      <vt:variant>
        <vt:lpwstr>_Toc407007250</vt:lpwstr>
      </vt:variant>
      <vt:variant>
        <vt:i4>1310769</vt:i4>
      </vt:variant>
      <vt:variant>
        <vt:i4>152</vt:i4>
      </vt:variant>
      <vt:variant>
        <vt:i4>0</vt:i4>
      </vt:variant>
      <vt:variant>
        <vt:i4>5</vt:i4>
      </vt:variant>
      <vt:variant>
        <vt:lpwstr/>
      </vt:variant>
      <vt:variant>
        <vt:lpwstr>_Toc407007249</vt:lpwstr>
      </vt:variant>
      <vt:variant>
        <vt:i4>1310769</vt:i4>
      </vt:variant>
      <vt:variant>
        <vt:i4>146</vt:i4>
      </vt:variant>
      <vt:variant>
        <vt:i4>0</vt:i4>
      </vt:variant>
      <vt:variant>
        <vt:i4>5</vt:i4>
      </vt:variant>
      <vt:variant>
        <vt:lpwstr/>
      </vt:variant>
      <vt:variant>
        <vt:lpwstr>_Toc407007248</vt:lpwstr>
      </vt:variant>
      <vt:variant>
        <vt:i4>1310769</vt:i4>
      </vt:variant>
      <vt:variant>
        <vt:i4>140</vt:i4>
      </vt:variant>
      <vt:variant>
        <vt:i4>0</vt:i4>
      </vt:variant>
      <vt:variant>
        <vt:i4>5</vt:i4>
      </vt:variant>
      <vt:variant>
        <vt:lpwstr/>
      </vt:variant>
      <vt:variant>
        <vt:lpwstr>_Toc407007247</vt:lpwstr>
      </vt:variant>
      <vt:variant>
        <vt:i4>1310769</vt:i4>
      </vt:variant>
      <vt:variant>
        <vt:i4>134</vt:i4>
      </vt:variant>
      <vt:variant>
        <vt:i4>0</vt:i4>
      </vt:variant>
      <vt:variant>
        <vt:i4>5</vt:i4>
      </vt:variant>
      <vt:variant>
        <vt:lpwstr/>
      </vt:variant>
      <vt:variant>
        <vt:lpwstr>_Toc407007246</vt:lpwstr>
      </vt:variant>
      <vt:variant>
        <vt:i4>1310769</vt:i4>
      </vt:variant>
      <vt:variant>
        <vt:i4>128</vt:i4>
      </vt:variant>
      <vt:variant>
        <vt:i4>0</vt:i4>
      </vt:variant>
      <vt:variant>
        <vt:i4>5</vt:i4>
      </vt:variant>
      <vt:variant>
        <vt:lpwstr/>
      </vt:variant>
      <vt:variant>
        <vt:lpwstr>_Toc407007245</vt:lpwstr>
      </vt:variant>
      <vt:variant>
        <vt:i4>1310769</vt:i4>
      </vt:variant>
      <vt:variant>
        <vt:i4>122</vt:i4>
      </vt:variant>
      <vt:variant>
        <vt:i4>0</vt:i4>
      </vt:variant>
      <vt:variant>
        <vt:i4>5</vt:i4>
      </vt:variant>
      <vt:variant>
        <vt:lpwstr/>
      </vt:variant>
      <vt:variant>
        <vt:lpwstr>_Toc407007244</vt:lpwstr>
      </vt:variant>
      <vt:variant>
        <vt:i4>1310769</vt:i4>
      </vt:variant>
      <vt:variant>
        <vt:i4>116</vt:i4>
      </vt:variant>
      <vt:variant>
        <vt:i4>0</vt:i4>
      </vt:variant>
      <vt:variant>
        <vt:i4>5</vt:i4>
      </vt:variant>
      <vt:variant>
        <vt:lpwstr/>
      </vt:variant>
      <vt:variant>
        <vt:lpwstr>_Toc407007243</vt:lpwstr>
      </vt:variant>
      <vt:variant>
        <vt:i4>1310769</vt:i4>
      </vt:variant>
      <vt:variant>
        <vt:i4>110</vt:i4>
      </vt:variant>
      <vt:variant>
        <vt:i4>0</vt:i4>
      </vt:variant>
      <vt:variant>
        <vt:i4>5</vt:i4>
      </vt:variant>
      <vt:variant>
        <vt:lpwstr/>
      </vt:variant>
      <vt:variant>
        <vt:lpwstr>_Toc407007242</vt:lpwstr>
      </vt:variant>
      <vt:variant>
        <vt:i4>1310769</vt:i4>
      </vt:variant>
      <vt:variant>
        <vt:i4>104</vt:i4>
      </vt:variant>
      <vt:variant>
        <vt:i4>0</vt:i4>
      </vt:variant>
      <vt:variant>
        <vt:i4>5</vt:i4>
      </vt:variant>
      <vt:variant>
        <vt:lpwstr/>
      </vt:variant>
      <vt:variant>
        <vt:lpwstr>_Toc407007241</vt:lpwstr>
      </vt:variant>
      <vt:variant>
        <vt:i4>1310769</vt:i4>
      </vt:variant>
      <vt:variant>
        <vt:i4>98</vt:i4>
      </vt:variant>
      <vt:variant>
        <vt:i4>0</vt:i4>
      </vt:variant>
      <vt:variant>
        <vt:i4>5</vt:i4>
      </vt:variant>
      <vt:variant>
        <vt:lpwstr/>
      </vt:variant>
      <vt:variant>
        <vt:lpwstr>_Toc407007240</vt:lpwstr>
      </vt:variant>
      <vt:variant>
        <vt:i4>1245233</vt:i4>
      </vt:variant>
      <vt:variant>
        <vt:i4>92</vt:i4>
      </vt:variant>
      <vt:variant>
        <vt:i4>0</vt:i4>
      </vt:variant>
      <vt:variant>
        <vt:i4>5</vt:i4>
      </vt:variant>
      <vt:variant>
        <vt:lpwstr/>
      </vt:variant>
      <vt:variant>
        <vt:lpwstr>_Toc407007239</vt:lpwstr>
      </vt:variant>
      <vt:variant>
        <vt:i4>1245233</vt:i4>
      </vt:variant>
      <vt:variant>
        <vt:i4>86</vt:i4>
      </vt:variant>
      <vt:variant>
        <vt:i4>0</vt:i4>
      </vt:variant>
      <vt:variant>
        <vt:i4>5</vt:i4>
      </vt:variant>
      <vt:variant>
        <vt:lpwstr/>
      </vt:variant>
      <vt:variant>
        <vt:lpwstr>_Toc407007238</vt:lpwstr>
      </vt:variant>
      <vt:variant>
        <vt:i4>1245233</vt:i4>
      </vt:variant>
      <vt:variant>
        <vt:i4>80</vt:i4>
      </vt:variant>
      <vt:variant>
        <vt:i4>0</vt:i4>
      </vt:variant>
      <vt:variant>
        <vt:i4>5</vt:i4>
      </vt:variant>
      <vt:variant>
        <vt:lpwstr/>
      </vt:variant>
      <vt:variant>
        <vt:lpwstr>_Toc407007237</vt:lpwstr>
      </vt:variant>
      <vt:variant>
        <vt:i4>1245233</vt:i4>
      </vt:variant>
      <vt:variant>
        <vt:i4>74</vt:i4>
      </vt:variant>
      <vt:variant>
        <vt:i4>0</vt:i4>
      </vt:variant>
      <vt:variant>
        <vt:i4>5</vt:i4>
      </vt:variant>
      <vt:variant>
        <vt:lpwstr/>
      </vt:variant>
      <vt:variant>
        <vt:lpwstr>_Toc407007236</vt:lpwstr>
      </vt:variant>
      <vt:variant>
        <vt:i4>1245233</vt:i4>
      </vt:variant>
      <vt:variant>
        <vt:i4>68</vt:i4>
      </vt:variant>
      <vt:variant>
        <vt:i4>0</vt:i4>
      </vt:variant>
      <vt:variant>
        <vt:i4>5</vt:i4>
      </vt:variant>
      <vt:variant>
        <vt:lpwstr/>
      </vt:variant>
      <vt:variant>
        <vt:lpwstr>_Toc407007235</vt:lpwstr>
      </vt:variant>
      <vt:variant>
        <vt:i4>1245233</vt:i4>
      </vt:variant>
      <vt:variant>
        <vt:i4>62</vt:i4>
      </vt:variant>
      <vt:variant>
        <vt:i4>0</vt:i4>
      </vt:variant>
      <vt:variant>
        <vt:i4>5</vt:i4>
      </vt:variant>
      <vt:variant>
        <vt:lpwstr/>
      </vt:variant>
      <vt:variant>
        <vt:lpwstr>_Toc407007234</vt:lpwstr>
      </vt:variant>
      <vt:variant>
        <vt:i4>1245233</vt:i4>
      </vt:variant>
      <vt:variant>
        <vt:i4>56</vt:i4>
      </vt:variant>
      <vt:variant>
        <vt:i4>0</vt:i4>
      </vt:variant>
      <vt:variant>
        <vt:i4>5</vt:i4>
      </vt:variant>
      <vt:variant>
        <vt:lpwstr/>
      </vt:variant>
      <vt:variant>
        <vt:lpwstr>_Toc407007233</vt:lpwstr>
      </vt:variant>
      <vt:variant>
        <vt:i4>1245233</vt:i4>
      </vt:variant>
      <vt:variant>
        <vt:i4>50</vt:i4>
      </vt:variant>
      <vt:variant>
        <vt:i4>0</vt:i4>
      </vt:variant>
      <vt:variant>
        <vt:i4>5</vt:i4>
      </vt:variant>
      <vt:variant>
        <vt:lpwstr/>
      </vt:variant>
      <vt:variant>
        <vt:lpwstr>_Toc407007232</vt:lpwstr>
      </vt:variant>
      <vt:variant>
        <vt:i4>1245233</vt:i4>
      </vt:variant>
      <vt:variant>
        <vt:i4>44</vt:i4>
      </vt:variant>
      <vt:variant>
        <vt:i4>0</vt:i4>
      </vt:variant>
      <vt:variant>
        <vt:i4>5</vt:i4>
      </vt:variant>
      <vt:variant>
        <vt:lpwstr/>
      </vt:variant>
      <vt:variant>
        <vt:lpwstr>_Toc407007231</vt:lpwstr>
      </vt:variant>
      <vt:variant>
        <vt:i4>1245233</vt:i4>
      </vt:variant>
      <vt:variant>
        <vt:i4>38</vt:i4>
      </vt:variant>
      <vt:variant>
        <vt:i4>0</vt:i4>
      </vt:variant>
      <vt:variant>
        <vt:i4>5</vt:i4>
      </vt:variant>
      <vt:variant>
        <vt:lpwstr/>
      </vt:variant>
      <vt:variant>
        <vt:lpwstr>_Toc407007230</vt:lpwstr>
      </vt:variant>
      <vt:variant>
        <vt:i4>1179697</vt:i4>
      </vt:variant>
      <vt:variant>
        <vt:i4>32</vt:i4>
      </vt:variant>
      <vt:variant>
        <vt:i4>0</vt:i4>
      </vt:variant>
      <vt:variant>
        <vt:i4>5</vt:i4>
      </vt:variant>
      <vt:variant>
        <vt:lpwstr/>
      </vt:variant>
      <vt:variant>
        <vt:lpwstr>_Toc407007229</vt:lpwstr>
      </vt:variant>
      <vt:variant>
        <vt:i4>1179697</vt:i4>
      </vt:variant>
      <vt:variant>
        <vt:i4>26</vt:i4>
      </vt:variant>
      <vt:variant>
        <vt:i4>0</vt:i4>
      </vt:variant>
      <vt:variant>
        <vt:i4>5</vt:i4>
      </vt:variant>
      <vt:variant>
        <vt:lpwstr/>
      </vt:variant>
      <vt:variant>
        <vt:lpwstr>_Toc407007228</vt:lpwstr>
      </vt:variant>
      <vt:variant>
        <vt:i4>1179697</vt:i4>
      </vt:variant>
      <vt:variant>
        <vt:i4>20</vt:i4>
      </vt:variant>
      <vt:variant>
        <vt:i4>0</vt:i4>
      </vt:variant>
      <vt:variant>
        <vt:i4>5</vt:i4>
      </vt:variant>
      <vt:variant>
        <vt:lpwstr/>
      </vt:variant>
      <vt:variant>
        <vt:lpwstr>_Toc407007227</vt:lpwstr>
      </vt:variant>
      <vt:variant>
        <vt:i4>1179697</vt:i4>
      </vt:variant>
      <vt:variant>
        <vt:i4>14</vt:i4>
      </vt:variant>
      <vt:variant>
        <vt:i4>0</vt:i4>
      </vt:variant>
      <vt:variant>
        <vt:i4>5</vt:i4>
      </vt:variant>
      <vt:variant>
        <vt:lpwstr/>
      </vt:variant>
      <vt:variant>
        <vt:lpwstr>_Toc407007226</vt:lpwstr>
      </vt:variant>
      <vt:variant>
        <vt:i4>1179697</vt:i4>
      </vt:variant>
      <vt:variant>
        <vt:i4>8</vt:i4>
      </vt:variant>
      <vt:variant>
        <vt:i4>0</vt:i4>
      </vt:variant>
      <vt:variant>
        <vt:i4>5</vt:i4>
      </vt:variant>
      <vt:variant>
        <vt:lpwstr/>
      </vt:variant>
      <vt:variant>
        <vt:lpwstr>_Toc407007225</vt:lpwstr>
      </vt:variant>
      <vt:variant>
        <vt:i4>1179697</vt:i4>
      </vt:variant>
      <vt:variant>
        <vt:i4>2</vt:i4>
      </vt:variant>
      <vt:variant>
        <vt:i4>0</vt:i4>
      </vt:variant>
      <vt:variant>
        <vt:i4>5</vt:i4>
      </vt:variant>
      <vt:variant>
        <vt:lpwstr/>
      </vt:variant>
      <vt:variant>
        <vt:lpwstr>_Toc407007224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Programme—round 1 guidelines</dc:title>
  <dc:subject/>
  <dc:creator/>
  <cp:keywords/>
  <cp:lastModifiedBy/>
  <cp:revision>1</cp:revision>
  <dcterms:created xsi:type="dcterms:W3CDTF">2016-02-25T08:21:00Z</dcterms:created>
  <dcterms:modified xsi:type="dcterms:W3CDTF">2016-02-25T08:28:00Z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Number">
    <vt:lpwstr>1</vt:lpwstr>
  </property>
</Properties>
</file>