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E9B" w:rsidRPr="007406E8" w:rsidRDefault="0078032F" w:rsidP="007406E8">
      <w:pPr>
        <w:pStyle w:val="Heading1"/>
        <w:tabs>
          <w:tab w:val="left" w:pos="1702"/>
        </w:tabs>
        <w:spacing w:before="68"/>
        <w:ind w:right="746"/>
        <w:rPr>
          <w:b w:val="0"/>
          <w:bCs/>
        </w:rPr>
      </w:pPr>
      <w:r>
        <w:t xml:space="preserve">CIRCULAR </w:t>
      </w:r>
      <w:bookmarkStart w:id="0" w:name="_GoBack"/>
      <w:bookmarkEnd w:id="0"/>
      <w:r>
        <w:t>81/00-2-</w:t>
      </w:r>
      <w:r w:rsidR="004F28D8" w:rsidRPr="007406E8">
        <w:t>2</w:t>
      </w:r>
    </w:p>
    <w:p w:rsidR="00FC3E9B" w:rsidRPr="007406E8" w:rsidRDefault="004F28D8" w:rsidP="007406E8">
      <w:pPr>
        <w:pStyle w:val="Heading2"/>
        <w:rPr>
          <w:rFonts w:eastAsia="Arial" w:hAnsi="Arial" w:cs="Arial"/>
          <w:szCs w:val="28"/>
        </w:rPr>
      </w:pPr>
      <w:r w:rsidRPr="007406E8">
        <w:t>Transitional Arrangements for ADR 81/00</w:t>
      </w:r>
      <w:r w:rsidR="000131B0" w:rsidRPr="007406E8">
        <w:rPr>
          <w:w w:val="101"/>
        </w:rPr>
        <w:t xml:space="preserve"> </w:t>
      </w:r>
      <w:r w:rsidRPr="007406E8">
        <w:t>Valid to June 30 2001</w:t>
      </w:r>
    </w:p>
    <w:p w:rsidR="00FC3E9B" w:rsidRPr="007406E8" w:rsidRDefault="004F28D8" w:rsidP="009E32BD">
      <w:pPr>
        <w:pStyle w:val="ListParagraph"/>
        <w:numPr>
          <w:ilvl w:val="0"/>
          <w:numId w:val="3"/>
        </w:numPr>
        <w:spacing w:after="120"/>
      </w:pPr>
      <w:r w:rsidRPr="007406E8">
        <w:t>An SF 81/00 form(s) will be required to be submitted listing all variants of the vehicle</w:t>
      </w:r>
      <w:r w:rsidRPr="009E32BD">
        <w:rPr>
          <w:w w:val="102"/>
        </w:rPr>
        <w:t xml:space="preserve"> </w:t>
      </w:r>
      <w:r w:rsidRPr="007406E8">
        <w:t>model.  An SE 81/00 form(s) will be required for each vehicle indicated on the SF form as</w:t>
      </w:r>
      <w:r w:rsidRPr="009E32BD">
        <w:rPr>
          <w:w w:val="102"/>
        </w:rPr>
        <w:t xml:space="preserve"> </w:t>
      </w:r>
      <w:r w:rsidRPr="007406E8">
        <w:t>needing to be tested.  For the period ending June 30 2001 SF and SE forms will be</w:t>
      </w:r>
      <w:r w:rsidRPr="009E32BD">
        <w:rPr>
          <w:w w:val="102"/>
        </w:rPr>
        <w:t xml:space="preserve"> </w:t>
      </w:r>
      <w:r w:rsidRPr="007406E8">
        <w:t>accepted for variants identified as untested, subject to items (2) to (4) below.</w:t>
      </w:r>
    </w:p>
    <w:p w:rsidR="00FC3E9B" w:rsidRPr="007406E8" w:rsidRDefault="004F28D8" w:rsidP="009E32BD">
      <w:pPr>
        <w:pStyle w:val="ListParagraph"/>
        <w:numPr>
          <w:ilvl w:val="0"/>
          <w:numId w:val="3"/>
        </w:numPr>
        <w:spacing w:after="120"/>
      </w:pPr>
      <w:r w:rsidRPr="007406E8">
        <w:t>For untested variants the manufacturer will report a "best efforts" estimate of the fuel</w:t>
      </w:r>
      <w:r w:rsidRPr="009E32BD">
        <w:rPr>
          <w:w w:val="102"/>
        </w:rPr>
        <w:t xml:space="preserve"> </w:t>
      </w:r>
      <w:r w:rsidRPr="007406E8">
        <w:t>consumption, erring on the side of overstating consumption.</w:t>
      </w:r>
    </w:p>
    <w:p w:rsidR="00FC3E9B" w:rsidRPr="007406E8" w:rsidRDefault="004F28D8" w:rsidP="009E32BD">
      <w:pPr>
        <w:pStyle w:val="ListParagraph"/>
        <w:numPr>
          <w:ilvl w:val="0"/>
          <w:numId w:val="3"/>
        </w:numPr>
        <w:spacing w:after="120"/>
      </w:pPr>
      <w:r w:rsidRPr="007406E8">
        <w:t>For untested variants the fuel consumption label will carry the value relevant to the fuel</w:t>
      </w:r>
      <w:r w:rsidRPr="009E32BD">
        <w:rPr>
          <w:w w:val="102"/>
        </w:rPr>
        <w:t xml:space="preserve"> </w:t>
      </w:r>
      <w:r w:rsidRPr="007406E8">
        <w:t>consumption reported on the SE form derived using (2) above.</w:t>
      </w:r>
    </w:p>
    <w:p w:rsidR="00FC3E9B" w:rsidRPr="007406E8" w:rsidRDefault="004F28D8" w:rsidP="009E32BD">
      <w:pPr>
        <w:pStyle w:val="ListParagraph"/>
        <w:numPr>
          <w:ilvl w:val="0"/>
          <w:numId w:val="3"/>
        </w:numPr>
        <w:spacing w:after="120"/>
      </w:pPr>
      <w:r w:rsidRPr="007406E8">
        <w:t>Vehicle models with untested variants will be granted a "minor and inconsequential non-</w:t>
      </w:r>
      <w:r w:rsidRPr="009E32BD">
        <w:rPr>
          <w:w w:val="102"/>
        </w:rPr>
        <w:t xml:space="preserve"> </w:t>
      </w:r>
      <w:r w:rsidRPr="007406E8">
        <w:t>compliance" approval valid until June 30 2001, after which time the manufacturer is</w:t>
      </w:r>
      <w:r w:rsidRPr="009E32BD">
        <w:rPr>
          <w:w w:val="102"/>
        </w:rPr>
        <w:t xml:space="preserve"> </w:t>
      </w:r>
      <w:r w:rsidRPr="007406E8">
        <w:t>required to provide test data in the usual way and withdraw the interim data.</w:t>
      </w:r>
    </w:p>
    <w:p w:rsidR="00FC3E9B" w:rsidRPr="007406E8" w:rsidRDefault="004F28D8" w:rsidP="007406E8">
      <w:pPr>
        <w:spacing w:after="120"/>
      </w:pPr>
      <w:r w:rsidRPr="007406E8">
        <w:t>In relation to (4), a "minor and inconsequential non-compliance" approval will be used</w:t>
      </w:r>
      <w:r w:rsidRPr="007406E8">
        <w:rPr>
          <w:w w:val="102"/>
        </w:rPr>
        <w:t xml:space="preserve"> </w:t>
      </w:r>
      <w:r w:rsidRPr="007406E8">
        <w:t>because the fuel consumption label value may need to change when the final test results are</w:t>
      </w:r>
      <w:r w:rsidRPr="007406E8">
        <w:rPr>
          <w:w w:val="102"/>
        </w:rPr>
        <w:t xml:space="preserve"> </w:t>
      </w:r>
      <w:r w:rsidRPr="007406E8">
        <w:t>known.  Therefore, in the interim period, the vehicle may not fully comply with all applicable</w:t>
      </w:r>
      <w:r w:rsidRPr="007406E8">
        <w:rPr>
          <w:w w:val="102"/>
        </w:rPr>
        <w:t xml:space="preserve"> </w:t>
      </w:r>
      <w:r w:rsidRPr="007406E8">
        <w:t>ADRs.  A provisional approval is used in cases where the final testing is expected to confirm</w:t>
      </w:r>
      <w:r w:rsidRPr="007406E8">
        <w:rPr>
          <w:w w:val="102"/>
        </w:rPr>
        <w:t xml:space="preserve"> </w:t>
      </w:r>
      <w:r w:rsidRPr="007406E8">
        <w:t>compliance and there are repercussions if it does not.</w:t>
      </w:r>
    </w:p>
    <w:p w:rsidR="00FC3E9B" w:rsidRPr="007406E8" w:rsidRDefault="004F28D8" w:rsidP="007406E8">
      <w:pPr>
        <w:spacing w:after="120"/>
      </w:pPr>
      <w:r w:rsidRPr="007406E8">
        <w:t>If the manufacturer is not able to trace their tests results back to a test report from a known</w:t>
      </w:r>
      <w:r w:rsidRPr="007406E8">
        <w:rPr>
          <w:w w:val="102"/>
        </w:rPr>
        <w:t xml:space="preserve"> </w:t>
      </w:r>
      <w:r w:rsidRPr="007406E8">
        <w:t>facility with a known tested vehicle those results will be treated as "untested".  In such cases</w:t>
      </w:r>
      <w:r w:rsidRPr="007406E8">
        <w:rPr>
          <w:w w:val="102"/>
        </w:rPr>
        <w:t xml:space="preserve"> </w:t>
      </w:r>
      <w:r w:rsidRPr="007406E8">
        <w:t xml:space="preserve">the SE form should be marked with </w:t>
      </w:r>
      <w:r w:rsidR="007406E8" w:rsidRPr="007406E8">
        <w:t>N/A</w:t>
      </w:r>
      <w:r w:rsidRPr="007406E8">
        <w:t xml:space="preserve"> in the appropriate responses.</w:t>
      </w:r>
    </w:p>
    <w:p w:rsidR="00FC3E9B" w:rsidRPr="007406E8" w:rsidRDefault="004F28D8" w:rsidP="007406E8">
      <w:pPr>
        <w:spacing w:after="120"/>
      </w:pPr>
      <w:r w:rsidRPr="007406E8">
        <w:t>Forms submitted for untested variants should be withdrawn when replaced with forms</w:t>
      </w:r>
      <w:r w:rsidRPr="007406E8">
        <w:rPr>
          <w:w w:val="102"/>
        </w:rPr>
        <w:t xml:space="preserve"> </w:t>
      </w:r>
      <w:r w:rsidRPr="007406E8">
        <w:t>containing data for tested variants.  Note: each form within a make/m</w:t>
      </w:r>
      <w:r w:rsidR="007406E8" w:rsidRPr="007406E8">
        <w:t>o</w:t>
      </w:r>
      <w:r w:rsidRPr="007406E8">
        <w:t>del must have a unique</w:t>
      </w:r>
      <w:r w:rsidRPr="007406E8">
        <w:rPr>
          <w:w w:val="102"/>
        </w:rPr>
        <w:t xml:space="preserve"> </w:t>
      </w:r>
      <w:r w:rsidRPr="007406E8">
        <w:t>document reference.</w:t>
      </w:r>
    </w:p>
    <w:sectPr w:rsidR="00FC3E9B" w:rsidRPr="007406E8">
      <w:headerReference w:type="default" r:id="rId8"/>
      <w:footerReference w:type="default" r:id="rId9"/>
      <w:type w:val="continuous"/>
      <w:pgSz w:w="11920" w:h="16840"/>
      <w:pgMar w:top="1380" w:right="500" w:bottom="280" w:left="1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8D8" w:rsidRDefault="004F28D8" w:rsidP="000131B0">
      <w:r>
        <w:separator/>
      </w:r>
    </w:p>
  </w:endnote>
  <w:endnote w:type="continuationSeparator" w:id="0">
    <w:p w:rsidR="004F28D8" w:rsidRDefault="004F28D8" w:rsidP="00013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2F" w:rsidRPr="0078032F" w:rsidRDefault="0078032F" w:rsidP="0078032F">
    <w:r>
      <w:t>Page</w:t>
    </w:r>
    <w:r>
      <w:rPr>
        <w:spacing w:val="7"/>
      </w:rPr>
      <w:t xml:space="preserve"> </w:t>
    </w:r>
    <w:r>
      <w:t>1</w:t>
    </w:r>
    <w:r>
      <w:rPr>
        <w:spacing w:val="-4"/>
      </w:rPr>
      <w:t xml:space="preserve"> </w:t>
    </w:r>
    <w:r>
      <w:t>of</w:t>
    </w:r>
    <w:r>
      <w:t xml:space="preserve"> 1</w:t>
    </w:r>
  </w:p>
  <w:p w:rsidR="0078032F" w:rsidRDefault="0078032F" w:rsidP="0078032F">
    <w:r>
      <w:t>Issue</w:t>
    </w:r>
    <w:r>
      <w:rPr>
        <w:spacing w:val="9"/>
      </w:rPr>
      <w:t xml:space="preserve"> </w:t>
    </w:r>
    <w:r>
      <w:t>1.0 November</w:t>
    </w:r>
    <w:r>
      <w:rPr>
        <w:spacing w:val="26"/>
      </w:rPr>
      <w:t xml:space="preserve"> </w:t>
    </w:r>
    <w:r>
      <w:t>2000</w:t>
    </w:r>
  </w:p>
  <w:p w:rsidR="0078032F" w:rsidRDefault="00601146" w:rsidP="0078032F">
    <w:r>
      <w:t xml:space="preserve">Reformatted </w:t>
    </w:r>
    <w:r w:rsidR="0078032F">
      <w:t>September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8D8" w:rsidRDefault="004F28D8" w:rsidP="000131B0">
      <w:r>
        <w:separator/>
      </w:r>
    </w:p>
  </w:footnote>
  <w:footnote w:type="continuationSeparator" w:id="0">
    <w:p w:rsidR="004F28D8" w:rsidRDefault="004F28D8" w:rsidP="00013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1B0" w:rsidRPr="0078032F" w:rsidRDefault="000131B0" w:rsidP="0078032F">
    <w:pPr>
      <w:rPr>
        <w:rFonts w:eastAsia="Arial"/>
      </w:rPr>
    </w:pPr>
    <w:r w:rsidRPr="0078032F">
      <w:drawing>
        <wp:anchor distT="0" distB="0" distL="114300" distR="114300" simplePos="0" relativeHeight="251658240" behindDoc="0" locked="0" layoutInCell="1" allowOverlap="1" wp14:anchorId="2DB1C633" wp14:editId="180D5D29">
          <wp:simplePos x="0" y="0"/>
          <wp:positionH relativeFrom="column">
            <wp:posOffset>3245485</wp:posOffset>
          </wp:positionH>
          <wp:positionV relativeFrom="paragraph">
            <wp:posOffset>130810</wp:posOffset>
          </wp:positionV>
          <wp:extent cx="2860675" cy="461010"/>
          <wp:effectExtent l="0" t="0" r="0" b="0"/>
          <wp:wrapSquare wrapText="bothSides"/>
          <wp:docPr id="1" name="Picture 1" descr="The diagram is a technical diagram. If you are unable to view this image, please contact the Department of Infrastructure &amp; Regional Development for a hard copy of this document." title="Technical Dia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0675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032F">
      <w:t>Issued by the</w:t>
    </w:r>
  </w:p>
  <w:p w:rsidR="000131B0" w:rsidRPr="0078032F" w:rsidRDefault="000131B0" w:rsidP="0078032F">
    <w:pPr>
      <w:rPr>
        <w:b/>
      </w:rPr>
    </w:pPr>
    <w:r w:rsidRPr="0078032F">
      <w:rPr>
        <w:b/>
      </w:rPr>
      <w:t>Administrator of Vehicle Standards</w:t>
    </w:r>
  </w:p>
  <w:p w:rsidR="000131B0" w:rsidRPr="0078032F" w:rsidRDefault="000131B0" w:rsidP="0078032F">
    <w:pPr>
      <w:rPr>
        <w:rFonts w:eastAsia="Arial"/>
      </w:rPr>
    </w:pPr>
    <w:proofErr w:type="gramStart"/>
    <w:r w:rsidRPr="0078032F">
      <w:t>in</w:t>
    </w:r>
    <w:proofErr w:type="gramEnd"/>
    <w:r w:rsidRPr="0078032F">
      <w:t xml:space="preserve"> consultation with the</w:t>
    </w:r>
  </w:p>
  <w:p w:rsidR="000131B0" w:rsidRPr="0078032F" w:rsidRDefault="000131B0" w:rsidP="0078032F">
    <w:pPr>
      <w:rPr>
        <w:b/>
      </w:rPr>
    </w:pPr>
    <w:r w:rsidRPr="0078032F">
      <w:rPr>
        <w:b/>
      </w:rPr>
      <w:t>Australian Motor Vehicle Certification Board</w:t>
    </w:r>
  </w:p>
  <w:p w:rsidR="000131B0" w:rsidRPr="0078032F" w:rsidRDefault="000131B0" w:rsidP="0078032F">
    <w:pPr>
      <w:spacing w:after="240"/>
    </w:pPr>
    <w:proofErr w:type="gramStart"/>
    <w:r w:rsidRPr="0078032F">
      <w:t>comprising</w:t>
    </w:r>
    <w:proofErr w:type="gramEnd"/>
    <w:r w:rsidRPr="0078032F">
      <w:t xml:space="preserve"> Commonwealth, State and Territory representatives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A5AAF"/>
    <w:multiLevelType w:val="hybridMultilevel"/>
    <w:tmpl w:val="468CE2EC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067C2C"/>
    <w:multiLevelType w:val="hybridMultilevel"/>
    <w:tmpl w:val="00BEB6DE"/>
    <w:lvl w:ilvl="0" w:tplc="0752177C">
      <w:start w:val="1"/>
      <w:numFmt w:val="decimal"/>
      <w:lvlText w:val="(%1)"/>
      <w:lvlJc w:val="left"/>
      <w:pPr>
        <w:ind w:left="500" w:hanging="360"/>
      </w:pPr>
      <w:rPr>
        <w:rFonts w:ascii="Arial" w:eastAsia="Arial" w:hAnsi="Arial" w:hint="default"/>
        <w:spacing w:val="-2"/>
        <w:w w:val="102"/>
        <w:sz w:val="22"/>
        <w:szCs w:val="22"/>
      </w:rPr>
    </w:lvl>
    <w:lvl w:ilvl="1" w:tplc="4C6E838C">
      <w:start w:val="1"/>
      <w:numFmt w:val="bullet"/>
      <w:lvlText w:val="•"/>
      <w:lvlJc w:val="left"/>
      <w:pPr>
        <w:ind w:left="1468" w:hanging="360"/>
      </w:pPr>
      <w:rPr>
        <w:rFonts w:hint="default"/>
      </w:rPr>
    </w:lvl>
    <w:lvl w:ilvl="2" w:tplc="0D96AD4C">
      <w:start w:val="1"/>
      <w:numFmt w:val="bullet"/>
      <w:lvlText w:val="•"/>
      <w:lvlJc w:val="left"/>
      <w:pPr>
        <w:ind w:left="2436" w:hanging="360"/>
      </w:pPr>
      <w:rPr>
        <w:rFonts w:hint="default"/>
      </w:rPr>
    </w:lvl>
    <w:lvl w:ilvl="3" w:tplc="F0DEFB40">
      <w:start w:val="1"/>
      <w:numFmt w:val="bullet"/>
      <w:lvlText w:val="•"/>
      <w:lvlJc w:val="left"/>
      <w:pPr>
        <w:ind w:left="3404" w:hanging="360"/>
      </w:pPr>
      <w:rPr>
        <w:rFonts w:hint="default"/>
      </w:rPr>
    </w:lvl>
    <w:lvl w:ilvl="4" w:tplc="86C843D0">
      <w:start w:val="1"/>
      <w:numFmt w:val="bullet"/>
      <w:lvlText w:val="•"/>
      <w:lvlJc w:val="left"/>
      <w:pPr>
        <w:ind w:left="4372" w:hanging="360"/>
      </w:pPr>
      <w:rPr>
        <w:rFonts w:hint="default"/>
      </w:rPr>
    </w:lvl>
    <w:lvl w:ilvl="5" w:tplc="D61C6730">
      <w:start w:val="1"/>
      <w:numFmt w:val="bullet"/>
      <w:lvlText w:val="•"/>
      <w:lvlJc w:val="left"/>
      <w:pPr>
        <w:ind w:left="5340" w:hanging="360"/>
      </w:pPr>
      <w:rPr>
        <w:rFonts w:hint="default"/>
      </w:rPr>
    </w:lvl>
    <w:lvl w:ilvl="6" w:tplc="1F58E986">
      <w:start w:val="1"/>
      <w:numFmt w:val="bullet"/>
      <w:lvlText w:val="•"/>
      <w:lvlJc w:val="left"/>
      <w:pPr>
        <w:ind w:left="6308" w:hanging="360"/>
      </w:pPr>
      <w:rPr>
        <w:rFonts w:hint="default"/>
      </w:rPr>
    </w:lvl>
    <w:lvl w:ilvl="7" w:tplc="6E96DA4A">
      <w:start w:val="1"/>
      <w:numFmt w:val="bullet"/>
      <w:lvlText w:val="•"/>
      <w:lvlJc w:val="left"/>
      <w:pPr>
        <w:ind w:left="7276" w:hanging="360"/>
      </w:pPr>
      <w:rPr>
        <w:rFonts w:hint="default"/>
      </w:rPr>
    </w:lvl>
    <w:lvl w:ilvl="8" w:tplc="E4425B4A">
      <w:start w:val="1"/>
      <w:numFmt w:val="bullet"/>
      <w:lvlText w:val="•"/>
      <w:lvlJc w:val="left"/>
      <w:pPr>
        <w:ind w:left="8244" w:hanging="360"/>
      </w:pPr>
      <w:rPr>
        <w:rFonts w:hint="default"/>
      </w:rPr>
    </w:lvl>
  </w:abstractNum>
  <w:abstractNum w:abstractNumId="2">
    <w:nsid w:val="690E1E84"/>
    <w:multiLevelType w:val="hybridMultilevel"/>
    <w:tmpl w:val="E110E38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E9B"/>
    <w:rsid w:val="000131B0"/>
    <w:rsid w:val="004F28D8"/>
    <w:rsid w:val="00601146"/>
    <w:rsid w:val="007406E8"/>
    <w:rsid w:val="0078032F"/>
    <w:rsid w:val="009E32BD"/>
    <w:rsid w:val="00FC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1B0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131B0"/>
    <w:pPr>
      <w:keepNext/>
      <w:pBdr>
        <w:bottom w:val="single" w:sz="4" w:space="1" w:color="auto"/>
      </w:pBdr>
      <w:spacing w:after="120"/>
      <w:outlineLvl w:val="0"/>
    </w:pPr>
    <w:rPr>
      <w:rFonts w:eastAsia="Arial"/>
      <w:b/>
      <w:smallCaps/>
      <w:sz w:val="52"/>
      <w:lang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0131B0"/>
    <w:pPr>
      <w:keepNext/>
      <w:spacing w:after="120"/>
      <w:outlineLvl w:val="1"/>
    </w:pPr>
    <w:rPr>
      <w:b/>
      <w:sz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0131B0"/>
    <w:pPr>
      <w:keepNext/>
      <w:spacing w:after="80"/>
      <w:outlineLvl w:val="2"/>
    </w:pPr>
    <w:rPr>
      <w:b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0131B0"/>
    <w:pPr>
      <w:keepNext/>
      <w:spacing w:after="80"/>
      <w:outlineLvl w:val="3"/>
    </w:pPr>
    <w:rPr>
      <w:u w:val="single"/>
      <w:lang w:eastAsia="en-AU"/>
    </w:rPr>
  </w:style>
  <w:style w:type="paragraph" w:styleId="Heading5">
    <w:name w:val="heading 5"/>
    <w:basedOn w:val="Normal"/>
    <w:next w:val="Normal"/>
    <w:link w:val="Heading5Char"/>
    <w:autoRedefine/>
    <w:qFormat/>
    <w:rsid w:val="000131B0"/>
    <w:pPr>
      <w:keepNext/>
      <w:outlineLvl w:val="4"/>
    </w:pPr>
    <w:rPr>
      <w:sz w:val="36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0131B0"/>
    <w:pPr>
      <w:keepNext/>
      <w:ind w:left="2880" w:firstLine="720"/>
      <w:outlineLvl w:val="5"/>
    </w:pPr>
    <w:rPr>
      <w:rFonts w:ascii="Arial" w:hAnsi="Arial"/>
      <w:b/>
      <w:sz w:val="20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0131B0"/>
    <w:pPr>
      <w:keepNext/>
      <w:ind w:left="2880"/>
      <w:outlineLvl w:val="6"/>
    </w:pPr>
    <w:rPr>
      <w:rFonts w:ascii="Arial" w:hAnsi="Arial"/>
      <w:b/>
      <w:sz w:val="20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0131B0"/>
    <w:pPr>
      <w:keepNext/>
      <w:ind w:left="993"/>
      <w:outlineLvl w:val="7"/>
    </w:pPr>
    <w:rPr>
      <w:rFonts w:ascii="Arial" w:hAnsi="Arial"/>
      <w:i/>
      <w:color w:val="0000FF"/>
      <w:sz w:val="20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0131B0"/>
    <w:pPr>
      <w:keepNext/>
      <w:outlineLvl w:val="8"/>
    </w:pPr>
    <w:rPr>
      <w:b/>
      <w:snapToGrid w:val="0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500" w:hanging="360"/>
    </w:pPr>
    <w:rPr>
      <w:rFonts w:ascii="Arial" w:eastAsia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0131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1B0"/>
  </w:style>
  <w:style w:type="paragraph" w:styleId="Footer">
    <w:name w:val="footer"/>
    <w:basedOn w:val="Normal"/>
    <w:link w:val="FooterChar"/>
    <w:uiPriority w:val="99"/>
    <w:unhideWhenUsed/>
    <w:rsid w:val="000131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1B0"/>
  </w:style>
  <w:style w:type="paragraph" w:styleId="BalloonText">
    <w:name w:val="Balloon Text"/>
    <w:basedOn w:val="Normal"/>
    <w:link w:val="BalloonTextChar"/>
    <w:uiPriority w:val="99"/>
    <w:semiHidden/>
    <w:unhideWhenUsed/>
    <w:rsid w:val="00013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131B0"/>
    <w:rPr>
      <w:rFonts w:ascii="Calibri" w:eastAsia="Arial" w:hAnsi="Calibri"/>
      <w:b/>
      <w:smallCaps/>
      <w:sz w:val="52"/>
      <w:lang w:eastAsia="en-AU"/>
    </w:rPr>
  </w:style>
  <w:style w:type="character" w:customStyle="1" w:styleId="Heading2Char">
    <w:name w:val="Heading 2 Char"/>
    <w:basedOn w:val="DefaultParagraphFont"/>
    <w:link w:val="Heading2"/>
    <w:rsid w:val="000131B0"/>
    <w:rPr>
      <w:rFonts w:ascii="Calibri" w:hAnsi="Calibri"/>
      <w:b/>
      <w:sz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0131B0"/>
    <w:rPr>
      <w:rFonts w:ascii="Calibri" w:hAnsi="Calibri"/>
      <w:b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0131B0"/>
    <w:rPr>
      <w:rFonts w:ascii="Calibri" w:hAnsi="Calibri"/>
      <w:sz w:val="24"/>
      <w:u w:val="single"/>
      <w:lang w:eastAsia="en-AU"/>
    </w:rPr>
  </w:style>
  <w:style w:type="character" w:customStyle="1" w:styleId="Heading5Char">
    <w:name w:val="Heading 5 Char"/>
    <w:basedOn w:val="DefaultParagraphFont"/>
    <w:link w:val="Heading5"/>
    <w:rsid w:val="000131B0"/>
    <w:rPr>
      <w:rFonts w:ascii="Calibri" w:hAnsi="Calibri"/>
      <w:sz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0131B0"/>
    <w:rPr>
      <w:rFonts w:ascii="Arial" w:hAnsi="Arial"/>
      <w:b/>
      <w:lang w:eastAsia="en-AU"/>
    </w:rPr>
  </w:style>
  <w:style w:type="character" w:customStyle="1" w:styleId="Heading7Char">
    <w:name w:val="Heading 7 Char"/>
    <w:basedOn w:val="DefaultParagraphFont"/>
    <w:link w:val="Heading7"/>
    <w:rsid w:val="000131B0"/>
    <w:rPr>
      <w:rFonts w:ascii="Arial" w:hAnsi="Arial"/>
      <w:b/>
      <w:lang w:eastAsia="en-AU"/>
    </w:rPr>
  </w:style>
  <w:style w:type="character" w:customStyle="1" w:styleId="Heading8Char">
    <w:name w:val="Heading 8 Char"/>
    <w:basedOn w:val="DefaultParagraphFont"/>
    <w:link w:val="Heading8"/>
    <w:rsid w:val="000131B0"/>
    <w:rPr>
      <w:rFonts w:ascii="Arial" w:hAnsi="Arial"/>
      <w:i/>
      <w:color w:val="0000FF"/>
      <w:lang w:eastAsia="en-AU"/>
    </w:rPr>
  </w:style>
  <w:style w:type="character" w:customStyle="1" w:styleId="Heading9Char">
    <w:name w:val="Heading 9 Char"/>
    <w:basedOn w:val="DefaultParagraphFont"/>
    <w:link w:val="Heading9"/>
    <w:rsid w:val="000131B0"/>
    <w:rPr>
      <w:rFonts w:ascii="Calibri" w:hAnsi="Calibri"/>
      <w:b/>
      <w:snapToGrid w:val="0"/>
      <w:color w:val="000000"/>
      <w:sz w:val="28"/>
    </w:rPr>
  </w:style>
  <w:style w:type="paragraph" w:styleId="Caption">
    <w:name w:val="caption"/>
    <w:basedOn w:val="Normal"/>
    <w:next w:val="Normal"/>
    <w:qFormat/>
    <w:rsid w:val="000131B0"/>
    <w:pPr>
      <w:ind w:left="709"/>
    </w:pPr>
    <w:rPr>
      <w:rFonts w:ascii="Arial" w:hAnsi="Arial"/>
      <w:b/>
      <w:sz w:val="20"/>
    </w:rPr>
  </w:style>
  <w:style w:type="paragraph" w:styleId="Title">
    <w:name w:val="Title"/>
    <w:basedOn w:val="Normal"/>
    <w:link w:val="TitleChar"/>
    <w:autoRedefine/>
    <w:qFormat/>
    <w:rsid w:val="000131B0"/>
    <w:pPr>
      <w:jc w:val="center"/>
    </w:pPr>
    <w:rPr>
      <w:sz w:val="36"/>
      <w:lang w:eastAsia="en-AU"/>
    </w:rPr>
  </w:style>
  <w:style w:type="character" w:customStyle="1" w:styleId="TitleChar">
    <w:name w:val="Title Char"/>
    <w:basedOn w:val="DefaultParagraphFont"/>
    <w:link w:val="Title"/>
    <w:rsid w:val="000131B0"/>
    <w:rPr>
      <w:rFonts w:ascii="Calibri" w:hAnsi="Calibri"/>
      <w:sz w:val="36"/>
      <w:lang w:eastAsia="en-AU"/>
    </w:rPr>
  </w:style>
  <w:style w:type="character" w:styleId="Strong">
    <w:name w:val="Strong"/>
    <w:basedOn w:val="DefaultParagraphFont"/>
    <w:uiPriority w:val="22"/>
    <w:qFormat/>
    <w:rsid w:val="000131B0"/>
    <w:rPr>
      <w:rFonts w:ascii="Calibri" w:hAnsi="Calibri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1B0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131B0"/>
    <w:pPr>
      <w:keepNext/>
      <w:pBdr>
        <w:bottom w:val="single" w:sz="4" w:space="1" w:color="auto"/>
      </w:pBdr>
      <w:spacing w:after="120"/>
      <w:outlineLvl w:val="0"/>
    </w:pPr>
    <w:rPr>
      <w:rFonts w:eastAsia="Arial"/>
      <w:b/>
      <w:smallCaps/>
      <w:sz w:val="52"/>
      <w:lang w:eastAsia="en-AU"/>
    </w:rPr>
  </w:style>
  <w:style w:type="paragraph" w:styleId="Heading2">
    <w:name w:val="heading 2"/>
    <w:basedOn w:val="Normal"/>
    <w:next w:val="Normal"/>
    <w:link w:val="Heading2Char"/>
    <w:autoRedefine/>
    <w:qFormat/>
    <w:rsid w:val="000131B0"/>
    <w:pPr>
      <w:keepNext/>
      <w:spacing w:after="120"/>
      <w:outlineLvl w:val="1"/>
    </w:pPr>
    <w:rPr>
      <w:b/>
      <w:sz w:val="28"/>
      <w:lang w:eastAsia="en-AU"/>
    </w:rPr>
  </w:style>
  <w:style w:type="paragraph" w:styleId="Heading3">
    <w:name w:val="heading 3"/>
    <w:basedOn w:val="Normal"/>
    <w:next w:val="Normal"/>
    <w:link w:val="Heading3Char"/>
    <w:qFormat/>
    <w:rsid w:val="000131B0"/>
    <w:pPr>
      <w:keepNext/>
      <w:spacing w:after="80"/>
      <w:outlineLvl w:val="2"/>
    </w:pPr>
    <w:rPr>
      <w:b/>
      <w:lang w:eastAsia="en-AU"/>
    </w:rPr>
  </w:style>
  <w:style w:type="paragraph" w:styleId="Heading4">
    <w:name w:val="heading 4"/>
    <w:basedOn w:val="Normal"/>
    <w:next w:val="Normal"/>
    <w:link w:val="Heading4Char"/>
    <w:qFormat/>
    <w:rsid w:val="000131B0"/>
    <w:pPr>
      <w:keepNext/>
      <w:spacing w:after="80"/>
      <w:outlineLvl w:val="3"/>
    </w:pPr>
    <w:rPr>
      <w:u w:val="single"/>
      <w:lang w:eastAsia="en-AU"/>
    </w:rPr>
  </w:style>
  <w:style w:type="paragraph" w:styleId="Heading5">
    <w:name w:val="heading 5"/>
    <w:basedOn w:val="Normal"/>
    <w:next w:val="Normal"/>
    <w:link w:val="Heading5Char"/>
    <w:autoRedefine/>
    <w:qFormat/>
    <w:rsid w:val="000131B0"/>
    <w:pPr>
      <w:keepNext/>
      <w:outlineLvl w:val="4"/>
    </w:pPr>
    <w:rPr>
      <w:sz w:val="36"/>
      <w:lang w:eastAsia="en-AU"/>
    </w:rPr>
  </w:style>
  <w:style w:type="paragraph" w:styleId="Heading6">
    <w:name w:val="heading 6"/>
    <w:basedOn w:val="Normal"/>
    <w:next w:val="Normal"/>
    <w:link w:val="Heading6Char"/>
    <w:qFormat/>
    <w:rsid w:val="000131B0"/>
    <w:pPr>
      <w:keepNext/>
      <w:ind w:left="2880" w:firstLine="720"/>
      <w:outlineLvl w:val="5"/>
    </w:pPr>
    <w:rPr>
      <w:rFonts w:ascii="Arial" w:hAnsi="Arial"/>
      <w:b/>
      <w:sz w:val="20"/>
      <w:lang w:eastAsia="en-AU"/>
    </w:rPr>
  </w:style>
  <w:style w:type="paragraph" w:styleId="Heading7">
    <w:name w:val="heading 7"/>
    <w:basedOn w:val="Normal"/>
    <w:next w:val="Normal"/>
    <w:link w:val="Heading7Char"/>
    <w:qFormat/>
    <w:rsid w:val="000131B0"/>
    <w:pPr>
      <w:keepNext/>
      <w:ind w:left="2880"/>
      <w:outlineLvl w:val="6"/>
    </w:pPr>
    <w:rPr>
      <w:rFonts w:ascii="Arial" w:hAnsi="Arial"/>
      <w:b/>
      <w:sz w:val="20"/>
      <w:lang w:eastAsia="en-AU"/>
    </w:rPr>
  </w:style>
  <w:style w:type="paragraph" w:styleId="Heading8">
    <w:name w:val="heading 8"/>
    <w:basedOn w:val="Normal"/>
    <w:next w:val="Normal"/>
    <w:link w:val="Heading8Char"/>
    <w:qFormat/>
    <w:rsid w:val="000131B0"/>
    <w:pPr>
      <w:keepNext/>
      <w:ind w:left="993"/>
      <w:outlineLvl w:val="7"/>
    </w:pPr>
    <w:rPr>
      <w:rFonts w:ascii="Arial" w:hAnsi="Arial"/>
      <w:i/>
      <w:color w:val="0000FF"/>
      <w:sz w:val="20"/>
      <w:lang w:eastAsia="en-AU"/>
    </w:rPr>
  </w:style>
  <w:style w:type="paragraph" w:styleId="Heading9">
    <w:name w:val="heading 9"/>
    <w:basedOn w:val="Normal"/>
    <w:next w:val="Normal"/>
    <w:link w:val="Heading9Char"/>
    <w:qFormat/>
    <w:rsid w:val="000131B0"/>
    <w:pPr>
      <w:keepNext/>
      <w:outlineLvl w:val="8"/>
    </w:pPr>
    <w:rPr>
      <w:b/>
      <w:snapToGrid w:val="0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pPr>
      <w:ind w:left="500" w:hanging="360"/>
    </w:pPr>
    <w:rPr>
      <w:rFonts w:ascii="Arial" w:eastAsia="Arial" w:hAnsi="Arial"/>
      <w:sz w:val="22"/>
      <w:szCs w:val="2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0131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31B0"/>
  </w:style>
  <w:style w:type="paragraph" w:styleId="Footer">
    <w:name w:val="footer"/>
    <w:basedOn w:val="Normal"/>
    <w:link w:val="FooterChar"/>
    <w:uiPriority w:val="99"/>
    <w:unhideWhenUsed/>
    <w:rsid w:val="000131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31B0"/>
  </w:style>
  <w:style w:type="paragraph" w:styleId="BalloonText">
    <w:name w:val="Balloon Text"/>
    <w:basedOn w:val="Normal"/>
    <w:link w:val="BalloonTextChar"/>
    <w:uiPriority w:val="99"/>
    <w:semiHidden/>
    <w:unhideWhenUsed/>
    <w:rsid w:val="00013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B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0131B0"/>
    <w:rPr>
      <w:rFonts w:ascii="Calibri" w:eastAsia="Arial" w:hAnsi="Calibri"/>
      <w:b/>
      <w:smallCaps/>
      <w:sz w:val="52"/>
      <w:lang w:eastAsia="en-AU"/>
    </w:rPr>
  </w:style>
  <w:style w:type="character" w:customStyle="1" w:styleId="Heading2Char">
    <w:name w:val="Heading 2 Char"/>
    <w:basedOn w:val="DefaultParagraphFont"/>
    <w:link w:val="Heading2"/>
    <w:rsid w:val="000131B0"/>
    <w:rPr>
      <w:rFonts w:ascii="Calibri" w:hAnsi="Calibri"/>
      <w:b/>
      <w:sz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0131B0"/>
    <w:rPr>
      <w:rFonts w:ascii="Calibri" w:hAnsi="Calibri"/>
      <w:b/>
      <w:sz w:val="24"/>
      <w:lang w:eastAsia="en-AU"/>
    </w:rPr>
  </w:style>
  <w:style w:type="character" w:customStyle="1" w:styleId="Heading4Char">
    <w:name w:val="Heading 4 Char"/>
    <w:basedOn w:val="DefaultParagraphFont"/>
    <w:link w:val="Heading4"/>
    <w:rsid w:val="000131B0"/>
    <w:rPr>
      <w:rFonts w:ascii="Calibri" w:hAnsi="Calibri"/>
      <w:sz w:val="24"/>
      <w:u w:val="single"/>
      <w:lang w:eastAsia="en-AU"/>
    </w:rPr>
  </w:style>
  <w:style w:type="character" w:customStyle="1" w:styleId="Heading5Char">
    <w:name w:val="Heading 5 Char"/>
    <w:basedOn w:val="DefaultParagraphFont"/>
    <w:link w:val="Heading5"/>
    <w:rsid w:val="000131B0"/>
    <w:rPr>
      <w:rFonts w:ascii="Calibri" w:hAnsi="Calibri"/>
      <w:sz w:val="36"/>
      <w:lang w:eastAsia="en-AU"/>
    </w:rPr>
  </w:style>
  <w:style w:type="character" w:customStyle="1" w:styleId="Heading6Char">
    <w:name w:val="Heading 6 Char"/>
    <w:basedOn w:val="DefaultParagraphFont"/>
    <w:link w:val="Heading6"/>
    <w:rsid w:val="000131B0"/>
    <w:rPr>
      <w:rFonts w:ascii="Arial" w:hAnsi="Arial"/>
      <w:b/>
      <w:lang w:eastAsia="en-AU"/>
    </w:rPr>
  </w:style>
  <w:style w:type="character" w:customStyle="1" w:styleId="Heading7Char">
    <w:name w:val="Heading 7 Char"/>
    <w:basedOn w:val="DefaultParagraphFont"/>
    <w:link w:val="Heading7"/>
    <w:rsid w:val="000131B0"/>
    <w:rPr>
      <w:rFonts w:ascii="Arial" w:hAnsi="Arial"/>
      <w:b/>
      <w:lang w:eastAsia="en-AU"/>
    </w:rPr>
  </w:style>
  <w:style w:type="character" w:customStyle="1" w:styleId="Heading8Char">
    <w:name w:val="Heading 8 Char"/>
    <w:basedOn w:val="DefaultParagraphFont"/>
    <w:link w:val="Heading8"/>
    <w:rsid w:val="000131B0"/>
    <w:rPr>
      <w:rFonts w:ascii="Arial" w:hAnsi="Arial"/>
      <w:i/>
      <w:color w:val="0000FF"/>
      <w:lang w:eastAsia="en-AU"/>
    </w:rPr>
  </w:style>
  <w:style w:type="character" w:customStyle="1" w:styleId="Heading9Char">
    <w:name w:val="Heading 9 Char"/>
    <w:basedOn w:val="DefaultParagraphFont"/>
    <w:link w:val="Heading9"/>
    <w:rsid w:val="000131B0"/>
    <w:rPr>
      <w:rFonts w:ascii="Calibri" w:hAnsi="Calibri"/>
      <w:b/>
      <w:snapToGrid w:val="0"/>
      <w:color w:val="000000"/>
      <w:sz w:val="28"/>
    </w:rPr>
  </w:style>
  <w:style w:type="paragraph" w:styleId="Caption">
    <w:name w:val="caption"/>
    <w:basedOn w:val="Normal"/>
    <w:next w:val="Normal"/>
    <w:qFormat/>
    <w:rsid w:val="000131B0"/>
    <w:pPr>
      <w:ind w:left="709"/>
    </w:pPr>
    <w:rPr>
      <w:rFonts w:ascii="Arial" w:hAnsi="Arial"/>
      <w:b/>
      <w:sz w:val="20"/>
    </w:rPr>
  </w:style>
  <w:style w:type="paragraph" w:styleId="Title">
    <w:name w:val="Title"/>
    <w:basedOn w:val="Normal"/>
    <w:link w:val="TitleChar"/>
    <w:autoRedefine/>
    <w:qFormat/>
    <w:rsid w:val="000131B0"/>
    <w:pPr>
      <w:jc w:val="center"/>
    </w:pPr>
    <w:rPr>
      <w:sz w:val="36"/>
      <w:lang w:eastAsia="en-AU"/>
    </w:rPr>
  </w:style>
  <w:style w:type="character" w:customStyle="1" w:styleId="TitleChar">
    <w:name w:val="Title Char"/>
    <w:basedOn w:val="DefaultParagraphFont"/>
    <w:link w:val="Title"/>
    <w:rsid w:val="000131B0"/>
    <w:rPr>
      <w:rFonts w:ascii="Calibri" w:hAnsi="Calibri"/>
      <w:sz w:val="36"/>
      <w:lang w:eastAsia="en-AU"/>
    </w:rPr>
  </w:style>
  <w:style w:type="character" w:styleId="Strong">
    <w:name w:val="Strong"/>
    <w:basedOn w:val="DefaultParagraphFont"/>
    <w:uiPriority w:val="22"/>
    <w:qFormat/>
    <w:rsid w:val="000131B0"/>
    <w:rPr>
      <w:rFonts w:ascii="Calibri" w:hAnsi="Calibr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Adminstration Circular 81/00-2-2</vt:lpstr>
    </vt:vector>
  </TitlesOfParts>
  <Company>Department of Infrastructure and Regional Development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Adminstration Circular 81/00-2-2</dc:title>
  <dc:creator>Department of Infrastructure and Regional Development</dc:creator>
  <cp:lastModifiedBy>Wayne Bryant</cp:lastModifiedBy>
  <cp:revision>5</cp:revision>
  <dcterms:created xsi:type="dcterms:W3CDTF">2015-06-03T01:54:00Z</dcterms:created>
  <dcterms:modified xsi:type="dcterms:W3CDTF">2015-09-17T00:34:00Z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2003-07-25T00:00:00Z</vt:filetime>
  </property>
  <property fmtid="{D5CDD505-2E9C-101B-9397-08002B2CF9AE}" pid="3" name="LastSaved">
    <vt:filetime>2015-05-21T00:00:00Z</vt:filetime>
  </property>
</Properties>
</file>