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44207" w14:textId="58CA4AD5" w:rsidR="00A82DAF" w:rsidRDefault="2F87E34F" w:rsidP="4C2A2347">
      <w:pPr>
        <w:spacing w:after="0"/>
        <w:ind w:firstLine="567"/>
        <w:sectPr w:rsidR="00A82DAF" w:rsidSect="00365D4D">
          <w:headerReference w:type="default" r:id="rId11"/>
          <w:footerReference w:type="default" r:id="rId12"/>
          <w:pgSz w:w="11906" w:h="16838"/>
          <w:pgMar w:top="1560" w:right="991" w:bottom="1440" w:left="1440" w:header="0" w:footer="397" w:gutter="0"/>
          <w:cols w:space="708"/>
          <w:titlePg/>
          <w:docGrid w:linePitch="360"/>
        </w:sectPr>
      </w:pPr>
      <w:r>
        <w:rPr>
          <w:noProof/>
          <w:lang w:eastAsia="en-AU"/>
        </w:rPr>
        <w:drawing>
          <wp:inline distT="0" distB="0" distL="0" distR="0" wp14:anchorId="4535CB19" wp14:editId="30C4ABD7">
            <wp:extent cx="3755144" cy="798578"/>
            <wp:effectExtent l="0" t="0" r="0" b="1905"/>
            <wp:docPr id="92478661" name="Picture 16" descr="Logo: Australian Government, Department of Infrastructure, Transport, Regional Development and Communications.&#10;&#10;www.infrastructure.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3755144" cy="798578"/>
                    </a:xfrm>
                    <a:prstGeom prst="rect">
                      <a:avLst/>
                    </a:prstGeom>
                  </pic:spPr>
                </pic:pic>
              </a:graphicData>
            </a:graphic>
          </wp:inline>
        </w:drawing>
      </w:r>
    </w:p>
    <w:p w14:paraId="057E5235" w14:textId="268FD012" w:rsidR="00F95E5A" w:rsidRDefault="00472E7B" w:rsidP="00B5393D">
      <w:pPr>
        <w:pStyle w:val="Heading1"/>
      </w:pPr>
      <w:r w:rsidRPr="00472E7B">
        <w:t xml:space="preserve">National Freight </w:t>
      </w:r>
      <w:r w:rsidR="00BF6B75">
        <w:t>Data</w:t>
      </w:r>
      <w:r w:rsidR="00BE499F">
        <w:t xml:space="preserve"> Hub</w:t>
      </w:r>
      <w:r w:rsidRPr="00472E7B">
        <w:t xml:space="preserve"> </w:t>
      </w:r>
    </w:p>
    <w:p w14:paraId="3025D059" w14:textId="600E33C1" w:rsidR="00772C27" w:rsidRDefault="00472E7B" w:rsidP="00F95E5A">
      <w:pPr>
        <w:pStyle w:val="Heading1"/>
        <w:spacing w:before="240"/>
      </w:pPr>
      <w:r w:rsidRPr="00472E7B">
        <w:t>Options Discussion Paper</w:t>
      </w:r>
    </w:p>
    <w:p w14:paraId="35B6BCF3" w14:textId="234485F6" w:rsidR="00772C27" w:rsidRPr="00365D4D" w:rsidRDefault="00472E7B" w:rsidP="00772C27">
      <w:pPr>
        <w:shd w:val="clear" w:color="auto" w:fill="002D72"/>
        <w:spacing w:after="120"/>
        <w:rPr>
          <w:rFonts w:ascii="Segoe UI Semibold" w:hAnsi="Segoe UI Semibold" w:cs="Segoe UI Semibold"/>
          <w:color w:val="FFFFFF" w:themeColor="background1"/>
          <w:sz w:val="28"/>
        </w:rPr>
      </w:pPr>
      <w:r w:rsidRPr="00365D4D">
        <w:rPr>
          <w:rFonts w:ascii="Segoe UI Semibold" w:hAnsi="Segoe UI Semibold" w:cs="Segoe UI Semibold"/>
          <w:color w:val="FFFFFF" w:themeColor="background1"/>
          <w:sz w:val="28"/>
        </w:rPr>
        <w:t>August</w:t>
      </w:r>
      <w:r w:rsidR="00772C27" w:rsidRPr="00365D4D">
        <w:rPr>
          <w:rFonts w:ascii="Segoe UI Semibold" w:hAnsi="Segoe UI Semibold" w:cs="Segoe UI Semibold"/>
          <w:color w:val="FFFFFF" w:themeColor="background1"/>
          <w:sz w:val="28"/>
        </w:rPr>
        <w:t xml:space="preserve">  </w:t>
      </w:r>
      <w:r w:rsidRPr="00365D4D">
        <w:rPr>
          <w:rFonts w:ascii="Segoe UI Semibold" w:hAnsi="Segoe UI Semibold" w:cs="Segoe UI Semibold"/>
          <w:color w:val="FFFFFF" w:themeColor="background1"/>
          <w:sz w:val="28"/>
        </w:rPr>
        <w:t>2020</w:t>
      </w:r>
    </w:p>
    <w:p w14:paraId="0F53E3BE" w14:textId="1AD206EB" w:rsidR="00A82DAF" w:rsidRDefault="00A27F13">
      <w:pPr>
        <w:spacing w:line="259" w:lineRule="auto"/>
      </w:pPr>
      <w:r w:rsidRPr="00A27F13">
        <w:rPr>
          <w:rFonts w:ascii="Calibri" w:eastAsia="PMingLiU" w:hAnsi="Calibri" w:cs="Mangal"/>
          <w:noProof/>
          <w:lang w:eastAsia="en-AU"/>
        </w:rPr>
        <w:drawing>
          <wp:inline distT="0" distB="0" distL="0" distR="0" wp14:anchorId="5E3118E1" wp14:editId="1B6EAE11">
            <wp:extent cx="6016625" cy="3910806"/>
            <wp:effectExtent l="0" t="0" r="3175" b="0"/>
            <wp:docPr id="2" name="Picture 2" descr="G:\P&amp;R\NFSCS\National Freight Data Hub\Images\Brisbane QLD Shipping 00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mp;R\NFSCS\National Freight Data Hub\Images\Brisbane QLD Shipping 0087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6625" cy="3910806"/>
                    </a:xfrm>
                    <a:prstGeom prst="rect">
                      <a:avLst/>
                    </a:prstGeom>
                    <a:noFill/>
                    <a:ln>
                      <a:noFill/>
                    </a:ln>
                  </pic:spPr>
                </pic:pic>
              </a:graphicData>
            </a:graphic>
          </wp:inline>
        </w:drawing>
      </w:r>
      <w:r w:rsidR="00ED326B">
        <w:br/>
      </w:r>
      <w:r w:rsidR="00ED326B" w:rsidRPr="00ED326B">
        <w:rPr>
          <w:sz w:val="18"/>
        </w:rPr>
        <w:t>Image of Brisbane Port</w:t>
      </w:r>
    </w:p>
    <w:p w14:paraId="6D66F0C2" w14:textId="10D6CA39" w:rsidR="00E7227D" w:rsidRDefault="00E7227D" w:rsidP="0080525D">
      <w:pPr>
        <w:spacing w:line="259" w:lineRule="auto"/>
      </w:pPr>
      <w:r>
        <w:br w:type="page"/>
      </w:r>
    </w:p>
    <w:p w14:paraId="212F45E7" w14:textId="77777777" w:rsidR="00E7227D" w:rsidRDefault="00E7227D" w:rsidP="00E7227D">
      <w:pPr>
        <w:pStyle w:val="Heading2notshowing"/>
      </w:pPr>
      <w:r>
        <w:lastRenderedPageBreak/>
        <w:t>Ownership of intellectual property rights in this publication</w:t>
      </w:r>
    </w:p>
    <w:p w14:paraId="2D997979" w14:textId="69C824F9" w:rsidR="00E7227D" w:rsidRPr="00E7227D" w:rsidRDefault="00E7227D" w:rsidP="00E7227D">
      <w:pPr>
        <w:pStyle w:val="Normaldisclaimerpage"/>
      </w:pPr>
      <w:r w:rsidRPr="00E7227D">
        <w:t>Unless otherwise noted, copyright (and any other intellectual property rights, if any) in this publication is owned by the Commonwealth of Australia (referre</w:t>
      </w:r>
      <w:r w:rsidR="008C2839">
        <w:t>d to below as the Commonwealth)</w:t>
      </w:r>
    </w:p>
    <w:p w14:paraId="73D5E687" w14:textId="77777777" w:rsidR="00E7227D" w:rsidRDefault="00E7227D" w:rsidP="00E7227D">
      <w:pPr>
        <w:pStyle w:val="Heading2notshowing"/>
      </w:pPr>
      <w:r>
        <w:t>Disclaimer</w:t>
      </w:r>
    </w:p>
    <w:p w14:paraId="6FF9C57F" w14:textId="77777777" w:rsidR="00E7227D" w:rsidRDefault="00E7227D" w:rsidP="00E7227D">
      <w:pPr>
        <w:pStyle w:val="Normaldisclaimerpage"/>
      </w:pPr>
      <w:r>
        <w:t>The material contained in this publication is made available on the understanding that the Commonwealth is not providing professional advice, and that users exercise their own skill and care with respect to its use, and seek independent advice if necessary.</w:t>
      </w:r>
    </w:p>
    <w:p w14:paraId="5C1A8E19" w14:textId="4776657E" w:rsidR="00E7227D" w:rsidRDefault="00E7227D" w:rsidP="00E7227D">
      <w:pPr>
        <w:pStyle w:val="Normaldisclaimerpage"/>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01CA43C1" w14:textId="77777777" w:rsidR="00E7227D" w:rsidRDefault="00E7227D" w:rsidP="00E7227D">
      <w:pPr>
        <w:pStyle w:val="Heading2notshowing"/>
      </w:pPr>
      <w:r>
        <w:t>Creative Commons licence</w:t>
      </w:r>
    </w:p>
    <w:p w14:paraId="47960174" w14:textId="503844D7" w:rsidR="00E7227D" w:rsidRDefault="00E7227D" w:rsidP="00E7227D">
      <w:pPr>
        <w:pStyle w:val="Normaldisclaimerpage"/>
      </w:pPr>
      <w:r>
        <w:t>With the exception of (a) the Coat of Arms; (b) the Department of Infrastructure, Transport, Regional Development and Communications pho</w:t>
      </w:r>
      <w:r w:rsidR="008C2839">
        <w:t>tos and graphics</w:t>
      </w:r>
      <w:r>
        <w:t xml:space="preserve"> copyright in this publication is licensed under a Creative Commons Attribution 4.0 Australia Licence.</w:t>
      </w:r>
    </w:p>
    <w:p w14:paraId="60C29DC7" w14:textId="77777777" w:rsidR="00E7227D" w:rsidRDefault="00E7227D" w:rsidP="00E7227D">
      <w:pPr>
        <w:pStyle w:val="Normaldisclaimerpage"/>
      </w:pPr>
      <w:r>
        <w:t>Creative Commons Attribution 4.0 Australia Licence is a standard form licence agreement that allows you to copy, communicate and adapt this publication provided that you attribute the work to the Commonwealth and abide by the other licence terms.</w:t>
      </w:r>
    </w:p>
    <w:p w14:paraId="252BB595" w14:textId="77777777" w:rsidR="00E7227D" w:rsidRDefault="00E7227D" w:rsidP="00E7227D">
      <w:pPr>
        <w:pStyle w:val="Normaldisclaimerpage"/>
      </w:pPr>
      <w:r>
        <w:t xml:space="preserve">Further information on the licence terms is available from </w:t>
      </w:r>
      <w:hyperlink r:id="rId15" w:history="1">
        <w:r w:rsidR="002F1A23" w:rsidRPr="00AB127C">
          <w:rPr>
            <w:rStyle w:val="Hyperlink"/>
          </w:rPr>
          <w:t>https://creativecommons.org/licenses/by/4.0/</w:t>
        </w:r>
      </w:hyperlink>
      <w:r w:rsidR="002F1A23">
        <w:t>.</w:t>
      </w:r>
      <w:r w:rsidR="002F1A23">
        <w:br/>
      </w:r>
      <w:r>
        <w:t xml:space="preserve">This publication should be attributed in the following way: © Commonwealth of Australia </w:t>
      </w:r>
      <w:r w:rsidR="002F1A23">
        <w:t>2020</w:t>
      </w:r>
      <w:r>
        <w:t>.</w:t>
      </w:r>
    </w:p>
    <w:p w14:paraId="18E1EA40" w14:textId="77777777" w:rsidR="00E7227D" w:rsidRDefault="00E7227D" w:rsidP="00E7227D">
      <w:pPr>
        <w:pStyle w:val="Heading2notshowing"/>
      </w:pPr>
      <w:r>
        <w:t>Use of the Coat of Arms</w:t>
      </w:r>
    </w:p>
    <w:p w14:paraId="2DE459EA" w14:textId="5ABC0F0B" w:rsidR="00E7227D" w:rsidRDefault="00E7227D" w:rsidP="00E7227D">
      <w:pPr>
        <w:pStyle w:val="Normaldisclaimerpage"/>
      </w:pPr>
      <w:r>
        <w:t xml:space="preserve">The Department of the Prime Minister and Cabinet sets the terms under which the Coat of Arms is used. Please refer to the Commonwealth Coat of Arms — Information and Guidelines publication available at </w:t>
      </w:r>
      <w:hyperlink r:id="rId16" w:history="1">
        <w:r w:rsidRPr="00AB127C">
          <w:rPr>
            <w:rStyle w:val="Hyperlink"/>
          </w:rPr>
          <w:t>www.pmc.gov.au</w:t>
        </w:r>
      </w:hyperlink>
      <w:r>
        <w:t>.</w:t>
      </w:r>
    </w:p>
    <w:p w14:paraId="7B9A014B" w14:textId="550FAE44" w:rsidR="00102C67" w:rsidRDefault="00102C67" w:rsidP="00E7227D">
      <w:pPr>
        <w:pStyle w:val="Normaldisclaimerpage"/>
      </w:pPr>
    </w:p>
    <w:p w14:paraId="28C994BC" w14:textId="2C7A13A8" w:rsidR="00A82DAF" w:rsidRDefault="002F1A23" w:rsidP="002F1A23">
      <w:pPr>
        <w:pStyle w:val="Normaldisclaimerpage"/>
        <w:ind w:left="567"/>
      </w:pPr>
      <w:r>
        <w:t>.</w:t>
      </w:r>
      <w:r w:rsidR="00A82DAF">
        <w:br w:type="page"/>
      </w:r>
    </w:p>
    <w:p w14:paraId="585BC198" w14:textId="77777777" w:rsidR="00A82DAF" w:rsidRPr="006903D3" w:rsidRDefault="00A82DAF" w:rsidP="00A82DAF">
      <w:pPr>
        <w:pStyle w:val="Heading2notshowing"/>
      </w:pPr>
      <w:r w:rsidRPr="006903D3">
        <w:lastRenderedPageBreak/>
        <w:t>Contents</w:t>
      </w:r>
    </w:p>
    <w:p w14:paraId="35D09801" w14:textId="3A848D7F" w:rsidR="00323275"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48924106" w:history="1">
        <w:r w:rsidR="00323275" w:rsidRPr="00091210">
          <w:rPr>
            <w:rStyle w:val="Hyperlink"/>
            <w:noProof/>
          </w:rPr>
          <w:t>Introduction</w:t>
        </w:r>
        <w:r w:rsidR="00323275">
          <w:rPr>
            <w:noProof/>
            <w:webHidden/>
          </w:rPr>
          <w:tab/>
        </w:r>
        <w:r w:rsidR="00323275">
          <w:rPr>
            <w:noProof/>
            <w:webHidden/>
          </w:rPr>
          <w:fldChar w:fldCharType="begin"/>
        </w:r>
        <w:r w:rsidR="00323275">
          <w:rPr>
            <w:noProof/>
            <w:webHidden/>
          </w:rPr>
          <w:instrText xml:space="preserve"> PAGEREF _Toc48924106 \h </w:instrText>
        </w:r>
        <w:r w:rsidR="00323275">
          <w:rPr>
            <w:noProof/>
            <w:webHidden/>
          </w:rPr>
        </w:r>
        <w:r w:rsidR="00323275">
          <w:rPr>
            <w:noProof/>
            <w:webHidden/>
          </w:rPr>
          <w:fldChar w:fldCharType="separate"/>
        </w:r>
        <w:r w:rsidR="003D516F">
          <w:rPr>
            <w:noProof/>
            <w:webHidden/>
          </w:rPr>
          <w:t>4</w:t>
        </w:r>
        <w:r w:rsidR="00323275">
          <w:rPr>
            <w:noProof/>
            <w:webHidden/>
          </w:rPr>
          <w:fldChar w:fldCharType="end"/>
        </w:r>
      </w:hyperlink>
    </w:p>
    <w:p w14:paraId="1E64203A" w14:textId="26BCE59E" w:rsidR="00323275" w:rsidRDefault="003D516F">
      <w:pPr>
        <w:pStyle w:val="TOC2"/>
        <w:rPr>
          <w:rFonts w:asciiTheme="minorHAnsi" w:eastAsiaTheme="minorEastAsia" w:hAnsiTheme="minorHAnsi"/>
          <w:noProof/>
          <w:sz w:val="22"/>
          <w:lang w:eastAsia="en-AU"/>
        </w:rPr>
      </w:pPr>
      <w:hyperlink w:anchor="_Toc48924107" w:history="1">
        <w:r w:rsidR="00323275" w:rsidRPr="00091210">
          <w:rPr>
            <w:rStyle w:val="Hyperlink"/>
            <w:noProof/>
          </w:rPr>
          <w:t>Purpose of this paper</w:t>
        </w:r>
        <w:r w:rsidR="00323275">
          <w:rPr>
            <w:noProof/>
            <w:webHidden/>
          </w:rPr>
          <w:tab/>
        </w:r>
        <w:r w:rsidR="00323275">
          <w:rPr>
            <w:noProof/>
            <w:webHidden/>
          </w:rPr>
          <w:fldChar w:fldCharType="begin"/>
        </w:r>
        <w:r w:rsidR="00323275">
          <w:rPr>
            <w:noProof/>
            <w:webHidden/>
          </w:rPr>
          <w:instrText xml:space="preserve"> PAGEREF _Toc48924107 \h </w:instrText>
        </w:r>
        <w:r w:rsidR="00323275">
          <w:rPr>
            <w:noProof/>
            <w:webHidden/>
          </w:rPr>
        </w:r>
        <w:r w:rsidR="00323275">
          <w:rPr>
            <w:noProof/>
            <w:webHidden/>
          </w:rPr>
          <w:fldChar w:fldCharType="separate"/>
        </w:r>
        <w:r>
          <w:rPr>
            <w:noProof/>
            <w:webHidden/>
          </w:rPr>
          <w:t>4</w:t>
        </w:r>
        <w:r w:rsidR="00323275">
          <w:rPr>
            <w:noProof/>
            <w:webHidden/>
          </w:rPr>
          <w:fldChar w:fldCharType="end"/>
        </w:r>
      </w:hyperlink>
    </w:p>
    <w:p w14:paraId="02351DF3" w14:textId="70B01AF8" w:rsidR="00323275" w:rsidRDefault="003D516F">
      <w:pPr>
        <w:pStyle w:val="TOC2"/>
        <w:rPr>
          <w:rFonts w:asciiTheme="minorHAnsi" w:eastAsiaTheme="minorEastAsia" w:hAnsiTheme="minorHAnsi"/>
          <w:noProof/>
          <w:sz w:val="22"/>
          <w:lang w:eastAsia="en-AU"/>
        </w:rPr>
      </w:pPr>
      <w:hyperlink w:anchor="_Toc48924108" w:history="1">
        <w:r w:rsidR="00323275" w:rsidRPr="00091210">
          <w:rPr>
            <w:rStyle w:val="Hyperlink"/>
            <w:noProof/>
          </w:rPr>
          <w:t>Designing a National Freight Data Hub</w:t>
        </w:r>
        <w:r w:rsidR="00323275">
          <w:rPr>
            <w:noProof/>
            <w:webHidden/>
          </w:rPr>
          <w:tab/>
        </w:r>
        <w:r w:rsidR="00323275">
          <w:rPr>
            <w:noProof/>
            <w:webHidden/>
          </w:rPr>
          <w:fldChar w:fldCharType="begin"/>
        </w:r>
        <w:r w:rsidR="00323275">
          <w:rPr>
            <w:noProof/>
            <w:webHidden/>
          </w:rPr>
          <w:instrText xml:space="preserve"> PAGEREF _Toc48924108 \h </w:instrText>
        </w:r>
        <w:r w:rsidR="00323275">
          <w:rPr>
            <w:noProof/>
            <w:webHidden/>
          </w:rPr>
        </w:r>
        <w:r w:rsidR="00323275">
          <w:rPr>
            <w:noProof/>
            <w:webHidden/>
          </w:rPr>
          <w:fldChar w:fldCharType="separate"/>
        </w:r>
        <w:r>
          <w:rPr>
            <w:noProof/>
            <w:webHidden/>
          </w:rPr>
          <w:t>4</w:t>
        </w:r>
        <w:r w:rsidR="00323275">
          <w:rPr>
            <w:noProof/>
            <w:webHidden/>
          </w:rPr>
          <w:fldChar w:fldCharType="end"/>
        </w:r>
      </w:hyperlink>
    </w:p>
    <w:p w14:paraId="4ACAB4B0" w14:textId="31BA7552" w:rsidR="00323275" w:rsidRDefault="003D516F">
      <w:pPr>
        <w:pStyle w:val="TOC1"/>
        <w:rPr>
          <w:rFonts w:asciiTheme="minorHAnsi" w:eastAsiaTheme="minorEastAsia" w:hAnsiTheme="minorHAnsi"/>
          <w:b w:val="0"/>
          <w:noProof/>
          <w:color w:val="auto"/>
          <w:sz w:val="22"/>
          <w:lang w:eastAsia="en-AU"/>
        </w:rPr>
      </w:pPr>
      <w:hyperlink w:anchor="_Toc48924109" w:history="1">
        <w:r w:rsidR="00323275" w:rsidRPr="00091210">
          <w:rPr>
            <w:rStyle w:val="Hyperlink"/>
            <w:noProof/>
          </w:rPr>
          <w:t>Option design framework</w:t>
        </w:r>
        <w:r w:rsidR="00323275">
          <w:rPr>
            <w:noProof/>
            <w:webHidden/>
          </w:rPr>
          <w:tab/>
        </w:r>
        <w:r w:rsidR="00323275">
          <w:rPr>
            <w:noProof/>
            <w:webHidden/>
          </w:rPr>
          <w:fldChar w:fldCharType="begin"/>
        </w:r>
        <w:r w:rsidR="00323275">
          <w:rPr>
            <w:noProof/>
            <w:webHidden/>
          </w:rPr>
          <w:instrText xml:space="preserve"> PAGEREF _Toc48924109 \h </w:instrText>
        </w:r>
        <w:r w:rsidR="00323275">
          <w:rPr>
            <w:noProof/>
            <w:webHidden/>
          </w:rPr>
        </w:r>
        <w:r w:rsidR="00323275">
          <w:rPr>
            <w:noProof/>
            <w:webHidden/>
          </w:rPr>
          <w:fldChar w:fldCharType="separate"/>
        </w:r>
        <w:r>
          <w:rPr>
            <w:noProof/>
            <w:webHidden/>
          </w:rPr>
          <w:t>8</w:t>
        </w:r>
        <w:r w:rsidR="00323275">
          <w:rPr>
            <w:noProof/>
            <w:webHidden/>
          </w:rPr>
          <w:fldChar w:fldCharType="end"/>
        </w:r>
      </w:hyperlink>
    </w:p>
    <w:p w14:paraId="7A35FE12" w14:textId="1C7DD881" w:rsidR="00323275" w:rsidRDefault="003D516F">
      <w:pPr>
        <w:pStyle w:val="TOC2"/>
        <w:rPr>
          <w:rFonts w:asciiTheme="minorHAnsi" w:eastAsiaTheme="minorEastAsia" w:hAnsiTheme="minorHAnsi"/>
          <w:noProof/>
          <w:sz w:val="22"/>
          <w:lang w:eastAsia="en-AU"/>
        </w:rPr>
      </w:pPr>
      <w:hyperlink w:anchor="_Toc48924111" w:history="1">
        <w:r w:rsidR="00323275" w:rsidRPr="00091210">
          <w:rPr>
            <w:rStyle w:val="Hyperlink"/>
            <w:noProof/>
          </w:rPr>
          <w:t>Element One: Data</w:t>
        </w:r>
        <w:r w:rsidR="00323275">
          <w:rPr>
            <w:noProof/>
            <w:webHidden/>
          </w:rPr>
          <w:tab/>
        </w:r>
        <w:r w:rsidR="00323275">
          <w:rPr>
            <w:noProof/>
            <w:webHidden/>
          </w:rPr>
          <w:fldChar w:fldCharType="begin"/>
        </w:r>
        <w:r w:rsidR="00323275">
          <w:rPr>
            <w:noProof/>
            <w:webHidden/>
          </w:rPr>
          <w:instrText xml:space="preserve"> PAGEREF _Toc48924111 \h </w:instrText>
        </w:r>
        <w:r w:rsidR="00323275">
          <w:rPr>
            <w:noProof/>
            <w:webHidden/>
          </w:rPr>
        </w:r>
        <w:r w:rsidR="00323275">
          <w:rPr>
            <w:noProof/>
            <w:webHidden/>
          </w:rPr>
          <w:fldChar w:fldCharType="separate"/>
        </w:r>
        <w:r>
          <w:rPr>
            <w:noProof/>
            <w:webHidden/>
          </w:rPr>
          <w:t>10</w:t>
        </w:r>
        <w:r w:rsidR="00323275">
          <w:rPr>
            <w:noProof/>
            <w:webHidden/>
          </w:rPr>
          <w:fldChar w:fldCharType="end"/>
        </w:r>
      </w:hyperlink>
    </w:p>
    <w:p w14:paraId="04610363" w14:textId="14B3143F" w:rsidR="00323275" w:rsidRDefault="003D516F">
      <w:pPr>
        <w:pStyle w:val="TOC2"/>
        <w:rPr>
          <w:rFonts w:asciiTheme="minorHAnsi" w:eastAsiaTheme="minorEastAsia" w:hAnsiTheme="minorHAnsi"/>
          <w:noProof/>
          <w:sz w:val="22"/>
          <w:lang w:eastAsia="en-AU"/>
        </w:rPr>
      </w:pPr>
      <w:hyperlink w:anchor="_Toc48924112" w:history="1">
        <w:r w:rsidR="00323275" w:rsidRPr="00091210">
          <w:rPr>
            <w:rStyle w:val="Hyperlink"/>
            <w:noProof/>
          </w:rPr>
          <w:t>Element Two: Technology</w:t>
        </w:r>
        <w:r w:rsidR="00323275">
          <w:rPr>
            <w:noProof/>
            <w:webHidden/>
          </w:rPr>
          <w:tab/>
        </w:r>
        <w:r w:rsidR="00323275">
          <w:rPr>
            <w:noProof/>
            <w:webHidden/>
          </w:rPr>
          <w:fldChar w:fldCharType="begin"/>
        </w:r>
        <w:r w:rsidR="00323275">
          <w:rPr>
            <w:noProof/>
            <w:webHidden/>
          </w:rPr>
          <w:instrText xml:space="preserve"> PAGEREF _Toc48924112 \h </w:instrText>
        </w:r>
        <w:r w:rsidR="00323275">
          <w:rPr>
            <w:noProof/>
            <w:webHidden/>
          </w:rPr>
        </w:r>
        <w:r w:rsidR="00323275">
          <w:rPr>
            <w:noProof/>
            <w:webHidden/>
          </w:rPr>
          <w:fldChar w:fldCharType="separate"/>
        </w:r>
        <w:r>
          <w:rPr>
            <w:noProof/>
            <w:webHidden/>
          </w:rPr>
          <w:t>12</w:t>
        </w:r>
        <w:r w:rsidR="00323275">
          <w:rPr>
            <w:noProof/>
            <w:webHidden/>
          </w:rPr>
          <w:fldChar w:fldCharType="end"/>
        </w:r>
      </w:hyperlink>
    </w:p>
    <w:p w14:paraId="18CB9069" w14:textId="24AC5A16" w:rsidR="00323275" w:rsidRDefault="003D516F">
      <w:pPr>
        <w:pStyle w:val="TOC2"/>
        <w:rPr>
          <w:rFonts w:asciiTheme="minorHAnsi" w:eastAsiaTheme="minorEastAsia" w:hAnsiTheme="minorHAnsi"/>
          <w:noProof/>
          <w:sz w:val="22"/>
          <w:lang w:eastAsia="en-AU"/>
        </w:rPr>
      </w:pPr>
      <w:hyperlink w:anchor="_Toc48924113" w:history="1">
        <w:r w:rsidR="00323275" w:rsidRPr="00091210">
          <w:rPr>
            <w:rStyle w:val="Hyperlink"/>
            <w:noProof/>
          </w:rPr>
          <w:t>Element Three: Governance</w:t>
        </w:r>
        <w:r w:rsidR="00323275">
          <w:rPr>
            <w:noProof/>
            <w:webHidden/>
          </w:rPr>
          <w:tab/>
        </w:r>
        <w:r w:rsidR="00323275">
          <w:rPr>
            <w:noProof/>
            <w:webHidden/>
          </w:rPr>
          <w:fldChar w:fldCharType="begin"/>
        </w:r>
        <w:r w:rsidR="00323275">
          <w:rPr>
            <w:noProof/>
            <w:webHidden/>
          </w:rPr>
          <w:instrText xml:space="preserve"> PAGEREF _Toc48924113 \h </w:instrText>
        </w:r>
        <w:r w:rsidR="00323275">
          <w:rPr>
            <w:noProof/>
            <w:webHidden/>
          </w:rPr>
        </w:r>
        <w:r w:rsidR="00323275">
          <w:rPr>
            <w:noProof/>
            <w:webHidden/>
          </w:rPr>
          <w:fldChar w:fldCharType="separate"/>
        </w:r>
        <w:r>
          <w:rPr>
            <w:noProof/>
            <w:webHidden/>
          </w:rPr>
          <w:t>15</w:t>
        </w:r>
        <w:r w:rsidR="00323275">
          <w:rPr>
            <w:noProof/>
            <w:webHidden/>
          </w:rPr>
          <w:fldChar w:fldCharType="end"/>
        </w:r>
      </w:hyperlink>
    </w:p>
    <w:p w14:paraId="546FBC66" w14:textId="63165EFC" w:rsidR="00323275" w:rsidRDefault="003D516F">
      <w:pPr>
        <w:pStyle w:val="TOC2"/>
        <w:rPr>
          <w:rFonts w:asciiTheme="minorHAnsi" w:eastAsiaTheme="minorEastAsia" w:hAnsiTheme="minorHAnsi"/>
          <w:noProof/>
          <w:sz w:val="22"/>
          <w:lang w:eastAsia="en-AU"/>
        </w:rPr>
      </w:pPr>
      <w:hyperlink w:anchor="_Toc48924114" w:history="1">
        <w:r w:rsidR="00323275" w:rsidRPr="00091210">
          <w:rPr>
            <w:rStyle w:val="Hyperlink"/>
            <w:noProof/>
          </w:rPr>
          <w:t>Element Four: Funding</w:t>
        </w:r>
        <w:r w:rsidR="00323275">
          <w:rPr>
            <w:noProof/>
            <w:webHidden/>
          </w:rPr>
          <w:tab/>
        </w:r>
        <w:r w:rsidR="00323275">
          <w:rPr>
            <w:noProof/>
            <w:webHidden/>
          </w:rPr>
          <w:fldChar w:fldCharType="begin"/>
        </w:r>
        <w:r w:rsidR="00323275">
          <w:rPr>
            <w:noProof/>
            <w:webHidden/>
          </w:rPr>
          <w:instrText xml:space="preserve"> PAGEREF _Toc48924114 \h </w:instrText>
        </w:r>
        <w:r w:rsidR="00323275">
          <w:rPr>
            <w:noProof/>
            <w:webHidden/>
          </w:rPr>
        </w:r>
        <w:r w:rsidR="00323275">
          <w:rPr>
            <w:noProof/>
            <w:webHidden/>
          </w:rPr>
          <w:fldChar w:fldCharType="separate"/>
        </w:r>
        <w:r>
          <w:rPr>
            <w:noProof/>
            <w:webHidden/>
          </w:rPr>
          <w:t>16</w:t>
        </w:r>
        <w:r w:rsidR="00323275">
          <w:rPr>
            <w:noProof/>
            <w:webHidden/>
          </w:rPr>
          <w:fldChar w:fldCharType="end"/>
        </w:r>
      </w:hyperlink>
    </w:p>
    <w:p w14:paraId="5D9B6DFE" w14:textId="3E84D8E1" w:rsidR="00323275" w:rsidRDefault="003D516F">
      <w:pPr>
        <w:pStyle w:val="TOC2"/>
        <w:rPr>
          <w:rFonts w:asciiTheme="minorHAnsi" w:eastAsiaTheme="minorEastAsia" w:hAnsiTheme="minorHAnsi"/>
          <w:noProof/>
          <w:sz w:val="22"/>
          <w:lang w:eastAsia="en-AU"/>
        </w:rPr>
      </w:pPr>
      <w:hyperlink w:anchor="_Toc48924115" w:history="1">
        <w:r w:rsidR="00323275" w:rsidRPr="00091210">
          <w:rPr>
            <w:rStyle w:val="Hyperlink"/>
            <w:noProof/>
          </w:rPr>
          <w:t>Element Five: Regulation</w:t>
        </w:r>
        <w:r w:rsidR="00323275">
          <w:rPr>
            <w:noProof/>
            <w:webHidden/>
          </w:rPr>
          <w:tab/>
        </w:r>
        <w:r w:rsidR="00323275">
          <w:rPr>
            <w:noProof/>
            <w:webHidden/>
          </w:rPr>
          <w:fldChar w:fldCharType="begin"/>
        </w:r>
        <w:r w:rsidR="00323275">
          <w:rPr>
            <w:noProof/>
            <w:webHidden/>
          </w:rPr>
          <w:instrText xml:space="preserve"> PAGEREF _Toc48924115 \h </w:instrText>
        </w:r>
        <w:r w:rsidR="00323275">
          <w:rPr>
            <w:noProof/>
            <w:webHidden/>
          </w:rPr>
        </w:r>
        <w:r w:rsidR="00323275">
          <w:rPr>
            <w:noProof/>
            <w:webHidden/>
          </w:rPr>
          <w:fldChar w:fldCharType="separate"/>
        </w:r>
        <w:r>
          <w:rPr>
            <w:noProof/>
            <w:webHidden/>
          </w:rPr>
          <w:t>17</w:t>
        </w:r>
        <w:r w:rsidR="00323275">
          <w:rPr>
            <w:noProof/>
            <w:webHidden/>
          </w:rPr>
          <w:fldChar w:fldCharType="end"/>
        </w:r>
      </w:hyperlink>
    </w:p>
    <w:p w14:paraId="2ED79A6B" w14:textId="7E09F453" w:rsidR="00323275" w:rsidRDefault="003D516F">
      <w:pPr>
        <w:pStyle w:val="TOC1"/>
        <w:rPr>
          <w:rFonts w:asciiTheme="minorHAnsi" w:eastAsiaTheme="minorEastAsia" w:hAnsiTheme="minorHAnsi"/>
          <w:b w:val="0"/>
          <w:noProof/>
          <w:color w:val="auto"/>
          <w:sz w:val="22"/>
          <w:lang w:eastAsia="en-AU"/>
        </w:rPr>
      </w:pPr>
      <w:hyperlink w:anchor="_Toc48924116" w:history="1">
        <w:r w:rsidR="00323275" w:rsidRPr="00091210">
          <w:rPr>
            <w:rStyle w:val="Hyperlink"/>
            <w:noProof/>
          </w:rPr>
          <w:t>Next Steps</w:t>
        </w:r>
        <w:r w:rsidR="00323275">
          <w:rPr>
            <w:noProof/>
            <w:webHidden/>
          </w:rPr>
          <w:tab/>
        </w:r>
        <w:r w:rsidR="00323275">
          <w:rPr>
            <w:noProof/>
            <w:webHidden/>
          </w:rPr>
          <w:fldChar w:fldCharType="begin"/>
        </w:r>
        <w:r w:rsidR="00323275">
          <w:rPr>
            <w:noProof/>
            <w:webHidden/>
          </w:rPr>
          <w:instrText xml:space="preserve"> PAGEREF _Toc48924116 \h </w:instrText>
        </w:r>
        <w:r w:rsidR="00323275">
          <w:rPr>
            <w:noProof/>
            <w:webHidden/>
          </w:rPr>
        </w:r>
        <w:r w:rsidR="00323275">
          <w:rPr>
            <w:noProof/>
            <w:webHidden/>
          </w:rPr>
          <w:fldChar w:fldCharType="separate"/>
        </w:r>
        <w:r>
          <w:rPr>
            <w:noProof/>
            <w:webHidden/>
          </w:rPr>
          <w:t>19</w:t>
        </w:r>
        <w:r w:rsidR="00323275">
          <w:rPr>
            <w:noProof/>
            <w:webHidden/>
          </w:rPr>
          <w:fldChar w:fldCharType="end"/>
        </w:r>
      </w:hyperlink>
    </w:p>
    <w:p w14:paraId="1C1F17A3" w14:textId="5DD7AB39" w:rsidR="00A82DAF" w:rsidRDefault="00A82DAF" w:rsidP="00A82DAF">
      <w:r>
        <w:fldChar w:fldCharType="end"/>
      </w:r>
    </w:p>
    <w:p w14:paraId="6FDA814F" w14:textId="6250E2A1" w:rsidR="00A82DAF" w:rsidRPr="005113AA" w:rsidRDefault="00A82DAF" w:rsidP="00A82DAF">
      <w:pPr>
        <w:pStyle w:val="Heading2notshowing"/>
      </w:pPr>
      <w:r w:rsidRPr="005113AA">
        <w:t xml:space="preserve">Tables </w:t>
      </w:r>
      <w:r w:rsidR="00F6484E">
        <w:t>and figures</w:t>
      </w:r>
    </w:p>
    <w:p w14:paraId="4CC5BC50" w14:textId="3FB89D3E" w:rsidR="00F62613" w:rsidRDefault="00F6484E">
      <w:pPr>
        <w:pStyle w:val="TableofFigures"/>
        <w:tabs>
          <w:tab w:val="right" w:leader="dot" w:pos="9465"/>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49156973" w:history="1">
        <w:r w:rsidR="00F62613" w:rsidRPr="000E65F6">
          <w:rPr>
            <w:rStyle w:val="Hyperlink"/>
            <w:rFonts w:ascii="Segoe UI Semibold" w:hAnsi="Segoe UI Semibold"/>
            <w:noProof/>
          </w:rPr>
          <w:t>Figure 1 Problem statement</w:t>
        </w:r>
        <w:r w:rsidR="00F62613">
          <w:rPr>
            <w:noProof/>
            <w:webHidden/>
          </w:rPr>
          <w:tab/>
        </w:r>
        <w:r w:rsidR="00F62613">
          <w:rPr>
            <w:noProof/>
            <w:webHidden/>
          </w:rPr>
          <w:fldChar w:fldCharType="begin"/>
        </w:r>
        <w:r w:rsidR="00F62613">
          <w:rPr>
            <w:noProof/>
            <w:webHidden/>
          </w:rPr>
          <w:instrText xml:space="preserve"> PAGEREF _Toc49156973 \h </w:instrText>
        </w:r>
        <w:r w:rsidR="00F62613">
          <w:rPr>
            <w:noProof/>
            <w:webHidden/>
          </w:rPr>
        </w:r>
        <w:r w:rsidR="00F62613">
          <w:rPr>
            <w:noProof/>
            <w:webHidden/>
          </w:rPr>
          <w:fldChar w:fldCharType="separate"/>
        </w:r>
        <w:r w:rsidR="003D516F">
          <w:rPr>
            <w:noProof/>
            <w:webHidden/>
          </w:rPr>
          <w:t>4</w:t>
        </w:r>
        <w:r w:rsidR="00F62613">
          <w:rPr>
            <w:noProof/>
            <w:webHidden/>
          </w:rPr>
          <w:fldChar w:fldCharType="end"/>
        </w:r>
      </w:hyperlink>
    </w:p>
    <w:p w14:paraId="58D61C28" w14:textId="5F0AFA42"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74" w:history="1">
        <w:r w:rsidR="00F62613" w:rsidRPr="000E65F6">
          <w:rPr>
            <w:rStyle w:val="Hyperlink"/>
            <w:rFonts w:ascii="Segoe UI Semibold" w:hAnsi="Segoe UI Semibold"/>
            <w:noProof/>
          </w:rPr>
          <w:t>Figure 2 Purposes and Functions</w:t>
        </w:r>
        <w:bookmarkStart w:id="0" w:name="_GoBack"/>
        <w:bookmarkEnd w:id="0"/>
        <w:r w:rsidR="00F62613">
          <w:rPr>
            <w:noProof/>
            <w:webHidden/>
          </w:rPr>
          <w:tab/>
        </w:r>
        <w:r w:rsidR="00F62613">
          <w:rPr>
            <w:noProof/>
            <w:webHidden/>
          </w:rPr>
          <w:fldChar w:fldCharType="begin"/>
        </w:r>
        <w:r w:rsidR="00F62613">
          <w:rPr>
            <w:noProof/>
            <w:webHidden/>
          </w:rPr>
          <w:instrText xml:space="preserve"> PAGEREF _Toc49156974 \h </w:instrText>
        </w:r>
        <w:r w:rsidR="00F62613">
          <w:rPr>
            <w:noProof/>
            <w:webHidden/>
          </w:rPr>
        </w:r>
        <w:r w:rsidR="00F62613">
          <w:rPr>
            <w:noProof/>
            <w:webHidden/>
          </w:rPr>
          <w:fldChar w:fldCharType="separate"/>
        </w:r>
        <w:r>
          <w:rPr>
            <w:noProof/>
            <w:webHidden/>
          </w:rPr>
          <w:t>5</w:t>
        </w:r>
        <w:r w:rsidR="00F62613">
          <w:rPr>
            <w:noProof/>
            <w:webHidden/>
          </w:rPr>
          <w:fldChar w:fldCharType="end"/>
        </w:r>
      </w:hyperlink>
    </w:p>
    <w:p w14:paraId="2903153B" w14:textId="427C9FB9"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75" w:history="1">
        <w:r w:rsidR="00F62613" w:rsidRPr="000E65F6">
          <w:rPr>
            <w:rStyle w:val="Hyperlink"/>
            <w:rFonts w:ascii="Segoe UI Semibold" w:hAnsi="Segoe UI Semibold"/>
            <w:noProof/>
          </w:rPr>
          <w:t>Figure 3 Foundation freight data enduring questions</w:t>
        </w:r>
        <w:r w:rsidR="00F62613">
          <w:rPr>
            <w:noProof/>
            <w:webHidden/>
          </w:rPr>
          <w:tab/>
        </w:r>
        <w:r w:rsidR="00F62613">
          <w:rPr>
            <w:noProof/>
            <w:webHidden/>
          </w:rPr>
          <w:fldChar w:fldCharType="begin"/>
        </w:r>
        <w:r w:rsidR="00F62613">
          <w:rPr>
            <w:noProof/>
            <w:webHidden/>
          </w:rPr>
          <w:instrText xml:space="preserve"> PAGEREF _Toc49156975 \h </w:instrText>
        </w:r>
        <w:r w:rsidR="00F62613">
          <w:rPr>
            <w:noProof/>
            <w:webHidden/>
          </w:rPr>
        </w:r>
        <w:r w:rsidR="00F62613">
          <w:rPr>
            <w:noProof/>
            <w:webHidden/>
          </w:rPr>
          <w:fldChar w:fldCharType="separate"/>
        </w:r>
        <w:r>
          <w:rPr>
            <w:noProof/>
            <w:webHidden/>
          </w:rPr>
          <w:t>6</w:t>
        </w:r>
        <w:r w:rsidR="00F62613">
          <w:rPr>
            <w:noProof/>
            <w:webHidden/>
          </w:rPr>
          <w:fldChar w:fldCharType="end"/>
        </w:r>
      </w:hyperlink>
    </w:p>
    <w:p w14:paraId="76524515" w14:textId="623C2100"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76" w:history="1">
        <w:r w:rsidR="00F62613" w:rsidRPr="000E65F6">
          <w:rPr>
            <w:rStyle w:val="Hyperlink"/>
            <w:rFonts w:ascii="Segoe UI Semibold" w:hAnsi="Segoe UI Semibold"/>
            <w:noProof/>
          </w:rPr>
          <w:t>Figure 4 Proposed design principles for the Hub</w:t>
        </w:r>
        <w:r w:rsidR="00F62613">
          <w:rPr>
            <w:noProof/>
            <w:webHidden/>
          </w:rPr>
          <w:tab/>
        </w:r>
        <w:r w:rsidR="00F62613">
          <w:rPr>
            <w:noProof/>
            <w:webHidden/>
          </w:rPr>
          <w:fldChar w:fldCharType="begin"/>
        </w:r>
        <w:r w:rsidR="00F62613">
          <w:rPr>
            <w:noProof/>
            <w:webHidden/>
          </w:rPr>
          <w:instrText xml:space="preserve"> PAGEREF _Toc49156976 \h </w:instrText>
        </w:r>
        <w:r w:rsidR="00F62613">
          <w:rPr>
            <w:noProof/>
            <w:webHidden/>
          </w:rPr>
        </w:r>
        <w:r w:rsidR="00F62613">
          <w:rPr>
            <w:noProof/>
            <w:webHidden/>
          </w:rPr>
          <w:fldChar w:fldCharType="separate"/>
        </w:r>
        <w:r>
          <w:rPr>
            <w:noProof/>
            <w:webHidden/>
          </w:rPr>
          <w:t>7</w:t>
        </w:r>
        <w:r w:rsidR="00F62613">
          <w:rPr>
            <w:noProof/>
            <w:webHidden/>
          </w:rPr>
          <w:fldChar w:fldCharType="end"/>
        </w:r>
      </w:hyperlink>
    </w:p>
    <w:p w14:paraId="4D312FDD" w14:textId="3060A52A"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77" w:history="1">
        <w:r w:rsidR="00F62613" w:rsidRPr="000E65F6">
          <w:rPr>
            <w:rStyle w:val="Hyperlink"/>
            <w:rFonts w:ascii="Segoe UI Semibold" w:hAnsi="Segoe UI Semibold"/>
            <w:noProof/>
          </w:rPr>
          <w:t>Figure 5 Options framework</w:t>
        </w:r>
        <w:r w:rsidR="00F62613">
          <w:rPr>
            <w:noProof/>
            <w:webHidden/>
          </w:rPr>
          <w:tab/>
        </w:r>
        <w:r w:rsidR="00F62613">
          <w:rPr>
            <w:noProof/>
            <w:webHidden/>
          </w:rPr>
          <w:fldChar w:fldCharType="begin"/>
        </w:r>
        <w:r w:rsidR="00F62613">
          <w:rPr>
            <w:noProof/>
            <w:webHidden/>
          </w:rPr>
          <w:instrText xml:space="preserve"> PAGEREF _Toc49156977 \h </w:instrText>
        </w:r>
        <w:r w:rsidR="00F62613">
          <w:rPr>
            <w:noProof/>
            <w:webHidden/>
          </w:rPr>
        </w:r>
        <w:r w:rsidR="00F62613">
          <w:rPr>
            <w:noProof/>
            <w:webHidden/>
          </w:rPr>
          <w:fldChar w:fldCharType="separate"/>
        </w:r>
        <w:r>
          <w:rPr>
            <w:noProof/>
            <w:webHidden/>
          </w:rPr>
          <w:t>8</w:t>
        </w:r>
        <w:r w:rsidR="00F62613">
          <w:rPr>
            <w:noProof/>
            <w:webHidden/>
          </w:rPr>
          <w:fldChar w:fldCharType="end"/>
        </w:r>
      </w:hyperlink>
    </w:p>
    <w:p w14:paraId="7306073A" w14:textId="612DB8AD"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78" w:history="1">
        <w:r w:rsidR="00F62613" w:rsidRPr="000E65F6">
          <w:rPr>
            <w:rStyle w:val="Hyperlink"/>
            <w:rFonts w:ascii="Segoe UI Semibold" w:hAnsi="Segoe UI Semibold"/>
            <w:noProof/>
          </w:rPr>
          <w:t>Figure 6 Summary of range of options</w:t>
        </w:r>
        <w:r w:rsidR="00F62613">
          <w:rPr>
            <w:noProof/>
            <w:webHidden/>
          </w:rPr>
          <w:tab/>
        </w:r>
        <w:r w:rsidR="00F62613">
          <w:rPr>
            <w:noProof/>
            <w:webHidden/>
          </w:rPr>
          <w:fldChar w:fldCharType="begin"/>
        </w:r>
        <w:r w:rsidR="00F62613">
          <w:rPr>
            <w:noProof/>
            <w:webHidden/>
          </w:rPr>
          <w:instrText xml:space="preserve"> PAGEREF _Toc49156978 \h </w:instrText>
        </w:r>
        <w:r w:rsidR="00F62613">
          <w:rPr>
            <w:noProof/>
            <w:webHidden/>
          </w:rPr>
        </w:r>
        <w:r w:rsidR="00F62613">
          <w:rPr>
            <w:noProof/>
            <w:webHidden/>
          </w:rPr>
          <w:fldChar w:fldCharType="separate"/>
        </w:r>
        <w:r>
          <w:rPr>
            <w:noProof/>
            <w:webHidden/>
          </w:rPr>
          <w:t>9</w:t>
        </w:r>
        <w:r w:rsidR="00F62613">
          <w:rPr>
            <w:noProof/>
            <w:webHidden/>
          </w:rPr>
          <w:fldChar w:fldCharType="end"/>
        </w:r>
      </w:hyperlink>
    </w:p>
    <w:p w14:paraId="49502306" w14:textId="5E00E9F5"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79" w:history="1">
        <w:r w:rsidR="00F62613" w:rsidRPr="000E65F6">
          <w:rPr>
            <w:rStyle w:val="Hyperlink"/>
            <w:rFonts w:ascii="Segoe UI Semibold" w:hAnsi="Segoe UI Semibold"/>
            <w:noProof/>
          </w:rPr>
          <w:t>Figure 7</w:t>
        </w:r>
        <w:r w:rsidR="00F62613" w:rsidRPr="000E65F6">
          <w:rPr>
            <w:rStyle w:val="Hyperlink"/>
            <w:noProof/>
          </w:rPr>
          <w:t xml:space="preserve"> </w:t>
        </w:r>
        <w:r w:rsidR="00F62613" w:rsidRPr="000E65F6">
          <w:rPr>
            <w:rStyle w:val="Hyperlink"/>
            <w:rFonts w:ascii="Segoe UI Semibold" w:hAnsi="Segoe UI Semibold"/>
            <w:noProof/>
          </w:rPr>
          <w:t>Data Priorities</w:t>
        </w:r>
        <w:r w:rsidR="00F62613">
          <w:rPr>
            <w:noProof/>
            <w:webHidden/>
          </w:rPr>
          <w:tab/>
        </w:r>
        <w:r w:rsidR="00F62613">
          <w:rPr>
            <w:noProof/>
            <w:webHidden/>
          </w:rPr>
          <w:fldChar w:fldCharType="begin"/>
        </w:r>
        <w:r w:rsidR="00F62613">
          <w:rPr>
            <w:noProof/>
            <w:webHidden/>
          </w:rPr>
          <w:instrText xml:space="preserve"> PAGEREF _Toc49156979 \h </w:instrText>
        </w:r>
        <w:r w:rsidR="00F62613">
          <w:rPr>
            <w:noProof/>
            <w:webHidden/>
          </w:rPr>
        </w:r>
        <w:r w:rsidR="00F62613">
          <w:rPr>
            <w:noProof/>
            <w:webHidden/>
          </w:rPr>
          <w:fldChar w:fldCharType="separate"/>
        </w:r>
        <w:r>
          <w:rPr>
            <w:noProof/>
            <w:webHidden/>
          </w:rPr>
          <w:t>11</w:t>
        </w:r>
        <w:r w:rsidR="00F62613">
          <w:rPr>
            <w:noProof/>
            <w:webHidden/>
          </w:rPr>
          <w:fldChar w:fldCharType="end"/>
        </w:r>
      </w:hyperlink>
    </w:p>
    <w:p w14:paraId="225C66D6" w14:textId="05DA8EE4"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80" w:history="1">
        <w:r w:rsidR="00F62613" w:rsidRPr="000E65F6">
          <w:rPr>
            <w:rStyle w:val="Hyperlink"/>
            <w:rFonts w:ascii="Segoe UI Semibold" w:hAnsi="Segoe UI Semibold"/>
            <w:noProof/>
          </w:rPr>
          <w:t>Figure 8 Architecture options</w:t>
        </w:r>
        <w:r w:rsidR="00F62613">
          <w:rPr>
            <w:noProof/>
            <w:webHidden/>
          </w:rPr>
          <w:tab/>
        </w:r>
        <w:r w:rsidR="00F62613">
          <w:rPr>
            <w:noProof/>
            <w:webHidden/>
          </w:rPr>
          <w:fldChar w:fldCharType="begin"/>
        </w:r>
        <w:r w:rsidR="00F62613">
          <w:rPr>
            <w:noProof/>
            <w:webHidden/>
          </w:rPr>
          <w:instrText xml:space="preserve"> PAGEREF _Toc49156980 \h </w:instrText>
        </w:r>
        <w:r w:rsidR="00F62613">
          <w:rPr>
            <w:noProof/>
            <w:webHidden/>
          </w:rPr>
        </w:r>
        <w:r w:rsidR="00F62613">
          <w:rPr>
            <w:noProof/>
            <w:webHidden/>
          </w:rPr>
          <w:fldChar w:fldCharType="separate"/>
        </w:r>
        <w:r>
          <w:rPr>
            <w:noProof/>
            <w:webHidden/>
          </w:rPr>
          <w:t>13</w:t>
        </w:r>
        <w:r w:rsidR="00F62613">
          <w:rPr>
            <w:noProof/>
            <w:webHidden/>
          </w:rPr>
          <w:fldChar w:fldCharType="end"/>
        </w:r>
      </w:hyperlink>
    </w:p>
    <w:p w14:paraId="4DE1E86C" w14:textId="7ADE5017"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81" w:history="1">
        <w:r w:rsidR="00F62613" w:rsidRPr="000E65F6">
          <w:rPr>
            <w:rStyle w:val="Hyperlink"/>
            <w:rFonts w:ascii="Segoe UI Semibold" w:hAnsi="Segoe UI Semibold"/>
            <w:noProof/>
          </w:rPr>
          <w:t>Figure 9 Governance options</w:t>
        </w:r>
        <w:r w:rsidR="00F62613">
          <w:rPr>
            <w:noProof/>
            <w:webHidden/>
          </w:rPr>
          <w:tab/>
        </w:r>
        <w:r w:rsidR="00F62613">
          <w:rPr>
            <w:noProof/>
            <w:webHidden/>
          </w:rPr>
          <w:fldChar w:fldCharType="begin"/>
        </w:r>
        <w:r w:rsidR="00F62613">
          <w:rPr>
            <w:noProof/>
            <w:webHidden/>
          </w:rPr>
          <w:instrText xml:space="preserve"> PAGEREF _Toc49156981 \h </w:instrText>
        </w:r>
        <w:r w:rsidR="00F62613">
          <w:rPr>
            <w:noProof/>
            <w:webHidden/>
          </w:rPr>
        </w:r>
        <w:r w:rsidR="00F62613">
          <w:rPr>
            <w:noProof/>
            <w:webHidden/>
          </w:rPr>
          <w:fldChar w:fldCharType="separate"/>
        </w:r>
        <w:r>
          <w:rPr>
            <w:noProof/>
            <w:webHidden/>
          </w:rPr>
          <w:t>15</w:t>
        </w:r>
        <w:r w:rsidR="00F62613">
          <w:rPr>
            <w:noProof/>
            <w:webHidden/>
          </w:rPr>
          <w:fldChar w:fldCharType="end"/>
        </w:r>
      </w:hyperlink>
    </w:p>
    <w:p w14:paraId="6E9E586A" w14:textId="6D7540E4"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82" w:history="1">
        <w:r w:rsidR="00F62613" w:rsidRPr="000E65F6">
          <w:rPr>
            <w:rStyle w:val="Hyperlink"/>
            <w:rFonts w:ascii="Segoe UI Semibold" w:hAnsi="Segoe UI Semibold"/>
            <w:noProof/>
          </w:rPr>
          <w:t>Figure 10 Funding options</w:t>
        </w:r>
        <w:r w:rsidR="00F62613">
          <w:rPr>
            <w:noProof/>
            <w:webHidden/>
          </w:rPr>
          <w:tab/>
        </w:r>
        <w:r w:rsidR="00F62613">
          <w:rPr>
            <w:noProof/>
            <w:webHidden/>
          </w:rPr>
          <w:fldChar w:fldCharType="begin"/>
        </w:r>
        <w:r w:rsidR="00F62613">
          <w:rPr>
            <w:noProof/>
            <w:webHidden/>
          </w:rPr>
          <w:instrText xml:space="preserve"> PAGEREF _Toc49156982 \h </w:instrText>
        </w:r>
        <w:r w:rsidR="00F62613">
          <w:rPr>
            <w:noProof/>
            <w:webHidden/>
          </w:rPr>
        </w:r>
        <w:r w:rsidR="00F62613">
          <w:rPr>
            <w:noProof/>
            <w:webHidden/>
          </w:rPr>
          <w:fldChar w:fldCharType="separate"/>
        </w:r>
        <w:r>
          <w:rPr>
            <w:noProof/>
            <w:webHidden/>
          </w:rPr>
          <w:t>16</w:t>
        </w:r>
        <w:r w:rsidR="00F62613">
          <w:rPr>
            <w:noProof/>
            <w:webHidden/>
          </w:rPr>
          <w:fldChar w:fldCharType="end"/>
        </w:r>
      </w:hyperlink>
    </w:p>
    <w:p w14:paraId="4BB2CAE6" w14:textId="6CEF035A" w:rsidR="00F62613" w:rsidRDefault="003D516F">
      <w:pPr>
        <w:pStyle w:val="TableofFigures"/>
        <w:tabs>
          <w:tab w:val="right" w:leader="dot" w:pos="9465"/>
        </w:tabs>
        <w:rPr>
          <w:rFonts w:asciiTheme="minorHAnsi" w:eastAsiaTheme="minorEastAsia" w:hAnsiTheme="minorHAnsi"/>
          <w:noProof/>
          <w:sz w:val="22"/>
          <w:lang w:eastAsia="en-AU"/>
        </w:rPr>
      </w:pPr>
      <w:hyperlink w:anchor="_Toc49156983" w:history="1">
        <w:r w:rsidR="00F62613" w:rsidRPr="000E65F6">
          <w:rPr>
            <w:rStyle w:val="Hyperlink"/>
            <w:rFonts w:ascii="Segoe UI Semibold" w:hAnsi="Segoe UI Semibold"/>
            <w:noProof/>
          </w:rPr>
          <w:t>Figure 11 Regulatory options</w:t>
        </w:r>
        <w:r w:rsidR="00F62613">
          <w:rPr>
            <w:noProof/>
            <w:webHidden/>
          </w:rPr>
          <w:tab/>
        </w:r>
        <w:r w:rsidR="00F62613">
          <w:rPr>
            <w:noProof/>
            <w:webHidden/>
          </w:rPr>
          <w:fldChar w:fldCharType="begin"/>
        </w:r>
        <w:r w:rsidR="00F62613">
          <w:rPr>
            <w:noProof/>
            <w:webHidden/>
          </w:rPr>
          <w:instrText xml:space="preserve"> PAGEREF _Toc49156983 \h </w:instrText>
        </w:r>
        <w:r w:rsidR="00F62613">
          <w:rPr>
            <w:noProof/>
            <w:webHidden/>
          </w:rPr>
        </w:r>
        <w:r w:rsidR="00F62613">
          <w:rPr>
            <w:noProof/>
            <w:webHidden/>
          </w:rPr>
          <w:fldChar w:fldCharType="separate"/>
        </w:r>
        <w:r>
          <w:rPr>
            <w:noProof/>
            <w:webHidden/>
          </w:rPr>
          <w:t>18</w:t>
        </w:r>
        <w:r w:rsidR="00F62613">
          <w:rPr>
            <w:noProof/>
            <w:webHidden/>
          </w:rPr>
          <w:fldChar w:fldCharType="end"/>
        </w:r>
      </w:hyperlink>
    </w:p>
    <w:p w14:paraId="4A3BE1B3" w14:textId="71BF239A" w:rsidR="00F6484E" w:rsidRDefault="00F6484E" w:rsidP="00803C44">
      <w:pPr>
        <w:pStyle w:val="Normaldisclaimerpage"/>
      </w:pPr>
      <w:r>
        <w:fldChar w:fldCharType="end"/>
      </w:r>
    </w:p>
    <w:p w14:paraId="47DBABCC" w14:textId="361AB43A" w:rsidR="00C77F2D" w:rsidRDefault="00F6484E">
      <w:pPr>
        <w:pStyle w:val="TableofFigures"/>
        <w:tabs>
          <w:tab w:val="right" w:leader="dot" w:pos="9465"/>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48924153" w:history="1">
        <w:r w:rsidR="00C77F2D" w:rsidRPr="003F000E">
          <w:rPr>
            <w:rStyle w:val="Hyperlink"/>
            <w:rFonts w:ascii="Segoe UI Semibold" w:hAnsi="Segoe UI Semibold"/>
            <w:noProof/>
          </w:rPr>
          <w:t>Table 1 Technology architecture solutions</w:t>
        </w:r>
        <w:r w:rsidR="00C77F2D">
          <w:rPr>
            <w:noProof/>
            <w:webHidden/>
          </w:rPr>
          <w:tab/>
        </w:r>
        <w:r w:rsidR="00C77F2D">
          <w:rPr>
            <w:noProof/>
            <w:webHidden/>
          </w:rPr>
          <w:fldChar w:fldCharType="begin"/>
        </w:r>
        <w:r w:rsidR="00C77F2D">
          <w:rPr>
            <w:noProof/>
            <w:webHidden/>
          </w:rPr>
          <w:instrText xml:space="preserve"> PAGEREF _Toc48924153 \h </w:instrText>
        </w:r>
        <w:r w:rsidR="00C77F2D">
          <w:rPr>
            <w:noProof/>
            <w:webHidden/>
          </w:rPr>
        </w:r>
        <w:r w:rsidR="00C77F2D">
          <w:rPr>
            <w:noProof/>
            <w:webHidden/>
          </w:rPr>
          <w:fldChar w:fldCharType="separate"/>
        </w:r>
        <w:r w:rsidR="0004183F">
          <w:rPr>
            <w:noProof/>
            <w:webHidden/>
          </w:rPr>
          <w:t>14</w:t>
        </w:r>
        <w:r w:rsidR="00C77F2D">
          <w:rPr>
            <w:noProof/>
            <w:webHidden/>
          </w:rPr>
          <w:fldChar w:fldCharType="end"/>
        </w:r>
      </w:hyperlink>
    </w:p>
    <w:p w14:paraId="60AE4BF9" w14:textId="304450C7" w:rsidR="00F6484E" w:rsidRDefault="00F6484E" w:rsidP="00803C44">
      <w:pPr>
        <w:pStyle w:val="Normaldisclaimerpage"/>
      </w:pPr>
      <w:r>
        <w:fldChar w:fldCharType="end"/>
      </w:r>
    </w:p>
    <w:p w14:paraId="586E92C3" w14:textId="77777777" w:rsidR="00F6484E" w:rsidRDefault="00F6484E" w:rsidP="00803C44">
      <w:pPr>
        <w:pStyle w:val="Normaldisclaimerpage"/>
        <w:sectPr w:rsidR="00F6484E" w:rsidSect="002F1A23">
          <w:headerReference w:type="even" r:id="rId17"/>
          <w:headerReference w:type="default" r:id="rId18"/>
          <w:headerReference w:type="first" r:id="rId19"/>
          <w:type w:val="continuous"/>
          <w:pgSz w:w="11906" w:h="16838"/>
          <w:pgMar w:top="2268" w:right="991" w:bottom="1276" w:left="1440" w:header="0" w:footer="397" w:gutter="0"/>
          <w:cols w:space="708"/>
          <w:docGrid w:linePitch="360"/>
        </w:sectPr>
      </w:pPr>
    </w:p>
    <w:p w14:paraId="0E3356A0" w14:textId="7B413E3C" w:rsidR="00876473" w:rsidRDefault="00F06F60" w:rsidP="00883DB6">
      <w:pPr>
        <w:pStyle w:val="Heading2"/>
        <w:keepLines/>
        <w:pageBreakBefore/>
        <w:numPr>
          <w:ilvl w:val="1"/>
          <w:numId w:val="0"/>
        </w:numPr>
        <w:tabs>
          <w:tab w:val="num" w:pos="850"/>
        </w:tabs>
        <w:kinsoku w:val="0"/>
        <w:overflowPunct w:val="0"/>
        <w:autoSpaceDE w:val="0"/>
        <w:autoSpaceDN w:val="0"/>
        <w:adjustRightInd w:val="0"/>
        <w:snapToGrid w:val="0"/>
        <w:spacing w:before="0" w:after="180" w:line="640" w:lineRule="atLeast"/>
        <w:ind w:left="850" w:hanging="850"/>
      </w:pPr>
      <w:bookmarkStart w:id="1" w:name="_Toc48924106"/>
      <w:r>
        <w:lastRenderedPageBreak/>
        <w:t>Introduction</w:t>
      </w:r>
      <w:bookmarkEnd w:id="1"/>
    </w:p>
    <w:p w14:paraId="25B3253A" w14:textId="627301ED" w:rsidR="3D0E6400" w:rsidRDefault="3D0E6400" w:rsidP="67961391">
      <w:pPr>
        <w:rPr>
          <w:rFonts w:eastAsia="Arial" w:cs="Segoe UI"/>
        </w:rPr>
      </w:pPr>
      <w:bookmarkStart w:id="2" w:name="_Toc47099996"/>
      <w:r>
        <w:t xml:space="preserve">The Department </w:t>
      </w:r>
      <w:r w:rsidRPr="67961391">
        <w:rPr>
          <w:rFonts w:cs="Segoe UI"/>
        </w:rPr>
        <w:t xml:space="preserve">of Infrastructure, Transport, Regional Development and Communications (DITRDC) is leading </w:t>
      </w:r>
      <w:r w:rsidR="00D656F8">
        <w:rPr>
          <w:rFonts w:cs="Segoe UI"/>
        </w:rPr>
        <w:t>a</w:t>
      </w:r>
      <w:r w:rsidR="00D656F8" w:rsidRPr="67961391">
        <w:rPr>
          <w:rFonts w:cs="Segoe UI"/>
        </w:rPr>
        <w:t xml:space="preserve"> </w:t>
      </w:r>
      <w:r w:rsidRPr="67961391">
        <w:rPr>
          <w:rFonts w:cs="Segoe UI"/>
        </w:rPr>
        <w:t xml:space="preserve">process to </w:t>
      </w:r>
      <w:r w:rsidR="00D656F8">
        <w:rPr>
          <w:rFonts w:cs="Segoe UI"/>
        </w:rPr>
        <w:t xml:space="preserve">settle the </w:t>
      </w:r>
      <w:r w:rsidRPr="67961391">
        <w:rPr>
          <w:rFonts w:cs="Segoe UI"/>
        </w:rPr>
        <w:t xml:space="preserve">design </w:t>
      </w:r>
      <w:r w:rsidR="00D656F8">
        <w:rPr>
          <w:rFonts w:cs="Segoe UI"/>
        </w:rPr>
        <w:t xml:space="preserve">of </w:t>
      </w:r>
      <w:r w:rsidR="00F06F60">
        <w:rPr>
          <w:rFonts w:cs="Segoe UI"/>
        </w:rPr>
        <w:t xml:space="preserve">a National Freight Data </w:t>
      </w:r>
      <w:r w:rsidRPr="67961391">
        <w:rPr>
          <w:rFonts w:cs="Segoe UI"/>
        </w:rPr>
        <w:t>Hub</w:t>
      </w:r>
      <w:r w:rsidR="00500851">
        <w:rPr>
          <w:rFonts w:cs="Segoe UI"/>
        </w:rPr>
        <w:t>. The Hub</w:t>
      </w:r>
      <w:r w:rsidRPr="67961391">
        <w:rPr>
          <w:rFonts w:cs="Segoe UI"/>
        </w:rPr>
        <w:t xml:space="preserve"> will enable freight data </w:t>
      </w:r>
      <w:r w:rsidR="0581F378" w:rsidRPr="67961391">
        <w:rPr>
          <w:rFonts w:cs="Segoe UI"/>
        </w:rPr>
        <w:t>creators</w:t>
      </w:r>
      <w:r w:rsidRPr="67961391">
        <w:rPr>
          <w:rFonts w:cs="Segoe UI"/>
        </w:rPr>
        <w:t xml:space="preserve">, data owners and data users to more easily and securely access and share </w:t>
      </w:r>
      <w:r w:rsidR="005D4F61">
        <w:rPr>
          <w:rFonts w:cs="Segoe UI"/>
        </w:rPr>
        <w:t xml:space="preserve">freight </w:t>
      </w:r>
      <w:r w:rsidRPr="67961391">
        <w:rPr>
          <w:rFonts w:cs="Segoe UI"/>
        </w:rPr>
        <w:t xml:space="preserve">data. </w:t>
      </w:r>
      <w:r w:rsidR="005D4F61">
        <w:rPr>
          <w:rFonts w:cs="Segoe UI"/>
        </w:rPr>
        <w:t>Better access to robust freight data will help</w:t>
      </w:r>
      <w:r w:rsidRPr="67961391">
        <w:rPr>
          <w:rFonts w:cs="Segoe UI"/>
        </w:rPr>
        <w:t xml:space="preserve"> businesses, governments and researchers </w:t>
      </w:r>
      <w:r w:rsidR="00500851">
        <w:rPr>
          <w:rFonts w:cs="Segoe UI"/>
        </w:rPr>
        <w:t>make</w:t>
      </w:r>
      <w:r w:rsidR="005D4F61">
        <w:rPr>
          <w:rFonts w:cs="Segoe UI"/>
        </w:rPr>
        <w:t xml:space="preserve"> data-</w:t>
      </w:r>
      <w:r w:rsidR="00500851">
        <w:rPr>
          <w:rFonts w:cs="Segoe UI"/>
        </w:rPr>
        <w:t xml:space="preserve">driven </w:t>
      </w:r>
      <w:r w:rsidR="005D4F61">
        <w:rPr>
          <w:rFonts w:cs="Segoe UI"/>
        </w:rPr>
        <w:t>insights to solve</w:t>
      </w:r>
      <w:r w:rsidR="005D4F61" w:rsidRPr="67961391">
        <w:rPr>
          <w:rFonts w:cs="Segoe UI"/>
        </w:rPr>
        <w:t xml:space="preserve"> </w:t>
      </w:r>
      <w:r w:rsidRPr="67961391">
        <w:rPr>
          <w:rFonts w:cs="Segoe UI"/>
        </w:rPr>
        <w:t>business challenges.</w:t>
      </w:r>
      <w:r w:rsidRPr="67961391">
        <w:rPr>
          <w:rStyle w:val="FootnoteReference"/>
          <w:rFonts w:eastAsia="Arial" w:cs="Segoe UI"/>
        </w:rPr>
        <w:t xml:space="preserve"> </w:t>
      </w:r>
    </w:p>
    <w:p w14:paraId="19BA1319" w14:textId="67A04DA0" w:rsidR="3D0E6400" w:rsidRDefault="3D0E6400" w:rsidP="4A653837">
      <w:pPr>
        <w:pStyle w:val="Heading3"/>
      </w:pPr>
      <w:bookmarkStart w:id="3" w:name="_Toc48924107"/>
      <w:r>
        <w:t>Purpose of this paper</w:t>
      </w:r>
      <w:bookmarkEnd w:id="3"/>
    </w:p>
    <w:p w14:paraId="38117F84" w14:textId="3CE46894" w:rsidR="002005E5" w:rsidRDefault="4383C394" w:rsidP="00883DB6">
      <w:r>
        <w:t xml:space="preserve">This paper builds on the discussion paper released by DITRDC in December 2019 </w:t>
      </w:r>
      <w:r w:rsidR="002005E5">
        <w:t>(</w:t>
      </w:r>
      <w:hyperlink r:id="rId20" w:history="1">
        <w:r w:rsidRPr="00592E14">
          <w:rPr>
            <w:rStyle w:val="Hyperlink"/>
            <w:i/>
            <w:iCs/>
          </w:rPr>
          <w:t>National Freight Data Hub: Discussion Paper 1</w:t>
        </w:r>
      </w:hyperlink>
      <w:r w:rsidR="002005E5">
        <w:t>)</w:t>
      </w:r>
      <w:r>
        <w:t xml:space="preserve"> that </w:t>
      </w:r>
      <w:r w:rsidR="657AE839">
        <w:t xml:space="preserve">sought feedback </w:t>
      </w:r>
      <w:r w:rsidR="00D80AE3">
        <w:t>on</w:t>
      </w:r>
      <w:r w:rsidR="0C834D2F">
        <w:t xml:space="preserve"> the</w:t>
      </w:r>
      <w:r>
        <w:t xml:space="preserve"> </w:t>
      </w:r>
      <w:r w:rsidR="0A42A7B9">
        <w:t xml:space="preserve">freight data </w:t>
      </w:r>
      <w:r>
        <w:t>that should be included</w:t>
      </w:r>
      <w:r w:rsidR="7C1C67BD">
        <w:t xml:space="preserve"> in the Hub</w:t>
      </w:r>
      <w:r>
        <w:t xml:space="preserve">, </w:t>
      </w:r>
      <w:r w:rsidR="72E567CC">
        <w:t>together with</w:t>
      </w:r>
      <w:r>
        <w:t xml:space="preserve"> considerations for sharing data and data products</w:t>
      </w:r>
      <w:r w:rsidR="74D8B153">
        <w:t>.</w:t>
      </w:r>
      <w:r w:rsidR="006A0D31">
        <w:rPr>
          <w:rStyle w:val="FootnoteReference"/>
        </w:rPr>
        <w:footnoteReference w:id="2"/>
      </w:r>
      <w:r w:rsidR="74D8B153">
        <w:t xml:space="preserve"> </w:t>
      </w:r>
      <w:bookmarkEnd w:id="2"/>
    </w:p>
    <w:p w14:paraId="667A45B1" w14:textId="24D5750D" w:rsidR="00463911" w:rsidRDefault="7A87EFDF" w:rsidP="00D656F8">
      <w:r>
        <w:t>Th</w:t>
      </w:r>
      <w:r w:rsidR="0BB6D884">
        <w:t>e</w:t>
      </w:r>
      <w:r>
        <w:t xml:space="preserve"> purpose of this </w:t>
      </w:r>
      <w:r w:rsidR="005709DC">
        <w:t>Options D</w:t>
      </w:r>
      <w:r>
        <w:t xml:space="preserve">iscussion </w:t>
      </w:r>
      <w:r w:rsidR="005709DC">
        <w:t>P</w:t>
      </w:r>
      <w:r>
        <w:t xml:space="preserve">aper is to </w:t>
      </w:r>
      <w:r w:rsidR="00283E29">
        <w:t xml:space="preserve">share progress on the design elements of the </w:t>
      </w:r>
      <w:r w:rsidR="000B32CA">
        <w:t>Hub and</w:t>
      </w:r>
      <w:r w:rsidR="00283E29">
        <w:t xml:space="preserve"> gather input</w:t>
      </w:r>
      <w:r w:rsidR="00FB0BDF">
        <w:t xml:space="preserve"> on</w:t>
      </w:r>
      <w:r w:rsidR="005709DC">
        <w:t xml:space="preserve"> possible</w:t>
      </w:r>
      <w:r w:rsidR="00FB0BDF">
        <w:t xml:space="preserve"> models and structures</w:t>
      </w:r>
      <w:r w:rsidR="00283E29">
        <w:t xml:space="preserve"> to inform the </w:t>
      </w:r>
      <w:r w:rsidR="00FB0BDF">
        <w:t>b</w:t>
      </w:r>
      <w:r w:rsidR="00283E29">
        <w:t xml:space="preserve">usiness </w:t>
      </w:r>
      <w:r w:rsidR="00FB0BDF">
        <w:t>c</w:t>
      </w:r>
      <w:r w:rsidR="00283E29">
        <w:t>ase</w:t>
      </w:r>
      <w:r w:rsidR="00D656F8">
        <w:t xml:space="preserve"> and roadmap for implementation</w:t>
      </w:r>
      <w:r>
        <w:t>.</w:t>
      </w:r>
    </w:p>
    <w:p w14:paraId="43EFAB90" w14:textId="77777777" w:rsidR="006E5483" w:rsidRDefault="006E5483" w:rsidP="006E5483">
      <w:pPr>
        <w:rPr>
          <w:rFonts w:cs="Segoe UI"/>
        </w:rPr>
      </w:pPr>
      <w:r w:rsidRPr="67961391">
        <w:rPr>
          <w:rFonts w:cs="Segoe UI"/>
        </w:rPr>
        <w:t xml:space="preserve">PricewaterhouseCoopers Consulting (Australia) Pty Limited (PwC) is supporting DITRDC </w:t>
      </w:r>
      <w:r>
        <w:rPr>
          <w:rFonts w:cs="Segoe UI"/>
        </w:rPr>
        <w:t>to settle the design of the National Freight Data Hub, and an implementation roadmap.</w:t>
      </w:r>
    </w:p>
    <w:p w14:paraId="34236F83" w14:textId="76DCBC5E" w:rsidR="00502F73" w:rsidRPr="009251A6" w:rsidRDefault="00D51FE7" w:rsidP="00460441">
      <w:pPr>
        <w:pStyle w:val="Heading3"/>
      </w:pPr>
      <w:bookmarkStart w:id="4" w:name="_Toc48924108"/>
      <w:r>
        <w:t>Designing a</w:t>
      </w:r>
      <w:r w:rsidR="00502F73" w:rsidRPr="009251A6">
        <w:t xml:space="preserve"> National Freight </w:t>
      </w:r>
      <w:r w:rsidR="00BF6B75">
        <w:t>Data Hub</w:t>
      </w:r>
      <w:bookmarkEnd w:id="4"/>
    </w:p>
    <w:p w14:paraId="7AAD0A16" w14:textId="309DE3E7" w:rsidR="00D25727" w:rsidRDefault="00F204F8" w:rsidP="7342E18F">
      <w:pPr>
        <w:rPr>
          <w:color w:val="000000" w:themeColor="text1"/>
          <w:lang w:eastAsia="en-AU"/>
        </w:rPr>
      </w:pPr>
      <w:r>
        <w:rPr>
          <w:color w:val="000000" w:themeColor="text1"/>
          <w:lang w:eastAsia="en-AU"/>
        </w:rPr>
        <w:t xml:space="preserve">Consultation with </w:t>
      </w:r>
      <w:r w:rsidR="6B185788" w:rsidRPr="0080525D">
        <w:rPr>
          <w:color w:val="000000" w:themeColor="text1"/>
          <w:lang w:eastAsia="en-AU"/>
        </w:rPr>
        <w:t>industry, governments and other stakeholders</w:t>
      </w:r>
      <w:r w:rsidR="6B185788" w:rsidRPr="7342E18F">
        <w:rPr>
          <w:color w:val="000000" w:themeColor="text1"/>
          <w:lang w:eastAsia="en-AU"/>
        </w:rPr>
        <w:t xml:space="preserve"> </w:t>
      </w:r>
      <w:r w:rsidR="00590428">
        <w:rPr>
          <w:color w:val="000000" w:themeColor="text1"/>
          <w:lang w:eastAsia="en-AU"/>
        </w:rPr>
        <w:t>ha</w:t>
      </w:r>
      <w:r w:rsidR="00F43875">
        <w:rPr>
          <w:color w:val="000000" w:themeColor="text1"/>
          <w:lang w:eastAsia="en-AU"/>
        </w:rPr>
        <w:t>s</w:t>
      </w:r>
      <w:r w:rsidR="00590428">
        <w:rPr>
          <w:color w:val="000000" w:themeColor="text1"/>
          <w:lang w:eastAsia="en-AU"/>
        </w:rPr>
        <w:t xml:space="preserve"> </w:t>
      </w:r>
      <w:r w:rsidR="00F43875">
        <w:rPr>
          <w:color w:val="000000" w:themeColor="text1"/>
          <w:lang w:eastAsia="en-AU"/>
        </w:rPr>
        <w:t>defined</w:t>
      </w:r>
      <w:r w:rsidR="00590428">
        <w:rPr>
          <w:color w:val="000000" w:themeColor="text1"/>
          <w:lang w:eastAsia="en-AU"/>
        </w:rPr>
        <w:t xml:space="preserve"> </w:t>
      </w:r>
      <w:r w:rsidR="00D901BD">
        <w:rPr>
          <w:color w:val="000000" w:themeColor="text1"/>
          <w:lang w:eastAsia="en-AU"/>
        </w:rPr>
        <w:t xml:space="preserve">a set of foundational ‘enduring questions’, and </w:t>
      </w:r>
      <w:r w:rsidR="00D25727">
        <w:rPr>
          <w:color w:val="000000" w:themeColor="text1"/>
          <w:lang w:eastAsia="en-AU"/>
        </w:rPr>
        <w:t>three high level</w:t>
      </w:r>
      <w:r w:rsidR="00EB6D53">
        <w:rPr>
          <w:color w:val="000000" w:themeColor="text1"/>
          <w:lang w:eastAsia="en-AU"/>
        </w:rPr>
        <w:t xml:space="preserve"> functions for</w:t>
      </w:r>
      <w:r w:rsidR="02CAF61F" w:rsidRPr="7342E18F">
        <w:rPr>
          <w:color w:val="000000" w:themeColor="text1"/>
          <w:lang w:eastAsia="en-AU"/>
        </w:rPr>
        <w:t xml:space="preserve"> the Hub</w:t>
      </w:r>
      <w:r w:rsidR="00D25727">
        <w:rPr>
          <w:color w:val="000000" w:themeColor="text1"/>
          <w:lang w:eastAsia="en-AU"/>
        </w:rPr>
        <w:t>:</w:t>
      </w:r>
    </w:p>
    <w:p w14:paraId="344EC18B" w14:textId="36840C82" w:rsidR="00D25727" w:rsidRPr="00590428" w:rsidRDefault="00D25727" w:rsidP="00BC5E29">
      <w:pPr>
        <w:pStyle w:val="ListParagraph"/>
        <w:numPr>
          <w:ilvl w:val="0"/>
          <w:numId w:val="6"/>
        </w:numPr>
        <w:rPr>
          <w:color w:val="000000" w:themeColor="text1"/>
          <w:lang w:eastAsia="en-AU"/>
        </w:rPr>
      </w:pPr>
      <w:r w:rsidRPr="00590428">
        <w:rPr>
          <w:color w:val="000000" w:themeColor="text1"/>
          <w:lang w:eastAsia="en-AU"/>
        </w:rPr>
        <w:t xml:space="preserve">Open </w:t>
      </w:r>
      <w:r w:rsidR="00DB498E">
        <w:rPr>
          <w:color w:val="000000" w:themeColor="text1"/>
          <w:lang w:eastAsia="en-AU"/>
        </w:rPr>
        <w:t>d</w:t>
      </w:r>
      <w:r w:rsidRPr="00590428">
        <w:rPr>
          <w:color w:val="000000" w:themeColor="text1"/>
          <w:lang w:eastAsia="en-AU"/>
        </w:rPr>
        <w:t>ata</w:t>
      </w:r>
    </w:p>
    <w:p w14:paraId="59FA9897" w14:textId="02E0BAF6" w:rsidR="00D25727" w:rsidRPr="00590428" w:rsidRDefault="00D25727" w:rsidP="00BC5E29">
      <w:pPr>
        <w:pStyle w:val="ListParagraph"/>
        <w:numPr>
          <w:ilvl w:val="0"/>
          <w:numId w:val="6"/>
        </w:numPr>
        <w:rPr>
          <w:color w:val="000000" w:themeColor="text1"/>
          <w:lang w:eastAsia="en-AU"/>
        </w:rPr>
      </w:pPr>
      <w:r w:rsidRPr="00590428">
        <w:rPr>
          <w:color w:val="000000" w:themeColor="text1"/>
          <w:lang w:eastAsia="en-AU"/>
        </w:rPr>
        <w:t xml:space="preserve">Data </w:t>
      </w:r>
      <w:r w:rsidR="00DB498E">
        <w:rPr>
          <w:color w:val="000000" w:themeColor="text1"/>
          <w:lang w:eastAsia="en-AU"/>
        </w:rPr>
        <w:t>e</w:t>
      </w:r>
      <w:r w:rsidRPr="00590428">
        <w:rPr>
          <w:color w:val="000000" w:themeColor="text1"/>
          <w:lang w:eastAsia="en-AU"/>
        </w:rPr>
        <w:t>xchange</w:t>
      </w:r>
    </w:p>
    <w:p w14:paraId="5076DC27" w14:textId="027119C8" w:rsidR="00D25727" w:rsidRPr="00590428" w:rsidRDefault="00D25727" w:rsidP="00BC5E29">
      <w:pPr>
        <w:pStyle w:val="ListParagraph"/>
        <w:numPr>
          <w:ilvl w:val="0"/>
          <w:numId w:val="6"/>
        </w:numPr>
        <w:rPr>
          <w:color w:val="000000" w:themeColor="text1"/>
          <w:lang w:eastAsia="en-AU"/>
        </w:rPr>
      </w:pPr>
      <w:r w:rsidRPr="00590428">
        <w:rPr>
          <w:color w:val="000000" w:themeColor="text1"/>
          <w:lang w:eastAsia="en-AU"/>
        </w:rPr>
        <w:t xml:space="preserve">Leadership and </w:t>
      </w:r>
      <w:r w:rsidR="00DB498E">
        <w:rPr>
          <w:color w:val="000000" w:themeColor="text1"/>
          <w:lang w:eastAsia="en-AU"/>
        </w:rPr>
        <w:t>i</w:t>
      </w:r>
      <w:r w:rsidRPr="00590428">
        <w:rPr>
          <w:color w:val="000000" w:themeColor="text1"/>
          <w:lang w:eastAsia="en-AU"/>
        </w:rPr>
        <w:t>nnovation</w:t>
      </w:r>
    </w:p>
    <w:p w14:paraId="1023209C" w14:textId="3F4BAC7C" w:rsidR="008167A0" w:rsidRDefault="00590428" w:rsidP="7342E18F">
      <w:pPr>
        <w:rPr>
          <w:color w:val="000000" w:themeColor="text1"/>
          <w:lang w:eastAsia="en-AU"/>
        </w:rPr>
      </w:pPr>
      <w:r w:rsidRPr="615DC235">
        <w:rPr>
          <w:color w:val="000000" w:themeColor="text1"/>
          <w:lang w:eastAsia="en-AU"/>
        </w:rPr>
        <w:t>Stakeholders have also articulated three</w:t>
      </w:r>
      <w:r w:rsidR="02CAF61F" w:rsidRPr="615DC235">
        <w:rPr>
          <w:color w:val="000000" w:themeColor="text1"/>
          <w:lang w:eastAsia="en-AU"/>
        </w:rPr>
        <w:t xml:space="preserve"> key problems to be solved by the Hub</w:t>
      </w:r>
      <w:r w:rsidRPr="615DC235">
        <w:rPr>
          <w:color w:val="000000" w:themeColor="text1"/>
          <w:lang w:eastAsia="en-AU"/>
        </w:rPr>
        <w:t>,</w:t>
      </w:r>
      <w:r w:rsidR="1E9F5622" w:rsidRPr="615DC235">
        <w:rPr>
          <w:color w:val="000000" w:themeColor="text1"/>
          <w:lang w:eastAsia="en-AU"/>
        </w:rPr>
        <w:t xml:space="preserve"> outlined in </w:t>
      </w:r>
      <w:r w:rsidR="003C011D" w:rsidRPr="00803C44">
        <w:rPr>
          <w:rFonts w:ascii="Segoe UI Semibold" w:hAnsi="Segoe UI Semibold"/>
          <w:color w:val="002D72"/>
          <w:sz w:val="20"/>
        </w:rPr>
        <w:fldChar w:fldCharType="begin"/>
      </w:r>
      <w:r w:rsidR="003C011D" w:rsidRPr="00803C44">
        <w:rPr>
          <w:rFonts w:ascii="Segoe UI Semibold" w:hAnsi="Segoe UI Semibold"/>
          <w:color w:val="002D72"/>
          <w:sz w:val="20"/>
        </w:rPr>
        <w:instrText xml:space="preserve"> REF _Ref48745249 \h </w:instrText>
      </w:r>
      <w:r w:rsidR="00CC382C">
        <w:rPr>
          <w:rFonts w:ascii="Segoe UI Semibold" w:hAnsi="Segoe UI Semibold"/>
          <w:color w:val="002D72"/>
          <w:sz w:val="20"/>
        </w:rPr>
        <w:instrText xml:space="preserve"> \* MERGEFORMAT </w:instrText>
      </w:r>
      <w:r w:rsidR="003C011D" w:rsidRPr="00803C44">
        <w:rPr>
          <w:rFonts w:ascii="Segoe UI Semibold" w:hAnsi="Segoe UI Semibold"/>
          <w:color w:val="002D72"/>
          <w:sz w:val="20"/>
        </w:rPr>
      </w:r>
      <w:r w:rsidR="003C011D" w:rsidRPr="00803C44">
        <w:rPr>
          <w:rFonts w:ascii="Segoe UI Semibold" w:hAnsi="Segoe UI Semibold"/>
          <w:color w:val="002D72"/>
          <w:sz w:val="20"/>
        </w:rPr>
        <w:fldChar w:fldCharType="separate"/>
      </w:r>
      <w:r w:rsidR="003C011D" w:rsidRPr="00803C44">
        <w:rPr>
          <w:rFonts w:ascii="Segoe UI Semibold" w:hAnsi="Segoe UI Semibold"/>
          <w:color w:val="002D72"/>
          <w:sz w:val="20"/>
        </w:rPr>
        <w:t>Figure 1</w:t>
      </w:r>
      <w:r w:rsidR="003C011D" w:rsidRPr="00803C44">
        <w:rPr>
          <w:rFonts w:ascii="Segoe UI Semibold" w:hAnsi="Segoe UI Semibold"/>
          <w:color w:val="002D72"/>
          <w:sz w:val="20"/>
        </w:rPr>
        <w:fldChar w:fldCharType="end"/>
      </w:r>
      <w:r w:rsidR="1E9F5622" w:rsidRPr="615DC235">
        <w:rPr>
          <w:color w:val="000000" w:themeColor="text1"/>
          <w:lang w:eastAsia="en-AU"/>
        </w:rPr>
        <w:t>.</w:t>
      </w:r>
    </w:p>
    <w:p w14:paraId="4A7A95A9" w14:textId="67638930" w:rsidR="000A2033" w:rsidRPr="00803C44" w:rsidRDefault="00876473" w:rsidP="00803C44">
      <w:pPr>
        <w:pStyle w:val="Caption"/>
        <w:rPr>
          <w:rFonts w:ascii="Segoe UI Semibold" w:eastAsiaTheme="minorHAnsi" w:hAnsi="Segoe UI Semibold" w:cstheme="minorBidi"/>
          <w:bCs w:val="0"/>
          <w:snapToGrid/>
          <w:color w:val="002D72"/>
          <w:sz w:val="20"/>
          <w:szCs w:val="22"/>
        </w:rPr>
      </w:pPr>
      <w:bookmarkStart w:id="5" w:name="_Ref48745249"/>
      <w:bookmarkStart w:id="6" w:name="_Toc48657207"/>
      <w:bookmarkStart w:id="7" w:name="_Toc49156973"/>
      <w:r w:rsidRPr="00803C44">
        <w:rPr>
          <w:rFonts w:ascii="Segoe UI Semibold" w:eastAsiaTheme="minorHAnsi" w:hAnsi="Segoe UI Semibold" w:cstheme="minorBidi"/>
          <w:bCs w:val="0"/>
          <w:snapToGrid/>
          <w:color w:val="002D72"/>
          <w:sz w:val="20"/>
          <w:szCs w:val="22"/>
        </w:rPr>
        <w:t xml:space="preserve">Figure </w:t>
      </w:r>
      <w:r w:rsidR="00831F24" w:rsidRPr="00803C44">
        <w:rPr>
          <w:rFonts w:ascii="Segoe UI Semibold" w:eastAsiaTheme="minorHAnsi" w:hAnsi="Segoe UI Semibold" w:cstheme="minorBidi"/>
          <w:bCs w:val="0"/>
          <w:snapToGrid/>
          <w:color w:val="002D72"/>
          <w:sz w:val="20"/>
          <w:szCs w:val="22"/>
        </w:rPr>
        <w:fldChar w:fldCharType="begin"/>
      </w:r>
      <w:r w:rsidR="00831F24" w:rsidRPr="00803C44">
        <w:rPr>
          <w:rFonts w:ascii="Segoe UI Semibold" w:eastAsiaTheme="minorHAnsi" w:hAnsi="Segoe UI Semibold" w:cstheme="minorBidi"/>
          <w:bCs w:val="0"/>
          <w:snapToGrid/>
          <w:color w:val="002D72"/>
          <w:sz w:val="20"/>
          <w:szCs w:val="22"/>
        </w:rPr>
        <w:instrText xml:space="preserve"> SEQ Figure \* ARABIC </w:instrText>
      </w:r>
      <w:r w:rsidR="00831F24" w:rsidRPr="00803C44">
        <w:rPr>
          <w:rFonts w:ascii="Segoe UI Semibold" w:eastAsiaTheme="minorHAnsi" w:hAnsi="Segoe UI Semibold" w:cstheme="minorBidi"/>
          <w:bCs w:val="0"/>
          <w:snapToGrid/>
          <w:color w:val="002D72"/>
          <w:sz w:val="20"/>
          <w:szCs w:val="22"/>
        </w:rPr>
        <w:fldChar w:fldCharType="separate"/>
      </w:r>
      <w:r w:rsidR="007E6855">
        <w:rPr>
          <w:rFonts w:ascii="Segoe UI Semibold" w:eastAsiaTheme="minorHAnsi" w:hAnsi="Segoe UI Semibold" w:cstheme="minorBidi"/>
          <w:bCs w:val="0"/>
          <w:noProof/>
          <w:snapToGrid/>
          <w:color w:val="002D72"/>
          <w:sz w:val="20"/>
          <w:szCs w:val="22"/>
        </w:rPr>
        <w:t>1</w:t>
      </w:r>
      <w:r w:rsidR="00831F24" w:rsidRPr="00803C44">
        <w:rPr>
          <w:rFonts w:ascii="Segoe UI Semibold" w:eastAsiaTheme="minorHAnsi" w:hAnsi="Segoe UI Semibold" w:cstheme="minorBidi"/>
          <w:bCs w:val="0"/>
          <w:snapToGrid/>
          <w:color w:val="002D72"/>
          <w:sz w:val="20"/>
          <w:szCs w:val="22"/>
        </w:rPr>
        <w:fldChar w:fldCharType="end"/>
      </w:r>
      <w:bookmarkEnd w:id="5"/>
      <w:r w:rsidRPr="00803C44">
        <w:rPr>
          <w:rFonts w:ascii="Segoe UI Semibold" w:eastAsiaTheme="minorHAnsi" w:hAnsi="Segoe UI Semibold" w:cstheme="minorBidi"/>
          <w:bCs w:val="0"/>
          <w:snapToGrid/>
          <w:color w:val="002D72"/>
          <w:sz w:val="20"/>
          <w:szCs w:val="22"/>
        </w:rPr>
        <w:t xml:space="preserve"> Problem statement</w:t>
      </w:r>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7"/>
        <w:gridCol w:w="4737"/>
      </w:tblGrid>
      <w:tr w:rsidR="000A2033" w14:paraId="5C9FFD6B" w14:textId="77777777" w:rsidTr="00513728">
        <w:tc>
          <w:tcPr>
            <w:tcW w:w="4737" w:type="dxa"/>
          </w:tcPr>
          <w:p w14:paraId="62DB3222" w14:textId="5BC690F6" w:rsidR="000A2033" w:rsidRDefault="00625BE5" w:rsidP="002005E5">
            <w:pPr>
              <w:pStyle w:val="Tablefigureheading"/>
              <w:numPr>
                <w:ilvl w:val="0"/>
                <w:numId w:val="0"/>
              </w:numPr>
            </w:pPr>
            <w:r>
              <w:rPr>
                <w:noProof/>
              </w:rPr>
              <w:drawing>
                <wp:inline distT="0" distB="0" distL="0" distR="0" wp14:anchorId="04D2EAA5" wp14:editId="5E836864">
                  <wp:extent cx="2752725" cy="114290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430"/>
                          <a:stretch/>
                        </pic:blipFill>
                        <pic:spPr bwMode="auto">
                          <a:xfrm>
                            <a:off x="0" y="0"/>
                            <a:ext cx="2800794" cy="1162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7" w:type="dxa"/>
            <w:vAlign w:val="center"/>
          </w:tcPr>
          <w:p w14:paraId="1FD37005" w14:textId="77777777" w:rsidR="000A2033" w:rsidRPr="000A2033" w:rsidRDefault="000A2033" w:rsidP="00BC5E29">
            <w:pPr>
              <w:numPr>
                <w:ilvl w:val="0"/>
                <w:numId w:val="10"/>
              </w:numPr>
              <w:tabs>
                <w:tab w:val="num" w:pos="720"/>
              </w:tabs>
              <w:spacing w:after="160"/>
              <w:rPr>
                <w:rFonts w:ascii="Arial" w:hAnsi="Arial" w:cs="Arial"/>
                <w:color w:val="212100"/>
                <w:sz w:val="20"/>
              </w:rPr>
            </w:pPr>
            <w:r w:rsidRPr="000A2033">
              <w:rPr>
                <w:rFonts w:ascii="Arial" w:hAnsi="Arial" w:cs="Arial"/>
                <w:color w:val="212100"/>
                <w:sz w:val="20"/>
                <w:lang w:val="en-US"/>
              </w:rPr>
              <w:t xml:space="preserve">The data exists but we can't see it </w:t>
            </w:r>
          </w:p>
          <w:p w14:paraId="0D7D271E" w14:textId="77777777" w:rsidR="000A2033" w:rsidRPr="000A2033" w:rsidRDefault="000A2033" w:rsidP="00BC5E29">
            <w:pPr>
              <w:numPr>
                <w:ilvl w:val="0"/>
                <w:numId w:val="10"/>
              </w:numPr>
              <w:tabs>
                <w:tab w:val="num" w:pos="720"/>
              </w:tabs>
              <w:spacing w:after="160"/>
              <w:rPr>
                <w:rFonts w:ascii="Arial" w:hAnsi="Arial" w:cs="Arial"/>
                <w:color w:val="212100"/>
                <w:sz w:val="20"/>
              </w:rPr>
            </w:pPr>
            <w:r w:rsidRPr="000A2033">
              <w:rPr>
                <w:rFonts w:ascii="Arial" w:hAnsi="Arial" w:cs="Arial"/>
                <w:color w:val="212100"/>
                <w:sz w:val="20"/>
                <w:lang w:val="en-US"/>
              </w:rPr>
              <w:t xml:space="preserve">The data exists but we can’t compare it </w:t>
            </w:r>
          </w:p>
          <w:p w14:paraId="15525F53" w14:textId="77777777" w:rsidR="000A2033" w:rsidRPr="000A2033" w:rsidRDefault="000A2033" w:rsidP="00BC5E29">
            <w:pPr>
              <w:numPr>
                <w:ilvl w:val="0"/>
                <w:numId w:val="10"/>
              </w:numPr>
              <w:rPr>
                <w:rFonts w:ascii="Arial" w:hAnsi="Arial" w:cs="Arial"/>
                <w:color w:val="212100"/>
                <w:sz w:val="20"/>
              </w:rPr>
            </w:pPr>
            <w:r w:rsidRPr="000A2033">
              <w:rPr>
                <w:rFonts w:ascii="Arial" w:hAnsi="Arial" w:cs="Arial"/>
                <w:color w:val="212100"/>
                <w:sz w:val="20"/>
                <w:lang w:val="en-US"/>
              </w:rPr>
              <w:t xml:space="preserve">The data doesn’t exist </w:t>
            </w:r>
          </w:p>
          <w:p w14:paraId="0E1F2A21" w14:textId="77777777" w:rsidR="000A2033" w:rsidRDefault="000A2033" w:rsidP="000A2033">
            <w:pPr>
              <w:pStyle w:val="Tablefigureheading"/>
              <w:numPr>
                <w:ilvl w:val="0"/>
                <w:numId w:val="0"/>
              </w:numPr>
            </w:pPr>
          </w:p>
        </w:tc>
      </w:tr>
    </w:tbl>
    <w:p w14:paraId="7DA266B6" w14:textId="7C1CD034" w:rsidR="00ED68F0" w:rsidRDefault="00FB0BDF" w:rsidP="00F00B52">
      <w:pPr>
        <w:spacing w:before="240"/>
        <w:sectPr w:rsidR="00ED68F0" w:rsidSect="00DD1D2D">
          <w:headerReference w:type="even" r:id="rId22"/>
          <w:headerReference w:type="default" r:id="rId23"/>
          <w:headerReference w:type="first" r:id="rId24"/>
          <w:pgSz w:w="11906" w:h="16838"/>
          <w:pgMar w:top="2268" w:right="992" w:bottom="1276" w:left="1440" w:header="0" w:footer="397" w:gutter="0"/>
          <w:cols w:space="708"/>
          <w:docGrid w:linePitch="360"/>
        </w:sectPr>
      </w:pPr>
      <w:r w:rsidRPr="00F46A6C">
        <w:t>T</w:t>
      </w:r>
      <w:r w:rsidR="00DB498E" w:rsidRPr="00367402">
        <w:t>he</w:t>
      </w:r>
      <w:r w:rsidR="00DB498E" w:rsidRPr="00F46A6C">
        <w:t xml:space="preserve"> freight environment, along with the broader economy has been significantly impacted by COVID</w:t>
      </w:r>
      <w:r w:rsidRPr="00F46A6C">
        <w:noBreakHyphen/>
      </w:r>
      <w:r w:rsidR="00DB498E" w:rsidRPr="00367402">
        <w:t xml:space="preserve">19. </w:t>
      </w:r>
      <w:r w:rsidR="00F00B52" w:rsidRPr="00367402">
        <w:t>The future has become less predictable</w:t>
      </w:r>
      <w:r w:rsidR="00367402" w:rsidRPr="00513728">
        <w:t>. A</w:t>
      </w:r>
      <w:r w:rsidR="00F00B52" w:rsidRPr="00F46A6C">
        <w:t xml:space="preserve">ll parties </w:t>
      </w:r>
      <w:r w:rsidR="004F2C1F">
        <w:t xml:space="preserve">are </w:t>
      </w:r>
      <w:r w:rsidR="00F00B52" w:rsidRPr="00F46A6C">
        <w:t xml:space="preserve">looking for </w:t>
      </w:r>
      <w:r w:rsidR="00F00B52" w:rsidRPr="00367402">
        <w:t xml:space="preserve">more up to date </w:t>
      </w:r>
      <w:r w:rsidR="00367402" w:rsidRPr="00513728">
        <w:t xml:space="preserve">and higher quality </w:t>
      </w:r>
      <w:r w:rsidR="00F00B52" w:rsidRPr="00F46A6C">
        <w:t>data</w:t>
      </w:r>
      <w:r w:rsidR="00F00B52" w:rsidRPr="00367402">
        <w:t xml:space="preserve"> to manage risk</w:t>
      </w:r>
      <w:r w:rsidR="00367402" w:rsidRPr="00513728">
        <w:t>,</w:t>
      </w:r>
      <w:r w:rsidR="00F00B52" w:rsidRPr="00F46A6C">
        <w:t xml:space="preserve"> </w:t>
      </w:r>
      <w:r w:rsidR="00F00B52" w:rsidRPr="00367402">
        <w:t xml:space="preserve">plan for different scenarios, and increase resilience. This is in addition to improving the efficiency, productivity and competitiveness of Australia's freight supply chains. </w:t>
      </w:r>
      <w:r w:rsidR="00DB498E" w:rsidRPr="00367402">
        <w:t xml:space="preserve">These considerations will be incorporated into the design and </w:t>
      </w:r>
      <w:r w:rsidR="000049F7" w:rsidRPr="00367402">
        <w:t>business case</w:t>
      </w:r>
      <w:r w:rsidR="00DB498E" w:rsidRPr="00367402">
        <w:t xml:space="preserve"> for the Hub.</w:t>
      </w:r>
    </w:p>
    <w:p w14:paraId="4FCC1962" w14:textId="4298B453" w:rsidR="004E741D" w:rsidRPr="00513728" w:rsidRDefault="004E741D" w:rsidP="00513728">
      <w:pPr>
        <w:pStyle w:val="Caption"/>
        <w:rPr>
          <w:rFonts w:eastAsiaTheme="minorHAnsi" w:cstheme="minorBidi"/>
          <w:sz w:val="20"/>
          <w:szCs w:val="22"/>
        </w:rPr>
      </w:pPr>
      <w:bookmarkStart w:id="8" w:name="_Toc49156974"/>
      <w:bookmarkStart w:id="9" w:name="_Toc47094671"/>
      <w:bookmarkStart w:id="10" w:name="_Toc47099999"/>
      <w:r w:rsidRPr="00803C44">
        <w:rPr>
          <w:rFonts w:ascii="Segoe UI Semibold" w:eastAsiaTheme="minorHAnsi" w:hAnsi="Segoe UI Semibold" w:cstheme="minorBidi"/>
          <w:bCs w:val="0"/>
          <w:snapToGrid/>
          <w:color w:val="002D72"/>
          <w:sz w:val="20"/>
          <w:szCs w:val="22"/>
        </w:rPr>
        <w:lastRenderedPageBreak/>
        <w:t xml:space="preserve">Figure </w:t>
      </w:r>
      <w:r w:rsidRPr="00803C44">
        <w:rPr>
          <w:rFonts w:ascii="Segoe UI Semibold" w:eastAsiaTheme="minorHAnsi" w:hAnsi="Segoe UI Semibold" w:cstheme="minorBidi"/>
          <w:bCs w:val="0"/>
          <w:snapToGrid/>
          <w:color w:val="002D72"/>
          <w:sz w:val="20"/>
          <w:szCs w:val="22"/>
        </w:rPr>
        <w:fldChar w:fldCharType="begin"/>
      </w:r>
      <w:r w:rsidRPr="00803C44">
        <w:rPr>
          <w:rFonts w:ascii="Segoe UI Semibold" w:eastAsiaTheme="minorHAnsi" w:hAnsi="Segoe UI Semibold" w:cstheme="minorBidi"/>
          <w:bCs w:val="0"/>
          <w:snapToGrid/>
          <w:color w:val="002D72"/>
          <w:sz w:val="20"/>
          <w:szCs w:val="22"/>
        </w:rPr>
        <w:instrText xml:space="preserve"> SEQ Figure \* ARABIC </w:instrText>
      </w:r>
      <w:r w:rsidRPr="00803C44">
        <w:rPr>
          <w:rFonts w:ascii="Segoe UI Semibold" w:eastAsiaTheme="minorHAnsi" w:hAnsi="Segoe UI Semibold" w:cstheme="minorBidi"/>
          <w:bCs w:val="0"/>
          <w:snapToGrid/>
          <w:color w:val="002D72"/>
          <w:sz w:val="20"/>
          <w:szCs w:val="22"/>
        </w:rPr>
        <w:fldChar w:fldCharType="separate"/>
      </w:r>
      <w:r w:rsidR="007E6855">
        <w:rPr>
          <w:rFonts w:ascii="Segoe UI Semibold" w:eastAsiaTheme="minorHAnsi" w:hAnsi="Segoe UI Semibold" w:cstheme="minorBidi"/>
          <w:bCs w:val="0"/>
          <w:noProof/>
          <w:snapToGrid/>
          <w:color w:val="002D72"/>
          <w:sz w:val="20"/>
          <w:szCs w:val="22"/>
        </w:rPr>
        <w:t>2</w:t>
      </w:r>
      <w:r w:rsidRPr="00803C44">
        <w:rPr>
          <w:rFonts w:ascii="Segoe UI Semibold" w:eastAsiaTheme="minorHAnsi" w:hAnsi="Segoe UI Semibold" w:cstheme="minorBidi"/>
          <w:bCs w:val="0"/>
          <w:snapToGrid/>
          <w:color w:val="002D72"/>
          <w:sz w:val="20"/>
          <w:szCs w:val="22"/>
        </w:rPr>
        <w:fldChar w:fldCharType="end"/>
      </w:r>
      <w:r w:rsidRPr="00803C44">
        <w:rPr>
          <w:rFonts w:ascii="Segoe UI Semibold" w:eastAsiaTheme="minorHAnsi" w:hAnsi="Segoe UI Semibold" w:cstheme="minorBidi"/>
          <w:bCs w:val="0"/>
          <w:snapToGrid/>
          <w:color w:val="002D72"/>
          <w:sz w:val="20"/>
          <w:szCs w:val="22"/>
        </w:rPr>
        <w:t xml:space="preserve"> </w:t>
      </w:r>
      <w:r>
        <w:rPr>
          <w:rFonts w:ascii="Segoe UI Semibold" w:eastAsiaTheme="minorHAnsi" w:hAnsi="Segoe UI Semibold" w:cstheme="minorBidi"/>
          <w:bCs w:val="0"/>
          <w:snapToGrid/>
          <w:color w:val="002D72"/>
          <w:sz w:val="20"/>
          <w:szCs w:val="22"/>
        </w:rPr>
        <w:t>Purposes and Functions</w:t>
      </w:r>
      <w:bookmarkEnd w:id="8"/>
    </w:p>
    <w:p w14:paraId="25CC1655" w14:textId="008029B1" w:rsidR="00ED68F0" w:rsidRDefault="00A27303" w:rsidP="00513728">
      <w:r>
        <w:rPr>
          <w:noProof/>
          <w:lang w:eastAsia="en-AU"/>
        </w:rPr>
        <w:drawing>
          <wp:inline distT="0" distB="0" distL="0" distR="0" wp14:anchorId="4D4D2668" wp14:editId="386789FB">
            <wp:extent cx="8725244" cy="4422614"/>
            <wp:effectExtent l="0" t="0" r="0" b="0"/>
            <wp:docPr id="6" name="Picture 6" descr="This figure outlines the three purposes of the Hub Evaluate the system, Strategic Planning and Operations. It then outlines three high level functions for the Hub of Open data, Data exchange and Leadership and Innovation.  " title="Figure 2 Purposes and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54416" cy="4437401"/>
                    </a:xfrm>
                    <a:prstGeom prst="rect">
                      <a:avLst/>
                    </a:prstGeom>
                    <a:noFill/>
                  </pic:spPr>
                </pic:pic>
              </a:graphicData>
            </a:graphic>
          </wp:inline>
        </w:drawing>
      </w:r>
    </w:p>
    <w:p w14:paraId="5C7AD8CA" w14:textId="692B0D83" w:rsidR="000044F5" w:rsidRPr="00513728" w:rsidRDefault="000044F5" w:rsidP="00513728">
      <w:pPr>
        <w:ind w:left="426" w:right="7765"/>
        <w:rPr>
          <w:i/>
        </w:rPr>
      </w:pPr>
      <w:r w:rsidRPr="00513728">
        <w:rPr>
          <w:rFonts w:ascii="Calibri" w:hAnsi="Calibri" w:cs="Arial"/>
          <w:i/>
          <w:sz w:val="20"/>
        </w:rPr>
        <w:t xml:space="preserve">The Hub is not intended to replace </w:t>
      </w:r>
      <w:r w:rsidR="00C77144">
        <w:rPr>
          <w:rFonts w:ascii="Calibri" w:hAnsi="Calibri" w:cs="Arial"/>
          <w:i/>
          <w:sz w:val="20"/>
        </w:rPr>
        <w:t xml:space="preserve">existing </w:t>
      </w:r>
      <w:r w:rsidRPr="00513728">
        <w:rPr>
          <w:rFonts w:ascii="Calibri" w:hAnsi="Calibri" w:cs="Arial"/>
          <w:i/>
          <w:sz w:val="20"/>
        </w:rPr>
        <w:t xml:space="preserve">systems </w:t>
      </w:r>
      <w:r w:rsidR="009332E6">
        <w:rPr>
          <w:rFonts w:ascii="Calibri" w:hAnsi="Calibri" w:cs="Arial"/>
          <w:i/>
          <w:sz w:val="20"/>
        </w:rPr>
        <w:t>being used by businesses to support</w:t>
      </w:r>
      <w:r w:rsidRPr="00513728">
        <w:rPr>
          <w:rFonts w:ascii="Calibri" w:hAnsi="Calibri" w:cs="Arial"/>
          <w:i/>
          <w:sz w:val="20"/>
        </w:rPr>
        <w:t xml:space="preserve"> day</w:t>
      </w:r>
      <w:r w:rsidR="006F7C9F">
        <w:rPr>
          <w:rFonts w:ascii="Calibri" w:hAnsi="Calibri" w:cs="Arial"/>
          <w:i/>
          <w:sz w:val="20"/>
        </w:rPr>
        <w:t xml:space="preserve"> </w:t>
      </w:r>
      <w:r w:rsidRPr="00513728">
        <w:rPr>
          <w:rFonts w:ascii="Calibri" w:hAnsi="Calibri" w:cs="Arial"/>
          <w:i/>
          <w:sz w:val="20"/>
        </w:rPr>
        <w:t>to</w:t>
      </w:r>
      <w:r w:rsidR="006F7C9F">
        <w:rPr>
          <w:rFonts w:ascii="Calibri" w:hAnsi="Calibri" w:cs="Arial"/>
          <w:i/>
          <w:sz w:val="20"/>
        </w:rPr>
        <w:t xml:space="preserve"> </w:t>
      </w:r>
      <w:r w:rsidRPr="00513728">
        <w:rPr>
          <w:rFonts w:ascii="Calibri" w:hAnsi="Calibri" w:cs="Arial"/>
          <w:i/>
          <w:sz w:val="20"/>
        </w:rPr>
        <w:t>day freight operations, rather it will likely draw data from those systems and provide aggregated data back to improve efficiency</w:t>
      </w:r>
      <w:r>
        <w:rPr>
          <w:rFonts w:ascii="Calibri" w:hAnsi="Calibri" w:cs="Arial"/>
          <w:i/>
          <w:sz w:val="20"/>
        </w:rPr>
        <w:t>.</w:t>
      </w:r>
    </w:p>
    <w:p w14:paraId="7375AA43" w14:textId="501FCB7A" w:rsidR="000044F5" w:rsidRDefault="000044F5" w:rsidP="00513728"/>
    <w:p w14:paraId="6ECDF670" w14:textId="087C0C61" w:rsidR="00D901BD" w:rsidRDefault="00D901BD" w:rsidP="00513728"/>
    <w:p w14:paraId="19F38D1A" w14:textId="48CF0375" w:rsidR="00D901BD" w:rsidRDefault="00D901BD" w:rsidP="00513728"/>
    <w:p w14:paraId="4F85341B" w14:textId="7551DC11" w:rsidR="00D901BD" w:rsidRPr="00513728" w:rsidRDefault="004E741D" w:rsidP="00513728">
      <w:pPr>
        <w:pStyle w:val="Caption"/>
        <w:rPr>
          <w:rFonts w:eastAsiaTheme="minorHAnsi" w:cstheme="minorBidi"/>
          <w:sz w:val="20"/>
          <w:szCs w:val="22"/>
        </w:rPr>
      </w:pPr>
      <w:bookmarkStart w:id="11" w:name="_Toc49156975"/>
      <w:r w:rsidRPr="00803C44">
        <w:rPr>
          <w:rFonts w:ascii="Segoe UI Semibold" w:eastAsiaTheme="minorHAnsi" w:hAnsi="Segoe UI Semibold" w:cstheme="minorBidi"/>
          <w:bCs w:val="0"/>
          <w:snapToGrid/>
          <w:color w:val="002D72"/>
          <w:sz w:val="20"/>
          <w:szCs w:val="22"/>
        </w:rPr>
        <w:t xml:space="preserve">Figure </w:t>
      </w:r>
      <w:r w:rsidRPr="00803C44">
        <w:rPr>
          <w:rFonts w:ascii="Segoe UI Semibold" w:eastAsiaTheme="minorHAnsi" w:hAnsi="Segoe UI Semibold" w:cstheme="minorBidi"/>
          <w:bCs w:val="0"/>
          <w:snapToGrid/>
          <w:color w:val="002D72"/>
          <w:sz w:val="20"/>
          <w:szCs w:val="22"/>
        </w:rPr>
        <w:fldChar w:fldCharType="begin"/>
      </w:r>
      <w:r w:rsidRPr="00803C44">
        <w:rPr>
          <w:rFonts w:ascii="Segoe UI Semibold" w:eastAsiaTheme="minorHAnsi" w:hAnsi="Segoe UI Semibold" w:cstheme="minorBidi"/>
          <w:bCs w:val="0"/>
          <w:snapToGrid/>
          <w:color w:val="002D72"/>
          <w:sz w:val="20"/>
          <w:szCs w:val="22"/>
        </w:rPr>
        <w:instrText xml:space="preserve"> SEQ Figure \* ARABIC </w:instrText>
      </w:r>
      <w:r w:rsidRPr="00803C44">
        <w:rPr>
          <w:rFonts w:ascii="Segoe UI Semibold" w:eastAsiaTheme="minorHAnsi" w:hAnsi="Segoe UI Semibold" w:cstheme="minorBidi"/>
          <w:bCs w:val="0"/>
          <w:snapToGrid/>
          <w:color w:val="002D72"/>
          <w:sz w:val="20"/>
          <w:szCs w:val="22"/>
        </w:rPr>
        <w:fldChar w:fldCharType="separate"/>
      </w:r>
      <w:r w:rsidR="007E6855">
        <w:rPr>
          <w:rFonts w:ascii="Segoe UI Semibold" w:eastAsiaTheme="minorHAnsi" w:hAnsi="Segoe UI Semibold" w:cstheme="minorBidi"/>
          <w:bCs w:val="0"/>
          <w:noProof/>
          <w:snapToGrid/>
          <w:color w:val="002D72"/>
          <w:sz w:val="20"/>
          <w:szCs w:val="22"/>
        </w:rPr>
        <w:t>3</w:t>
      </w:r>
      <w:r w:rsidRPr="00803C44">
        <w:rPr>
          <w:rFonts w:ascii="Segoe UI Semibold" w:eastAsiaTheme="minorHAnsi" w:hAnsi="Segoe UI Semibold" w:cstheme="minorBidi"/>
          <w:bCs w:val="0"/>
          <w:snapToGrid/>
          <w:color w:val="002D72"/>
          <w:sz w:val="20"/>
          <w:szCs w:val="22"/>
        </w:rPr>
        <w:fldChar w:fldCharType="end"/>
      </w:r>
      <w:r w:rsidRPr="00803C44">
        <w:rPr>
          <w:rFonts w:ascii="Segoe UI Semibold" w:eastAsiaTheme="minorHAnsi" w:hAnsi="Segoe UI Semibold" w:cstheme="minorBidi"/>
          <w:bCs w:val="0"/>
          <w:snapToGrid/>
          <w:color w:val="002D72"/>
          <w:sz w:val="20"/>
          <w:szCs w:val="22"/>
        </w:rPr>
        <w:t xml:space="preserve"> </w:t>
      </w:r>
      <w:r>
        <w:rPr>
          <w:rFonts w:ascii="Segoe UI Semibold" w:eastAsiaTheme="minorHAnsi" w:hAnsi="Segoe UI Semibold" w:cstheme="minorBidi"/>
          <w:bCs w:val="0"/>
          <w:snapToGrid/>
          <w:color w:val="002D72"/>
          <w:sz w:val="20"/>
          <w:szCs w:val="22"/>
        </w:rPr>
        <w:t>Foundation freight data enduring questions</w:t>
      </w:r>
      <w:bookmarkEnd w:id="11"/>
    </w:p>
    <w:p w14:paraId="3BCF4861" w14:textId="4E6E6B16" w:rsidR="00D901BD" w:rsidRDefault="00B33D11" w:rsidP="00513728">
      <w:r>
        <w:rPr>
          <w:noProof/>
          <w:lang w:eastAsia="en-AU"/>
        </w:rPr>
        <w:drawing>
          <wp:inline distT="0" distB="0" distL="0" distR="0" wp14:anchorId="7D0F0FEB" wp14:editId="14B82BEE">
            <wp:extent cx="8441690" cy="3750310"/>
            <wp:effectExtent l="0" t="0" r="0" b="2540"/>
            <wp:docPr id="3" name="Picture 3" descr="This figure lists 10 enduring questions on freight movements, supply chains, efficiency, performance, opportunities etc. " title="Figure 3 Foundation freight data endur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41690" cy="3750310"/>
                    </a:xfrm>
                    <a:prstGeom prst="rect">
                      <a:avLst/>
                    </a:prstGeom>
                  </pic:spPr>
                </pic:pic>
              </a:graphicData>
            </a:graphic>
          </wp:inline>
        </w:drawing>
      </w:r>
    </w:p>
    <w:p w14:paraId="68703EC9" w14:textId="29C2A588" w:rsidR="00D901BD" w:rsidRPr="007241B6" w:rsidRDefault="00D901BD" w:rsidP="00D901BD">
      <w:pPr>
        <w:pStyle w:val="Sourcenote"/>
      </w:pPr>
      <w:r w:rsidRPr="00B33D11">
        <w:t>Source: DITRDC analysis of submissions to Discussion Paper #1</w:t>
      </w:r>
      <w:r>
        <w:t xml:space="preserve"> </w:t>
      </w:r>
    </w:p>
    <w:p w14:paraId="398F5710" w14:textId="77777777" w:rsidR="00D901BD" w:rsidRDefault="00D901BD" w:rsidP="00513728"/>
    <w:p w14:paraId="5617C344" w14:textId="77777777" w:rsidR="000044F5" w:rsidRDefault="000044F5" w:rsidP="00513728">
      <w:pPr>
        <w:sectPr w:rsidR="000044F5" w:rsidSect="00513728">
          <w:pgSz w:w="16838" w:h="11906" w:orient="landscape"/>
          <w:pgMar w:top="1440" w:right="2268" w:bottom="992" w:left="1276" w:header="0" w:footer="397" w:gutter="0"/>
          <w:cols w:space="708"/>
          <w:docGrid w:linePitch="360"/>
        </w:sectPr>
      </w:pPr>
    </w:p>
    <w:p w14:paraId="563423C7" w14:textId="77777777" w:rsidR="00D901BD" w:rsidRDefault="00D901BD" w:rsidP="00D901BD">
      <w:pPr>
        <w:pStyle w:val="Heading3notshowing"/>
      </w:pPr>
      <w:r>
        <w:lastRenderedPageBreak/>
        <w:t>Design principles</w:t>
      </w:r>
    </w:p>
    <w:p w14:paraId="294D665B" w14:textId="730D77E1" w:rsidR="00D901BD" w:rsidRDefault="00D901BD" w:rsidP="00D901BD">
      <w:r>
        <w:t xml:space="preserve">Importantly, investment in the Hub and the activities it fosters must generate value to industry, government and other parties. To support the design of the Hub, proposed design principles have been developed </w:t>
      </w:r>
      <w:r w:rsidR="0070044C">
        <w:t>based on</w:t>
      </w:r>
      <w:r>
        <w:t xml:space="preserve"> previous stakeholder </w:t>
      </w:r>
      <w:r w:rsidR="0070044C">
        <w:t>feedback</w:t>
      </w:r>
      <w:r>
        <w:t>.</w:t>
      </w:r>
    </w:p>
    <w:p w14:paraId="195C7B77" w14:textId="358AA549" w:rsidR="00D901BD" w:rsidRPr="001E4ABE" w:rsidRDefault="00D901BD" w:rsidP="00D901BD">
      <w:pPr>
        <w:pStyle w:val="Caption"/>
        <w:rPr>
          <w:rFonts w:ascii="Segoe UI Semibold" w:eastAsiaTheme="minorHAnsi" w:hAnsi="Segoe UI Semibold" w:cstheme="minorBidi"/>
          <w:bCs w:val="0"/>
          <w:snapToGrid/>
          <w:color w:val="002D72"/>
          <w:sz w:val="20"/>
          <w:szCs w:val="22"/>
        </w:rPr>
      </w:pPr>
      <w:bookmarkStart w:id="12" w:name="_Toc49156976"/>
      <w:r w:rsidRPr="00FF20B9">
        <w:rPr>
          <w:rFonts w:ascii="Segoe UI Semibold" w:eastAsiaTheme="minorHAnsi" w:hAnsi="Segoe UI Semibold" w:cstheme="minorBidi"/>
          <w:bCs w:val="0"/>
          <w:snapToGrid/>
          <w:color w:val="002D72"/>
          <w:sz w:val="20"/>
          <w:szCs w:val="22"/>
        </w:rPr>
        <w:t xml:space="preserve">Figure </w:t>
      </w:r>
      <w:r w:rsidRPr="00FF20B9">
        <w:rPr>
          <w:rFonts w:ascii="Segoe UI Semibold" w:eastAsiaTheme="minorHAnsi" w:hAnsi="Segoe UI Semibold" w:cstheme="minorBidi"/>
          <w:bCs w:val="0"/>
          <w:snapToGrid/>
          <w:color w:val="002D72"/>
          <w:sz w:val="20"/>
          <w:szCs w:val="22"/>
        </w:rPr>
        <w:fldChar w:fldCharType="begin"/>
      </w:r>
      <w:r w:rsidRPr="00FF20B9">
        <w:rPr>
          <w:rFonts w:ascii="Segoe UI Semibold" w:eastAsiaTheme="minorHAnsi" w:hAnsi="Segoe UI Semibold" w:cstheme="minorBidi"/>
          <w:bCs w:val="0"/>
          <w:snapToGrid/>
          <w:color w:val="002D72"/>
          <w:sz w:val="20"/>
          <w:szCs w:val="22"/>
        </w:rPr>
        <w:instrText xml:space="preserve"> SEQ Figure \* ARABIC </w:instrText>
      </w:r>
      <w:r w:rsidRPr="00FF20B9">
        <w:rPr>
          <w:rFonts w:ascii="Segoe UI Semibold" w:eastAsiaTheme="minorHAnsi" w:hAnsi="Segoe UI Semibold" w:cstheme="minorBidi"/>
          <w:bCs w:val="0"/>
          <w:snapToGrid/>
          <w:color w:val="002D72"/>
          <w:sz w:val="20"/>
          <w:szCs w:val="22"/>
        </w:rPr>
        <w:fldChar w:fldCharType="separate"/>
      </w:r>
      <w:r w:rsidR="007E6855" w:rsidRPr="00FF20B9">
        <w:rPr>
          <w:rFonts w:ascii="Segoe UI Semibold" w:eastAsiaTheme="minorHAnsi" w:hAnsi="Segoe UI Semibold" w:cstheme="minorBidi"/>
          <w:bCs w:val="0"/>
          <w:noProof/>
          <w:snapToGrid/>
          <w:color w:val="002D72"/>
          <w:sz w:val="20"/>
          <w:szCs w:val="22"/>
        </w:rPr>
        <w:t>4</w:t>
      </w:r>
      <w:r w:rsidRPr="00FF20B9">
        <w:rPr>
          <w:rFonts w:ascii="Segoe UI Semibold" w:eastAsiaTheme="minorHAnsi" w:hAnsi="Segoe UI Semibold" w:cstheme="minorBidi"/>
          <w:bCs w:val="0"/>
          <w:snapToGrid/>
          <w:color w:val="002D72"/>
          <w:sz w:val="20"/>
          <w:szCs w:val="22"/>
        </w:rPr>
        <w:fldChar w:fldCharType="end"/>
      </w:r>
      <w:r w:rsidRPr="00FF20B9">
        <w:rPr>
          <w:rFonts w:ascii="Segoe UI Semibold" w:eastAsiaTheme="minorHAnsi" w:hAnsi="Segoe UI Semibold" w:cstheme="minorBidi"/>
          <w:bCs w:val="0"/>
          <w:snapToGrid/>
          <w:color w:val="002D72"/>
          <w:sz w:val="20"/>
          <w:szCs w:val="22"/>
        </w:rPr>
        <w:t xml:space="preserve"> Proposed design principles for the Hub</w:t>
      </w:r>
      <w:bookmarkEnd w:id="12"/>
    </w:p>
    <w:p w14:paraId="0BF945DF" w14:textId="16FAA428" w:rsidR="00D901BD" w:rsidRDefault="00FF20B9" w:rsidP="00D901BD">
      <w:pPr>
        <w:pStyle w:val="Sourcenote"/>
      </w:pPr>
      <w:r>
        <w:rPr>
          <w:noProof/>
          <w:lang w:eastAsia="en-AU"/>
        </w:rPr>
        <w:drawing>
          <wp:inline distT="0" distB="0" distL="0" distR="0" wp14:anchorId="287850B9" wp14:editId="7E33D4DD">
            <wp:extent cx="6015990" cy="2209165"/>
            <wp:effectExtent l="0" t="0" r="3810" b="635"/>
            <wp:docPr id="7" name="Picture 7" descr="This figure lists five design principles: &#10;- Demonstrate value, early&#10;- A trusted, independent facilitator&#10;- Lead by example&#10;- Data exchange is a collaboration&#10;- High quality data and insights. " title="Figure 4 Proposed design principles for th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15990" cy="2209165"/>
                    </a:xfrm>
                    <a:prstGeom prst="rect">
                      <a:avLst/>
                    </a:prstGeom>
                  </pic:spPr>
                </pic:pic>
              </a:graphicData>
            </a:graphic>
          </wp:inline>
        </w:drawing>
      </w:r>
    </w:p>
    <w:p w14:paraId="74FA33FB" w14:textId="77777777" w:rsidR="00D901BD" w:rsidRDefault="00D901BD" w:rsidP="00D901BD">
      <w:pPr>
        <w:pStyle w:val="Sourcenote"/>
      </w:pPr>
      <w:r w:rsidRPr="00FE63E3">
        <w:t xml:space="preserve">Source: </w:t>
      </w:r>
      <w:r>
        <w:t>DITRDC / PwC</w:t>
      </w:r>
      <w:r w:rsidRPr="00FE63E3">
        <w:t xml:space="preserve"> based</w:t>
      </w:r>
      <w:r>
        <w:t xml:space="preserve"> on discussion paper submissions</w:t>
      </w:r>
    </w:p>
    <w:p w14:paraId="1B16F09C" w14:textId="77777777" w:rsidR="00D901BD" w:rsidRDefault="00D901BD" w:rsidP="00D901BD">
      <w:pPr>
        <w:pStyle w:val="Sourcenote"/>
      </w:pPr>
    </w:p>
    <w:p w14:paraId="5A195CF3" w14:textId="77777777" w:rsidR="00D901BD" w:rsidRDefault="00D901BD" w:rsidP="00D901BD">
      <w:pPr>
        <w:pStyle w:val="Heading3notshowing"/>
        <w:shd w:val="clear" w:color="auto" w:fill="E7E6E6" w:themeFill="background2"/>
      </w:pPr>
      <w:r w:rsidRPr="1680642C">
        <w:t xml:space="preserve">Questions for discussion </w:t>
      </w:r>
      <w:r>
        <w:t>– Design Principles</w:t>
      </w:r>
    </w:p>
    <w:p w14:paraId="1A0FACAC" w14:textId="77777777" w:rsidR="00D901BD" w:rsidRPr="009825E6" w:rsidRDefault="00D901BD" w:rsidP="00D901BD">
      <w:pPr>
        <w:pStyle w:val="Listparagraphbullets"/>
        <w:numPr>
          <w:ilvl w:val="0"/>
          <w:numId w:val="11"/>
        </w:numPr>
        <w:shd w:val="clear" w:color="auto" w:fill="E7E6E6" w:themeFill="background2"/>
        <w:rPr>
          <w:rFonts w:asciiTheme="minorHAnsi" w:eastAsiaTheme="minorEastAsia" w:hAnsiTheme="minorHAnsi"/>
          <w:lang w:val="en-US"/>
        </w:rPr>
      </w:pPr>
      <w:r>
        <w:t>Please share your organisation’s perspectives on the proposed design principles, including any which are not represented here.</w:t>
      </w:r>
    </w:p>
    <w:p w14:paraId="4436B538" w14:textId="04149CB2" w:rsidR="00502F73" w:rsidRDefault="5BB95189" w:rsidP="005A0F79">
      <w:pPr>
        <w:pStyle w:val="Heading2"/>
        <w:keepLines/>
        <w:pageBreakBefore/>
        <w:numPr>
          <w:ilvl w:val="1"/>
          <w:numId w:val="0"/>
        </w:numPr>
        <w:tabs>
          <w:tab w:val="num" w:pos="850"/>
        </w:tabs>
        <w:kinsoku w:val="0"/>
        <w:overflowPunct w:val="0"/>
        <w:autoSpaceDE w:val="0"/>
        <w:autoSpaceDN w:val="0"/>
        <w:adjustRightInd w:val="0"/>
        <w:snapToGrid w:val="0"/>
        <w:spacing w:before="0" w:after="180" w:line="640" w:lineRule="atLeast"/>
      </w:pPr>
      <w:bookmarkStart w:id="13" w:name="_Toc48924109"/>
      <w:r>
        <w:lastRenderedPageBreak/>
        <w:t>Option design framework</w:t>
      </w:r>
      <w:bookmarkEnd w:id="9"/>
      <w:bookmarkEnd w:id="10"/>
      <w:bookmarkEnd w:id="13"/>
    </w:p>
    <w:p w14:paraId="1F948552" w14:textId="1464C2E0" w:rsidR="00E80F61" w:rsidRPr="009251A6" w:rsidRDefault="00E8204B" w:rsidP="00E80F61">
      <w:r>
        <w:t>F</w:t>
      </w:r>
      <w:r w:rsidR="00E80F61" w:rsidRPr="7342E18F">
        <w:t xml:space="preserve">ive key design elements </w:t>
      </w:r>
      <w:r w:rsidR="00461E44">
        <w:t>are needed to deliver</w:t>
      </w:r>
      <w:r w:rsidR="00E80F61" w:rsidRPr="7342E18F">
        <w:t xml:space="preserve"> the functions: </w:t>
      </w:r>
    </w:p>
    <w:p w14:paraId="1FCB632C" w14:textId="639A67E5" w:rsidR="00E80F61" w:rsidRPr="009251A6" w:rsidRDefault="00E80F61" w:rsidP="615DC235">
      <w:pPr>
        <w:pStyle w:val="Listparagraphbullets"/>
        <w:rPr>
          <w:rFonts w:eastAsiaTheme="minorBidi"/>
        </w:rPr>
      </w:pPr>
      <w:r w:rsidRPr="615DC235">
        <w:rPr>
          <w:b/>
          <w:bCs/>
        </w:rPr>
        <w:t>Data</w:t>
      </w:r>
      <w:r>
        <w:t>: Key data assets captured by the Hub to</w:t>
      </w:r>
      <w:r w:rsidR="1713D698">
        <w:t xml:space="preserve"> enable</w:t>
      </w:r>
      <w:r>
        <w:t xml:space="preserve"> smart investment and operational decisions. The prioritisation of these data assets </w:t>
      </w:r>
      <w:r w:rsidR="1A6B349F">
        <w:t>by</w:t>
      </w:r>
      <w:r>
        <w:t xml:space="preserve"> stakeholders will inform the </w:t>
      </w:r>
      <w:r w:rsidRPr="615DC235">
        <w:rPr>
          <w:rFonts w:eastAsiaTheme="minorEastAsia"/>
        </w:rPr>
        <w:t>roadmap for potential phased implementation of the Hub.</w:t>
      </w:r>
    </w:p>
    <w:p w14:paraId="58A8544B" w14:textId="33EE6083" w:rsidR="00E80F61" w:rsidRPr="00713AAC" w:rsidRDefault="00E80F61" w:rsidP="00E80F61">
      <w:pPr>
        <w:pStyle w:val="Listparagraphbullets"/>
      </w:pPr>
      <w:r w:rsidRPr="7342E18F">
        <w:rPr>
          <w:b/>
        </w:rPr>
        <w:t>Technology</w:t>
      </w:r>
      <w:r w:rsidRPr="7342E18F">
        <w:t xml:space="preserve">: Technology approaches that progressively support </w:t>
      </w:r>
      <w:r w:rsidR="00CB5B3F">
        <w:t xml:space="preserve">the data requirements, </w:t>
      </w:r>
      <w:r w:rsidRPr="7342E18F">
        <w:t>additional functionality, use cases, and business requirements.</w:t>
      </w:r>
    </w:p>
    <w:p w14:paraId="4CB69BC2" w14:textId="7BC0F2E3" w:rsidR="00E80F61" w:rsidRPr="009251A6" w:rsidRDefault="00E80F61" w:rsidP="00E80F61">
      <w:pPr>
        <w:pStyle w:val="Listparagraphbullets"/>
      </w:pPr>
      <w:r w:rsidRPr="7342E18F">
        <w:rPr>
          <w:b/>
        </w:rPr>
        <w:t>Governance</w:t>
      </w:r>
      <w:r w:rsidRPr="7342E18F">
        <w:t>: Potential roles and responsibilities for the Hub and its users (e</w:t>
      </w:r>
      <w:r w:rsidR="00F36E61">
        <w:t>.</w:t>
      </w:r>
      <w:r w:rsidRPr="7342E18F">
        <w:t>g</w:t>
      </w:r>
      <w:r w:rsidR="00F36E61">
        <w:t>.</w:t>
      </w:r>
      <w:r w:rsidRPr="7342E18F">
        <w:t xml:space="preserve"> industry, government, regulators, the research community, and the community more broadly).</w:t>
      </w:r>
    </w:p>
    <w:p w14:paraId="14824B81" w14:textId="32F21512" w:rsidR="00E80F61" w:rsidRPr="009251A6" w:rsidRDefault="00E80F61" w:rsidP="00E80F61">
      <w:pPr>
        <w:pStyle w:val="Listparagraphbullets"/>
      </w:pPr>
      <w:r w:rsidRPr="615DC235">
        <w:rPr>
          <w:b/>
          <w:bCs/>
        </w:rPr>
        <w:t>Funding</w:t>
      </w:r>
      <w:r>
        <w:t xml:space="preserve">: Varying </w:t>
      </w:r>
      <w:r w:rsidR="00DE43A2">
        <w:t>options</w:t>
      </w:r>
      <w:r>
        <w:t xml:space="preserve"> for funding and commercial pricing to </w:t>
      </w:r>
      <w:r w:rsidR="4A8001F3">
        <w:t>promote</w:t>
      </w:r>
      <w:r w:rsidR="002742A3">
        <w:t xml:space="preserve"> the take</w:t>
      </w:r>
      <w:r w:rsidR="00CC1885">
        <w:t>-</w:t>
      </w:r>
      <w:r w:rsidR="002742A3">
        <w:t>up of data standards and data sharing between participants,</w:t>
      </w:r>
      <w:r>
        <w:t xml:space="preserve"> </w:t>
      </w:r>
      <w:r w:rsidR="00CC1885">
        <w:t xml:space="preserve">to </w:t>
      </w:r>
      <w:r>
        <w:t xml:space="preserve">support government and industry costs, and/or </w:t>
      </w:r>
      <w:r w:rsidR="00CC1885">
        <w:t xml:space="preserve">to </w:t>
      </w:r>
      <w:r>
        <w:t>enable purchase of existing data sets.</w:t>
      </w:r>
    </w:p>
    <w:p w14:paraId="65974829" w14:textId="4352246C" w:rsidR="00E80F61" w:rsidRPr="009251A6" w:rsidRDefault="00E80F61" w:rsidP="00E80F61">
      <w:pPr>
        <w:pStyle w:val="Listparagraphbullets"/>
      </w:pPr>
      <w:r w:rsidRPr="7342E18F">
        <w:rPr>
          <w:b/>
        </w:rPr>
        <w:t>Regulation</w:t>
      </w:r>
      <w:r w:rsidRPr="7342E18F">
        <w:t xml:space="preserve">: The potential extent of government </w:t>
      </w:r>
      <w:r w:rsidR="003077BD">
        <w:t>regulatory responses</w:t>
      </w:r>
      <w:r w:rsidR="001022D2">
        <w:t xml:space="preserve"> such as</w:t>
      </w:r>
      <w:r w:rsidRPr="7342E18F">
        <w:t xml:space="preserve"> changes to existing policy and/or regulation to support the Hub</w:t>
      </w:r>
      <w:r w:rsidR="00405CDC">
        <w:t xml:space="preserve">’s establishment and ongoing operation. </w:t>
      </w:r>
    </w:p>
    <w:p w14:paraId="77B844DA" w14:textId="7FB61BB3" w:rsidR="00E80F61" w:rsidRDefault="00E80F61" w:rsidP="00E80F61">
      <w:r w:rsidRPr="009251A6">
        <w:rPr>
          <w:rFonts w:cstheme="minorHAnsi"/>
          <w:szCs w:val="18"/>
        </w:rPr>
        <w:t xml:space="preserve">Together, the </w:t>
      </w:r>
      <w:r>
        <w:rPr>
          <w:rFonts w:cstheme="minorHAnsi"/>
          <w:szCs w:val="18"/>
        </w:rPr>
        <w:t xml:space="preserve">functions and design elements </w:t>
      </w:r>
      <w:r w:rsidRPr="009251A6">
        <w:rPr>
          <w:rFonts w:cstheme="minorHAnsi"/>
          <w:szCs w:val="18"/>
        </w:rPr>
        <w:t xml:space="preserve">form the options framework </w:t>
      </w:r>
      <w:r>
        <w:rPr>
          <w:rFonts w:cstheme="minorHAnsi"/>
          <w:szCs w:val="18"/>
        </w:rPr>
        <w:t>shown in</w:t>
      </w:r>
      <w:r w:rsidR="003C011D">
        <w:rPr>
          <w:rFonts w:cstheme="minorHAnsi"/>
          <w:szCs w:val="18"/>
        </w:rPr>
        <w:t xml:space="preserve"> </w:t>
      </w:r>
      <w:r w:rsidR="00210922">
        <w:rPr>
          <w:rFonts w:cstheme="minorHAnsi"/>
          <w:szCs w:val="18"/>
        </w:rPr>
        <w:fldChar w:fldCharType="begin"/>
      </w:r>
      <w:r w:rsidR="00210922">
        <w:rPr>
          <w:rFonts w:cstheme="minorHAnsi"/>
          <w:szCs w:val="18"/>
        </w:rPr>
        <w:instrText xml:space="preserve"> REF _Ref48745065 \h </w:instrText>
      </w:r>
      <w:r w:rsidR="00210922">
        <w:rPr>
          <w:rFonts w:cstheme="minorHAnsi"/>
          <w:szCs w:val="18"/>
        </w:rPr>
      </w:r>
      <w:r w:rsidR="00210922">
        <w:rPr>
          <w:rFonts w:cstheme="minorHAnsi"/>
          <w:szCs w:val="18"/>
        </w:rPr>
        <w:fldChar w:fldCharType="separate"/>
      </w:r>
      <w:r w:rsidR="0004183F" w:rsidRPr="00210922">
        <w:rPr>
          <w:rFonts w:ascii="Segoe UI Semibold" w:hAnsi="Segoe UI Semibold"/>
          <w:color w:val="002D72"/>
          <w:sz w:val="20"/>
        </w:rPr>
        <w:t xml:space="preserve">Figure </w:t>
      </w:r>
      <w:r w:rsidR="0004183F">
        <w:rPr>
          <w:rFonts w:ascii="Segoe UI Semibold" w:hAnsi="Segoe UI Semibold"/>
          <w:noProof/>
          <w:color w:val="002D72"/>
          <w:sz w:val="20"/>
        </w:rPr>
        <w:t>5</w:t>
      </w:r>
      <w:r w:rsidR="00210922">
        <w:rPr>
          <w:rFonts w:cstheme="minorHAnsi"/>
          <w:szCs w:val="18"/>
        </w:rPr>
        <w:fldChar w:fldCharType="end"/>
      </w:r>
      <w:r w:rsidRPr="009251A6">
        <w:rPr>
          <w:rFonts w:cstheme="minorHAnsi"/>
          <w:szCs w:val="18"/>
        </w:rPr>
        <w:t>.</w:t>
      </w:r>
    </w:p>
    <w:p w14:paraId="40136B2F" w14:textId="53428796" w:rsidR="002005E5" w:rsidRPr="00210922" w:rsidRDefault="00210922" w:rsidP="00210922">
      <w:pPr>
        <w:pStyle w:val="Caption"/>
        <w:rPr>
          <w:rFonts w:ascii="Segoe UI Semibold" w:eastAsiaTheme="minorHAnsi" w:hAnsi="Segoe UI Semibold" w:cstheme="minorBidi"/>
          <w:bCs w:val="0"/>
          <w:snapToGrid/>
          <w:color w:val="002D72"/>
          <w:sz w:val="20"/>
          <w:szCs w:val="22"/>
        </w:rPr>
      </w:pPr>
      <w:bookmarkStart w:id="14" w:name="_Ref48745065"/>
      <w:bookmarkStart w:id="15" w:name="_Ref48054713"/>
      <w:bookmarkStart w:id="16" w:name="_Toc48657210"/>
      <w:bookmarkStart w:id="17" w:name="_Toc49156977"/>
      <w:r w:rsidRPr="00210922">
        <w:rPr>
          <w:rFonts w:ascii="Segoe UI Semibold" w:eastAsiaTheme="minorHAnsi" w:hAnsi="Segoe UI Semibold" w:cstheme="minorBidi"/>
          <w:bCs w:val="0"/>
          <w:snapToGrid/>
          <w:color w:val="002D72"/>
          <w:sz w:val="20"/>
          <w:szCs w:val="22"/>
        </w:rPr>
        <w:t xml:space="preserve">Figure </w:t>
      </w:r>
      <w:r w:rsidR="00831F24">
        <w:rPr>
          <w:rFonts w:ascii="Segoe UI Semibold" w:eastAsiaTheme="minorHAnsi" w:hAnsi="Segoe UI Semibold" w:cstheme="minorBidi"/>
          <w:bCs w:val="0"/>
          <w:snapToGrid/>
          <w:color w:val="002D72"/>
          <w:sz w:val="20"/>
          <w:szCs w:val="22"/>
        </w:rPr>
        <w:fldChar w:fldCharType="begin"/>
      </w:r>
      <w:r w:rsidR="00831F24">
        <w:rPr>
          <w:rFonts w:ascii="Segoe UI Semibold" w:eastAsiaTheme="minorHAnsi" w:hAnsi="Segoe UI Semibold" w:cstheme="minorBidi"/>
          <w:bCs w:val="0"/>
          <w:snapToGrid/>
          <w:color w:val="002D72"/>
          <w:sz w:val="20"/>
          <w:szCs w:val="22"/>
        </w:rPr>
        <w:instrText xml:space="preserve"> SEQ Figure \* ARABIC </w:instrText>
      </w:r>
      <w:r w:rsidR="00831F24">
        <w:rPr>
          <w:rFonts w:ascii="Segoe UI Semibold" w:eastAsiaTheme="minorHAnsi" w:hAnsi="Segoe UI Semibold" w:cstheme="minorBidi"/>
          <w:bCs w:val="0"/>
          <w:snapToGrid/>
          <w:color w:val="002D72"/>
          <w:sz w:val="20"/>
          <w:szCs w:val="22"/>
        </w:rPr>
        <w:fldChar w:fldCharType="separate"/>
      </w:r>
      <w:r w:rsidR="007E6855">
        <w:rPr>
          <w:rFonts w:ascii="Segoe UI Semibold" w:eastAsiaTheme="minorHAnsi" w:hAnsi="Segoe UI Semibold" w:cstheme="minorBidi"/>
          <w:bCs w:val="0"/>
          <w:noProof/>
          <w:snapToGrid/>
          <w:color w:val="002D72"/>
          <w:sz w:val="20"/>
          <w:szCs w:val="22"/>
        </w:rPr>
        <w:t>5</w:t>
      </w:r>
      <w:r w:rsidR="00831F24">
        <w:rPr>
          <w:rFonts w:ascii="Segoe UI Semibold" w:eastAsiaTheme="minorHAnsi" w:hAnsi="Segoe UI Semibold" w:cstheme="minorBidi"/>
          <w:bCs w:val="0"/>
          <w:snapToGrid/>
          <w:color w:val="002D72"/>
          <w:sz w:val="20"/>
          <w:szCs w:val="22"/>
        </w:rPr>
        <w:fldChar w:fldCharType="end"/>
      </w:r>
      <w:bookmarkEnd w:id="14"/>
      <w:r w:rsidRPr="00210922">
        <w:rPr>
          <w:rFonts w:ascii="Segoe UI Semibold" w:eastAsiaTheme="minorHAnsi" w:hAnsi="Segoe UI Semibold" w:cstheme="minorBidi"/>
          <w:bCs w:val="0"/>
          <w:snapToGrid/>
          <w:color w:val="002D72"/>
          <w:sz w:val="20"/>
          <w:szCs w:val="22"/>
        </w:rPr>
        <w:t xml:space="preserve"> </w:t>
      </w:r>
      <w:bookmarkEnd w:id="15"/>
      <w:r w:rsidR="002005E5" w:rsidRPr="00210922">
        <w:rPr>
          <w:rFonts w:ascii="Segoe UI Semibold" w:eastAsiaTheme="minorHAnsi" w:hAnsi="Segoe UI Semibold" w:cstheme="minorBidi"/>
          <w:bCs w:val="0"/>
          <w:snapToGrid/>
          <w:color w:val="002D72"/>
          <w:sz w:val="20"/>
          <w:szCs w:val="22"/>
        </w:rPr>
        <w:t>Options framework</w:t>
      </w:r>
      <w:bookmarkEnd w:id="16"/>
      <w:bookmarkEnd w:id="17"/>
    </w:p>
    <w:p w14:paraId="55852189" w14:textId="7A99EB40" w:rsidR="00502F73" w:rsidRDefault="00FE63E3" w:rsidP="000C4067">
      <w:pPr>
        <w:pStyle w:val="PwCNormal"/>
        <w:spacing w:before="0" w:after="0"/>
      </w:pPr>
      <w:r>
        <w:rPr>
          <w:noProof/>
          <w:lang w:eastAsia="en-AU"/>
        </w:rPr>
        <w:drawing>
          <wp:inline distT="0" distB="0" distL="0" distR="0" wp14:anchorId="6376A814" wp14:editId="7AFAE63F">
            <wp:extent cx="5889988" cy="3735566"/>
            <wp:effectExtent l="0" t="0" r="0" b="0"/>
            <wp:docPr id="1524746771" name="Picture 7" descr="This figure maps the functions of open data, data exchange and leadership and innovation with the key design elements of data, technology, governance, funding and regulation. " title="Figure 5 Option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889988" cy="3735566"/>
                    </a:xfrm>
                    <a:prstGeom prst="rect">
                      <a:avLst/>
                    </a:prstGeom>
                  </pic:spPr>
                </pic:pic>
              </a:graphicData>
            </a:graphic>
          </wp:inline>
        </w:drawing>
      </w:r>
    </w:p>
    <w:p w14:paraId="6F645D42" w14:textId="12A8E37F" w:rsidR="00502F73" w:rsidRPr="00BB1294" w:rsidRDefault="00C534BE" w:rsidP="00BB1294">
      <w:pPr>
        <w:pStyle w:val="Sourcenote"/>
      </w:pPr>
      <w:r w:rsidRPr="00DF398D">
        <w:t>Source: PwC based on DITRDC</w:t>
      </w:r>
      <w:r w:rsidDel="00C534BE">
        <w:t xml:space="preserve"> </w:t>
      </w:r>
      <w:r>
        <w:t>analysis of submissions to Discussion Paper 1</w:t>
      </w:r>
      <w:r w:rsidR="5BB95189">
        <w:t xml:space="preserve"> (2020)</w:t>
      </w:r>
    </w:p>
    <w:p w14:paraId="46C3F9B8" w14:textId="77777777" w:rsidR="006F3341" w:rsidRPr="006F3341" w:rsidRDefault="006F3341">
      <w:pPr>
        <w:spacing w:line="259" w:lineRule="auto"/>
        <w:rPr>
          <w:rFonts w:ascii="Segoe UI Semibold" w:eastAsia="MingLiU" w:hAnsi="Segoe UI Semibold" w:cs="Segoe UI Semibold"/>
          <w:color w:val="002D72"/>
          <w:sz w:val="36"/>
          <w:szCs w:val="26"/>
        </w:rPr>
      </w:pPr>
      <w:bookmarkStart w:id="18" w:name="_Toc47100000"/>
      <w:r>
        <w:br w:type="page"/>
      </w:r>
    </w:p>
    <w:p w14:paraId="2BDF1657" w14:textId="77777777" w:rsidR="004E741D" w:rsidRDefault="004E741D" w:rsidP="7342E18F">
      <w:pPr>
        <w:pStyle w:val="Heading3"/>
        <w:sectPr w:rsidR="004E741D" w:rsidSect="00ED68F0">
          <w:pgSz w:w="11906" w:h="16838"/>
          <w:pgMar w:top="2268" w:right="992" w:bottom="1276" w:left="1440" w:header="0" w:footer="397" w:gutter="0"/>
          <w:cols w:space="708"/>
          <w:docGrid w:linePitch="360"/>
        </w:sectPr>
      </w:pPr>
    </w:p>
    <w:p w14:paraId="797436BE" w14:textId="1FB4FF61" w:rsidR="004E741D" w:rsidRDefault="004E741D" w:rsidP="00513728">
      <w:r>
        <w:lastRenderedPageBreak/>
        <w:t xml:space="preserve">Each element has a </w:t>
      </w:r>
      <w:r w:rsidR="008A4EDA">
        <w:t>range</w:t>
      </w:r>
      <w:r>
        <w:t xml:space="preserve"> of options which can be combined in different ways to design the National Freight Data Hub. </w:t>
      </w:r>
    </w:p>
    <w:p w14:paraId="7DB5DD76" w14:textId="50E85578" w:rsidR="007E6855" w:rsidRPr="007E6855" w:rsidRDefault="007E6855" w:rsidP="007E6855">
      <w:pPr>
        <w:pStyle w:val="Caption"/>
        <w:rPr>
          <w:rFonts w:ascii="Segoe UI" w:eastAsiaTheme="minorHAnsi" w:hAnsi="Segoe UI" w:cstheme="minorBidi"/>
          <w:bCs w:val="0"/>
          <w:snapToGrid/>
          <w:color w:val="auto"/>
          <w:sz w:val="21"/>
          <w:szCs w:val="22"/>
        </w:rPr>
      </w:pPr>
      <w:bookmarkStart w:id="19" w:name="_Toc49156978"/>
      <w:r w:rsidRPr="007E6855">
        <w:rPr>
          <w:rFonts w:ascii="Segoe UI Semibold" w:eastAsiaTheme="minorHAnsi" w:hAnsi="Segoe UI Semibold" w:cstheme="minorBidi"/>
          <w:bCs w:val="0"/>
          <w:snapToGrid/>
          <w:color w:val="002D72"/>
          <w:sz w:val="20"/>
          <w:szCs w:val="22"/>
        </w:rPr>
        <w:t xml:space="preserve">Figure </w:t>
      </w:r>
      <w:r w:rsidRPr="007E6855">
        <w:rPr>
          <w:rFonts w:ascii="Segoe UI Semibold" w:eastAsiaTheme="minorHAnsi" w:hAnsi="Segoe UI Semibold" w:cstheme="minorBidi"/>
          <w:bCs w:val="0"/>
          <w:snapToGrid/>
          <w:color w:val="002D72"/>
          <w:sz w:val="20"/>
          <w:szCs w:val="22"/>
        </w:rPr>
        <w:fldChar w:fldCharType="begin"/>
      </w:r>
      <w:r w:rsidRPr="007E6855">
        <w:rPr>
          <w:rFonts w:ascii="Segoe UI Semibold" w:eastAsiaTheme="minorHAnsi" w:hAnsi="Segoe UI Semibold" w:cstheme="minorBidi"/>
          <w:bCs w:val="0"/>
          <w:snapToGrid/>
          <w:color w:val="002D72"/>
          <w:sz w:val="20"/>
          <w:szCs w:val="22"/>
        </w:rPr>
        <w:instrText xml:space="preserve"> SEQ Figure \* ARABIC </w:instrText>
      </w:r>
      <w:r w:rsidRPr="007E6855">
        <w:rPr>
          <w:rFonts w:ascii="Segoe UI Semibold" w:eastAsiaTheme="minorHAnsi" w:hAnsi="Segoe UI Semibold" w:cstheme="minorBidi"/>
          <w:bCs w:val="0"/>
          <w:snapToGrid/>
          <w:color w:val="002D72"/>
          <w:sz w:val="20"/>
          <w:szCs w:val="22"/>
        </w:rPr>
        <w:fldChar w:fldCharType="separate"/>
      </w:r>
      <w:r w:rsidRPr="007E6855">
        <w:rPr>
          <w:rFonts w:ascii="Segoe UI Semibold" w:eastAsiaTheme="minorHAnsi" w:hAnsi="Segoe UI Semibold" w:cstheme="minorBidi"/>
          <w:bCs w:val="0"/>
          <w:snapToGrid/>
          <w:color w:val="002D72"/>
          <w:sz w:val="20"/>
          <w:szCs w:val="22"/>
        </w:rPr>
        <w:t>6</w:t>
      </w:r>
      <w:r w:rsidRPr="007E6855">
        <w:rPr>
          <w:rFonts w:ascii="Segoe UI Semibold" w:eastAsiaTheme="minorHAnsi" w:hAnsi="Segoe UI Semibold" w:cstheme="minorBidi"/>
          <w:bCs w:val="0"/>
          <w:snapToGrid/>
          <w:color w:val="002D72"/>
          <w:sz w:val="20"/>
          <w:szCs w:val="22"/>
        </w:rPr>
        <w:fldChar w:fldCharType="end"/>
      </w:r>
      <w:r w:rsidRPr="007E6855">
        <w:rPr>
          <w:rFonts w:ascii="Segoe UI Semibold" w:eastAsiaTheme="minorHAnsi" w:hAnsi="Segoe UI Semibold" w:cstheme="minorBidi"/>
          <w:bCs w:val="0"/>
          <w:snapToGrid/>
          <w:color w:val="002D72"/>
          <w:sz w:val="20"/>
          <w:szCs w:val="22"/>
        </w:rPr>
        <w:t xml:space="preserve"> Summary of range of options </w:t>
      </w:r>
      <w:r w:rsidRPr="007E6855">
        <w:rPr>
          <w:rFonts w:ascii="Segoe UI" w:eastAsiaTheme="minorHAnsi" w:hAnsi="Segoe UI" w:cstheme="minorBidi"/>
          <w:bCs w:val="0"/>
          <w:snapToGrid/>
          <w:color w:val="auto"/>
          <w:sz w:val="21"/>
          <w:szCs w:val="22"/>
        </w:rPr>
        <w:t>provides an overview, and the following sections of the paper set out more detail and discussion questions.</w:t>
      </w:r>
      <w:bookmarkEnd w:id="19"/>
      <w:r w:rsidRPr="007E6855">
        <w:rPr>
          <w:rFonts w:ascii="Segoe UI" w:eastAsiaTheme="minorHAnsi" w:hAnsi="Segoe UI" w:cstheme="minorBidi"/>
          <w:bCs w:val="0"/>
          <w:snapToGrid/>
          <w:color w:val="auto"/>
          <w:sz w:val="21"/>
          <w:szCs w:val="22"/>
        </w:rPr>
        <w:t xml:space="preserve"> </w:t>
      </w:r>
    </w:p>
    <w:p w14:paraId="1EC709D9" w14:textId="33FDC4E0" w:rsidR="004E741D" w:rsidRDefault="004E741D" w:rsidP="004E741D">
      <w:pPr>
        <w:pStyle w:val="Heading3"/>
        <w:ind w:left="-284"/>
        <w:sectPr w:rsidR="004E741D" w:rsidSect="004E741D">
          <w:pgSz w:w="16838" w:h="11906" w:orient="landscape"/>
          <w:pgMar w:top="1440" w:right="2268" w:bottom="992" w:left="1276" w:header="0" w:footer="397" w:gutter="0"/>
          <w:cols w:space="708"/>
          <w:docGrid w:linePitch="360"/>
        </w:sectPr>
      </w:pPr>
      <w:bookmarkStart w:id="20" w:name="_Toc48924110"/>
      <w:r>
        <w:rPr>
          <w:noProof/>
          <w:lang w:eastAsia="en-AU"/>
        </w:rPr>
        <w:drawing>
          <wp:inline distT="0" distB="0" distL="0" distR="0" wp14:anchorId="7B05B46F" wp14:editId="37AE49BB">
            <wp:extent cx="9333865" cy="2838296"/>
            <wp:effectExtent l="0" t="0" r="635" b="635"/>
            <wp:docPr id="13" name="Picture 13" descr="This figure shows data, technology, governance, funding and regulation mapped against the different options for each. The following sections expand on this visual." title="Figure 6 Summary of range of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20956"/>
                    <a:stretch/>
                  </pic:blipFill>
                  <pic:spPr bwMode="auto">
                    <a:xfrm>
                      <a:off x="0" y="0"/>
                      <a:ext cx="9365135" cy="2847805"/>
                    </a:xfrm>
                    <a:prstGeom prst="rect">
                      <a:avLst/>
                    </a:prstGeom>
                    <a:noFill/>
                    <a:ln>
                      <a:noFill/>
                    </a:ln>
                    <a:extLst>
                      <a:ext uri="{53640926-AAD7-44D8-BBD7-CCE9431645EC}">
                        <a14:shadowObscured xmlns:a14="http://schemas.microsoft.com/office/drawing/2010/main"/>
                      </a:ext>
                    </a:extLst>
                  </pic:spPr>
                </pic:pic>
              </a:graphicData>
            </a:graphic>
          </wp:inline>
        </w:drawing>
      </w:r>
      <w:bookmarkEnd w:id="20"/>
    </w:p>
    <w:p w14:paraId="46EC8F54" w14:textId="668F33E7" w:rsidR="00502F73" w:rsidRDefault="7CAAAB77" w:rsidP="7342E18F">
      <w:pPr>
        <w:pStyle w:val="Heading3"/>
        <w:rPr>
          <w:rFonts w:ascii="Segoe UI" w:eastAsia="PMingLiU" w:hAnsi="Segoe UI" w:cs="Mangal"/>
          <w:color w:val="626E81"/>
          <w:sz w:val="20"/>
          <w:szCs w:val="20"/>
          <w:lang w:eastAsia="zh-TW"/>
        </w:rPr>
      </w:pPr>
      <w:bookmarkStart w:id="21" w:name="_Toc48924111"/>
      <w:r>
        <w:lastRenderedPageBreak/>
        <w:t xml:space="preserve">Element One: </w:t>
      </w:r>
      <w:r w:rsidR="5BB95189">
        <w:t>Data</w:t>
      </w:r>
      <w:bookmarkEnd w:id="21"/>
      <w:r w:rsidR="5BB95189">
        <w:t xml:space="preserve"> </w:t>
      </w:r>
      <w:bookmarkEnd w:id="18"/>
    </w:p>
    <w:p w14:paraId="415A6404" w14:textId="311C8AFA" w:rsidR="004D6D25" w:rsidRDefault="7EFB6260" w:rsidP="7342E18F">
      <w:pPr>
        <w:rPr>
          <w:shd w:val="clear" w:color="auto" w:fill="FFFFFF"/>
          <w:lang w:eastAsia="zh-CN"/>
        </w:rPr>
      </w:pPr>
      <w:r>
        <w:rPr>
          <w:shd w:val="clear" w:color="auto" w:fill="FFFFFF"/>
          <w:lang w:eastAsia="zh-CN"/>
        </w:rPr>
        <w:t xml:space="preserve">Drawing on </w:t>
      </w:r>
      <w:r w:rsidR="37062BAA">
        <w:rPr>
          <w:shd w:val="clear" w:color="auto" w:fill="FFFFFF"/>
          <w:lang w:eastAsia="zh-CN"/>
        </w:rPr>
        <w:t xml:space="preserve">findings from the </w:t>
      </w:r>
      <w:proofErr w:type="spellStart"/>
      <w:r w:rsidR="1FC3C2A9">
        <w:rPr>
          <w:shd w:val="clear" w:color="auto" w:fill="FFFFFF"/>
          <w:lang w:eastAsia="zh-CN"/>
        </w:rPr>
        <w:t>iMOVE</w:t>
      </w:r>
      <w:proofErr w:type="spellEnd"/>
      <w:r w:rsidR="1FC3C2A9">
        <w:rPr>
          <w:shd w:val="clear" w:color="auto" w:fill="FFFFFF"/>
          <w:lang w:eastAsia="zh-CN"/>
        </w:rPr>
        <w:t xml:space="preserve"> </w:t>
      </w:r>
      <w:hyperlink r:id="rId30" w:history="1">
        <w:r w:rsidR="1FC3C2A9" w:rsidRPr="00592E14">
          <w:rPr>
            <w:rStyle w:val="Hyperlink"/>
            <w:i/>
            <w:iCs/>
            <w:shd w:val="clear" w:color="auto" w:fill="FFFFFF"/>
            <w:lang w:eastAsia="zh-CN"/>
          </w:rPr>
          <w:t>Freight Data Requirements Study</w:t>
        </w:r>
      </w:hyperlink>
      <w:r w:rsidR="15EBD0A7" w:rsidRPr="7342E18F">
        <w:rPr>
          <w:i/>
          <w:iCs/>
          <w:shd w:val="clear" w:color="auto" w:fill="FFFFFF"/>
          <w:lang w:eastAsia="zh-CN"/>
        </w:rPr>
        <w:t xml:space="preserve">, </w:t>
      </w:r>
      <w:r w:rsidR="00E10221" w:rsidRPr="00365D4D">
        <w:rPr>
          <w:iCs/>
          <w:shd w:val="clear" w:color="auto" w:fill="FFFFFF"/>
          <w:lang w:eastAsia="zh-CN"/>
        </w:rPr>
        <w:t xml:space="preserve">and </w:t>
      </w:r>
      <w:r w:rsidR="00E10221">
        <w:rPr>
          <w:lang w:eastAsia="zh-CN"/>
        </w:rPr>
        <w:t>submissions to the first</w:t>
      </w:r>
      <w:r w:rsidR="15EBD0A7" w:rsidRPr="7342E18F">
        <w:rPr>
          <w:lang w:eastAsia="zh-CN"/>
        </w:rPr>
        <w:t xml:space="preserve"> Discussion Paper, </w:t>
      </w:r>
      <w:r w:rsidR="006E603C">
        <w:rPr>
          <w:lang w:eastAsia="zh-CN"/>
        </w:rPr>
        <w:t xml:space="preserve">a set of Enduring </w:t>
      </w:r>
      <w:r w:rsidR="006E603C">
        <w:rPr>
          <w:shd w:val="clear" w:color="auto" w:fill="FFFFFF"/>
          <w:lang w:eastAsia="zh-CN"/>
        </w:rPr>
        <w:t>Questions and f</w:t>
      </w:r>
      <w:r w:rsidR="006E603C" w:rsidRPr="7342E18F">
        <w:rPr>
          <w:shd w:val="clear" w:color="auto" w:fill="FFFFFF"/>
          <w:lang w:eastAsia="zh-CN"/>
        </w:rPr>
        <w:t xml:space="preserve">ive </w:t>
      </w:r>
      <w:r w:rsidR="00E10221">
        <w:rPr>
          <w:shd w:val="clear" w:color="auto" w:fill="FFFFFF"/>
          <w:lang w:eastAsia="zh-CN"/>
        </w:rPr>
        <w:t xml:space="preserve">high level </w:t>
      </w:r>
      <w:r w:rsidR="1FC3C2A9">
        <w:rPr>
          <w:shd w:val="clear" w:color="auto" w:fill="FFFFFF"/>
          <w:lang w:eastAsia="zh-CN"/>
        </w:rPr>
        <w:t xml:space="preserve">data priorities </w:t>
      </w:r>
      <w:r w:rsidR="27703A35">
        <w:rPr>
          <w:shd w:val="clear" w:color="auto" w:fill="FFFFFF"/>
          <w:lang w:eastAsia="zh-CN"/>
        </w:rPr>
        <w:t xml:space="preserve">have been identified </w:t>
      </w:r>
      <w:r w:rsidR="1FC3C2A9">
        <w:rPr>
          <w:shd w:val="clear" w:color="auto" w:fill="FFFFFF"/>
          <w:lang w:eastAsia="zh-CN"/>
        </w:rPr>
        <w:t>for the Hub:</w:t>
      </w:r>
    </w:p>
    <w:p w14:paraId="5324C240" w14:textId="4462DE94" w:rsidR="004D6D25" w:rsidRPr="000C4067" w:rsidRDefault="1FC3C2A9" w:rsidP="00365D4D">
      <w:pPr>
        <w:pStyle w:val="Listparagraphbullets"/>
        <w:numPr>
          <w:ilvl w:val="0"/>
          <w:numId w:val="12"/>
        </w:numPr>
      </w:pPr>
      <w:r w:rsidRPr="7342E18F">
        <w:t>Consignment data</w:t>
      </w:r>
    </w:p>
    <w:p w14:paraId="4BB2680F" w14:textId="2001A058" w:rsidR="004D6D25" w:rsidRPr="000C4067" w:rsidRDefault="1FC3C2A9" w:rsidP="00365D4D">
      <w:pPr>
        <w:pStyle w:val="Listparagraphbullets"/>
        <w:numPr>
          <w:ilvl w:val="0"/>
          <w:numId w:val="12"/>
        </w:numPr>
      </w:pPr>
      <w:r w:rsidRPr="7342E18F">
        <w:t>Container data</w:t>
      </w:r>
    </w:p>
    <w:p w14:paraId="03A83B1A" w14:textId="79711BDE" w:rsidR="004D6D25" w:rsidRPr="000C4067" w:rsidRDefault="1FC3C2A9" w:rsidP="00365D4D">
      <w:pPr>
        <w:pStyle w:val="Listparagraphbullets"/>
        <w:numPr>
          <w:ilvl w:val="0"/>
          <w:numId w:val="12"/>
        </w:numPr>
      </w:pPr>
      <w:r w:rsidRPr="7342E18F">
        <w:t>Vehicle data</w:t>
      </w:r>
    </w:p>
    <w:p w14:paraId="294D3262" w14:textId="034713EE" w:rsidR="004D6D25" w:rsidRPr="000C4067" w:rsidRDefault="1FC3C2A9" w:rsidP="00365D4D">
      <w:pPr>
        <w:pStyle w:val="Listparagraphbullets"/>
        <w:numPr>
          <w:ilvl w:val="0"/>
          <w:numId w:val="12"/>
        </w:numPr>
      </w:pPr>
      <w:r w:rsidRPr="7342E18F">
        <w:t>Infrastructure data</w:t>
      </w:r>
      <w:r w:rsidR="0014316B">
        <w:t>,</w:t>
      </w:r>
      <w:r w:rsidRPr="7342E18F">
        <w:t xml:space="preserve"> and</w:t>
      </w:r>
    </w:p>
    <w:p w14:paraId="4146112C" w14:textId="467B5A2F" w:rsidR="004D6D25" w:rsidRPr="000C4067" w:rsidRDefault="1FC3C2A9" w:rsidP="00365D4D">
      <w:pPr>
        <w:pStyle w:val="Listparagraphbullets"/>
        <w:numPr>
          <w:ilvl w:val="0"/>
          <w:numId w:val="12"/>
        </w:numPr>
      </w:pPr>
      <w:r w:rsidRPr="7342E18F">
        <w:t xml:space="preserve">Cost data. </w:t>
      </w:r>
    </w:p>
    <w:p w14:paraId="03F64C60" w14:textId="0F036F43" w:rsidR="001845D7" w:rsidRPr="00E94FCC" w:rsidRDefault="4D67A852" w:rsidP="7342E18F">
      <w:pPr>
        <w:rPr>
          <w:lang w:val="en-US"/>
        </w:rPr>
      </w:pPr>
      <w:r w:rsidRPr="00513728">
        <w:rPr>
          <w:lang w:val="en-US"/>
        </w:rPr>
        <w:t xml:space="preserve">The Hub </w:t>
      </w:r>
      <w:r w:rsidR="00E10221" w:rsidRPr="00513728">
        <w:rPr>
          <w:lang w:val="en-US"/>
        </w:rPr>
        <w:t>will</w:t>
      </w:r>
      <w:r w:rsidRPr="00513728">
        <w:rPr>
          <w:lang w:val="en-US"/>
        </w:rPr>
        <w:t xml:space="preserve"> address deficiencies across these data priorities</w:t>
      </w:r>
      <w:r w:rsidR="007E78F0" w:rsidRPr="00513728">
        <w:rPr>
          <w:lang w:val="en-US"/>
        </w:rPr>
        <w:t xml:space="preserve"> over time</w:t>
      </w:r>
      <w:r w:rsidR="00637534" w:rsidRPr="00513728">
        <w:rPr>
          <w:lang w:val="en-US"/>
        </w:rPr>
        <w:t xml:space="preserve">. It will </w:t>
      </w:r>
      <w:r w:rsidR="00326EAD" w:rsidRPr="00513728">
        <w:rPr>
          <w:lang w:val="en-US"/>
        </w:rPr>
        <w:t xml:space="preserve">focus on data that is needed for priority analysis and insights, and </w:t>
      </w:r>
      <w:r w:rsidR="00637534" w:rsidRPr="00513728">
        <w:rPr>
          <w:lang w:val="en-US"/>
        </w:rPr>
        <w:t>progressively build up data, standards and linkages from use cases and projects over time.</w:t>
      </w:r>
      <w:r w:rsidR="00326EAD" w:rsidRPr="00513728">
        <w:rPr>
          <w:lang w:val="en-US"/>
        </w:rPr>
        <w:t xml:space="preserve"> </w:t>
      </w:r>
      <w:r w:rsidR="00637534" w:rsidRPr="00513728">
        <w:rPr>
          <w:lang w:val="en-US"/>
        </w:rPr>
        <w:t xml:space="preserve">It will </w:t>
      </w:r>
      <w:r w:rsidR="00326EAD" w:rsidRPr="00513728">
        <w:rPr>
          <w:lang w:val="en-US"/>
        </w:rPr>
        <w:t xml:space="preserve">generate significant efficiencies by </w:t>
      </w:r>
      <w:r w:rsidR="00637534" w:rsidRPr="00513728">
        <w:rPr>
          <w:lang w:val="en-US"/>
        </w:rPr>
        <w:t>enabl</w:t>
      </w:r>
      <w:r w:rsidR="00326EAD" w:rsidRPr="00513728">
        <w:rPr>
          <w:lang w:val="en-US"/>
        </w:rPr>
        <w:t>ing</w:t>
      </w:r>
      <w:r w:rsidR="00637534" w:rsidRPr="00513728">
        <w:rPr>
          <w:lang w:val="en-US"/>
        </w:rPr>
        <w:t xml:space="preserve"> data collected and curated for one project to be easily found and re-used by other stakeholders.</w:t>
      </w:r>
    </w:p>
    <w:p w14:paraId="21FDEB57" w14:textId="62377EEE" w:rsidR="00E94FCC" w:rsidRPr="00FE63E3" w:rsidRDefault="00D7062C" w:rsidP="00E94FCC">
      <w:pPr>
        <w:rPr>
          <w:lang w:val="en-US"/>
        </w:rPr>
      </w:pPr>
      <w:r w:rsidRPr="00E94FCC">
        <w:rPr>
          <w:lang w:val="en-US"/>
        </w:rPr>
        <w:t>Reponses to the first Discussion Paper</w:t>
      </w:r>
      <w:r w:rsidR="00E94FCC" w:rsidRPr="00E94FCC">
        <w:rPr>
          <w:lang w:val="en-US"/>
        </w:rPr>
        <w:t xml:space="preserve"> identified a number of initial priorities for the Hub, including improved data on heavy vehicle and urban freight movements, improved data standards and protocols, and enhanced investment planning. These opportunities </w:t>
      </w:r>
      <w:r w:rsidR="00070C50">
        <w:rPr>
          <w:lang w:val="en-US"/>
        </w:rPr>
        <w:t>have been</w:t>
      </w:r>
      <w:r w:rsidR="00070C50" w:rsidRPr="00E94FCC">
        <w:rPr>
          <w:lang w:val="en-US"/>
        </w:rPr>
        <w:t xml:space="preserve"> </w:t>
      </w:r>
      <w:r w:rsidR="00E94FCC" w:rsidRPr="00E94FCC">
        <w:rPr>
          <w:lang w:val="en-US"/>
        </w:rPr>
        <w:t>reflected in a set of ‘</w:t>
      </w:r>
      <w:r w:rsidR="006E603C">
        <w:rPr>
          <w:lang w:val="en-US"/>
        </w:rPr>
        <w:t>E</w:t>
      </w:r>
      <w:r w:rsidR="00E94FCC" w:rsidRPr="00E94FCC">
        <w:rPr>
          <w:lang w:val="en-US"/>
        </w:rPr>
        <w:t xml:space="preserve">nduring </w:t>
      </w:r>
      <w:r w:rsidR="006E603C">
        <w:rPr>
          <w:lang w:val="en-US"/>
        </w:rPr>
        <w:t>Q</w:t>
      </w:r>
      <w:r w:rsidR="00E94FCC" w:rsidRPr="00E94FCC">
        <w:rPr>
          <w:lang w:val="en-US"/>
        </w:rPr>
        <w:t>uestions’ that the Hub should address (see Appendix</w:t>
      </w:r>
      <w:r w:rsidR="00162731">
        <w:rPr>
          <w:lang w:val="en-US"/>
        </w:rPr>
        <w:t xml:space="preserve"> A</w:t>
      </w:r>
      <w:r w:rsidR="00E94FCC" w:rsidRPr="00E94FCC">
        <w:rPr>
          <w:lang w:val="en-US"/>
        </w:rPr>
        <w:t>). A number of these opportunities are</w:t>
      </w:r>
      <w:r w:rsidR="00070C50">
        <w:rPr>
          <w:lang w:val="en-US"/>
        </w:rPr>
        <w:t xml:space="preserve"> currently</w:t>
      </w:r>
      <w:r w:rsidR="00E94FCC" w:rsidRPr="00E94FCC">
        <w:rPr>
          <w:lang w:val="en-US"/>
        </w:rPr>
        <w:t xml:space="preserve"> under exploration through the delivery of pilot projects</w:t>
      </w:r>
      <w:r w:rsidR="00B9134B">
        <w:rPr>
          <w:lang w:val="en-US"/>
        </w:rPr>
        <w:t>.</w:t>
      </w:r>
      <w:r w:rsidR="00E94FCC" w:rsidRPr="00E94FCC">
        <w:rPr>
          <w:lang w:val="en-US"/>
        </w:rPr>
        <w:t xml:space="preserve"> </w:t>
      </w:r>
      <w:r w:rsidR="00B9134B">
        <w:rPr>
          <w:lang w:val="en-US"/>
        </w:rPr>
        <w:t>The knowledge and data gained through the pilot projects will transition to the Hub</w:t>
      </w:r>
      <w:r w:rsidR="00E94FCC" w:rsidRPr="00E94FCC">
        <w:rPr>
          <w:lang w:val="en-US"/>
        </w:rPr>
        <w:t>.</w:t>
      </w:r>
      <w:r w:rsidR="00E94FCC">
        <w:rPr>
          <w:lang w:val="en-US"/>
        </w:rPr>
        <w:t xml:space="preserve"> </w:t>
      </w:r>
    </w:p>
    <w:p w14:paraId="79E58059" w14:textId="0EA1C3B1" w:rsidR="000C4067" w:rsidRDefault="69F64617" w:rsidP="00876219">
      <w:pPr>
        <w:rPr>
          <w:lang w:val="en-US"/>
        </w:rPr>
      </w:pPr>
      <w:r>
        <w:rPr>
          <w:lang w:val="en-US"/>
        </w:rPr>
        <w:t>T</w:t>
      </w:r>
      <w:r w:rsidR="6E505E68">
        <w:rPr>
          <w:lang w:val="en-US"/>
        </w:rPr>
        <w:t>he purpos</w:t>
      </w:r>
      <w:r w:rsidR="4ABB1804">
        <w:rPr>
          <w:lang w:val="en-US"/>
        </w:rPr>
        <w:t xml:space="preserve">e </w:t>
      </w:r>
      <w:r w:rsidR="00637534">
        <w:rPr>
          <w:lang w:val="en-US"/>
        </w:rPr>
        <w:t xml:space="preserve">(or use case) for the data will </w:t>
      </w:r>
      <w:r w:rsidR="4ABB1804">
        <w:rPr>
          <w:lang w:val="en-US"/>
        </w:rPr>
        <w:t>drive the level of</w:t>
      </w:r>
      <w:r w:rsidR="1FC3C2A9" w:rsidRPr="7342E18F">
        <w:rPr>
          <w:lang w:val="en-US"/>
        </w:rPr>
        <w:t xml:space="preserve"> fidelity (the granularity of the data) and frequency (time intervals of the data collected or reported) of data c</w:t>
      </w:r>
      <w:r w:rsidR="51EA867B" w:rsidRPr="7342E18F">
        <w:rPr>
          <w:lang w:val="en-US"/>
        </w:rPr>
        <w:t xml:space="preserve">ollection </w:t>
      </w:r>
      <w:r w:rsidR="1FC3C2A9" w:rsidRPr="7342E18F">
        <w:rPr>
          <w:lang w:val="en-US"/>
        </w:rPr>
        <w:t>and aggregat</w:t>
      </w:r>
      <w:r w:rsidR="306A5242" w:rsidRPr="7342E18F">
        <w:rPr>
          <w:lang w:val="en-US"/>
        </w:rPr>
        <w:t>ion</w:t>
      </w:r>
      <w:r w:rsidR="00F00A56">
        <w:rPr>
          <w:lang w:val="en-US"/>
        </w:rPr>
        <w:t xml:space="preserve">. </w:t>
      </w:r>
      <w:r w:rsidR="008D23C0">
        <w:rPr>
          <w:lang w:val="en-US"/>
        </w:rPr>
        <w:br/>
      </w:r>
      <w:r w:rsidR="0004183F">
        <w:fldChar w:fldCharType="begin"/>
      </w:r>
      <w:r w:rsidR="0004183F">
        <w:instrText xml:space="preserve"> REF _Ref49156234 \h </w:instrText>
      </w:r>
      <w:r w:rsidR="0004183F">
        <w:fldChar w:fldCharType="separate"/>
      </w:r>
      <w:r w:rsidR="0004183F" w:rsidRPr="0004183F">
        <w:rPr>
          <w:rFonts w:ascii="Segoe UI Semibold" w:hAnsi="Segoe UI Semibold"/>
          <w:bCs/>
          <w:snapToGrid w:val="0"/>
          <w:color w:val="002D72"/>
          <w:sz w:val="20"/>
        </w:rPr>
        <w:t>Figure 7</w:t>
      </w:r>
      <w:r w:rsidR="0004183F">
        <w:fldChar w:fldCharType="end"/>
      </w:r>
      <w:r w:rsidR="0004183F">
        <w:t xml:space="preserve"> </w:t>
      </w:r>
      <w:r w:rsidR="0004183F" w:rsidRPr="0004183F">
        <w:rPr>
          <w:rFonts w:ascii="Segoe UI Semibold" w:hAnsi="Segoe UI Semibold"/>
          <w:bCs/>
          <w:snapToGrid w:val="0"/>
          <w:color w:val="002D72"/>
          <w:sz w:val="20"/>
        </w:rPr>
        <w:t>Data Priorities</w:t>
      </w:r>
      <w:r w:rsidR="0004183F">
        <w:t xml:space="preserve"> </w:t>
      </w:r>
      <w:r w:rsidR="006E603C">
        <w:t xml:space="preserve">(overleaf) </w:t>
      </w:r>
      <w:r w:rsidR="1F2BFF93">
        <w:rPr>
          <w:lang w:val="en-US"/>
        </w:rPr>
        <w:t xml:space="preserve">outlines </w:t>
      </w:r>
      <w:r w:rsidR="006515ED">
        <w:rPr>
          <w:lang w:val="en-US"/>
        </w:rPr>
        <w:t>options for capturing data to meet the Hub’s data priorities</w:t>
      </w:r>
      <w:r w:rsidR="1F2BFF93" w:rsidRPr="7342E18F">
        <w:rPr>
          <w:lang w:val="en-US"/>
        </w:rPr>
        <w:t xml:space="preserve">. </w:t>
      </w:r>
    </w:p>
    <w:p w14:paraId="0A194D75" w14:textId="6110834D" w:rsidR="00B807B1" w:rsidRDefault="00B807B1" w:rsidP="00876219">
      <w:pPr>
        <w:rPr>
          <w:lang w:val="en-US"/>
        </w:rPr>
      </w:pPr>
    </w:p>
    <w:p w14:paraId="518A1D34" w14:textId="77777777" w:rsidR="00B807B1" w:rsidRDefault="00B807B1" w:rsidP="00876219">
      <w:pPr>
        <w:rPr>
          <w:lang w:val="en-US"/>
        </w:rPr>
      </w:pPr>
    </w:p>
    <w:p w14:paraId="79994850" w14:textId="77777777" w:rsidR="005638E6" w:rsidRDefault="005638E6" w:rsidP="005638E6">
      <w:pPr>
        <w:pStyle w:val="Heading3notshowing"/>
        <w:shd w:val="clear" w:color="auto" w:fill="E7E6E6" w:themeFill="background2"/>
      </w:pPr>
      <w:r>
        <w:t>Questions for discussion – Data</w:t>
      </w:r>
    </w:p>
    <w:p w14:paraId="087816E2" w14:textId="77C0AD29" w:rsidR="005638E6" w:rsidRDefault="005638E6" w:rsidP="005638E6">
      <w:pPr>
        <w:pStyle w:val="Listparagraphbullets"/>
        <w:numPr>
          <w:ilvl w:val="0"/>
          <w:numId w:val="11"/>
        </w:numPr>
        <w:shd w:val="clear" w:color="auto" w:fill="E7E6E6" w:themeFill="background2"/>
      </w:pPr>
      <w:r>
        <w:t>What specific benefits would each data priorit</w:t>
      </w:r>
      <w:r w:rsidR="00C76A34">
        <w:t>y</w:t>
      </w:r>
      <w:r>
        <w:t xml:space="preserve"> provide to your organisation? </w:t>
      </w:r>
    </w:p>
    <w:p w14:paraId="02128C49" w14:textId="35C006F0" w:rsidR="005638E6" w:rsidRPr="006F3341" w:rsidRDefault="005638E6" w:rsidP="005638E6">
      <w:pPr>
        <w:pStyle w:val="Listparagraphbullets"/>
        <w:numPr>
          <w:ilvl w:val="0"/>
          <w:numId w:val="11"/>
        </w:numPr>
        <w:shd w:val="clear" w:color="auto" w:fill="E7E6E6" w:themeFill="background2"/>
      </w:pPr>
      <w:r>
        <w:t>What level of data fidelity (i.e. transaction level data or aggregated data) and frequency (i.e. near real-time, weekly, monthly, quarterly) would be required to make the data priorities you’ve identified be of value?</w:t>
      </w:r>
      <w:r>
        <w:br w:type="page"/>
      </w:r>
    </w:p>
    <w:p w14:paraId="7B1527A2" w14:textId="77777777" w:rsidR="00095FB9" w:rsidRDefault="00095FB9">
      <w:pPr>
        <w:spacing w:line="259" w:lineRule="auto"/>
        <w:sectPr w:rsidR="00095FB9" w:rsidSect="00F46A6C">
          <w:pgSz w:w="11906" w:h="16838"/>
          <w:pgMar w:top="2268" w:right="992" w:bottom="1276" w:left="1440" w:header="0" w:footer="397" w:gutter="0"/>
          <w:cols w:space="708"/>
          <w:docGrid w:linePitch="360"/>
        </w:sectPr>
      </w:pPr>
      <w:bookmarkStart w:id="22" w:name="_Ref47969794"/>
    </w:p>
    <w:p w14:paraId="0397CB76" w14:textId="00D6EF34" w:rsidR="00502F73" w:rsidRPr="004C2F5D" w:rsidRDefault="0004183F" w:rsidP="0004183F">
      <w:pPr>
        <w:pStyle w:val="Caption"/>
        <w:rPr>
          <w:rFonts w:ascii="Segoe UI Semibold" w:eastAsiaTheme="minorHAnsi" w:hAnsi="Segoe UI Semibold" w:cstheme="minorBidi"/>
          <w:bCs w:val="0"/>
          <w:snapToGrid/>
          <w:color w:val="002D72"/>
          <w:sz w:val="20"/>
          <w:szCs w:val="22"/>
        </w:rPr>
      </w:pPr>
      <w:bookmarkStart w:id="23" w:name="_Ref49156234"/>
      <w:bookmarkStart w:id="24" w:name="_Ref48745500"/>
      <w:bookmarkStart w:id="25" w:name="_Toc48657212"/>
      <w:bookmarkStart w:id="26" w:name="_Toc49156979"/>
      <w:bookmarkEnd w:id="22"/>
      <w:r w:rsidRPr="0004183F">
        <w:rPr>
          <w:rFonts w:ascii="Segoe UI Semibold" w:eastAsiaTheme="minorHAnsi" w:hAnsi="Segoe UI Semibold" w:cstheme="minorBidi"/>
          <w:bCs w:val="0"/>
          <w:snapToGrid/>
          <w:color w:val="002D72"/>
          <w:sz w:val="20"/>
          <w:szCs w:val="22"/>
        </w:rPr>
        <w:lastRenderedPageBreak/>
        <w:t xml:space="preserve">Figure </w:t>
      </w:r>
      <w:r w:rsidRPr="0004183F">
        <w:rPr>
          <w:rFonts w:ascii="Segoe UI Semibold" w:eastAsiaTheme="minorHAnsi" w:hAnsi="Segoe UI Semibold" w:cstheme="minorBidi"/>
          <w:bCs w:val="0"/>
          <w:snapToGrid/>
          <w:color w:val="002D72"/>
          <w:sz w:val="20"/>
          <w:szCs w:val="22"/>
        </w:rPr>
        <w:fldChar w:fldCharType="begin"/>
      </w:r>
      <w:r w:rsidRPr="0004183F">
        <w:rPr>
          <w:rFonts w:ascii="Segoe UI Semibold" w:eastAsiaTheme="minorHAnsi" w:hAnsi="Segoe UI Semibold" w:cstheme="minorBidi"/>
          <w:bCs w:val="0"/>
          <w:snapToGrid/>
          <w:color w:val="002D72"/>
          <w:sz w:val="20"/>
          <w:szCs w:val="22"/>
        </w:rPr>
        <w:instrText xml:space="preserve"> SEQ Figure \* ARABIC </w:instrText>
      </w:r>
      <w:r w:rsidRPr="0004183F">
        <w:rPr>
          <w:rFonts w:ascii="Segoe UI Semibold" w:eastAsiaTheme="minorHAnsi" w:hAnsi="Segoe UI Semibold" w:cstheme="minorBidi"/>
          <w:bCs w:val="0"/>
          <w:snapToGrid/>
          <w:color w:val="002D72"/>
          <w:sz w:val="20"/>
          <w:szCs w:val="22"/>
        </w:rPr>
        <w:fldChar w:fldCharType="separate"/>
      </w:r>
      <w:r w:rsidR="007E6855">
        <w:rPr>
          <w:rFonts w:ascii="Segoe UI Semibold" w:eastAsiaTheme="minorHAnsi" w:hAnsi="Segoe UI Semibold" w:cstheme="minorBidi"/>
          <w:bCs w:val="0"/>
          <w:noProof/>
          <w:snapToGrid/>
          <w:color w:val="002D72"/>
          <w:sz w:val="20"/>
          <w:szCs w:val="22"/>
        </w:rPr>
        <w:t>7</w:t>
      </w:r>
      <w:r w:rsidRPr="0004183F">
        <w:rPr>
          <w:rFonts w:ascii="Segoe UI Semibold" w:eastAsiaTheme="minorHAnsi" w:hAnsi="Segoe UI Semibold" w:cstheme="minorBidi"/>
          <w:bCs w:val="0"/>
          <w:snapToGrid/>
          <w:color w:val="002D72"/>
          <w:sz w:val="20"/>
          <w:szCs w:val="22"/>
        </w:rPr>
        <w:fldChar w:fldCharType="end"/>
      </w:r>
      <w:bookmarkEnd w:id="23"/>
      <w:r>
        <w:t xml:space="preserve"> </w:t>
      </w:r>
      <w:bookmarkEnd w:id="24"/>
      <w:r w:rsidR="00DF398D" w:rsidRPr="004C2F5D">
        <w:rPr>
          <w:rFonts w:ascii="Segoe UI Semibold" w:eastAsiaTheme="minorHAnsi" w:hAnsi="Segoe UI Semibold" w:cstheme="minorBidi"/>
          <w:bCs w:val="0"/>
          <w:snapToGrid/>
          <w:color w:val="002D72"/>
          <w:sz w:val="20"/>
          <w:szCs w:val="22"/>
        </w:rPr>
        <w:t xml:space="preserve">Data </w:t>
      </w:r>
      <w:bookmarkEnd w:id="25"/>
      <w:r w:rsidR="00D8046F">
        <w:rPr>
          <w:rFonts w:ascii="Segoe UI Semibold" w:eastAsiaTheme="minorHAnsi" w:hAnsi="Segoe UI Semibold" w:cstheme="minorBidi"/>
          <w:bCs w:val="0"/>
          <w:snapToGrid/>
          <w:color w:val="002D72"/>
          <w:sz w:val="20"/>
          <w:szCs w:val="22"/>
        </w:rPr>
        <w:t>Priorities</w:t>
      </w:r>
      <w:bookmarkEnd w:id="26"/>
    </w:p>
    <w:p w14:paraId="34A86913" w14:textId="1720F6CE" w:rsidR="002F074C" w:rsidRPr="002F074C" w:rsidRDefault="00815AFA" w:rsidP="00B82353">
      <w:pPr>
        <w:ind w:left="-567"/>
      </w:pPr>
      <w:r>
        <w:rPr>
          <w:noProof/>
          <w:lang w:eastAsia="en-AU"/>
        </w:rPr>
        <w:drawing>
          <wp:inline distT="0" distB="0" distL="0" distR="0" wp14:anchorId="14240718" wp14:editId="2E031EAD">
            <wp:extent cx="9760684" cy="4961106"/>
            <wp:effectExtent l="0" t="0" r="0" b="0"/>
            <wp:docPr id="92478664" name="Picture 92478664" descr="This figure lists five data priorities: consignment, container, vehicle, infrastructure and cost. &#10;It then outlines what is existing, what would be small change, medium change or high change across the data priorities.   " title="Figure 7 Data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98087" cy="4980117"/>
                    </a:xfrm>
                    <a:prstGeom prst="rect">
                      <a:avLst/>
                    </a:prstGeom>
                  </pic:spPr>
                </pic:pic>
              </a:graphicData>
            </a:graphic>
          </wp:inline>
        </w:drawing>
      </w:r>
    </w:p>
    <w:p w14:paraId="4E10813C" w14:textId="4115EEB8" w:rsidR="00502F73" w:rsidRDefault="00502F73" w:rsidP="00DF398D">
      <w:pPr>
        <w:pStyle w:val="Sourcenote"/>
      </w:pPr>
      <w:r w:rsidRPr="00DF398D">
        <w:t>Source: DIT</w:t>
      </w:r>
      <w:r w:rsidR="00DF398D" w:rsidRPr="00DF398D">
        <w:t>RDC</w:t>
      </w:r>
      <w:r w:rsidRPr="00DF398D">
        <w:t xml:space="preserve">, Foundation Enduring Questions and Freight Data Priorities, June 2020 </w:t>
      </w:r>
      <w:r w:rsidR="004D6D25">
        <w:t>(</w:t>
      </w:r>
      <w:r w:rsidRPr="00DF398D">
        <w:t xml:space="preserve">drawing on </w:t>
      </w:r>
      <w:proofErr w:type="spellStart"/>
      <w:r w:rsidRPr="00DF398D">
        <w:t>iMOVE</w:t>
      </w:r>
      <w:proofErr w:type="spellEnd"/>
      <w:r w:rsidRPr="00DF398D">
        <w:t xml:space="preserve"> study and stakeholder feedback on the December 2019</w:t>
      </w:r>
      <w:r w:rsidR="00815AFA">
        <w:t xml:space="preserve"> Discussion Paper</w:t>
      </w:r>
      <w:r w:rsidRPr="00DF398D">
        <w:t>)</w:t>
      </w:r>
      <w:r w:rsidR="00FD3FE7">
        <w:t xml:space="preserve"> see Appendix A</w:t>
      </w:r>
    </w:p>
    <w:p w14:paraId="73013FC4" w14:textId="77777777" w:rsidR="006F3341" w:rsidRDefault="006F3341" w:rsidP="00460441">
      <w:pPr>
        <w:pStyle w:val="Heading3"/>
        <w:sectPr w:rsidR="006F3341" w:rsidSect="004D1432">
          <w:pgSz w:w="16838" w:h="11906" w:orient="landscape"/>
          <w:pgMar w:top="1440" w:right="2268" w:bottom="992" w:left="1276" w:header="0" w:footer="397" w:gutter="0"/>
          <w:cols w:space="708"/>
          <w:docGrid w:linePitch="360"/>
        </w:sectPr>
      </w:pPr>
      <w:bookmarkStart w:id="27" w:name="_Toc47100001"/>
    </w:p>
    <w:p w14:paraId="18E621B6" w14:textId="067CE08D" w:rsidR="00502F73" w:rsidRDefault="00F92D38" w:rsidP="00460441">
      <w:pPr>
        <w:pStyle w:val="Heading3"/>
      </w:pPr>
      <w:bookmarkStart w:id="28" w:name="_Toc48924112"/>
      <w:r>
        <w:lastRenderedPageBreak/>
        <w:t xml:space="preserve">Element Two: </w:t>
      </w:r>
      <w:r w:rsidR="00502F73">
        <w:t>Technology</w:t>
      </w:r>
      <w:bookmarkEnd w:id="27"/>
      <w:bookmarkEnd w:id="28"/>
    </w:p>
    <w:p w14:paraId="286B92AD" w14:textId="7894B4A8" w:rsidR="005610DF" w:rsidRDefault="513255A0" w:rsidP="00460441">
      <w:r>
        <w:t>T</w:t>
      </w:r>
      <w:r w:rsidR="2E6ED1E5">
        <w:t>echnology has a key role to play in supporting the</w:t>
      </w:r>
      <w:r w:rsidR="54556382">
        <w:t xml:space="preserve"> three </w:t>
      </w:r>
      <w:r w:rsidR="7467E87A">
        <w:t xml:space="preserve">key </w:t>
      </w:r>
      <w:r w:rsidR="441940C9">
        <w:t xml:space="preserve">functions </w:t>
      </w:r>
      <w:r w:rsidR="23252CCA">
        <w:t>outlined above</w:t>
      </w:r>
      <w:r w:rsidR="00637534">
        <w:t>:</w:t>
      </w:r>
      <w:r w:rsidR="5A8A2B62">
        <w:t xml:space="preserve"> </w:t>
      </w:r>
      <w:r w:rsidR="00F552DB">
        <w:t>l</w:t>
      </w:r>
      <w:r w:rsidR="5A8A2B62">
        <w:t xml:space="preserve">eadership </w:t>
      </w:r>
      <w:r w:rsidR="00F552DB">
        <w:t>and innovation, open data and data exchange</w:t>
      </w:r>
      <w:r w:rsidR="68580D07">
        <w:t xml:space="preserve">. </w:t>
      </w:r>
      <w:r w:rsidR="007E78F0">
        <w:t>The technology options for the Hub could change, and grow with the Hub over time.</w:t>
      </w:r>
    </w:p>
    <w:p w14:paraId="6AC8DA93" w14:textId="60F3F9AC" w:rsidR="005610DF" w:rsidRDefault="00052B27" w:rsidP="00B82353">
      <w:pPr>
        <w:pStyle w:val="Listparagraphbullets"/>
        <w:numPr>
          <w:ilvl w:val="0"/>
          <w:numId w:val="0"/>
        </w:numPr>
        <w:contextualSpacing w:val="0"/>
      </w:pPr>
      <w:r>
        <w:t>There are</w:t>
      </w:r>
      <w:r w:rsidR="7467E87A">
        <w:t xml:space="preserve"> </w:t>
      </w:r>
      <w:r w:rsidR="001E1CB4">
        <w:t>four</w:t>
      </w:r>
      <w:r w:rsidR="7467E87A">
        <w:t xml:space="preserve"> </w:t>
      </w:r>
      <w:r w:rsidR="00E70B34">
        <w:t xml:space="preserve">broad </w:t>
      </w:r>
      <w:r w:rsidR="7467E87A">
        <w:t xml:space="preserve">technology </w:t>
      </w:r>
      <w:r w:rsidR="008E472C">
        <w:t>options</w:t>
      </w:r>
      <w:r w:rsidR="04C6827A">
        <w:t>:</w:t>
      </w:r>
      <w:r w:rsidR="7467E87A">
        <w:t xml:space="preserve"> </w:t>
      </w:r>
    </w:p>
    <w:p w14:paraId="40A6D2D9" w14:textId="31A63F94" w:rsidR="001E1CB4" w:rsidRPr="001E1CB4" w:rsidRDefault="001E1CB4" w:rsidP="00B82353">
      <w:pPr>
        <w:pStyle w:val="Listparagraphbullets"/>
        <w:spacing w:before="120" w:after="0"/>
        <w:ind w:left="357" w:hanging="357"/>
        <w:contextualSpacing w:val="0"/>
        <w:rPr>
          <w:b/>
          <w:bCs/>
        </w:rPr>
      </w:pPr>
      <w:r w:rsidRPr="001E1CB4">
        <w:rPr>
          <w:b/>
          <w:bCs/>
        </w:rPr>
        <w:t xml:space="preserve">No technology: </w:t>
      </w:r>
      <w:r>
        <w:t xml:space="preserve">There is potential for the </w:t>
      </w:r>
      <w:r w:rsidR="00F552DB">
        <w:t>H</w:t>
      </w:r>
      <w:r>
        <w:t xml:space="preserve">ub to focus solely on leadership and innovation in respect of freight data exchange and open data. </w:t>
      </w:r>
    </w:p>
    <w:p w14:paraId="4901D160" w14:textId="22EF95DD" w:rsidR="564FCFEE" w:rsidRDefault="00005BBB" w:rsidP="00B82353">
      <w:pPr>
        <w:pStyle w:val="Listparagraphbullets"/>
        <w:spacing w:before="120" w:after="0"/>
        <w:ind w:left="357" w:hanging="357"/>
        <w:contextualSpacing w:val="0"/>
        <w:rPr>
          <w:rFonts w:asciiTheme="minorHAnsi" w:eastAsiaTheme="minorEastAsia" w:hAnsiTheme="minorHAnsi"/>
          <w:szCs w:val="21"/>
        </w:rPr>
      </w:pPr>
      <w:r w:rsidRPr="7342E18F">
        <w:rPr>
          <w:b/>
          <w:bCs/>
        </w:rPr>
        <w:t xml:space="preserve">Existing </w:t>
      </w:r>
      <w:r w:rsidR="564FCFEE" w:rsidRPr="7342E18F">
        <w:rPr>
          <w:b/>
          <w:bCs/>
        </w:rPr>
        <w:t>technology</w:t>
      </w:r>
      <w:r w:rsidR="641F5998" w:rsidRPr="7342E18F">
        <w:rPr>
          <w:b/>
          <w:bCs/>
        </w:rPr>
        <w:t>:</w:t>
      </w:r>
      <w:r w:rsidR="564FCFEE" w:rsidRPr="7342E18F">
        <w:rPr>
          <w:b/>
          <w:bCs/>
        </w:rPr>
        <w:t xml:space="preserve"> </w:t>
      </w:r>
      <w:r w:rsidR="564FCFEE">
        <w:t xml:space="preserve">There is potential to </w:t>
      </w:r>
      <w:r w:rsidR="352F52DB">
        <w:t>continue to make use of</w:t>
      </w:r>
      <w:r w:rsidR="00E70B34">
        <w:t>,</w:t>
      </w:r>
      <w:r w:rsidR="001E1CB4">
        <w:t xml:space="preserve"> or adapt</w:t>
      </w:r>
      <w:r w:rsidR="352F52DB">
        <w:t xml:space="preserve"> the existing technology systems used by governments, industry and other stakeholders to store and share data</w:t>
      </w:r>
      <w:r w:rsidR="00E70B34">
        <w:t>. In addition</w:t>
      </w:r>
      <w:r w:rsidR="352F52DB">
        <w:t>,</w:t>
      </w:r>
      <w:r w:rsidR="003077BD">
        <w:t xml:space="preserve"> </w:t>
      </w:r>
      <w:r w:rsidR="352F52DB">
        <w:t>the Hub</w:t>
      </w:r>
      <w:r w:rsidR="0FED2203">
        <w:t xml:space="preserve"> </w:t>
      </w:r>
      <w:r w:rsidR="00E70B34">
        <w:t xml:space="preserve">would </w:t>
      </w:r>
      <w:r w:rsidR="0FED2203">
        <w:t>tak</w:t>
      </w:r>
      <w:r w:rsidR="00E70B34">
        <w:t>e</w:t>
      </w:r>
      <w:r w:rsidR="0FED2203">
        <w:t xml:space="preserve"> a leadership role in</w:t>
      </w:r>
      <w:r w:rsidR="352F52DB">
        <w:t xml:space="preserve"> developing </w:t>
      </w:r>
      <w:r w:rsidR="2D5811E7">
        <w:t xml:space="preserve">technology and </w:t>
      </w:r>
      <w:r w:rsidR="352F52DB">
        <w:t>d</w:t>
      </w:r>
      <w:r w:rsidR="564FCFEE">
        <w:t xml:space="preserve">ata standards to support </w:t>
      </w:r>
      <w:r w:rsidR="127CCB4E">
        <w:t>improved integration and consistency</w:t>
      </w:r>
      <w:r w:rsidR="001E1CB4">
        <w:t>.</w:t>
      </w:r>
    </w:p>
    <w:p w14:paraId="456D985F" w14:textId="2DC086EF" w:rsidR="564FCFEE" w:rsidRDefault="00005BBB" w:rsidP="00B82353">
      <w:pPr>
        <w:pStyle w:val="Listparagraphbullets"/>
        <w:spacing w:before="120" w:after="0"/>
        <w:ind w:left="357" w:hanging="357"/>
        <w:contextualSpacing w:val="0"/>
        <w:rPr>
          <w:rFonts w:asciiTheme="minorHAnsi" w:eastAsiaTheme="minorEastAsia" w:hAnsiTheme="minorHAnsi"/>
          <w:szCs w:val="21"/>
        </w:rPr>
      </w:pPr>
      <w:r w:rsidRPr="00005BBB">
        <w:rPr>
          <w:b/>
          <w:bCs/>
        </w:rPr>
        <w:t>Limited technology uplift</w:t>
      </w:r>
      <w:r w:rsidR="07EC931B" w:rsidRPr="7342E18F">
        <w:rPr>
          <w:b/>
          <w:bCs/>
        </w:rPr>
        <w:t>:</w:t>
      </w:r>
      <w:r w:rsidR="564FCFEE" w:rsidRPr="7342E18F">
        <w:rPr>
          <w:b/>
          <w:bCs/>
        </w:rPr>
        <w:t xml:space="preserve"> </w:t>
      </w:r>
      <w:r w:rsidR="001E1CB4">
        <w:t>Implementation of a modest</w:t>
      </w:r>
      <w:r w:rsidR="564FCFEE">
        <w:t xml:space="preserve"> platform </w:t>
      </w:r>
      <w:r w:rsidR="001E1CB4">
        <w:t>suited</w:t>
      </w:r>
      <w:r w:rsidR="5BEE205D">
        <w:t xml:space="preserve"> to shar</w:t>
      </w:r>
      <w:r w:rsidR="001E1CB4">
        <w:t>ing</w:t>
      </w:r>
      <w:r w:rsidR="5BEE205D">
        <w:t xml:space="preserve"> and exchange </w:t>
      </w:r>
      <w:r w:rsidR="6D048EE0">
        <w:t xml:space="preserve">freight industry </w:t>
      </w:r>
      <w:r w:rsidR="5BEE205D">
        <w:t>data</w:t>
      </w:r>
      <w:r w:rsidR="008E472C">
        <w:t xml:space="preserve"> with a limited uplift in capability to support the Hub’s purpose</w:t>
      </w:r>
      <w:r w:rsidR="001E1CB4">
        <w:t>.</w:t>
      </w:r>
    </w:p>
    <w:p w14:paraId="18F73799" w14:textId="79EAC050" w:rsidR="4A8E53B3" w:rsidRPr="00A948E6" w:rsidRDefault="00005BBB" w:rsidP="003077BD">
      <w:pPr>
        <w:pStyle w:val="Listparagraphbullets"/>
        <w:spacing w:before="120"/>
        <w:ind w:left="357" w:hanging="357"/>
        <w:contextualSpacing w:val="0"/>
        <w:rPr>
          <w:szCs w:val="21"/>
        </w:rPr>
      </w:pPr>
      <w:r>
        <w:rPr>
          <w:b/>
          <w:bCs/>
        </w:rPr>
        <w:t>Major</w:t>
      </w:r>
      <w:r w:rsidRPr="00005BBB">
        <w:rPr>
          <w:b/>
          <w:bCs/>
        </w:rPr>
        <w:t xml:space="preserve"> technology uplift</w:t>
      </w:r>
      <w:r w:rsidR="4A8E53B3" w:rsidRPr="7342E18F">
        <w:rPr>
          <w:b/>
          <w:bCs/>
        </w:rPr>
        <w:t xml:space="preserve">: </w:t>
      </w:r>
      <w:r w:rsidR="77FBE267">
        <w:t>Implement</w:t>
      </w:r>
      <w:r w:rsidR="06B34C48">
        <w:t>ation of</w:t>
      </w:r>
      <w:r w:rsidR="77FBE267">
        <w:t xml:space="preserve"> a tailored solution to address the Hub’s purpose.</w:t>
      </w:r>
      <w:r w:rsidR="4A8E53B3">
        <w:t xml:space="preserve"> </w:t>
      </w:r>
    </w:p>
    <w:p w14:paraId="0D74A2BD" w14:textId="51E1D925" w:rsidR="00A948E6" w:rsidRDefault="008E472C" w:rsidP="003077BD">
      <w:pPr>
        <w:pStyle w:val="Listparagraphbullets"/>
        <w:numPr>
          <w:ilvl w:val="0"/>
          <w:numId w:val="0"/>
        </w:numPr>
        <w:spacing w:before="120"/>
        <w:contextualSpacing w:val="0"/>
      </w:pPr>
      <w:r>
        <w:t>Based on the technology options</w:t>
      </w:r>
      <w:r w:rsidR="00A948E6">
        <w:t>, two potential technology architecture</w:t>
      </w:r>
      <w:r w:rsidR="00F552DB">
        <w:t>s</w:t>
      </w:r>
      <w:r w:rsidR="00A948E6">
        <w:t xml:space="preserve"> can be considered</w:t>
      </w:r>
      <w:r w:rsidR="00BA0183">
        <w:t xml:space="preserve"> separately or also as a combination</w:t>
      </w:r>
      <w:r w:rsidR="00A948E6">
        <w:t>:</w:t>
      </w:r>
    </w:p>
    <w:p w14:paraId="4E93D3B2" w14:textId="668DA8F7" w:rsidR="00A948E6" w:rsidRPr="002523C6" w:rsidRDefault="00A948E6" w:rsidP="00B82353">
      <w:pPr>
        <w:pStyle w:val="Listparagraphbullets"/>
        <w:contextualSpacing w:val="0"/>
      </w:pPr>
      <w:r w:rsidRPr="005610DF">
        <w:rPr>
          <w:b/>
          <w:bCs/>
        </w:rPr>
        <w:t>Centralised Architecture</w:t>
      </w:r>
      <w:r>
        <w:t xml:space="preserve">: </w:t>
      </w:r>
      <w:r w:rsidRPr="005610DF">
        <w:t xml:space="preserve">A single, centralised platform shared </w:t>
      </w:r>
      <w:r w:rsidR="006F3341">
        <w:t>by</w:t>
      </w:r>
      <w:r w:rsidRPr="005610DF">
        <w:t xml:space="preserve"> users to exchange data (or publish open data sets) </w:t>
      </w:r>
      <w:r w:rsidR="006F3341">
        <w:t>across</w:t>
      </w:r>
      <w:r w:rsidRPr="005610DF">
        <w:t xml:space="preserve"> the Australian freight system.</w:t>
      </w:r>
      <w:r>
        <w:t xml:space="preserve"> This could consist of a limited web-based platform through to a more sophisticated and scalable solution. An example of </w:t>
      </w:r>
      <w:r w:rsidR="001E1CB4">
        <w:t xml:space="preserve">a </w:t>
      </w:r>
      <w:r>
        <w:t>solution with a centralised architecture is the Australian Border Force’s Integrated Cargo System which receives data from importers, exporters and freight operators on cross border movement of goods</w:t>
      </w:r>
      <w:r w:rsidR="008E472C">
        <w:t xml:space="preserve"> to perform revenue collection and for community protection</w:t>
      </w:r>
      <w:r>
        <w:t xml:space="preserve">. </w:t>
      </w:r>
    </w:p>
    <w:p w14:paraId="182D45DC" w14:textId="6C659838" w:rsidR="00A948E6" w:rsidRDefault="00A948E6" w:rsidP="00B82353">
      <w:pPr>
        <w:pStyle w:val="Listparagraphbullets"/>
        <w:contextualSpacing w:val="0"/>
      </w:pPr>
      <w:r w:rsidRPr="005610DF">
        <w:rPr>
          <w:b/>
          <w:bCs/>
        </w:rPr>
        <w:t>Federated Architecture</w:t>
      </w:r>
      <w:r>
        <w:t xml:space="preserve">: </w:t>
      </w:r>
      <w:r w:rsidRPr="005610DF">
        <w:t xml:space="preserve">Many distributed but interconnected </w:t>
      </w:r>
      <w:r w:rsidR="00AF27DD" w:rsidRPr="005610DF">
        <w:t>platforms</w:t>
      </w:r>
      <w:r w:rsidR="00001089">
        <w:t xml:space="preserve"> (w</w:t>
      </w:r>
      <w:r>
        <w:t xml:space="preserve">hich could be existing or </w:t>
      </w:r>
      <w:r w:rsidR="00AF27DD">
        <w:t>new</w:t>
      </w:r>
      <w:r w:rsidR="00001089">
        <w:t>)</w:t>
      </w:r>
      <w:r w:rsidR="008D23C0">
        <w:t xml:space="preserve"> </w:t>
      </w:r>
      <w:r w:rsidRPr="005610DF">
        <w:t>working in unison with a common set of rules</w:t>
      </w:r>
      <w:r w:rsidR="005E75ED">
        <w:t>,</w:t>
      </w:r>
      <w:r w:rsidRPr="005610DF">
        <w:t xml:space="preserve"> to meet the unique data needs of users in the Australian freight system.</w:t>
      </w:r>
      <w:r>
        <w:t xml:space="preserve"> An example </w:t>
      </w:r>
      <w:r w:rsidR="00F552DB">
        <w:t>is th</w:t>
      </w:r>
      <w:r w:rsidR="005E75ED">
        <w:t>e design</w:t>
      </w:r>
      <w:r>
        <w:t xml:space="preserve"> currently being investigated by the European Union (EU) through the</w:t>
      </w:r>
      <w:r w:rsidRPr="00F41319">
        <w:t xml:space="preserve"> European Federated Network of Information Exchange in </w:t>
      </w:r>
      <w:proofErr w:type="spellStart"/>
      <w:r w:rsidRPr="00F41319">
        <w:t>Logistix</w:t>
      </w:r>
      <w:proofErr w:type="spellEnd"/>
      <w:r w:rsidRPr="00F41319">
        <w:t xml:space="preserve"> (FENIX)</w:t>
      </w:r>
      <w:r w:rsidR="001E1CB4">
        <w:t xml:space="preserve"> for the purpose of near real-time freight data exchange</w:t>
      </w:r>
      <w:r>
        <w:t>.</w:t>
      </w:r>
    </w:p>
    <w:p w14:paraId="6598AEEC" w14:textId="2B850943" w:rsidR="00493CB8" w:rsidRPr="00DF398D" w:rsidRDefault="00493CB8" w:rsidP="00493CB8">
      <w:pPr>
        <w:pStyle w:val="Listparagraphbullets"/>
        <w:numPr>
          <w:ilvl w:val="0"/>
          <w:numId w:val="0"/>
        </w:numPr>
      </w:pPr>
      <w:r w:rsidRPr="00460441">
        <w:t xml:space="preserve">Each potential architecture model has a logical flow-on effect on </w:t>
      </w:r>
      <w:r>
        <w:t>the delivery model</w:t>
      </w:r>
      <w:r w:rsidRPr="00460441">
        <w:t xml:space="preserve"> and data related </w:t>
      </w:r>
      <w:r>
        <w:t>capabilities, which are illustrated</w:t>
      </w:r>
      <w:r w:rsidRPr="00460441">
        <w:t xml:space="preserve"> by</w:t>
      </w:r>
      <w:r>
        <w:t xml:space="preserve"> </w:t>
      </w:r>
      <w:r w:rsidR="0004183F">
        <w:fldChar w:fldCharType="begin"/>
      </w:r>
      <w:r w:rsidR="0004183F">
        <w:instrText xml:space="preserve"> REF _Ref49156134 \h </w:instrText>
      </w:r>
      <w:r w:rsidR="0004183F">
        <w:fldChar w:fldCharType="separate"/>
      </w:r>
      <w:r w:rsidR="0004183F" w:rsidRPr="00F46A6C">
        <w:rPr>
          <w:rFonts w:ascii="Segoe UI Semibold" w:hAnsi="Segoe UI Semibold"/>
          <w:color w:val="002D72"/>
          <w:sz w:val="20"/>
        </w:rPr>
        <w:t xml:space="preserve">Figure </w:t>
      </w:r>
      <w:r w:rsidR="0004183F">
        <w:rPr>
          <w:rFonts w:ascii="Segoe UI Semibold" w:hAnsi="Segoe UI Semibold"/>
          <w:bCs/>
          <w:noProof/>
          <w:color w:val="002D72"/>
          <w:sz w:val="20"/>
        </w:rPr>
        <w:t>8</w:t>
      </w:r>
      <w:r w:rsidR="0004183F">
        <w:fldChar w:fldCharType="end"/>
      </w:r>
      <w:r w:rsidR="0004183F">
        <w:t xml:space="preserve"> </w:t>
      </w:r>
      <w:r>
        <w:t>below.</w:t>
      </w:r>
    </w:p>
    <w:p w14:paraId="55E249C2" w14:textId="77777777" w:rsidR="00493CB8" w:rsidRDefault="00493CB8">
      <w:pPr>
        <w:spacing w:line="259" w:lineRule="auto"/>
        <w:rPr>
          <w:lang w:eastAsia="zh-TW"/>
        </w:rPr>
      </w:pPr>
      <w:r>
        <w:br w:type="page"/>
      </w:r>
    </w:p>
    <w:p w14:paraId="61B5D778" w14:textId="3463F18A" w:rsidR="00493CB8" w:rsidRPr="00F46A6C" w:rsidRDefault="00493CB8" w:rsidP="00F46A6C">
      <w:pPr>
        <w:pStyle w:val="Caption"/>
        <w:rPr>
          <w:rFonts w:ascii="Segoe UI Semibold" w:hAnsi="Segoe UI Semibold"/>
          <w:color w:val="002D72"/>
          <w:sz w:val="20"/>
        </w:rPr>
      </w:pPr>
      <w:bookmarkStart w:id="29" w:name="_Ref49156134"/>
      <w:bookmarkStart w:id="30" w:name="_Toc49156980"/>
      <w:r w:rsidRPr="00F46A6C">
        <w:rPr>
          <w:rFonts w:ascii="Segoe UI Semibold" w:eastAsiaTheme="minorHAnsi" w:hAnsi="Segoe UI Semibold" w:cstheme="minorBidi"/>
          <w:bCs w:val="0"/>
          <w:snapToGrid/>
          <w:color w:val="002D72"/>
          <w:sz w:val="20"/>
          <w:szCs w:val="22"/>
        </w:rPr>
        <w:lastRenderedPageBreak/>
        <w:t xml:space="preserve">Figure </w:t>
      </w:r>
      <w:r w:rsidR="00EC657F" w:rsidRPr="00F46A6C">
        <w:rPr>
          <w:rFonts w:ascii="Segoe UI Semibold" w:eastAsiaTheme="minorHAnsi" w:hAnsi="Segoe UI Semibold" w:cstheme="minorBidi"/>
          <w:bCs w:val="0"/>
          <w:snapToGrid/>
          <w:color w:val="002D72"/>
          <w:sz w:val="20"/>
          <w:szCs w:val="22"/>
        </w:rPr>
        <w:fldChar w:fldCharType="begin"/>
      </w:r>
      <w:r w:rsidR="00EC657F" w:rsidRPr="00F46A6C">
        <w:rPr>
          <w:rFonts w:ascii="Segoe UI Semibold" w:eastAsiaTheme="minorHAnsi" w:hAnsi="Segoe UI Semibold" w:cstheme="minorBidi"/>
          <w:bCs w:val="0"/>
          <w:snapToGrid/>
          <w:color w:val="002D72"/>
          <w:sz w:val="20"/>
          <w:szCs w:val="22"/>
        </w:rPr>
        <w:instrText xml:space="preserve"> SEQ Figure \* ARABIC </w:instrText>
      </w:r>
      <w:r w:rsidR="00EC657F" w:rsidRPr="00F46A6C">
        <w:rPr>
          <w:rFonts w:ascii="Segoe UI Semibold" w:eastAsiaTheme="minorHAnsi" w:hAnsi="Segoe UI Semibold" w:cstheme="minorBidi"/>
          <w:bCs w:val="0"/>
          <w:snapToGrid/>
          <w:color w:val="002D72"/>
          <w:sz w:val="20"/>
          <w:szCs w:val="22"/>
        </w:rPr>
        <w:fldChar w:fldCharType="separate"/>
      </w:r>
      <w:r w:rsidR="007E6855">
        <w:rPr>
          <w:rFonts w:ascii="Segoe UI Semibold" w:eastAsiaTheme="minorHAnsi" w:hAnsi="Segoe UI Semibold" w:cstheme="minorBidi"/>
          <w:bCs w:val="0"/>
          <w:noProof/>
          <w:snapToGrid/>
          <w:color w:val="002D72"/>
          <w:sz w:val="20"/>
          <w:szCs w:val="22"/>
        </w:rPr>
        <w:t>8</w:t>
      </w:r>
      <w:r w:rsidR="00EC657F" w:rsidRPr="00F46A6C">
        <w:rPr>
          <w:rFonts w:ascii="Segoe UI Semibold" w:eastAsiaTheme="minorHAnsi" w:hAnsi="Segoe UI Semibold" w:cstheme="minorBidi"/>
          <w:bCs w:val="0"/>
          <w:snapToGrid/>
          <w:color w:val="002D72"/>
          <w:sz w:val="20"/>
          <w:szCs w:val="22"/>
        </w:rPr>
        <w:fldChar w:fldCharType="end"/>
      </w:r>
      <w:bookmarkEnd w:id="29"/>
      <w:r w:rsidRPr="00F46A6C">
        <w:rPr>
          <w:rFonts w:ascii="Segoe UI Semibold" w:eastAsiaTheme="minorHAnsi" w:hAnsi="Segoe UI Semibold" w:cstheme="minorBidi"/>
          <w:bCs w:val="0"/>
          <w:snapToGrid/>
          <w:color w:val="002D72"/>
          <w:sz w:val="20"/>
          <w:szCs w:val="22"/>
        </w:rPr>
        <w:t xml:space="preserve"> Architecture options</w:t>
      </w:r>
      <w:bookmarkEnd w:id="30"/>
    </w:p>
    <w:p w14:paraId="2D7B7837" w14:textId="6BC91F61" w:rsidR="00493CB8" w:rsidRDefault="00493CB8" w:rsidP="00F46A6C">
      <w:pPr>
        <w:pStyle w:val="Caption"/>
      </w:pPr>
    </w:p>
    <w:p w14:paraId="1DC5AE2C" w14:textId="6A2FB922" w:rsidR="00E1581C" w:rsidRPr="00DE4547" w:rsidRDefault="00E1581C" w:rsidP="00493CB8">
      <w:pPr>
        <w:pStyle w:val="Listparagraphbullets"/>
        <w:numPr>
          <w:ilvl w:val="0"/>
          <w:numId w:val="0"/>
        </w:numPr>
        <w:rPr>
          <w:bCs/>
        </w:rPr>
      </w:pPr>
      <w:r>
        <w:rPr>
          <w:noProof/>
          <w:lang w:eastAsia="en-AU"/>
        </w:rPr>
        <w:drawing>
          <wp:inline distT="0" distB="0" distL="0" distR="0" wp14:anchorId="43DE2D09" wp14:editId="442A2606">
            <wp:extent cx="5963055" cy="4313994"/>
            <wp:effectExtent l="0" t="0" r="0" b="0"/>
            <wp:docPr id="92478665" name="Picture 92478665" descr="This figure lists the delivery model, data ownership, data exchange frequency, data exchange rights and data format features of centralised architecture and federated architecture options." title="Figure 8 Architectu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8769" cy="433983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4"/>
      </w:tblGrid>
      <w:tr w:rsidR="00493CB8" w14:paraId="765ED8C3" w14:textId="77777777" w:rsidTr="00493CB8">
        <w:tc>
          <w:tcPr>
            <w:tcW w:w="9474" w:type="dxa"/>
          </w:tcPr>
          <w:p w14:paraId="74BF9FB5" w14:textId="6AB95F79" w:rsidR="00493CB8" w:rsidRDefault="00493CB8" w:rsidP="00493CB8">
            <w:pPr>
              <w:pStyle w:val="Tablefigureheading"/>
              <w:numPr>
                <w:ilvl w:val="8"/>
                <w:numId w:val="0"/>
              </w:numPr>
            </w:pPr>
          </w:p>
        </w:tc>
      </w:tr>
    </w:tbl>
    <w:p w14:paraId="2FAEB457" w14:textId="77777777" w:rsidR="00493CB8" w:rsidRPr="00E4371C" w:rsidRDefault="00493CB8" w:rsidP="00493CB8">
      <w:pPr>
        <w:pStyle w:val="Listparagraphbullets"/>
        <w:numPr>
          <w:ilvl w:val="0"/>
          <w:numId w:val="0"/>
        </w:numPr>
        <w:ind w:left="360"/>
      </w:pPr>
      <w:r>
        <w:t>Source: PwC Market Scan of Technology Providers and Peer Jurisdictions (2020)</w:t>
      </w:r>
    </w:p>
    <w:p w14:paraId="23C022F5" w14:textId="77777777" w:rsidR="00493CB8" w:rsidRDefault="00493CB8" w:rsidP="00D656F8">
      <w:pPr>
        <w:pStyle w:val="Listparagraphbullets"/>
        <w:numPr>
          <w:ilvl w:val="0"/>
          <w:numId w:val="0"/>
        </w:numPr>
      </w:pPr>
    </w:p>
    <w:p w14:paraId="6A4A9944" w14:textId="77777777" w:rsidR="00F46A6C" w:rsidRDefault="00F46A6C" w:rsidP="00F46A6C">
      <w:pPr>
        <w:pStyle w:val="Heading3notshowing"/>
        <w:shd w:val="clear" w:color="auto" w:fill="E7E6E6" w:themeFill="background2"/>
      </w:pPr>
      <w:r>
        <w:t>Questions for discussion – Technology</w:t>
      </w:r>
    </w:p>
    <w:p w14:paraId="4AE6B56C" w14:textId="77777777" w:rsidR="00F46A6C" w:rsidRDefault="00F46A6C" w:rsidP="00F46A6C">
      <w:pPr>
        <w:pStyle w:val="Listparagraphbullets"/>
        <w:numPr>
          <w:ilvl w:val="0"/>
          <w:numId w:val="11"/>
        </w:numPr>
        <w:shd w:val="clear" w:color="auto" w:fill="E7E6E6" w:themeFill="background2"/>
      </w:pPr>
      <w:r>
        <w:t>If a centralised or federated architecture model were pursued, what would be the benefits and challenges to your organisation to participate in the Hub?</w:t>
      </w:r>
    </w:p>
    <w:p w14:paraId="64E6F062" w14:textId="3B6842FF" w:rsidR="00493CB8" w:rsidRDefault="00F46A6C" w:rsidP="00513728">
      <w:pPr>
        <w:pStyle w:val="Listparagraphbullets"/>
        <w:numPr>
          <w:ilvl w:val="0"/>
          <w:numId w:val="11"/>
        </w:numPr>
        <w:shd w:val="clear" w:color="auto" w:fill="E7E6E6" w:themeFill="background2"/>
      </w:pPr>
      <w:r>
        <w:t>What are the preferred methods and technologies to integrate with the data exchange platform?</w:t>
      </w:r>
    </w:p>
    <w:p w14:paraId="7C21EB7D" w14:textId="77777777" w:rsidR="00F46A6C" w:rsidRDefault="00F46A6C" w:rsidP="00D656F8">
      <w:pPr>
        <w:pStyle w:val="Listparagraphbullets"/>
        <w:numPr>
          <w:ilvl w:val="0"/>
          <w:numId w:val="0"/>
        </w:numPr>
      </w:pPr>
    </w:p>
    <w:p w14:paraId="0D421B7D" w14:textId="13EC53C1" w:rsidR="004610A2" w:rsidRDefault="004610A2">
      <w:pPr>
        <w:spacing w:line="259" w:lineRule="auto"/>
      </w:pPr>
      <w:r>
        <w:rPr>
          <w:lang w:eastAsia="zh-TW"/>
        </w:rPr>
        <w:fldChar w:fldCharType="begin"/>
      </w:r>
      <w:r>
        <w:instrText xml:space="preserve"> REF _Ref48745901 \h </w:instrText>
      </w:r>
      <w:r>
        <w:rPr>
          <w:lang w:eastAsia="zh-TW"/>
        </w:rPr>
      </w:r>
      <w:r>
        <w:rPr>
          <w:lang w:eastAsia="zh-TW"/>
        </w:rPr>
        <w:fldChar w:fldCharType="separate"/>
      </w:r>
      <w:r w:rsidRPr="00DE4547">
        <w:rPr>
          <w:rFonts w:ascii="Segoe UI Semibold" w:hAnsi="Segoe UI Semibold"/>
          <w:color w:val="002D72"/>
          <w:sz w:val="20"/>
        </w:rPr>
        <w:t xml:space="preserve">Table </w:t>
      </w:r>
      <w:r w:rsidR="00876219">
        <w:rPr>
          <w:rFonts w:ascii="Segoe UI Semibold" w:hAnsi="Segoe UI Semibold"/>
          <w:color w:val="002D72"/>
          <w:sz w:val="20"/>
        </w:rPr>
        <w:t>1</w:t>
      </w:r>
      <w:r>
        <w:rPr>
          <w:lang w:eastAsia="zh-TW"/>
        </w:rPr>
        <w:fldChar w:fldCharType="end"/>
      </w:r>
      <w:r>
        <w:t xml:space="preserve"> below shows how the technology solutions vary for each of the architecture models.</w:t>
      </w:r>
    </w:p>
    <w:p w14:paraId="4568F869" w14:textId="2883E09E" w:rsidR="00B82353" w:rsidRDefault="00B82353">
      <w:pPr>
        <w:spacing w:line="259" w:lineRule="auto"/>
      </w:pPr>
      <w:r>
        <w:br w:type="page"/>
      </w:r>
    </w:p>
    <w:p w14:paraId="38038931" w14:textId="77777777" w:rsidR="00B82353" w:rsidRDefault="00B82353" w:rsidP="00B82353">
      <w:pPr>
        <w:sectPr w:rsidR="00B82353" w:rsidSect="006F3341">
          <w:pgSz w:w="11906" w:h="16838"/>
          <w:pgMar w:top="2268" w:right="992" w:bottom="1276" w:left="1440" w:header="0" w:footer="397" w:gutter="0"/>
          <w:cols w:space="708"/>
          <w:docGrid w:linePitch="360"/>
        </w:sectPr>
      </w:pPr>
    </w:p>
    <w:p w14:paraId="2674D959" w14:textId="744EAEC8" w:rsidR="00D56B6B" w:rsidRPr="00DE4547" w:rsidRDefault="00831F24" w:rsidP="00DE4547">
      <w:pPr>
        <w:pStyle w:val="Caption"/>
        <w:rPr>
          <w:rFonts w:ascii="Segoe UI Semibold" w:eastAsiaTheme="minorHAnsi" w:hAnsi="Segoe UI Semibold" w:cstheme="minorBidi"/>
          <w:bCs w:val="0"/>
          <w:snapToGrid/>
          <w:color w:val="002D72"/>
          <w:sz w:val="20"/>
          <w:szCs w:val="22"/>
        </w:rPr>
      </w:pPr>
      <w:bookmarkStart w:id="31" w:name="_Ref48745901"/>
      <w:bookmarkStart w:id="32" w:name="_Ref47970207"/>
      <w:bookmarkStart w:id="33" w:name="_Toc48657213"/>
      <w:bookmarkStart w:id="34" w:name="_Toc48924153"/>
      <w:r w:rsidRPr="00DE4547">
        <w:rPr>
          <w:rFonts w:ascii="Segoe UI Semibold" w:eastAsiaTheme="minorHAnsi" w:hAnsi="Segoe UI Semibold" w:cstheme="minorBidi"/>
          <w:bCs w:val="0"/>
          <w:snapToGrid/>
          <w:color w:val="002D72"/>
          <w:sz w:val="20"/>
          <w:szCs w:val="22"/>
        </w:rPr>
        <w:lastRenderedPageBreak/>
        <w:t xml:space="preserve">Table </w:t>
      </w:r>
      <w:r w:rsidRPr="00DE4547">
        <w:rPr>
          <w:rFonts w:ascii="Segoe UI Semibold" w:eastAsiaTheme="minorHAnsi" w:hAnsi="Segoe UI Semibold" w:cstheme="minorBidi"/>
          <w:bCs w:val="0"/>
          <w:snapToGrid/>
          <w:color w:val="002D72"/>
          <w:sz w:val="20"/>
          <w:szCs w:val="22"/>
        </w:rPr>
        <w:fldChar w:fldCharType="begin"/>
      </w:r>
      <w:r w:rsidRPr="00DE4547">
        <w:rPr>
          <w:rFonts w:ascii="Segoe UI Semibold" w:eastAsiaTheme="minorHAnsi" w:hAnsi="Segoe UI Semibold" w:cstheme="minorBidi"/>
          <w:bCs w:val="0"/>
          <w:snapToGrid/>
          <w:color w:val="002D72"/>
          <w:sz w:val="20"/>
          <w:szCs w:val="22"/>
        </w:rPr>
        <w:instrText xml:space="preserve"> SEQ Table \* ARABIC </w:instrText>
      </w:r>
      <w:r w:rsidRPr="00DE4547">
        <w:rPr>
          <w:rFonts w:ascii="Segoe UI Semibold" w:eastAsiaTheme="minorHAnsi" w:hAnsi="Segoe UI Semibold" w:cstheme="minorBidi"/>
          <w:bCs w:val="0"/>
          <w:snapToGrid/>
          <w:color w:val="002D72"/>
          <w:sz w:val="20"/>
          <w:szCs w:val="22"/>
        </w:rPr>
        <w:fldChar w:fldCharType="separate"/>
      </w:r>
      <w:r w:rsidR="00BF38E3">
        <w:rPr>
          <w:rFonts w:ascii="Segoe UI Semibold" w:eastAsiaTheme="minorHAnsi" w:hAnsi="Segoe UI Semibold" w:cstheme="minorBidi"/>
          <w:bCs w:val="0"/>
          <w:noProof/>
          <w:snapToGrid/>
          <w:color w:val="002D72"/>
          <w:sz w:val="20"/>
          <w:szCs w:val="22"/>
        </w:rPr>
        <w:t>1</w:t>
      </w:r>
      <w:r w:rsidRPr="00DE4547">
        <w:rPr>
          <w:rFonts w:ascii="Segoe UI Semibold" w:eastAsiaTheme="minorHAnsi" w:hAnsi="Segoe UI Semibold" w:cstheme="minorBidi"/>
          <w:bCs w:val="0"/>
          <w:snapToGrid/>
          <w:color w:val="002D72"/>
          <w:sz w:val="20"/>
          <w:szCs w:val="22"/>
        </w:rPr>
        <w:fldChar w:fldCharType="end"/>
      </w:r>
      <w:bookmarkEnd w:id="31"/>
      <w:r w:rsidR="0841E4BD" w:rsidRPr="00DE4547">
        <w:rPr>
          <w:rFonts w:ascii="Segoe UI Semibold" w:eastAsiaTheme="minorHAnsi" w:hAnsi="Segoe UI Semibold" w:cstheme="minorBidi"/>
          <w:bCs w:val="0"/>
          <w:snapToGrid/>
          <w:color w:val="002D72"/>
          <w:sz w:val="20"/>
          <w:szCs w:val="22"/>
        </w:rPr>
        <w:t xml:space="preserve"> Technology </w:t>
      </w:r>
      <w:r w:rsidR="1F5BA164" w:rsidRPr="00DE4547">
        <w:rPr>
          <w:rFonts w:ascii="Segoe UI Semibold" w:eastAsiaTheme="minorHAnsi" w:hAnsi="Segoe UI Semibold" w:cstheme="minorBidi"/>
          <w:bCs w:val="0"/>
          <w:snapToGrid/>
          <w:color w:val="002D72"/>
          <w:sz w:val="20"/>
          <w:szCs w:val="22"/>
        </w:rPr>
        <w:t xml:space="preserve">architecture </w:t>
      </w:r>
      <w:r w:rsidR="0841E4BD" w:rsidRPr="00DE4547">
        <w:rPr>
          <w:rFonts w:ascii="Segoe UI Semibold" w:eastAsiaTheme="minorHAnsi" w:hAnsi="Segoe UI Semibold" w:cstheme="minorBidi"/>
          <w:bCs w:val="0"/>
          <w:snapToGrid/>
          <w:color w:val="002D72"/>
          <w:sz w:val="20"/>
          <w:szCs w:val="22"/>
        </w:rPr>
        <w:t>solutions</w:t>
      </w:r>
      <w:bookmarkEnd w:id="32"/>
      <w:bookmarkEnd w:id="33"/>
      <w:bookmarkEnd w:id="34"/>
    </w:p>
    <w:tbl>
      <w:tblPr>
        <w:tblStyle w:val="ListTable2-Accent1"/>
        <w:tblW w:w="5385" w:type="pct"/>
        <w:tblLook w:val="04A0" w:firstRow="1" w:lastRow="0" w:firstColumn="1" w:lastColumn="0" w:noHBand="0" w:noVBand="1"/>
      </w:tblPr>
      <w:tblGrid>
        <w:gridCol w:w="1787"/>
        <w:gridCol w:w="3743"/>
        <w:gridCol w:w="3969"/>
        <w:gridCol w:w="4819"/>
      </w:tblGrid>
      <w:tr w:rsidR="00F53EFB" w:rsidRPr="00B82353" w14:paraId="0BA643CC" w14:textId="77777777" w:rsidTr="00B82353">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624" w:type="pct"/>
          </w:tcPr>
          <w:p w14:paraId="73A31690" w14:textId="77777777" w:rsidR="00F53EFB" w:rsidRPr="00B82353" w:rsidRDefault="00F53EFB" w:rsidP="00F53EFB">
            <w:pPr>
              <w:rPr>
                <w:rFonts w:cs="Segoe UI"/>
                <w:sz w:val="20"/>
                <w:szCs w:val="18"/>
              </w:rPr>
            </w:pPr>
          </w:p>
        </w:tc>
        <w:tc>
          <w:tcPr>
            <w:tcW w:w="1307" w:type="pct"/>
          </w:tcPr>
          <w:p w14:paraId="52A57DC2" w14:textId="77777777" w:rsidR="00F53EFB" w:rsidRPr="00B82353" w:rsidRDefault="00F53EFB" w:rsidP="00F53EFB">
            <w:pPr>
              <w:cnfStyle w:val="100000000000" w:firstRow="1" w:lastRow="0" w:firstColumn="0" w:lastColumn="0" w:oddVBand="0" w:evenVBand="0" w:oddHBand="0" w:evenHBand="0" w:firstRowFirstColumn="0" w:firstRowLastColumn="0" w:lastRowFirstColumn="0" w:lastRowLastColumn="0"/>
              <w:rPr>
                <w:rFonts w:cs="Segoe UI"/>
                <w:b w:val="0"/>
                <w:sz w:val="20"/>
                <w:szCs w:val="18"/>
              </w:rPr>
            </w:pPr>
            <w:r w:rsidRPr="00B82353">
              <w:rPr>
                <w:rFonts w:cs="Segoe UI"/>
                <w:sz w:val="20"/>
                <w:szCs w:val="18"/>
              </w:rPr>
              <w:t xml:space="preserve">Existing technology </w:t>
            </w:r>
          </w:p>
        </w:tc>
        <w:tc>
          <w:tcPr>
            <w:tcW w:w="1386" w:type="pct"/>
          </w:tcPr>
          <w:p w14:paraId="31D66799" w14:textId="77777777" w:rsidR="00F53EFB" w:rsidRPr="00B82353" w:rsidRDefault="00F53EFB" w:rsidP="00F53EFB">
            <w:pPr>
              <w:cnfStyle w:val="100000000000" w:firstRow="1" w:lastRow="0" w:firstColumn="0" w:lastColumn="0" w:oddVBand="0" w:evenVBand="0" w:oddHBand="0" w:evenHBand="0" w:firstRowFirstColumn="0" w:firstRowLastColumn="0" w:lastRowFirstColumn="0" w:lastRowLastColumn="0"/>
              <w:rPr>
                <w:rFonts w:cs="Segoe UI"/>
                <w:b w:val="0"/>
                <w:sz w:val="20"/>
                <w:szCs w:val="18"/>
              </w:rPr>
            </w:pPr>
            <w:r w:rsidRPr="00B82353">
              <w:rPr>
                <w:rFonts w:cs="Segoe UI"/>
                <w:sz w:val="20"/>
                <w:szCs w:val="18"/>
              </w:rPr>
              <w:t>Limited technology uplift</w:t>
            </w:r>
          </w:p>
        </w:tc>
        <w:tc>
          <w:tcPr>
            <w:tcW w:w="1683" w:type="pct"/>
          </w:tcPr>
          <w:p w14:paraId="0951368C" w14:textId="77777777" w:rsidR="00F53EFB" w:rsidRPr="00B82353" w:rsidRDefault="00F53EFB" w:rsidP="00F53EFB">
            <w:pPr>
              <w:cnfStyle w:val="100000000000" w:firstRow="1" w:lastRow="0" w:firstColumn="0" w:lastColumn="0" w:oddVBand="0" w:evenVBand="0" w:oddHBand="0" w:evenHBand="0" w:firstRowFirstColumn="0" w:firstRowLastColumn="0" w:lastRowFirstColumn="0" w:lastRowLastColumn="0"/>
              <w:rPr>
                <w:rFonts w:cs="Segoe UI"/>
                <w:b w:val="0"/>
                <w:sz w:val="20"/>
                <w:szCs w:val="18"/>
              </w:rPr>
            </w:pPr>
            <w:r w:rsidRPr="00B82353">
              <w:rPr>
                <w:rFonts w:cs="Segoe UI"/>
                <w:sz w:val="20"/>
                <w:szCs w:val="18"/>
              </w:rPr>
              <w:t>Major technology uplift</w:t>
            </w:r>
          </w:p>
        </w:tc>
      </w:tr>
      <w:tr w:rsidR="00F53EFB" w:rsidRPr="00B82353" w14:paraId="08358D28" w14:textId="77777777" w:rsidTr="00744277">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624" w:type="pct"/>
            <w:tcBorders>
              <w:bottom w:val="single" w:sz="4" w:space="0" w:color="FFFFFF" w:themeColor="background1"/>
            </w:tcBorders>
          </w:tcPr>
          <w:p w14:paraId="04839FA9" w14:textId="77777777" w:rsidR="00F53EFB" w:rsidRPr="00B82353" w:rsidRDefault="00F53EFB" w:rsidP="00F53EFB">
            <w:pPr>
              <w:rPr>
                <w:rFonts w:cs="Segoe UI"/>
                <w:b w:val="0"/>
                <w:sz w:val="20"/>
                <w:szCs w:val="18"/>
              </w:rPr>
            </w:pPr>
            <w:r w:rsidRPr="00B82353">
              <w:rPr>
                <w:rFonts w:cs="Segoe UI"/>
                <w:sz w:val="20"/>
                <w:szCs w:val="18"/>
              </w:rPr>
              <w:t>Centralised Architecture</w:t>
            </w:r>
          </w:p>
        </w:tc>
        <w:tc>
          <w:tcPr>
            <w:tcW w:w="1307" w:type="pct"/>
            <w:tcBorders>
              <w:bottom w:val="single" w:sz="4" w:space="0" w:color="FFFFFF" w:themeColor="background1"/>
            </w:tcBorders>
          </w:tcPr>
          <w:p w14:paraId="4FC8EE94" w14:textId="77777777" w:rsidR="008E472C" w:rsidRPr="00B82353" w:rsidRDefault="008E472C" w:rsidP="008E472C">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b/>
                <w:bCs/>
                <w:sz w:val="20"/>
                <w:szCs w:val="14"/>
              </w:rPr>
              <w:t>Leadership and Innovation</w:t>
            </w:r>
          </w:p>
          <w:p w14:paraId="6A75791B" w14:textId="6D4A4C26" w:rsidR="008E472C" w:rsidRPr="00B82353" w:rsidRDefault="008E472C" w:rsidP="008E472C">
            <w:pPr>
              <w:cnfStyle w:val="000000100000" w:firstRow="0" w:lastRow="0" w:firstColumn="0" w:lastColumn="0" w:oddVBand="0" w:evenVBand="0" w:oddHBand="1" w:evenHBand="0" w:firstRowFirstColumn="0" w:firstRowLastColumn="0" w:lastRowFirstColumn="0" w:lastRowLastColumn="0"/>
              <w:rPr>
                <w:rFonts w:cs="Segoe UI"/>
                <w:sz w:val="20"/>
                <w:szCs w:val="14"/>
              </w:rPr>
            </w:pPr>
            <w:r w:rsidRPr="00B82353">
              <w:rPr>
                <w:rFonts w:cs="Segoe UI"/>
                <w:sz w:val="20"/>
                <w:szCs w:val="14"/>
              </w:rPr>
              <w:t>The Hub publishes freight data sharing and integration recommendations</w:t>
            </w:r>
            <w:r w:rsidR="00E1581C">
              <w:rPr>
                <w:rFonts w:cs="Segoe UI"/>
                <w:sz w:val="20"/>
                <w:szCs w:val="14"/>
              </w:rPr>
              <w:t>.</w:t>
            </w:r>
          </w:p>
          <w:p w14:paraId="4890D2DD" w14:textId="3726F49D" w:rsidR="00F53EFB" w:rsidRPr="00B82353" w:rsidRDefault="00F53EFB" w:rsidP="00B82353">
            <w:pPr>
              <w:cnfStyle w:val="000000100000" w:firstRow="0" w:lastRow="0" w:firstColumn="0" w:lastColumn="0" w:oddVBand="0" w:evenVBand="0" w:oddHBand="1" w:evenHBand="0" w:firstRowFirstColumn="0" w:firstRowLastColumn="0" w:lastRowFirstColumn="0" w:lastRowLastColumn="0"/>
              <w:rPr>
                <w:rFonts w:cs="Segoe UI"/>
                <w:sz w:val="20"/>
                <w:szCs w:val="14"/>
              </w:rPr>
            </w:pPr>
          </w:p>
        </w:tc>
        <w:tc>
          <w:tcPr>
            <w:tcW w:w="1386" w:type="pct"/>
            <w:tcBorders>
              <w:bottom w:val="single" w:sz="4" w:space="0" w:color="FFFFFF" w:themeColor="background1"/>
            </w:tcBorders>
          </w:tcPr>
          <w:p w14:paraId="76F63229" w14:textId="77777777" w:rsidR="00F53EFB" w:rsidRPr="00B82353" w:rsidRDefault="00F53EFB" w:rsidP="00F53EFB">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b/>
                <w:bCs/>
                <w:sz w:val="20"/>
                <w:szCs w:val="14"/>
              </w:rPr>
              <w:t>Leadership and Innovation</w:t>
            </w:r>
          </w:p>
          <w:p w14:paraId="199EE7C5" w14:textId="62848C68" w:rsidR="00F53EFB" w:rsidRPr="00B82353" w:rsidRDefault="00F53EFB" w:rsidP="00F53EFB">
            <w:pPr>
              <w:cnfStyle w:val="000000100000" w:firstRow="0" w:lastRow="0" w:firstColumn="0" w:lastColumn="0" w:oddVBand="0" w:evenVBand="0" w:oddHBand="1" w:evenHBand="0" w:firstRowFirstColumn="0" w:firstRowLastColumn="0" w:lastRowFirstColumn="0" w:lastRowLastColumn="0"/>
              <w:rPr>
                <w:rFonts w:cs="Segoe UI"/>
                <w:sz w:val="20"/>
                <w:szCs w:val="14"/>
              </w:rPr>
            </w:pPr>
            <w:r w:rsidRPr="00B82353">
              <w:rPr>
                <w:rFonts w:cs="Segoe UI"/>
                <w:sz w:val="20"/>
                <w:szCs w:val="14"/>
              </w:rPr>
              <w:t>The Hub invest</w:t>
            </w:r>
            <w:r w:rsidR="00744277">
              <w:rPr>
                <w:rFonts w:cs="Segoe UI"/>
                <w:sz w:val="20"/>
                <w:szCs w:val="14"/>
              </w:rPr>
              <w:t>s</w:t>
            </w:r>
            <w:r w:rsidRPr="00B82353">
              <w:rPr>
                <w:rFonts w:cs="Segoe UI"/>
                <w:sz w:val="20"/>
                <w:szCs w:val="14"/>
              </w:rPr>
              <w:t xml:space="preserve"> in upgrading existing technology to facilitate data exchange and sharing</w:t>
            </w:r>
            <w:r w:rsidR="00E1581C">
              <w:rPr>
                <w:rFonts w:cs="Segoe UI"/>
                <w:sz w:val="20"/>
                <w:szCs w:val="14"/>
              </w:rPr>
              <w:t>.</w:t>
            </w:r>
          </w:p>
        </w:tc>
        <w:tc>
          <w:tcPr>
            <w:tcW w:w="1683" w:type="pct"/>
            <w:tcBorders>
              <w:bottom w:val="single" w:sz="4" w:space="0" w:color="FFFFFF" w:themeColor="background1"/>
            </w:tcBorders>
          </w:tcPr>
          <w:p w14:paraId="002E29F7" w14:textId="77777777" w:rsidR="00F53EFB" w:rsidRPr="00B82353" w:rsidRDefault="00F53EFB" w:rsidP="00F53EFB">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b/>
                <w:bCs/>
                <w:sz w:val="20"/>
                <w:szCs w:val="14"/>
              </w:rPr>
              <w:t>Leadership and Innovation</w:t>
            </w:r>
          </w:p>
          <w:p w14:paraId="30CECA59" w14:textId="3BFB10B1" w:rsidR="00F53EFB" w:rsidRPr="00B82353" w:rsidRDefault="00F53EFB" w:rsidP="00F53EFB">
            <w:pPr>
              <w:cnfStyle w:val="000000100000" w:firstRow="0" w:lastRow="0" w:firstColumn="0" w:lastColumn="0" w:oddVBand="0" w:evenVBand="0" w:oddHBand="1" w:evenHBand="0" w:firstRowFirstColumn="0" w:firstRowLastColumn="0" w:lastRowFirstColumn="0" w:lastRowLastColumn="0"/>
              <w:rPr>
                <w:rFonts w:cs="Segoe UI"/>
                <w:sz w:val="20"/>
                <w:szCs w:val="14"/>
              </w:rPr>
            </w:pPr>
            <w:r w:rsidRPr="00B82353">
              <w:rPr>
                <w:rFonts w:cs="Segoe UI"/>
                <w:sz w:val="20"/>
                <w:szCs w:val="14"/>
              </w:rPr>
              <w:t>The Hub tak</w:t>
            </w:r>
            <w:r w:rsidR="00A95FCA">
              <w:rPr>
                <w:rFonts w:cs="Segoe UI"/>
                <w:sz w:val="20"/>
                <w:szCs w:val="14"/>
              </w:rPr>
              <w:t>es</w:t>
            </w:r>
            <w:r w:rsidRPr="00B82353">
              <w:rPr>
                <w:rFonts w:cs="Segoe UI"/>
                <w:sz w:val="20"/>
                <w:szCs w:val="14"/>
              </w:rPr>
              <w:t xml:space="preserve"> the leadership role in investing in the development and deployment of a tailored, centralised data exchange and open platform</w:t>
            </w:r>
            <w:r w:rsidR="00E1581C">
              <w:rPr>
                <w:rFonts w:cs="Segoe UI"/>
                <w:sz w:val="20"/>
                <w:szCs w:val="14"/>
              </w:rPr>
              <w:t>.</w:t>
            </w:r>
            <w:r w:rsidRPr="00B82353">
              <w:rPr>
                <w:rFonts w:cs="Segoe UI"/>
                <w:sz w:val="20"/>
                <w:szCs w:val="14"/>
              </w:rPr>
              <w:t xml:space="preserve"> </w:t>
            </w:r>
          </w:p>
        </w:tc>
      </w:tr>
      <w:tr w:rsidR="00744277" w:rsidRPr="00744277" w14:paraId="0F96438E" w14:textId="77777777" w:rsidTr="00D656F8">
        <w:trPr>
          <w:trHeight w:val="1357"/>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FFFFFF" w:themeColor="background1"/>
              <w:bottom w:val="single" w:sz="4" w:space="0" w:color="FFFFFF" w:themeColor="background1"/>
            </w:tcBorders>
            <w:shd w:val="clear" w:color="auto" w:fill="DEEAF6" w:themeFill="accent1" w:themeFillTint="33"/>
          </w:tcPr>
          <w:p w14:paraId="15AC2F8E" w14:textId="77777777" w:rsidR="00744277" w:rsidRPr="00B82353" w:rsidRDefault="00744277" w:rsidP="00F53EFB">
            <w:pPr>
              <w:rPr>
                <w:rFonts w:cs="Segoe UI"/>
                <w:sz w:val="20"/>
                <w:szCs w:val="18"/>
              </w:rPr>
            </w:pPr>
          </w:p>
        </w:tc>
        <w:tc>
          <w:tcPr>
            <w:tcW w:w="1307" w:type="pct"/>
            <w:tcBorders>
              <w:top w:val="single" w:sz="4" w:space="0" w:color="FFFFFF" w:themeColor="background1"/>
              <w:bottom w:val="single" w:sz="4" w:space="0" w:color="FFFFFF" w:themeColor="background1"/>
            </w:tcBorders>
            <w:shd w:val="clear" w:color="auto" w:fill="DEEAF6" w:themeFill="accent1" w:themeFillTint="33"/>
          </w:tcPr>
          <w:p w14:paraId="17788981" w14:textId="77777777" w:rsidR="00744277" w:rsidRPr="00D656F8"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8"/>
              </w:rPr>
            </w:pPr>
            <w:r w:rsidRPr="006D17E9">
              <w:rPr>
                <w:rFonts w:cs="Segoe UI"/>
                <w:b/>
                <w:bCs/>
                <w:sz w:val="20"/>
                <w:szCs w:val="18"/>
              </w:rPr>
              <w:t xml:space="preserve">Data exchange </w:t>
            </w:r>
          </w:p>
          <w:p w14:paraId="09A91496" w14:textId="0BF78595" w:rsidR="00744277" w:rsidRPr="00D656F8"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8"/>
              </w:rPr>
            </w:pPr>
            <w:r w:rsidRPr="006D17E9">
              <w:rPr>
                <w:rFonts w:cs="Segoe UI"/>
                <w:sz w:val="20"/>
                <w:szCs w:val="18"/>
              </w:rPr>
              <w:t>Existing data platform is repurposed to facilitate data exchange. Participation is constrained by technology limitations</w:t>
            </w:r>
            <w:r w:rsidR="00E1581C">
              <w:rPr>
                <w:rFonts w:cs="Segoe UI"/>
                <w:sz w:val="20"/>
                <w:szCs w:val="18"/>
              </w:rPr>
              <w:t>.</w:t>
            </w:r>
          </w:p>
        </w:tc>
        <w:tc>
          <w:tcPr>
            <w:tcW w:w="1386" w:type="pct"/>
            <w:tcBorders>
              <w:top w:val="single" w:sz="4" w:space="0" w:color="FFFFFF" w:themeColor="background1"/>
              <w:bottom w:val="single" w:sz="4" w:space="0" w:color="FFFFFF" w:themeColor="background1"/>
            </w:tcBorders>
            <w:shd w:val="clear" w:color="auto" w:fill="DEEAF6" w:themeFill="accent1" w:themeFillTint="33"/>
          </w:tcPr>
          <w:p w14:paraId="1688E846" w14:textId="77777777" w:rsidR="00744277" w:rsidRPr="00D656F8"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8"/>
              </w:rPr>
            </w:pPr>
            <w:r w:rsidRPr="006D17E9">
              <w:rPr>
                <w:rFonts w:cs="Segoe UI"/>
                <w:b/>
                <w:bCs/>
                <w:sz w:val="20"/>
                <w:szCs w:val="18"/>
              </w:rPr>
              <w:t xml:space="preserve">Data exchange </w:t>
            </w:r>
          </w:p>
          <w:p w14:paraId="1D437B28" w14:textId="77777777" w:rsidR="00744277" w:rsidRPr="00001089"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8"/>
              </w:rPr>
            </w:pPr>
            <w:r w:rsidRPr="006D17E9">
              <w:rPr>
                <w:rFonts w:cs="Segoe UI"/>
                <w:sz w:val="20"/>
                <w:szCs w:val="18"/>
              </w:rPr>
              <w:t xml:space="preserve">Existing data platform to be uplifted to </w:t>
            </w:r>
            <w:r w:rsidRPr="00001089">
              <w:rPr>
                <w:rFonts w:cs="Segoe UI"/>
                <w:sz w:val="20"/>
                <w:szCs w:val="18"/>
              </w:rPr>
              <w:t>facilitate data exchange. Some constrains are alleviated through capability uplift.</w:t>
            </w:r>
          </w:p>
          <w:p w14:paraId="3687623C" w14:textId="66BC32D8" w:rsidR="00744277" w:rsidRPr="00D656F8"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8"/>
              </w:rPr>
            </w:pPr>
          </w:p>
        </w:tc>
        <w:tc>
          <w:tcPr>
            <w:tcW w:w="1683" w:type="pct"/>
            <w:tcBorders>
              <w:top w:val="single" w:sz="4" w:space="0" w:color="FFFFFF" w:themeColor="background1"/>
              <w:bottom w:val="single" w:sz="4" w:space="0" w:color="FFFFFF" w:themeColor="background1"/>
            </w:tcBorders>
            <w:shd w:val="clear" w:color="auto" w:fill="DEEAF6" w:themeFill="accent1" w:themeFillTint="33"/>
          </w:tcPr>
          <w:p w14:paraId="26BCB973" w14:textId="77777777" w:rsidR="00744277" w:rsidRPr="00D656F8"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8"/>
              </w:rPr>
            </w:pPr>
            <w:r w:rsidRPr="006D17E9">
              <w:rPr>
                <w:rFonts w:cs="Segoe UI"/>
                <w:b/>
                <w:bCs/>
                <w:sz w:val="20"/>
                <w:szCs w:val="18"/>
              </w:rPr>
              <w:t xml:space="preserve">Data exchange </w:t>
            </w:r>
          </w:p>
          <w:p w14:paraId="02D063EE" w14:textId="6C5D93E6" w:rsidR="00744277" w:rsidRPr="00D656F8"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8"/>
              </w:rPr>
            </w:pPr>
            <w:r w:rsidRPr="006D17E9">
              <w:rPr>
                <w:rFonts w:cs="Segoe UI"/>
                <w:sz w:val="20"/>
                <w:szCs w:val="18"/>
              </w:rPr>
              <w:t>A single, centralised, dedicated solution deployed by the Hub for gathering, processing, storing and distributing the freight data across all ecosystem players.</w:t>
            </w:r>
          </w:p>
        </w:tc>
      </w:tr>
      <w:tr w:rsidR="00744277" w:rsidRPr="00B82353" w14:paraId="617DFF0F" w14:textId="77777777" w:rsidTr="00D656F8">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FFFFFF" w:themeColor="background1"/>
            </w:tcBorders>
          </w:tcPr>
          <w:p w14:paraId="4A715C8C" w14:textId="77777777" w:rsidR="00744277" w:rsidRPr="00B82353" w:rsidRDefault="00744277" w:rsidP="00F53EFB">
            <w:pPr>
              <w:rPr>
                <w:rFonts w:cs="Segoe UI"/>
                <w:sz w:val="20"/>
                <w:szCs w:val="18"/>
              </w:rPr>
            </w:pPr>
          </w:p>
        </w:tc>
        <w:tc>
          <w:tcPr>
            <w:tcW w:w="1307" w:type="pct"/>
            <w:tcBorders>
              <w:top w:val="single" w:sz="4" w:space="0" w:color="FFFFFF" w:themeColor="background1"/>
            </w:tcBorders>
          </w:tcPr>
          <w:p w14:paraId="44FF312B" w14:textId="77777777" w:rsidR="00744277" w:rsidRPr="00B82353" w:rsidRDefault="00744277" w:rsidP="00744277">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b/>
                <w:bCs/>
                <w:sz w:val="20"/>
                <w:szCs w:val="14"/>
              </w:rPr>
              <w:t>Open Data</w:t>
            </w:r>
          </w:p>
          <w:p w14:paraId="79F83DC6" w14:textId="31F59BB9" w:rsidR="00744277" w:rsidRDefault="00744277" w:rsidP="00744277">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sz w:val="20"/>
                <w:szCs w:val="14"/>
              </w:rPr>
              <w:t>Data published</w:t>
            </w:r>
            <w:r>
              <w:rPr>
                <w:rFonts w:cs="Segoe UI"/>
                <w:sz w:val="20"/>
                <w:szCs w:val="14"/>
              </w:rPr>
              <w:t xml:space="preserve"> voluntarily by the data owners</w:t>
            </w:r>
            <w:r w:rsidR="00E1581C">
              <w:rPr>
                <w:rFonts w:cs="Segoe UI"/>
                <w:sz w:val="20"/>
                <w:szCs w:val="14"/>
              </w:rPr>
              <w:t>.</w:t>
            </w:r>
          </w:p>
        </w:tc>
        <w:tc>
          <w:tcPr>
            <w:tcW w:w="1386" w:type="pct"/>
            <w:tcBorders>
              <w:top w:val="single" w:sz="4" w:space="0" w:color="FFFFFF" w:themeColor="background1"/>
            </w:tcBorders>
          </w:tcPr>
          <w:p w14:paraId="12AA1103" w14:textId="549F989B" w:rsidR="00744277" w:rsidRDefault="00744277" w:rsidP="00744277">
            <w:pPr>
              <w:cnfStyle w:val="000000100000" w:firstRow="0" w:lastRow="0" w:firstColumn="0" w:lastColumn="0" w:oddVBand="0" w:evenVBand="0" w:oddHBand="1" w:evenHBand="0" w:firstRowFirstColumn="0" w:firstRowLastColumn="0" w:lastRowFirstColumn="0" w:lastRowLastColumn="0"/>
              <w:rPr>
                <w:rFonts w:cs="Segoe UI"/>
                <w:sz w:val="20"/>
                <w:szCs w:val="14"/>
              </w:rPr>
            </w:pPr>
            <w:r w:rsidRPr="00B82353">
              <w:rPr>
                <w:rFonts w:cs="Segoe UI"/>
                <w:b/>
                <w:bCs/>
                <w:sz w:val="20"/>
                <w:szCs w:val="14"/>
              </w:rPr>
              <w:t>Open Data</w:t>
            </w:r>
          </w:p>
          <w:p w14:paraId="4366C9BE" w14:textId="67289862" w:rsidR="00744277" w:rsidRPr="00B82353" w:rsidRDefault="00744277" w:rsidP="00744277">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sz w:val="20"/>
                <w:szCs w:val="14"/>
              </w:rPr>
              <w:t>Limited data sets published through a newly established bulletin board style web portal</w:t>
            </w:r>
            <w:r w:rsidR="00E1581C">
              <w:rPr>
                <w:rFonts w:cs="Segoe UI"/>
                <w:sz w:val="20"/>
                <w:szCs w:val="14"/>
              </w:rPr>
              <w:t>.</w:t>
            </w:r>
          </w:p>
        </w:tc>
        <w:tc>
          <w:tcPr>
            <w:tcW w:w="1683" w:type="pct"/>
            <w:tcBorders>
              <w:top w:val="single" w:sz="4" w:space="0" w:color="FFFFFF" w:themeColor="background1"/>
            </w:tcBorders>
          </w:tcPr>
          <w:p w14:paraId="5011D63D" w14:textId="77777777" w:rsidR="00744277" w:rsidRPr="00B82353" w:rsidRDefault="00744277" w:rsidP="00744277">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b/>
                <w:bCs/>
                <w:sz w:val="20"/>
                <w:szCs w:val="14"/>
              </w:rPr>
              <w:t>Open Data</w:t>
            </w:r>
          </w:p>
          <w:p w14:paraId="59565EC1" w14:textId="5BEBE3A9" w:rsidR="00744277" w:rsidRDefault="00744277" w:rsidP="00A95FCA">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sz w:val="20"/>
                <w:szCs w:val="14"/>
              </w:rPr>
              <w:t xml:space="preserve">The Hub provides a centralised open data platform </w:t>
            </w:r>
            <w:r w:rsidR="00A95FCA">
              <w:rPr>
                <w:rFonts w:cs="Segoe UI"/>
                <w:sz w:val="20"/>
                <w:szCs w:val="14"/>
              </w:rPr>
              <w:t xml:space="preserve">where </w:t>
            </w:r>
            <w:r w:rsidRPr="00B82353">
              <w:rPr>
                <w:rFonts w:cs="Segoe UI"/>
                <w:sz w:val="20"/>
                <w:szCs w:val="14"/>
              </w:rPr>
              <w:t xml:space="preserve">all users </w:t>
            </w:r>
            <w:r w:rsidR="00A95FCA">
              <w:rPr>
                <w:rFonts w:cs="Segoe UI"/>
                <w:sz w:val="20"/>
                <w:szCs w:val="14"/>
              </w:rPr>
              <w:t>can</w:t>
            </w:r>
            <w:r w:rsidRPr="00B82353">
              <w:rPr>
                <w:rFonts w:cs="Segoe UI"/>
                <w:sz w:val="20"/>
                <w:szCs w:val="14"/>
              </w:rPr>
              <w:t xml:space="preserve"> search open data sets and download them. All users can upload their open data sets to this centralised portal.</w:t>
            </w:r>
          </w:p>
        </w:tc>
      </w:tr>
      <w:tr w:rsidR="00F53EFB" w:rsidRPr="00B82353" w14:paraId="6FC01594" w14:textId="77777777" w:rsidTr="00D656F8">
        <w:trPr>
          <w:trHeight w:val="994"/>
        </w:trPr>
        <w:tc>
          <w:tcPr>
            <w:cnfStyle w:val="001000000000" w:firstRow="0" w:lastRow="0" w:firstColumn="1" w:lastColumn="0" w:oddVBand="0" w:evenVBand="0" w:oddHBand="0" w:evenHBand="0" w:firstRowFirstColumn="0" w:firstRowLastColumn="0" w:lastRowFirstColumn="0" w:lastRowLastColumn="0"/>
            <w:tcW w:w="624" w:type="pct"/>
            <w:tcBorders>
              <w:bottom w:val="single" w:sz="4" w:space="0" w:color="FFFFFF" w:themeColor="background1"/>
            </w:tcBorders>
            <w:shd w:val="clear" w:color="auto" w:fill="FFFFFF" w:themeFill="background1"/>
          </w:tcPr>
          <w:p w14:paraId="0974DC53" w14:textId="77777777" w:rsidR="00F53EFB" w:rsidRPr="00B82353" w:rsidRDefault="00F53EFB" w:rsidP="00F53EFB">
            <w:pPr>
              <w:rPr>
                <w:rFonts w:cs="Segoe UI"/>
                <w:sz w:val="20"/>
                <w:szCs w:val="18"/>
              </w:rPr>
            </w:pPr>
            <w:r w:rsidRPr="00B82353">
              <w:rPr>
                <w:rFonts w:cs="Segoe UI"/>
                <w:sz w:val="20"/>
                <w:szCs w:val="18"/>
              </w:rPr>
              <w:t>Federated Architecture</w:t>
            </w:r>
          </w:p>
          <w:p w14:paraId="633516BF" w14:textId="77777777" w:rsidR="00F53EFB" w:rsidRPr="00B82353" w:rsidRDefault="00F53EFB" w:rsidP="00F53EFB">
            <w:pPr>
              <w:rPr>
                <w:rFonts w:cs="Segoe UI"/>
                <w:b w:val="0"/>
                <w:bCs w:val="0"/>
                <w:sz w:val="20"/>
                <w:szCs w:val="18"/>
              </w:rPr>
            </w:pPr>
          </w:p>
        </w:tc>
        <w:tc>
          <w:tcPr>
            <w:tcW w:w="1307" w:type="pct"/>
            <w:tcBorders>
              <w:bottom w:val="single" w:sz="4" w:space="0" w:color="FFFFFF" w:themeColor="background1"/>
            </w:tcBorders>
            <w:shd w:val="clear" w:color="auto" w:fill="FFFFFF" w:themeFill="background1"/>
          </w:tcPr>
          <w:p w14:paraId="06B678E1" w14:textId="77777777" w:rsidR="00F53EFB" w:rsidRPr="00B82353" w:rsidRDefault="00F53EFB" w:rsidP="00F53EFB">
            <w:pPr>
              <w:cnfStyle w:val="000000000000" w:firstRow="0" w:lastRow="0" w:firstColumn="0" w:lastColumn="0" w:oddVBand="0" w:evenVBand="0" w:oddHBand="0" w:evenHBand="0" w:firstRowFirstColumn="0" w:firstRowLastColumn="0" w:lastRowFirstColumn="0" w:lastRowLastColumn="0"/>
              <w:rPr>
                <w:rFonts w:cs="Segoe UI"/>
                <w:b/>
                <w:bCs/>
                <w:sz w:val="20"/>
                <w:szCs w:val="14"/>
              </w:rPr>
            </w:pPr>
            <w:r w:rsidRPr="00B82353">
              <w:rPr>
                <w:rFonts w:cs="Segoe UI"/>
                <w:b/>
                <w:bCs/>
                <w:sz w:val="20"/>
                <w:szCs w:val="14"/>
              </w:rPr>
              <w:t>Leadership and Innovation</w:t>
            </w:r>
          </w:p>
          <w:p w14:paraId="61711501" w14:textId="12818A2F" w:rsidR="00F53EFB" w:rsidRPr="00B82353" w:rsidRDefault="00F53EFB" w:rsidP="00F53EFB">
            <w:pPr>
              <w:cnfStyle w:val="000000000000" w:firstRow="0" w:lastRow="0" w:firstColumn="0" w:lastColumn="0" w:oddVBand="0" w:evenVBand="0" w:oddHBand="0" w:evenHBand="0" w:firstRowFirstColumn="0" w:firstRowLastColumn="0" w:lastRowFirstColumn="0" w:lastRowLastColumn="0"/>
              <w:rPr>
                <w:rFonts w:cs="Segoe UI"/>
                <w:sz w:val="20"/>
                <w:szCs w:val="14"/>
              </w:rPr>
            </w:pPr>
            <w:r w:rsidRPr="00B82353">
              <w:rPr>
                <w:rFonts w:cs="Segoe UI"/>
                <w:sz w:val="20"/>
                <w:szCs w:val="14"/>
              </w:rPr>
              <w:t>The Hub publishes freight data sharing and integration recommendations</w:t>
            </w:r>
            <w:r w:rsidR="00E1581C">
              <w:rPr>
                <w:rFonts w:cs="Segoe UI"/>
                <w:sz w:val="20"/>
                <w:szCs w:val="14"/>
              </w:rPr>
              <w:t>.</w:t>
            </w:r>
          </w:p>
          <w:p w14:paraId="6F7FE5C2" w14:textId="5CF77051" w:rsidR="00F53EFB" w:rsidRPr="00B82353" w:rsidRDefault="00F53EFB" w:rsidP="00F53EFB">
            <w:pPr>
              <w:cnfStyle w:val="000000000000" w:firstRow="0" w:lastRow="0" w:firstColumn="0" w:lastColumn="0" w:oddVBand="0" w:evenVBand="0" w:oddHBand="0" w:evenHBand="0" w:firstRowFirstColumn="0" w:firstRowLastColumn="0" w:lastRowFirstColumn="0" w:lastRowLastColumn="0"/>
              <w:rPr>
                <w:rFonts w:cs="Segoe UI"/>
                <w:sz w:val="20"/>
                <w:szCs w:val="14"/>
              </w:rPr>
            </w:pPr>
          </w:p>
        </w:tc>
        <w:tc>
          <w:tcPr>
            <w:tcW w:w="1386" w:type="pct"/>
            <w:tcBorders>
              <w:bottom w:val="single" w:sz="4" w:space="0" w:color="FFFFFF" w:themeColor="background1"/>
            </w:tcBorders>
            <w:shd w:val="clear" w:color="auto" w:fill="FFFFFF" w:themeFill="background1"/>
          </w:tcPr>
          <w:p w14:paraId="189E39B7" w14:textId="77777777" w:rsidR="00F53EFB" w:rsidRPr="00B82353" w:rsidRDefault="00F53EFB" w:rsidP="00F53EFB">
            <w:pPr>
              <w:cnfStyle w:val="000000000000" w:firstRow="0" w:lastRow="0" w:firstColumn="0" w:lastColumn="0" w:oddVBand="0" w:evenVBand="0" w:oddHBand="0" w:evenHBand="0" w:firstRowFirstColumn="0" w:firstRowLastColumn="0" w:lastRowFirstColumn="0" w:lastRowLastColumn="0"/>
              <w:rPr>
                <w:rFonts w:cs="Segoe UI"/>
                <w:b/>
                <w:bCs/>
                <w:sz w:val="20"/>
                <w:szCs w:val="14"/>
              </w:rPr>
            </w:pPr>
            <w:r w:rsidRPr="00B82353">
              <w:rPr>
                <w:rFonts w:cs="Segoe UI"/>
                <w:b/>
                <w:bCs/>
                <w:sz w:val="20"/>
                <w:szCs w:val="14"/>
              </w:rPr>
              <w:t>Leadership and Innovation</w:t>
            </w:r>
          </w:p>
          <w:p w14:paraId="7A0DDB54" w14:textId="64FB5357" w:rsidR="00F53EFB" w:rsidRPr="00B82353" w:rsidRDefault="00F53EFB" w:rsidP="00F53EFB">
            <w:pPr>
              <w:cnfStyle w:val="000000000000" w:firstRow="0" w:lastRow="0" w:firstColumn="0" w:lastColumn="0" w:oddVBand="0" w:evenVBand="0" w:oddHBand="0" w:evenHBand="0" w:firstRowFirstColumn="0" w:firstRowLastColumn="0" w:lastRowFirstColumn="0" w:lastRowLastColumn="0"/>
              <w:rPr>
                <w:rFonts w:cs="Segoe UI"/>
                <w:sz w:val="20"/>
                <w:szCs w:val="14"/>
              </w:rPr>
            </w:pPr>
            <w:r w:rsidRPr="00B82353">
              <w:rPr>
                <w:rFonts w:cs="Segoe UI"/>
                <w:sz w:val="20"/>
                <w:szCs w:val="14"/>
              </w:rPr>
              <w:t>The Hub develop</w:t>
            </w:r>
            <w:r w:rsidR="00744277">
              <w:rPr>
                <w:rFonts w:cs="Segoe UI"/>
                <w:sz w:val="20"/>
                <w:szCs w:val="14"/>
              </w:rPr>
              <w:t xml:space="preserve">s </w:t>
            </w:r>
            <w:r w:rsidRPr="00B82353">
              <w:rPr>
                <w:rFonts w:cs="Segoe UI"/>
                <w:sz w:val="20"/>
                <w:szCs w:val="14"/>
              </w:rPr>
              <w:t>technology and data standards to support improved integration and consistency</w:t>
            </w:r>
            <w:r w:rsidR="00E1581C">
              <w:rPr>
                <w:rFonts w:cs="Segoe UI"/>
                <w:sz w:val="20"/>
                <w:szCs w:val="14"/>
              </w:rPr>
              <w:t>.</w:t>
            </w:r>
          </w:p>
        </w:tc>
        <w:tc>
          <w:tcPr>
            <w:tcW w:w="1683" w:type="pct"/>
            <w:tcBorders>
              <w:bottom w:val="single" w:sz="4" w:space="0" w:color="FFFFFF" w:themeColor="background1"/>
            </w:tcBorders>
            <w:shd w:val="clear" w:color="auto" w:fill="FFFFFF" w:themeFill="background1"/>
          </w:tcPr>
          <w:p w14:paraId="00A414CA" w14:textId="77777777" w:rsidR="00F53EFB" w:rsidRPr="00B82353" w:rsidRDefault="00F53EFB" w:rsidP="00F53EFB">
            <w:pPr>
              <w:cnfStyle w:val="000000000000" w:firstRow="0" w:lastRow="0" w:firstColumn="0" w:lastColumn="0" w:oddVBand="0" w:evenVBand="0" w:oddHBand="0" w:evenHBand="0" w:firstRowFirstColumn="0" w:firstRowLastColumn="0" w:lastRowFirstColumn="0" w:lastRowLastColumn="0"/>
              <w:rPr>
                <w:rFonts w:cs="Segoe UI"/>
                <w:b/>
                <w:bCs/>
                <w:sz w:val="20"/>
                <w:szCs w:val="14"/>
              </w:rPr>
            </w:pPr>
            <w:r w:rsidRPr="00B82353">
              <w:rPr>
                <w:rFonts w:cs="Segoe UI"/>
                <w:b/>
                <w:bCs/>
                <w:sz w:val="20"/>
                <w:szCs w:val="14"/>
              </w:rPr>
              <w:t>Leadership and Innovation</w:t>
            </w:r>
          </w:p>
          <w:p w14:paraId="68B066EC" w14:textId="099434B5" w:rsidR="00F53EFB" w:rsidRPr="00B82353" w:rsidRDefault="00F53EFB" w:rsidP="00F53EFB">
            <w:pPr>
              <w:cnfStyle w:val="000000000000" w:firstRow="0" w:lastRow="0" w:firstColumn="0" w:lastColumn="0" w:oddVBand="0" w:evenVBand="0" w:oddHBand="0" w:evenHBand="0" w:firstRowFirstColumn="0" w:firstRowLastColumn="0" w:lastRowFirstColumn="0" w:lastRowLastColumn="0"/>
              <w:rPr>
                <w:rFonts w:cs="Segoe UI"/>
                <w:sz w:val="20"/>
                <w:szCs w:val="14"/>
              </w:rPr>
            </w:pPr>
            <w:r w:rsidRPr="00B82353">
              <w:rPr>
                <w:rFonts w:cs="Segoe UI"/>
                <w:sz w:val="20"/>
                <w:szCs w:val="14"/>
              </w:rPr>
              <w:t>The Hub assign</w:t>
            </w:r>
            <w:r w:rsidR="00744277">
              <w:rPr>
                <w:rFonts w:cs="Segoe UI"/>
                <w:sz w:val="20"/>
                <w:szCs w:val="14"/>
              </w:rPr>
              <w:t>s</w:t>
            </w:r>
            <w:r w:rsidRPr="00B82353">
              <w:rPr>
                <w:rFonts w:cs="Segoe UI"/>
                <w:sz w:val="20"/>
                <w:szCs w:val="14"/>
              </w:rPr>
              <w:t xml:space="preserve"> accountabilities and setting data agenda in </w:t>
            </w:r>
            <w:r w:rsidR="00E1581C" w:rsidRPr="00B82353">
              <w:rPr>
                <w:rFonts w:cs="Segoe UI"/>
                <w:sz w:val="20"/>
                <w:szCs w:val="14"/>
              </w:rPr>
              <w:t>co</w:t>
            </w:r>
            <w:r w:rsidR="00E1581C">
              <w:rPr>
                <w:rFonts w:cs="Segoe UI"/>
                <w:sz w:val="20"/>
                <w:szCs w:val="14"/>
              </w:rPr>
              <w:t>ll</w:t>
            </w:r>
            <w:r w:rsidR="00E1581C" w:rsidRPr="00B82353">
              <w:rPr>
                <w:rFonts w:cs="Segoe UI"/>
                <w:sz w:val="20"/>
                <w:szCs w:val="14"/>
              </w:rPr>
              <w:t>a</w:t>
            </w:r>
            <w:r w:rsidR="00E1581C">
              <w:rPr>
                <w:rFonts w:cs="Segoe UI"/>
                <w:sz w:val="20"/>
                <w:szCs w:val="14"/>
              </w:rPr>
              <w:t>bora</w:t>
            </w:r>
            <w:r w:rsidR="00E1581C" w:rsidRPr="00B82353">
              <w:rPr>
                <w:rFonts w:cs="Segoe UI"/>
                <w:sz w:val="20"/>
                <w:szCs w:val="14"/>
              </w:rPr>
              <w:t xml:space="preserve">tion </w:t>
            </w:r>
            <w:r w:rsidRPr="00B82353">
              <w:rPr>
                <w:rFonts w:cs="Segoe UI"/>
                <w:sz w:val="20"/>
                <w:szCs w:val="14"/>
              </w:rPr>
              <w:t>with the industry</w:t>
            </w:r>
            <w:r w:rsidR="00E1581C">
              <w:rPr>
                <w:rFonts w:cs="Segoe UI"/>
                <w:sz w:val="20"/>
                <w:szCs w:val="14"/>
              </w:rPr>
              <w:t>.</w:t>
            </w:r>
          </w:p>
          <w:p w14:paraId="55607046" w14:textId="5DF8DBA5" w:rsidR="00F53EFB" w:rsidRPr="00B82353" w:rsidRDefault="00F53EFB" w:rsidP="00F53EFB">
            <w:pPr>
              <w:cnfStyle w:val="000000000000" w:firstRow="0" w:lastRow="0" w:firstColumn="0" w:lastColumn="0" w:oddVBand="0" w:evenVBand="0" w:oddHBand="0" w:evenHBand="0" w:firstRowFirstColumn="0" w:firstRowLastColumn="0" w:lastRowFirstColumn="0" w:lastRowLastColumn="0"/>
              <w:rPr>
                <w:rFonts w:cs="Segoe UI"/>
                <w:sz w:val="20"/>
                <w:szCs w:val="14"/>
              </w:rPr>
            </w:pPr>
          </w:p>
        </w:tc>
      </w:tr>
      <w:tr w:rsidR="00744277" w:rsidRPr="00B82353" w14:paraId="29331BD7" w14:textId="77777777" w:rsidTr="00D656F8">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FFFFFF" w:themeColor="background1"/>
              <w:bottom w:val="single" w:sz="4" w:space="0" w:color="FFFFFF" w:themeColor="background1"/>
            </w:tcBorders>
            <w:shd w:val="clear" w:color="auto" w:fill="FFFFFF" w:themeFill="background1"/>
          </w:tcPr>
          <w:p w14:paraId="36822077" w14:textId="77777777" w:rsidR="00744277" w:rsidRPr="00B82353" w:rsidRDefault="00744277" w:rsidP="00F53EFB">
            <w:pPr>
              <w:rPr>
                <w:rFonts w:cs="Segoe UI"/>
                <w:sz w:val="20"/>
                <w:szCs w:val="18"/>
              </w:rPr>
            </w:pPr>
          </w:p>
        </w:tc>
        <w:tc>
          <w:tcPr>
            <w:tcW w:w="1307" w:type="pct"/>
            <w:tcBorders>
              <w:top w:val="single" w:sz="4" w:space="0" w:color="FFFFFF" w:themeColor="background1"/>
              <w:bottom w:val="single" w:sz="4" w:space="0" w:color="FFFFFF" w:themeColor="background1"/>
            </w:tcBorders>
            <w:shd w:val="clear" w:color="auto" w:fill="FFFFFF" w:themeFill="background1"/>
          </w:tcPr>
          <w:p w14:paraId="50111C39" w14:textId="1B849823" w:rsidR="00744277" w:rsidRDefault="00744277" w:rsidP="00744277">
            <w:pPr>
              <w:cnfStyle w:val="000000100000" w:firstRow="0" w:lastRow="0" w:firstColumn="0" w:lastColumn="0" w:oddVBand="0" w:evenVBand="0" w:oddHBand="1" w:evenHBand="0" w:firstRowFirstColumn="0" w:firstRowLastColumn="0" w:lastRowFirstColumn="0" w:lastRowLastColumn="0"/>
              <w:rPr>
                <w:rFonts w:cs="Segoe UI"/>
                <w:sz w:val="20"/>
                <w:szCs w:val="14"/>
              </w:rPr>
            </w:pPr>
            <w:r w:rsidRPr="00B82353">
              <w:rPr>
                <w:rFonts w:cs="Segoe UI"/>
                <w:b/>
                <w:bCs/>
                <w:sz w:val="20"/>
                <w:szCs w:val="14"/>
              </w:rPr>
              <w:t>Data exchange</w:t>
            </w:r>
          </w:p>
          <w:p w14:paraId="392456CA" w14:textId="62AECE7C" w:rsidR="00744277" w:rsidRPr="00B82353" w:rsidRDefault="00744277" w:rsidP="00744277">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sz w:val="20"/>
                <w:szCs w:val="14"/>
              </w:rPr>
              <w:t>Data integration and exchanges</w:t>
            </w:r>
            <w:r>
              <w:rPr>
                <w:rFonts w:cs="Segoe UI"/>
                <w:sz w:val="20"/>
                <w:szCs w:val="14"/>
              </w:rPr>
              <w:t xml:space="preserve"> using existing technologies</w:t>
            </w:r>
            <w:r w:rsidRPr="00B82353">
              <w:rPr>
                <w:rFonts w:cs="Segoe UI"/>
                <w:sz w:val="20"/>
                <w:szCs w:val="14"/>
              </w:rPr>
              <w:t xml:space="preserve"> governed by direct agreements between organisations</w:t>
            </w:r>
            <w:r w:rsidR="00E1581C">
              <w:rPr>
                <w:rFonts w:cs="Segoe UI"/>
                <w:sz w:val="20"/>
                <w:szCs w:val="14"/>
              </w:rPr>
              <w:t>.</w:t>
            </w:r>
            <w:r w:rsidRPr="00B82353">
              <w:rPr>
                <w:rFonts w:cs="Segoe UI"/>
                <w:sz w:val="20"/>
                <w:szCs w:val="14"/>
              </w:rPr>
              <w:t xml:space="preserve"> </w:t>
            </w:r>
          </w:p>
        </w:tc>
        <w:tc>
          <w:tcPr>
            <w:tcW w:w="1386" w:type="pct"/>
            <w:tcBorders>
              <w:top w:val="single" w:sz="4" w:space="0" w:color="FFFFFF" w:themeColor="background1"/>
              <w:bottom w:val="single" w:sz="4" w:space="0" w:color="FFFFFF" w:themeColor="background1"/>
            </w:tcBorders>
            <w:shd w:val="clear" w:color="auto" w:fill="FFFFFF" w:themeFill="background1"/>
          </w:tcPr>
          <w:p w14:paraId="565FE3C7" w14:textId="77777777" w:rsidR="00744277" w:rsidRPr="00B82353" w:rsidRDefault="00744277" w:rsidP="00744277">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b/>
                <w:bCs/>
                <w:sz w:val="20"/>
                <w:szCs w:val="14"/>
              </w:rPr>
              <w:t xml:space="preserve">Data exchange </w:t>
            </w:r>
          </w:p>
          <w:p w14:paraId="422249E4" w14:textId="15B6B596" w:rsidR="00744277" w:rsidRPr="00B82353" w:rsidRDefault="00E1581C" w:rsidP="00E1581C">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Pr>
                <w:rFonts w:cs="Segoe UI"/>
                <w:sz w:val="20"/>
                <w:szCs w:val="14"/>
              </w:rPr>
              <w:t>Key d</w:t>
            </w:r>
            <w:r w:rsidR="00744277" w:rsidRPr="00B82353">
              <w:rPr>
                <w:rFonts w:cs="Segoe UI"/>
                <w:sz w:val="20"/>
                <w:szCs w:val="14"/>
              </w:rPr>
              <w:t>ata integration and exchanges adhere to a common set of data standards and rules set by the Hub</w:t>
            </w:r>
            <w:r>
              <w:rPr>
                <w:rFonts w:cs="Segoe UI"/>
                <w:sz w:val="20"/>
                <w:szCs w:val="14"/>
              </w:rPr>
              <w:t>.</w:t>
            </w:r>
          </w:p>
        </w:tc>
        <w:tc>
          <w:tcPr>
            <w:tcW w:w="1683" w:type="pct"/>
            <w:tcBorders>
              <w:top w:val="single" w:sz="4" w:space="0" w:color="FFFFFF" w:themeColor="background1"/>
              <w:bottom w:val="single" w:sz="4" w:space="0" w:color="FFFFFF" w:themeColor="background1"/>
            </w:tcBorders>
            <w:shd w:val="clear" w:color="auto" w:fill="FFFFFF" w:themeFill="background1"/>
          </w:tcPr>
          <w:p w14:paraId="58546A94" w14:textId="2691BB5B" w:rsidR="00744277" w:rsidRDefault="00744277" w:rsidP="00744277">
            <w:pPr>
              <w:cnfStyle w:val="000000100000" w:firstRow="0" w:lastRow="0" w:firstColumn="0" w:lastColumn="0" w:oddVBand="0" w:evenVBand="0" w:oddHBand="1" w:evenHBand="0" w:firstRowFirstColumn="0" w:firstRowLastColumn="0" w:lastRowFirstColumn="0" w:lastRowLastColumn="0"/>
              <w:rPr>
                <w:rFonts w:cs="Segoe UI"/>
                <w:sz w:val="20"/>
                <w:szCs w:val="14"/>
              </w:rPr>
            </w:pPr>
            <w:r>
              <w:rPr>
                <w:rFonts w:cs="Segoe UI"/>
                <w:b/>
                <w:bCs/>
                <w:sz w:val="20"/>
                <w:szCs w:val="14"/>
              </w:rPr>
              <w:t>Data exchange</w:t>
            </w:r>
          </w:p>
          <w:p w14:paraId="387986BF" w14:textId="48E5A7EE" w:rsidR="00744277" w:rsidRPr="00B82353" w:rsidRDefault="00744277" w:rsidP="00744277">
            <w:pPr>
              <w:cnfStyle w:val="000000100000" w:firstRow="0" w:lastRow="0" w:firstColumn="0" w:lastColumn="0" w:oddVBand="0" w:evenVBand="0" w:oddHBand="1" w:evenHBand="0" w:firstRowFirstColumn="0" w:firstRowLastColumn="0" w:lastRowFirstColumn="0" w:lastRowLastColumn="0"/>
              <w:rPr>
                <w:rFonts w:cs="Segoe UI"/>
                <w:b/>
                <w:bCs/>
                <w:sz w:val="20"/>
                <w:szCs w:val="14"/>
              </w:rPr>
            </w:pPr>
            <w:r w:rsidRPr="00B82353">
              <w:rPr>
                <w:rFonts w:cs="Segoe UI"/>
                <w:sz w:val="20"/>
                <w:szCs w:val="14"/>
              </w:rPr>
              <w:t>Data integration and exchanges fully systemised to meet the unique needs of all users across the industry</w:t>
            </w:r>
            <w:r w:rsidR="00E1581C">
              <w:rPr>
                <w:rFonts w:cs="Segoe UI"/>
                <w:sz w:val="20"/>
                <w:szCs w:val="14"/>
              </w:rPr>
              <w:t>.</w:t>
            </w:r>
          </w:p>
        </w:tc>
      </w:tr>
      <w:tr w:rsidR="00744277" w:rsidRPr="00B82353" w14:paraId="4C0447B5" w14:textId="77777777" w:rsidTr="00D656F8">
        <w:trPr>
          <w:trHeight w:val="1325"/>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FFFFFF" w:themeColor="background1"/>
            </w:tcBorders>
            <w:shd w:val="clear" w:color="auto" w:fill="FFFFFF" w:themeFill="background1"/>
          </w:tcPr>
          <w:p w14:paraId="554989BE" w14:textId="77777777" w:rsidR="00744277" w:rsidRPr="00B82353" w:rsidRDefault="00744277" w:rsidP="00F53EFB">
            <w:pPr>
              <w:rPr>
                <w:rFonts w:cs="Segoe UI"/>
                <w:sz w:val="20"/>
                <w:szCs w:val="18"/>
              </w:rPr>
            </w:pPr>
          </w:p>
        </w:tc>
        <w:tc>
          <w:tcPr>
            <w:tcW w:w="1307" w:type="pct"/>
            <w:tcBorders>
              <w:top w:val="single" w:sz="4" w:space="0" w:color="FFFFFF" w:themeColor="background1"/>
            </w:tcBorders>
            <w:shd w:val="clear" w:color="auto" w:fill="FFFFFF" w:themeFill="background1"/>
          </w:tcPr>
          <w:p w14:paraId="22BF3560" w14:textId="1E61A878" w:rsidR="00744277"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4"/>
              </w:rPr>
            </w:pPr>
            <w:r w:rsidRPr="00B82353">
              <w:rPr>
                <w:rFonts w:cs="Segoe UI"/>
                <w:b/>
                <w:bCs/>
                <w:sz w:val="20"/>
                <w:szCs w:val="14"/>
              </w:rPr>
              <w:t>Open Data</w:t>
            </w:r>
          </w:p>
          <w:p w14:paraId="01362FFE" w14:textId="4C137CB8" w:rsidR="00744277" w:rsidRPr="00B82353"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4"/>
              </w:rPr>
            </w:pPr>
            <w:r w:rsidRPr="00B82353">
              <w:rPr>
                <w:rFonts w:cs="Segoe UI"/>
                <w:sz w:val="20"/>
                <w:szCs w:val="14"/>
              </w:rPr>
              <w:t>Data published voluntarily by the data owners at various locations</w:t>
            </w:r>
            <w:r w:rsidR="00E1581C">
              <w:rPr>
                <w:rFonts w:cs="Segoe UI"/>
                <w:sz w:val="20"/>
                <w:szCs w:val="14"/>
              </w:rPr>
              <w:t>.</w:t>
            </w:r>
          </w:p>
        </w:tc>
        <w:tc>
          <w:tcPr>
            <w:tcW w:w="1386" w:type="pct"/>
            <w:tcBorders>
              <w:top w:val="single" w:sz="4" w:space="0" w:color="FFFFFF" w:themeColor="background1"/>
            </w:tcBorders>
            <w:shd w:val="clear" w:color="auto" w:fill="FFFFFF" w:themeFill="background1"/>
          </w:tcPr>
          <w:p w14:paraId="056A90F1" w14:textId="2F83C50F" w:rsidR="00744277"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4"/>
              </w:rPr>
            </w:pPr>
            <w:r w:rsidRPr="00B82353">
              <w:rPr>
                <w:rFonts w:cs="Segoe UI"/>
                <w:b/>
                <w:bCs/>
                <w:sz w:val="20"/>
                <w:szCs w:val="14"/>
              </w:rPr>
              <w:t>Open Data</w:t>
            </w:r>
          </w:p>
          <w:p w14:paraId="16DBE151" w14:textId="1D60E6F4" w:rsidR="00744277" w:rsidRPr="00B82353" w:rsidRDefault="00744277" w:rsidP="00E1581C">
            <w:pPr>
              <w:cnfStyle w:val="000000000000" w:firstRow="0" w:lastRow="0" w:firstColumn="0" w:lastColumn="0" w:oddVBand="0" w:evenVBand="0" w:oddHBand="0" w:evenHBand="0" w:firstRowFirstColumn="0" w:firstRowLastColumn="0" w:lastRowFirstColumn="0" w:lastRowLastColumn="0"/>
              <w:rPr>
                <w:rFonts w:cs="Segoe UI"/>
                <w:b/>
                <w:bCs/>
                <w:sz w:val="20"/>
                <w:szCs w:val="14"/>
              </w:rPr>
            </w:pPr>
            <w:r w:rsidRPr="00B82353">
              <w:rPr>
                <w:rFonts w:cs="Segoe UI"/>
                <w:sz w:val="20"/>
                <w:szCs w:val="14"/>
              </w:rPr>
              <w:t xml:space="preserve">The Hub manages a </w:t>
            </w:r>
            <w:r w:rsidR="00E1581C" w:rsidRPr="00B82353">
              <w:rPr>
                <w:rFonts w:cs="Segoe UI"/>
                <w:sz w:val="20"/>
                <w:szCs w:val="14"/>
              </w:rPr>
              <w:t>cata</w:t>
            </w:r>
            <w:r w:rsidR="00E1581C">
              <w:rPr>
                <w:rFonts w:cs="Segoe UI"/>
                <w:sz w:val="20"/>
                <w:szCs w:val="14"/>
              </w:rPr>
              <w:t>logue</w:t>
            </w:r>
            <w:r w:rsidR="00E1581C" w:rsidRPr="00B82353">
              <w:rPr>
                <w:rFonts w:cs="Segoe UI"/>
                <w:sz w:val="20"/>
                <w:szCs w:val="14"/>
              </w:rPr>
              <w:t xml:space="preserve"> </w:t>
            </w:r>
            <w:r w:rsidRPr="00B82353">
              <w:rPr>
                <w:rFonts w:cs="Segoe UI"/>
                <w:sz w:val="20"/>
                <w:szCs w:val="14"/>
              </w:rPr>
              <w:t>of information published by the data owners, who are bound by a common set of data publishing schedules and standards</w:t>
            </w:r>
            <w:r w:rsidR="00E1581C">
              <w:rPr>
                <w:rFonts w:cs="Segoe UI"/>
                <w:sz w:val="20"/>
                <w:szCs w:val="14"/>
              </w:rPr>
              <w:t>.</w:t>
            </w:r>
          </w:p>
        </w:tc>
        <w:tc>
          <w:tcPr>
            <w:tcW w:w="1683" w:type="pct"/>
            <w:tcBorders>
              <w:top w:val="single" w:sz="4" w:space="0" w:color="FFFFFF" w:themeColor="background1"/>
            </w:tcBorders>
            <w:shd w:val="clear" w:color="auto" w:fill="FFFFFF" w:themeFill="background1"/>
          </w:tcPr>
          <w:p w14:paraId="7477D51B" w14:textId="77777777" w:rsidR="00744277" w:rsidRPr="00B82353" w:rsidRDefault="00744277" w:rsidP="00744277">
            <w:pPr>
              <w:cnfStyle w:val="000000000000" w:firstRow="0" w:lastRow="0" w:firstColumn="0" w:lastColumn="0" w:oddVBand="0" w:evenVBand="0" w:oddHBand="0" w:evenHBand="0" w:firstRowFirstColumn="0" w:firstRowLastColumn="0" w:lastRowFirstColumn="0" w:lastRowLastColumn="0"/>
              <w:rPr>
                <w:rFonts w:cs="Segoe UI"/>
                <w:b/>
                <w:bCs/>
                <w:sz w:val="20"/>
                <w:szCs w:val="14"/>
              </w:rPr>
            </w:pPr>
            <w:r w:rsidRPr="00B82353">
              <w:rPr>
                <w:rFonts w:cs="Segoe UI"/>
                <w:b/>
                <w:bCs/>
                <w:sz w:val="20"/>
                <w:szCs w:val="14"/>
              </w:rPr>
              <w:t>Open Data</w:t>
            </w:r>
          </w:p>
          <w:p w14:paraId="0C5FA331" w14:textId="34377302" w:rsidR="00744277" w:rsidRPr="00B82353" w:rsidRDefault="00744277" w:rsidP="00744277">
            <w:pPr>
              <w:cnfStyle w:val="000000000000" w:firstRow="0" w:lastRow="0" w:firstColumn="0" w:lastColumn="0" w:oddVBand="0" w:evenVBand="0" w:oddHBand="0" w:evenHBand="0" w:firstRowFirstColumn="0" w:firstRowLastColumn="0" w:lastRowFirstColumn="0" w:lastRowLastColumn="0"/>
              <w:rPr>
                <w:rFonts w:cs="Segoe UI"/>
                <w:sz w:val="20"/>
                <w:szCs w:val="14"/>
              </w:rPr>
            </w:pPr>
            <w:r w:rsidRPr="00B82353">
              <w:rPr>
                <w:rFonts w:cs="Segoe UI"/>
                <w:sz w:val="20"/>
                <w:szCs w:val="14"/>
              </w:rPr>
              <w:t>The Hub open data platform provides the capability to federate the search of open data sets across multiple open data platforms.</w:t>
            </w:r>
          </w:p>
        </w:tc>
      </w:tr>
    </w:tbl>
    <w:p w14:paraId="5A8C370E" w14:textId="70B991CC" w:rsidR="009D50E0" w:rsidRPr="009D50E0" w:rsidRDefault="56452230" w:rsidP="007E1C88">
      <w:pPr>
        <w:pStyle w:val="Sourcenote"/>
      </w:pPr>
      <w:r>
        <w:t>Source</w:t>
      </w:r>
      <w:r w:rsidR="4A740ED8">
        <w:t>:</w:t>
      </w:r>
      <w:r>
        <w:t xml:space="preserve"> PwC</w:t>
      </w:r>
      <w:r w:rsidR="00B62006">
        <w:t xml:space="preserve"> Market Scan of Technology Providers and Peer Jurisdictions</w:t>
      </w:r>
      <w:r>
        <w:t xml:space="preserve"> </w:t>
      </w:r>
      <w:r w:rsidR="2AFA096C">
        <w:t>(</w:t>
      </w:r>
      <w:r>
        <w:t>2020</w:t>
      </w:r>
      <w:r w:rsidR="6D2F27FD">
        <w:t>)</w:t>
      </w:r>
    </w:p>
    <w:p w14:paraId="648B2395" w14:textId="77777777" w:rsidR="006B7850" w:rsidRDefault="006B7850" w:rsidP="00460441">
      <w:pPr>
        <w:sectPr w:rsidR="006B7850" w:rsidSect="00B82353">
          <w:pgSz w:w="16838" w:h="11906" w:orient="landscape"/>
          <w:pgMar w:top="1440" w:right="2268" w:bottom="992" w:left="1276" w:header="0" w:footer="397" w:gutter="0"/>
          <w:cols w:space="708"/>
          <w:docGrid w:linePitch="360"/>
        </w:sectPr>
      </w:pPr>
    </w:p>
    <w:p w14:paraId="25AC4FBA" w14:textId="7A0A1B09" w:rsidR="00D84DEC" w:rsidRDefault="00F92D38" w:rsidP="00D84DEC">
      <w:pPr>
        <w:pStyle w:val="Heading3"/>
      </w:pPr>
      <w:bookmarkStart w:id="35" w:name="_Toc48924113"/>
      <w:bookmarkStart w:id="36" w:name="_Toc47100002"/>
      <w:r>
        <w:lastRenderedPageBreak/>
        <w:t xml:space="preserve">Element Three: </w:t>
      </w:r>
      <w:r w:rsidR="00D84DEC">
        <w:t>Governance</w:t>
      </w:r>
      <w:bookmarkEnd w:id="35"/>
    </w:p>
    <w:p w14:paraId="26400C95" w14:textId="524D24BE" w:rsidR="00104BEB" w:rsidRPr="009013EF" w:rsidRDefault="5BB95189" w:rsidP="002005E5">
      <w:r>
        <w:t xml:space="preserve">The </w:t>
      </w:r>
      <w:r w:rsidR="1041D590">
        <w:t xml:space="preserve">Hub governance model will </w:t>
      </w:r>
      <w:r w:rsidR="37CD81EE">
        <w:t xml:space="preserve">play a key role </w:t>
      </w:r>
      <w:r w:rsidR="1041D590">
        <w:t>support</w:t>
      </w:r>
      <w:r w:rsidR="4B6185E4">
        <w:t>ing</w:t>
      </w:r>
      <w:r w:rsidR="1041D590">
        <w:t xml:space="preserve"> data collection, exchange and storage</w:t>
      </w:r>
      <w:r w:rsidR="41255D6C">
        <w:t xml:space="preserve">, managing interfaces and relationships across data users and suppliers, and </w:t>
      </w:r>
      <w:r w:rsidR="602CF04A">
        <w:t>providing leadership and innovation in the role of freight data in the sector</w:t>
      </w:r>
      <w:r w:rsidR="1041D590">
        <w:t>.</w:t>
      </w:r>
    </w:p>
    <w:p w14:paraId="5A41C2F7" w14:textId="33BDD31D" w:rsidR="002F074C" w:rsidRDefault="73972B3A" w:rsidP="00F20F29">
      <w:r>
        <w:t xml:space="preserve">Potential </w:t>
      </w:r>
      <w:r w:rsidR="000D068A">
        <w:t xml:space="preserve">governance </w:t>
      </w:r>
      <w:r w:rsidR="5BB95189">
        <w:t xml:space="preserve">options </w:t>
      </w:r>
      <w:r w:rsidR="361A135C">
        <w:t>are explained</w:t>
      </w:r>
      <w:r w:rsidR="5BB95189">
        <w:t xml:space="preserve"> in</w:t>
      </w:r>
      <w:r w:rsidR="00E450A9">
        <w:t xml:space="preserve"> </w:t>
      </w:r>
      <w:r w:rsidR="004C7C4C" w:rsidRPr="00DE4547">
        <w:rPr>
          <w:rFonts w:ascii="Segoe UI Semibold" w:hAnsi="Segoe UI Semibold"/>
          <w:color w:val="002D72"/>
          <w:sz w:val="20"/>
        </w:rPr>
        <w:fldChar w:fldCharType="begin"/>
      </w:r>
      <w:r w:rsidR="004C7C4C" w:rsidRPr="00DE4547">
        <w:rPr>
          <w:rFonts w:ascii="Segoe UI Semibold" w:hAnsi="Segoe UI Semibold"/>
          <w:color w:val="002D72"/>
          <w:sz w:val="20"/>
        </w:rPr>
        <w:instrText xml:space="preserve"> REF _Ref48746174 \h </w:instrText>
      </w:r>
      <w:r w:rsidR="004C7C4C">
        <w:rPr>
          <w:rFonts w:ascii="Segoe UI Semibold" w:hAnsi="Segoe UI Semibold"/>
          <w:color w:val="002D72"/>
          <w:sz w:val="20"/>
        </w:rPr>
        <w:instrText xml:space="preserve"> \* MERGEFORMAT </w:instrText>
      </w:r>
      <w:r w:rsidR="004C7C4C" w:rsidRPr="00DE4547">
        <w:rPr>
          <w:rFonts w:ascii="Segoe UI Semibold" w:hAnsi="Segoe UI Semibold"/>
          <w:color w:val="002D72"/>
          <w:sz w:val="20"/>
        </w:rPr>
      </w:r>
      <w:r w:rsidR="004C7C4C" w:rsidRPr="00DE4547">
        <w:rPr>
          <w:rFonts w:ascii="Segoe UI Semibold" w:hAnsi="Segoe UI Semibold"/>
          <w:color w:val="002D72"/>
          <w:sz w:val="20"/>
        </w:rPr>
        <w:fldChar w:fldCharType="separate"/>
      </w:r>
      <w:r w:rsidR="0004183F" w:rsidRPr="00DE4547">
        <w:rPr>
          <w:rFonts w:ascii="Segoe UI Semibold" w:hAnsi="Segoe UI Semibold"/>
          <w:color w:val="002D72"/>
          <w:sz w:val="20"/>
        </w:rPr>
        <w:t xml:space="preserve">Figure </w:t>
      </w:r>
      <w:r w:rsidR="0004183F" w:rsidRPr="0004183F">
        <w:rPr>
          <w:rFonts w:ascii="Segoe UI Semibold" w:hAnsi="Segoe UI Semibold"/>
          <w:color w:val="002D72"/>
          <w:sz w:val="20"/>
        </w:rPr>
        <w:t>9</w:t>
      </w:r>
      <w:r w:rsidR="004C7C4C" w:rsidRPr="00DE4547">
        <w:rPr>
          <w:rFonts w:ascii="Segoe UI Semibold" w:hAnsi="Segoe UI Semibold"/>
          <w:color w:val="002D72"/>
          <w:sz w:val="20"/>
        </w:rPr>
        <w:fldChar w:fldCharType="end"/>
      </w:r>
      <w:r w:rsidR="00E450A9">
        <w:fldChar w:fldCharType="begin"/>
      </w:r>
      <w:r w:rsidR="00E450A9">
        <w:instrText xml:space="preserve"> REF _Ref48310671 \h </w:instrText>
      </w:r>
      <w:r w:rsidR="00E450A9">
        <w:fldChar w:fldCharType="end"/>
      </w:r>
      <w:r w:rsidR="361A135C">
        <w:t>. These options</w:t>
      </w:r>
      <w:r w:rsidR="5BB95189">
        <w:t xml:space="preserve"> draw on the </w:t>
      </w:r>
      <w:r w:rsidR="00BA0183">
        <w:t>Australia</w:t>
      </w:r>
      <w:r w:rsidR="0012471B">
        <w:t>n</w:t>
      </w:r>
      <w:r w:rsidR="00BA0183">
        <w:t xml:space="preserve"> </w:t>
      </w:r>
      <w:r w:rsidR="5BB95189">
        <w:t xml:space="preserve">Government </w:t>
      </w:r>
      <w:r w:rsidR="5BB95189" w:rsidRPr="7342E18F">
        <w:rPr>
          <w:i/>
          <w:iCs/>
        </w:rPr>
        <w:t>Governance Structures Policy</w:t>
      </w:r>
      <w:r w:rsidR="5BB95189">
        <w:t xml:space="preserve">, </w:t>
      </w:r>
      <w:r w:rsidR="00586B42">
        <w:t>and</w:t>
      </w:r>
      <w:r w:rsidR="5BB95189">
        <w:t xml:space="preserve"> incorporate an additional option relating to the potential for industry or an independent party to play a lead role governing the Hub.</w:t>
      </w:r>
    </w:p>
    <w:p w14:paraId="3B3AE7EE" w14:textId="2988DF9B" w:rsidR="000D068A" w:rsidRDefault="00F63218" w:rsidP="00F20F29">
      <w:r>
        <w:t xml:space="preserve">The governance model could evolve over time from an initial </w:t>
      </w:r>
      <w:r w:rsidR="00431AB0">
        <w:t>arrangement</w:t>
      </w:r>
      <w:r>
        <w:t xml:space="preserve">, to one that offers </w:t>
      </w:r>
      <w:r w:rsidR="005E75ED">
        <w:t xml:space="preserve">increased </w:t>
      </w:r>
      <w:r>
        <w:t xml:space="preserve">longevity and </w:t>
      </w:r>
      <w:r w:rsidR="00F036F6">
        <w:t xml:space="preserve">commercial </w:t>
      </w:r>
      <w:r w:rsidR="003B42B4">
        <w:t>potential</w:t>
      </w:r>
      <w:r w:rsidR="00F036F6">
        <w:t>.</w:t>
      </w:r>
    </w:p>
    <w:p w14:paraId="0CEA9623" w14:textId="3ADD617F" w:rsidR="004C7C4C" w:rsidRPr="00DE4547" w:rsidRDefault="004C7C4C" w:rsidP="00DE4547">
      <w:pPr>
        <w:pStyle w:val="Caption"/>
        <w:rPr>
          <w:rFonts w:ascii="Segoe UI Semibold" w:eastAsiaTheme="minorHAnsi" w:hAnsi="Segoe UI Semibold" w:cstheme="minorBidi"/>
          <w:bCs w:val="0"/>
          <w:snapToGrid/>
          <w:color w:val="002D72"/>
          <w:sz w:val="20"/>
          <w:szCs w:val="22"/>
        </w:rPr>
      </w:pPr>
      <w:bookmarkStart w:id="37" w:name="_Ref48746174"/>
      <w:bookmarkStart w:id="38" w:name="_Toc49156981"/>
      <w:r w:rsidRPr="00DE4547">
        <w:rPr>
          <w:rFonts w:ascii="Segoe UI Semibold" w:eastAsiaTheme="minorHAnsi" w:hAnsi="Segoe UI Semibold" w:cstheme="minorBidi"/>
          <w:bCs w:val="0"/>
          <w:snapToGrid/>
          <w:color w:val="002D72"/>
          <w:sz w:val="20"/>
          <w:szCs w:val="22"/>
        </w:rPr>
        <w:t xml:space="preserve">Figure </w:t>
      </w:r>
      <w:r w:rsidRPr="00DE4547">
        <w:rPr>
          <w:rFonts w:ascii="Segoe UI Semibold" w:eastAsiaTheme="minorHAnsi" w:hAnsi="Segoe UI Semibold" w:cstheme="minorBidi"/>
          <w:bCs w:val="0"/>
          <w:snapToGrid/>
          <w:color w:val="002D72"/>
          <w:sz w:val="20"/>
          <w:szCs w:val="22"/>
        </w:rPr>
        <w:fldChar w:fldCharType="begin"/>
      </w:r>
      <w:r w:rsidRPr="00DE4547">
        <w:rPr>
          <w:rFonts w:ascii="Segoe UI Semibold" w:eastAsiaTheme="minorHAnsi" w:hAnsi="Segoe UI Semibold" w:cstheme="minorBidi"/>
          <w:bCs w:val="0"/>
          <w:snapToGrid/>
          <w:color w:val="002D72"/>
          <w:sz w:val="20"/>
          <w:szCs w:val="22"/>
        </w:rPr>
        <w:instrText xml:space="preserve"> SEQ Figure \* ARABIC </w:instrText>
      </w:r>
      <w:r w:rsidRPr="00DE4547">
        <w:rPr>
          <w:rFonts w:ascii="Segoe UI Semibold" w:eastAsiaTheme="minorHAnsi" w:hAnsi="Segoe UI Semibold" w:cstheme="minorBidi"/>
          <w:bCs w:val="0"/>
          <w:snapToGrid/>
          <w:color w:val="002D72"/>
          <w:sz w:val="20"/>
          <w:szCs w:val="22"/>
        </w:rPr>
        <w:fldChar w:fldCharType="separate"/>
      </w:r>
      <w:r w:rsidR="00F62613">
        <w:rPr>
          <w:rFonts w:ascii="Segoe UI Semibold" w:eastAsiaTheme="minorHAnsi" w:hAnsi="Segoe UI Semibold" w:cstheme="minorBidi"/>
          <w:bCs w:val="0"/>
          <w:noProof/>
          <w:snapToGrid/>
          <w:color w:val="002D72"/>
          <w:sz w:val="20"/>
          <w:szCs w:val="22"/>
        </w:rPr>
        <w:t>9</w:t>
      </w:r>
      <w:r w:rsidRPr="00DE4547">
        <w:rPr>
          <w:rFonts w:ascii="Segoe UI Semibold" w:eastAsiaTheme="minorHAnsi" w:hAnsi="Segoe UI Semibold" w:cstheme="minorBidi"/>
          <w:bCs w:val="0"/>
          <w:snapToGrid/>
          <w:color w:val="002D72"/>
          <w:sz w:val="20"/>
          <w:szCs w:val="22"/>
        </w:rPr>
        <w:fldChar w:fldCharType="end"/>
      </w:r>
      <w:bookmarkEnd w:id="37"/>
      <w:r w:rsidRPr="00DE4547">
        <w:rPr>
          <w:rFonts w:ascii="Segoe UI Semibold" w:eastAsiaTheme="minorHAnsi" w:hAnsi="Segoe UI Semibold" w:cstheme="minorBidi"/>
          <w:bCs w:val="0"/>
          <w:snapToGrid/>
          <w:color w:val="002D72"/>
          <w:sz w:val="20"/>
          <w:szCs w:val="22"/>
        </w:rPr>
        <w:t xml:space="preserve"> Governance options</w:t>
      </w:r>
      <w:bookmarkEnd w:id="38"/>
    </w:p>
    <w:p w14:paraId="330CB93F" w14:textId="594620BF" w:rsidR="002F074C" w:rsidRDefault="008D5097" w:rsidP="00F20F29">
      <w:r>
        <w:rPr>
          <w:noProof/>
          <w:lang w:eastAsia="en-AU"/>
        </w:rPr>
        <w:drawing>
          <wp:inline distT="0" distB="0" distL="0" distR="0" wp14:anchorId="3268CB45" wp14:editId="6FB9DDA8">
            <wp:extent cx="5730058" cy="2752725"/>
            <wp:effectExtent l="0" t="0" r="4445" b="0"/>
            <wp:docPr id="92478656" name="Picture 92478656" descr="This figure shows potential governance structures of government, shared and industry/independent. It also provides some example organisations. " title="Figure 9 Governanc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8190" cy="2756631"/>
                    </a:xfrm>
                    <a:prstGeom prst="rect">
                      <a:avLst/>
                    </a:prstGeom>
                    <a:noFill/>
                  </pic:spPr>
                </pic:pic>
              </a:graphicData>
            </a:graphic>
          </wp:inline>
        </w:drawing>
      </w:r>
    </w:p>
    <w:p w14:paraId="6C3246C3" w14:textId="4D150C2E" w:rsidR="0042441D" w:rsidRDefault="20B09AB6" w:rsidP="00600805">
      <w:pPr>
        <w:pStyle w:val="Sourcenote"/>
        <w:rPr>
          <w:i/>
          <w:iCs/>
        </w:rPr>
      </w:pPr>
      <w:r>
        <w:t xml:space="preserve">Source: </w:t>
      </w:r>
      <w:r w:rsidR="005B7EED">
        <w:t>DITRDC</w:t>
      </w:r>
      <w:r w:rsidR="28F502B1">
        <w:t xml:space="preserve"> based on </w:t>
      </w:r>
      <w:r w:rsidR="108E62C5">
        <w:t xml:space="preserve">Commonwealth Government </w:t>
      </w:r>
      <w:r w:rsidR="108E62C5" w:rsidRPr="7342E18F">
        <w:rPr>
          <w:i/>
          <w:iCs/>
        </w:rPr>
        <w:t>Governance Structures Policy</w:t>
      </w:r>
    </w:p>
    <w:p w14:paraId="3B811CF3" w14:textId="77777777" w:rsidR="00B807B1" w:rsidRDefault="00B807B1" w:rsidP="00600805">
      <w:pPr>
        <w:pStyle w:val="Sourcenote"/>
      </w:pPr>
    </w:p>
    <w:p w14:paraId="17CC542A" w14:textId="774E2A47" w:rsidR="00502F73" w:rsidRDefault="00502F73" w:rsidP="00495512">
      <w:pPr>
        <w:pStyle w:val="Heading3notshowing"/>
        <w:shd w:val="clear" w:color="auto" w:fill="E7E6E6" w:themeFill="background2"/>
      </w:pPr>
      <w:r>
        <w:t>Questions for discussion</w:t>
      </w:r>
      <w:r w:rsidR="006B0BA3">
        <w:t xml:space="preserve"> – Governance</w:t>
      </w:r>
    </w:p>
    <w:p w14:paraId="11C93161" w14:textId="4742E8F3" w:rsidR="00641BE3" w:rsidRDefault="005B7EED" w:rsidP="00BC5E29">
      <w:pPr>
        <w:pStyle w:val="Listparagraphbullets"/>
        <w:numPr>
          <w:ilvl w:val="0"/>
          <w:numId w:val="11"/>
        </w:numPr>
        <w:shd w:val="clear" w:color="auto" w:fill="E7E6E6" w:themeFill="background2"/>
      </w:pPr>
      <w:bookmarkStart w:id="39" w:name="_Toc47100004"/>
      <w:bookmarkEnd w:id="36"/>
      <w:r>
        <w:t>W</w:t>
      </w:r>
      <w:r w:rsidR="108E62C5">
        <w:t xml:space="preserve">hich governance structure </w:t>
      </w:r>
      <w:r w:rsidR="00991E5C">
        <w:t>could</w:t>
      </w:r>
      <w:r>
        <w:t xml:space="preserve"> enable the Hub </w:t>
      </w:r>
      <w:r w:rsidR="00641BE3">
        <w:t>to be established quickly and generat</w:t>
      </w:r>
      <w:r w:rsidR="005E76BF">
        <w:t>e</w:t>
      </w:r>
      <w:r w:rsidR="00641BE3">
        <w:t xml:space="preserve"> quick wins</w:t>
      </w:r>
      <w:r w:rsidR="008C2839">
        <w:t>, and should it change over time</w:t>
      </w:r>
      <w:r w:rsidR="00641BE3">
        <w:t xml:space="preserve">? </w:t>
      </w:r>
    </w:p>
    <w:p w14:paraId="313108DE" w14:textId="77777777" w:rsidR="008C2839" w:rsidRDefault="00641BE3" w:rsidP="00BC5E29">
      <w:pPr>
        <w:pStyle w:val="Listparagraphbullets"/>
        <w:numPr>
          <w:ilvl w:val="0"/>
          <w:numId w:val="11"/>
        </w:numPr>
        <w:shd w:val="clear" w:color="auto" w:fill="E7E6E6" w:themeFill="background2"/>
      </w:pPr>
      <w:r>
        <w:t xml:space="preserve">Which governance structure is most likely to facilitate the greatest </w:t>
      </w:r>
      <w:r w:rsidR="108E62C5">
        <w:t>use and participation?</w:t>
      </w:r>
    </w:p>
    <w:p w14:paraId="5AB7618C" w14:textId="3CE4D0F5" w:rsidR="00E94FCC" w:rsidRPr="006F3341" w:rsidRDefault="00E94FCC" w:rsidP="00BC5E29">
      <w:pPr>
        <w:pStyle w:val="Listparagraphbullets"/>
        <w:numPr>
          <w:ilvl w:val="0"/>
          <w:numId w:val="11"/>
        </w:numPr>
        <w:shd w:val="clear" w:color="auto" w:fill="E7E6E6" w:themeFill="background2"/>
      </w:pPr>
      <w:r>
        <w:br w:type="page"/>
      </w:r>
    </w:p>
    <w:p w14:paraId="0F516198" w14:textId="75A51F86" w:rsidR="00502F73" w:rsidRDefault="7CAAAB77" w:rsidP="00F20F29">
      <w:pPr>
        <w:pStyle w:val="Heading3"/>
      </w:pPr>
      <w:bookmarkStart w:id="40" w:name="_Toc48924114"/>
      <w:r>
        <w:lastRenderedPageBreak/>
        <w:t xml:space="preserve">Element Four: </w:t>
      </w:r>
      <w:r w:rsidR="5BB95189">
        <w:t>Funding</w:t>
      </w:r>
      <w:bookmarkEnd w:id="39"/>
      <w:bookmarkEnd w:id="40"/>
    </w:p>
    <w:p w14:paraId="1F328A4A" w14:textId="69BDA0B9" w:rsidR="0042441D" w:rsidRDefault="6243BE77" w:rsidP="7342E18F">
      <w:r>
        <w:t>F</w:t>
      </w:r>
      <w:r w:rsidR="6E505E68">
        <w:t xml:space="preserve">unding </w:t>
      </w:r>
      <w:r w:rsidR="00CDF3DD">
        <w:t xml:space="preserve">options for </w:t>
      </w:r>
      <w:r w:rsidR="6E505E68">
        <w:t xml:space="preserve">the Hub will </w:t>
      </w:r>
      <w:r w:rsidR="31BE627A">
        <w:t xml:space="preserve">be closely linked to </w:t>
      </w:r>
      <w:r w:rsidR="6E505E68">
        <w:t xml:space="preserve">the </w:t>
      </w:r>
      <w:r w:rsidR="005E75ED">
        <w:t xml:space="preserve">governance, </w:t>
      </w:r>
      <w:r w:rsidR="6E505E68">
        <w:t>data</w:t>
      </w:r>
      <w:r w:rsidR="005E75ED">
        <w:t xml:space="preserve"> and </w:t>
      </w:r>
      <w:r w:rsidR="6E505E68">
        <w:t>technology</w:t>
      </w:r>
      <w:r w:rsidR="005E75ED">
        <w:t xml:space="preserve"> requirements</w:t>
      </w:r>
      <w:r w:rsidR="6E505E68">
        <w:t xml:space="preserve">. </w:t>
      </w:r>
      <w:r w:rsidR="00681BAF" w:rsidRPr="00DE4547">
        <w:t>The potential to move to a more commercialised funding model is anticipated to be closely linked to the value generated for users</w:t>
      </w:r>
      <w:r w:rsidR="00681BAF">
        <w:t xml:space="preserve"> through innovation and </w:t>
      </w:r>
      <w:r w:rsidR="00F03A68">
        <w:t>data-</w:t>
      </w:r>
      <w:r w:rsidR="00991E5C">
        <w:t xml:space="preserve">driven </w:t>
      </w:r>
      <w:r w:rsidR="00681BAF">
        <w:t>insight</w:t>
      </w:r>
      <w:r w:rsidR="00991E5C">
        <w:t>s</w:t>
      </w:r>
      <w:r w:rsidR="00681BAF" w:rsidRPr="00DE4547">
        <w:t>.</w:t>
      </w:r>
      <w:r w:rsidR="00681BAF">
        <w:t xml:space="preserve"> </w:t>
      </w:r>
      <w:r w:rsidR="00322706">
        <w:t>Partial</w:t>
      </w:r>
      <w:r w:rsidR="00F03A68">
        <w:t xml:space="preserve"> or full commercialis</w:t>
      </w:r>
      <w:r w:rsidR="00322706">
        <w:t xml:space="preserve">ation </w:t>
      </w:r>
      <w:r w:rsidR="009A602D">
        <w:t xml:space="preserve">either initially or </w:t>
      </w:r>
      <w:r w:rsidR="00001089">
        <w:t xml:space="preserve">over time, </w:t>
      </w:r>
      <w:r w:rsidR="00322706">
        <w:t>c</w:t>
      </w:r>
      <w:r w:rsidR="00F03A68">
        <w:t xml:space="preserve">ould </w:t>
      </w:r>
      <w:r w:rsidR="00322706">
        <w:t>provide higher certainty of the</w:t>
      </w:r>
      <w:r w:rsidR="00F03A68">
        <w:t xml:space="preserve"> Hub</w:t>
      </w:r>
      <w:r w:rsidR="00322706">
        <w:t>’s ongoing operation</w:t>
      </w:r>
      <w:r w:rsidR="00F03A68">
        <w:t xml:space="preserve">. </w:t>
      </w:r>
    </w:p>
    <w:p w14:paraId="44F0F00C" w14:textId="5A9E2786" w:rsidR="0037668E" w:rsidRDefault="00BA52BA" w:rsidP="0012471B">
      <w:r>
        <w:fldChar w:fldCharType="begin"/>
      </w:r>
      <w:r>
        <w:instrText xml:space="preserve"> REF _Ref48746254 \h </w:instrText>
      </w:r>
      <w:r>
        <w:fldChar w:fldCharType="separate"/>
      </w:r>
      <w:r w:rsidR="00F62613" w:rsidRPr="00DE4547">
        <w:rPr>
          <w:rFonts w:ascii="Segoe UI Semibold" w:hAnsi="Segoe UI Semibold"/>
          <w:color w:val="002D72"/>
          <w:sz w:val="20"/>
        </w:rPr>
        <w:t xml:space="preserve">Figure </w:t>
      </w:r>
      <w:r w:rsidR="00F62613">
        <w:rPr>
          <w:rFonts w:ascii="Segoe UI Semibold" w:hAnsi="Segoe UI Semibold"/>
          <w:bCs/>
          <w:noProof/>
          <w:color w:val="002D72"/>
          <w:sz w:val="20"/>
        </w:rPr>
        <w:t>10</w:t>
      </w:r>
      <w:r>
        <w:fldChar w:fldCharType="end"/>
      </w:r>
      <w:r>
        <w:t xml:space="preserve"> </w:t>
      </w:r>
      <w:r w:rsidR="00600805">
        <w:t xml:space="preserve">outlines the three </w:t>
      </w:r>
      <w:r w:rsidR="007A0C83">
        <w:t xml:space="preserve">main </w:t>
      </w:r>
      <w:r w:rsidR="00600805">
        <w:t xml:space="preserve">potential </w:t>
      </w:r>
      <w:r w:rsidR="00600805" w:rsidRPr="00A52C8F">
        <w:t xml:space="preserve">funding options </w:t>
      </w:r>
      <w:r w:rsidR="00600805">
        <w:t>for the Hub.</w:t>
      </w:r>
    </w:p>
    <w:p w14:paraId="77BA18F3" w14:textId="5D221477" w:rsidR="00BA52BA" w:rsidRPr="00DE4547" w:rsidRDefault="00BA52BA" w:rsidP="00DE4547">
      <w:pPr>
        <w:pStyle w:val="Caption"/>
        <w:rPr>
          <w:rFonts w:ascii="Segoe UI Semibold" w:eastAsiaTheme="minorHAnsi" w:hAnsi="Segoe UI Semibold" w:cstheme="minorBidi"/>
          <w:bCs w:val="0"/>
          <w:snapToGrid/>
          <w:color w:val="002D72"/>
          <w:sz w:val="20"/>
          <w:szCs w:val="22"/>
        </w:rPr>
      </w:pPr>
      <w:bookmarkStart w:id="41" w:name="_Ref48746254"/>
      <w:bookmarkStart w:id="42" w:name="_Toc49156982"/>
      <w:r w:rsidRPr="00DE4547">
        <w:rPr>
          <w:rFonts w:ascii="Segoe UI Semibold" w:eastAsiaTheme="minorHAnsi" w:hAnsi="Segoe UI Semibold" w:cstheme="minorBidi"/>
          <w:bCs w:val="0"/>
          <w:snapToGrid/>
          <w:color w:val="002D72"/>
          <w:sz w:val="20"/>
          <w:szCs w:val="22"/>
        </w:rPr>
        <w:t xml:space="preserve">Figure </w:t>
      </w:r>
      <w:r w:rsidRPr="00DE4547">
        <w:rPr>
          <w:rFonts w:ascii="Segoe UI Semibold" w:eastAsiaTheme="minorHAnsi" w:hAnsi="Segoe UI Semibold" w:cstheme="minorBidi"/>
          <w:bCs w:val="0"/>
          <w:snapToGrid/>
          <w:color w:val="002D72"/>
          <w:sz w:val="20"/>
          <w:szCs w:val="22"/>
        </w:rPr>
        <w:fldChar w:fldCharType="begin"/>
      </w:r>
      <w:r w:rsidRPr="00DE4547">
        <w:rPr>
          <w:rFonts w:ascii="Segoe UI Semibold" w:eastAsiaTheme="minorHAnsi" w:hAnsi="Segoe UI Semibold" w:cstheme="minorBidi"/>
          <w:bCs w:val="0"/>
          <w:snapToGrid/>
          <w:color w:val="002D72"/>
          <w:sz w:val="20"/>
          <w:szCs w:val="22"/>
        </w:rPr>
        <w:instrText xml:space="preserve"> SEQ Figure \* ARABIC </w:instrText>
      </w:r>
      <w:r w:rsidRPr="00DE4547">
        <w:rPr>
          <w:rFonts w:ascii="Segoe UI Semibold" w:eastAsiaTheme="minorHAnsi" w:hAnsi="Segoe UI Semibold" w:cstheme="minorBidi"/>
          <w:bCs w:val="0"/>
          <w:snapToGrid/>
          <w:color w:val="002D72"/>
          <w:sz w:val="20"/>
          <w:szCs w:val="22"/>
        </w:rPr>
        <w:fldChar w:fldCharType="separate"/>
      </w:r>
      <w:r w:rsidR="00F62613">
        <w:rPr>
          <w:rFonts w:ascii="Segoe UI Semibold" w:eastAsiaTheme="minorHAnsi" w:hAnsi="Segoe UI Semibold" w:cstheme="minorBidi"/>
          <w:bCs w:val="0"/>
          <w:noProof/>
          <w:snapToGrid/>
          <w:color w:val="002D72"/>
          <w:sz w:val="20"/>
          <w:szCs w:val="22"/>
        </w:rPr>
        <w:t>10</w:t>
      </w:r>
      <w:r w:rsidRPr="00DE4547">
        <w:rPr>
          <w:rFonts w:ascii="Segoe UI Semibold" w:eastAsiaTheme="minorHAnsi" w:hAnsi="Segoe UI Semibold" w:cstheme="minorBidi"/>
          <w:bCs w:val="0"/>
          <w:snapToGrid/>
          <w:color w:val="002D72"/>
          <w:sz w:val="20"/>
          <w:szCs w:val="22"/>
        </w:rPr>
        <w:fldChar w:fldCharType="end"/>
      </w:r>
      <w:bookmarkEnd w:id="41"/>
      <w:r w:rsidRPr="00DE4547">
        <w:rPr>
          <w:rFonts w:ascii="Segoe UI Semibold" w:eastAsiaTheme="minorHAnsi" w:hAnsi="Segoe UI Semibold" w:cstheme="minorBidi"/>
          <w:bCs w:val="0"/>
          <w:snapToGrid/>
          <w:color w:val="002D72"/>
          <w:sz w:val="20"/>
          <w:szCs w:val="22"/>
        </w:rPr>
        <w:t xml:space="preserve"> Funding option</w:t>
      </w:r>
      <w:r w:rsidR="005E75ED">
        <w:rPr>
          <w:rFonts w:ascii="Segoe UI Semibold" w:eastAsiaTheme="minorHAnsi" w:hAnsi="Segoe UI Semibold" w:cstheme="minorBidi"/>
          <w:bCs w:val="0"/>
          <w:snapToGrid/>
          <w:color w:val="002D72"/>
          <w:sz w:val="20"/>
          <w:szCs w:val="22"/>
        </w:rPr>
        <w:t>s</w:t>
      </w:r>
      <w:bookmarkEnd w:id="42"/>
    </w:p>
    <w:p w14:paraId="5916EC7C" w14:textId="0E8BB20B" w:rsidR="0037668E" w:rsidRDefault="00681BAF" w:rsidP="0037668E">
      <w:pPr>
        <w:pStyle w:val="Tablefigureheading"/>
        <w:numPr>
          <w:ilvl w:val="8"/>
          <w:numId w:val="0"/>
        </w:numPr>
      </w:pPr>
      <w:r>
        <w:rPr>
          <w:noProof/>
          <w:lang w:eastAsia="en-AU"/>
        </w:rPr>
        <w:drawing>
          <wp:inline distT="0" distB="0" distL="0" distR="0" wp14:anchorId="06BFF1CC" wp14:editId="4E5C63C8">
            <wp:extent cx="5561688" cy="2785110"/>
            <wp:effectExtent l="0" t="0" r="1270" b="0"/>
            <wp:docPr id="20" name="Picture 20" descr="This figure outlines funding options of 100% funded by government, some percentage of user pays, or 100% funded by users. " title="Figure 10 Fund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8626" cy="2793592"/>
                    </a:xfrm>
                    <a:prstGeom prst="rect">
                      <a:avLst/>
                    </a:prstGeom>
                    <a:noFill/>
                  </pic:spPr>
                </pic:pic>
              </a:graphicData>
            </a:graphic>
          </wp:inline>
        </w:drawing>
      </w:r>
    </w:p>
    <w:p w14:paraId="4D31629D" w14:textId="4091C154" w:rsidR="00502F73" w:rsidRPr="00C1602B" w:rsidRDefault="00502F73" w:rsidP="00BB1294">
      <w:pPr>
        <w:pStyle w:val="Sourcenote"/>
      </w:pPr>
      <w:r>
        <w:t xml:space="preserve">Source: </w:t>
      </w:r>
      <w:r w:rsidR="00522A0A">
        <w:t xml:space="preserve">PwC drawing on </w:t>
      </w:r>
      <w:r w:rsidR="00681BAF">
        <w:t xml:space="preserve">Department of Finance </w:t>
      </w:r>
      <w:r w:rsidR="00522A0A">
        <w:t xml:space="preserve">Australian Government </w:t>
      </w:r>
      <w:r w:rsidR="00681BAF">
        <w:t>Cost Recovery Guidelines</w:t>
      </w:r>
      <w:r w:rsidR="00522A0A">
        <w:t xml:space="preserve"> (2014)</w:t>
      </w:r>
      <w:r w:rsidR="00681BAF">
        <w:t xml:space="preserve"> </w:t>
      </w:r>
    </w:p>
    <w:p w14:paraId="55D193CA" w14:textId="297D7523" w:rsidR="00600805" w:rsidRDefault="00600805" w:rsidP="00600805">
      <w:pPr>
        <w:pStyle w:val="Sourcenote"/>
        <w:spacing w:after="0"/>
      </w:pPr>
    </w:p>
    <w:p w14:paraId="4D03877F" w14:textId="3D8FBAB9" w:rsidR="005E75ED" w:rsidRDefault="005E75ED" w:rsidP="00600805">
      <w:pPr>
        <w:pStyle w:val="Sourcenote"/>
        <w:spacing w:after="0"/>
      </w:pPr>
    </w:p>
    <w:p w14:paraId="4DFB318F" w14:textId="77777777" w:rsidR="005E75ED" w:rsidRDefault="005E75ED" w:rsidP="00600805">
      <w:pPr>
        <w:pStyle w:val="Sourcenote"/>
        <w:spacing w:after="0"/>
      </w:pPr>
    </w:p>
    <w:p w14:paraId="7AA11193" w14:textId="65010F45" w:rsidR="00502F73" w:rsidRDefault="00502F73" w:rsidP="00495512">
      <w:pPr>
        <w:pStyle w:val="Heading3notshowing"/>
        <w:shd w:val="clear" w:color="auto" w:fill="E7E6E6" w:themeFill="background2"/>
      </w:pPr>
      <w:r>
        <w:t>Questions for discussion</w:t>
      </w:r>
      <w:r w:rsidR="00BC5E29">
        <w:t xml:space="preserve"> – Funding</w:t>
      </w:r>
    </w:p>
    <w:p w14:paraId="34C866D2" w14:textId="77777777" w:rsidR="00EC657F" w:rsidRDefault="00EC657F" w:rsidP="00EC657F">
      <w:pPr>
        <w:pStyle w:val="Listparagraphbullets"/>
        <w:numPr>
          <w:ilvl w:val="0"/>
          <w:numId w:val="11"/>
        </w:numPr>
        <w:shd w:val="clear" w:color="auto" w:fill="E7E6E6" w:themeFill="background2"/>
        <w:suppressAutoHyphens/>
      </w:pPr>
      <w:r>
        <w:t>What funding arrangements could ensure users gain the value they are seeking from the Hub?</w:t>
      </w:r>
    </w:p>
    <w:p w14:paraId="470A8F03" w14:textId="2ACBC76E" w:rsidR="001F242C" w:rsidRPr="00B82353" w:rsidRDefault="0061508E" w:rsidP="00B82353">
      <w:pPr>
        <w:pStyle w:val="Listparagraphbullets"/>
        <w:numPr>
          <w:ilvl w:val="0"/>
          <w:numId w:val="11"/>
        </w:numPr>
        <w:shd w:val="clear" w:color="auto" w:fill="E7E6E6" w:themeFill="background2"/>
      </w:pPr>
      <w:r>
        <w:t>What services could the Hub provide that could be paid for by users?</w:t>
      </w:r>
      <w:r w:rsidR="001F242C">
        <w:br w:type="page"/>
      </w:r>
    </w:p>
    <w:p w14:paraId="73D55378" w14:textId="1266767B" w:rsidR="008609CD" w:rsidRDefault="00F92D38" w:rsidP="00F20F29">
      <w:pPr>
        <w:pStyle w:val="Heading3"/>
      </w:pPr>
      <w:bookmarkStart w:id="43" w:name="_Toc48924115"/>
      <w:r>
        <w:lastRenderedPageBreak/>
        <w:t xml:space="preserve">Element Five: </w:t>
      </w:r>
      <w:r w:rsidR="008609CD">
        <w:t>Regulation</w:t>
      </w:r>
      <w:bookmarkEnd w:id="43"/>
    </w:p>
    <w:p w14:paraId="59F00F8A" w14:textId="4D2E9157" w:rsidR="008609CD" w:rsidRPr="0042441D" w:rsidRDefault="008609CD" w:rsidP="00883DB6">
      <w:pPr>
        <w:pStyle w:val="Listparagraphbullets"/>
        <w:numPr>
          <w:ilvl w:val="0"/>
          <w:numId w:val="0"/>
        </w:numPr>
      </w:pPr>
      <w:r w:rsidRPr="00232125">
        <w:t xml:space="preserve">The Australian Government </w:t>
      </w:r>
      <w:r w:rsidRPr="0042441D">
        <w:t>2014 Guide to Regulation</w:t>
      </w:r>
      <w:r w:rsidRPr="00232125">
        <w:t xml:space="preserve"> </w:t>
      </w:r>
      <w:r w:rsidR="0042441D">
        <w:t>states</w:t>
      </w:r>
      <w:r w:rsidRPr="00232125">
        <w:t xml:space="preserve"> that “regulation </w:t>
      </w:r>
      <w:r>
        <w:t>[should]</w:t>
      </w:r>
      <w:r w:rsidRPr="00232125">
        <w:t xml:space="preserve"> never </w:t>
      </w:r>
      <w:r w:rsidR="0051735C">
        <w:t xml:space="preserve">be </w:t>
      </w:r>
      <w:r w:rsidRPr="00232125">
        <w:t xml:space="preserve">adopted as the default solution, but rather introduced as a means of last resort. </w:t>
      </w:r>
      <w:r w:rsidR="00D94B61">
        <w:t>[This] r</w:t>
      </w:r>
      <w:r w:rsidRPr="00232125">
        <w:t>equires that a range of feasible policy options must be considered”.</w:t>
      </w:r>
      <w:r w:rsidRPr="0042441D">
        <w:rPr>
          <w:vertAlign w:val="superscript"/>
        </w:rPr>
        <w:footnoteReference w:id="3"/>
      </w:r>
      <w:r w:rsidRPr="00232125">
        <w:t xml:space="preserve"> This guide sets out a spectrum of </w:t>
      </w:r>
      <w:r>
        <w:t xml:space="preserve">regulatory </w:t>
      </w:r>
      <w:r w:rsidRPr="00232125">
        <w:t>options for consideration</w:t>
      </w:r>
      <w:r>
        <w:t xml:space="preserve"> when designing new policy,</w:t>
      </w:r>
      <w:r w:rsidRPr="00232125">
        <w:t xml:space="preserve"> </w:t>
      </w:r>
      <w:r w:rsidR="00945752">
        <w:t xml:space="preserve">starting </w:t>
      </w:r>
      <w:r>
        <w:t>from no regulation to explicit government regulation.</w:t>
      </w:r>
      <w:r w:rsidRPr="0042441D">
        <w:rPr>
          <w:vertAlign w:val="superscript"/>
        </w:rPr>
        <w:footnoteReference w:id="4"/>
      </w:r>
    </w:p>
    <w:p w14:paraId="2F28CE10" w14:textId="77777777" w:rsidR="001C561D" w:rsidRDefault="001C561D" w:rsidP="00883DB6">
      <w:pPr>
        <w:pStyle w:val="Listparagraphbullets"/>
        <w:numPr>
          <w:ilvl w:val="0"/>
          <w:numId w:val="0"/>
        </w:numPr>
      </w:pPr>
    </w:p>
    <w:p w14:paraId="17915501" w14:textId="0E8A87E7" w:rsidR="001C561D" w:rsidRDefault="001C561D" w:rsidP="00883DB6">
      <w:pPr>
        <w:pStyle w:val="Listparagraphbullets"/>
        <w:numPr>
          <w:ilvl w:val="0"/>
          <w:numId w:val="0"/>
        </w:numPr>
        <w:spacing w:before="240"/>
      </w:pPr>
      <w:r>
        <w:t xml:space="preserve">According to </w:t>
      </w:r>
      <w:r w:rsidR="00945752">
        <w:t>the</w:t>
      </w:r>
      <w:r>
        <w:t xml:space="preserve"> Guide to Regulation, changes to regulation also need to consider several factors:</w:t>
      </w:r>
    </w:p>
    <w:p w14:paraId="3D76B42C" w14:textId="55117755" w:rsidR="001C561D" w:rsidRDefault="166E580F" w:rsidP="00883DB6">
      <w:pPr>
        <w:pStyle w:val="Listparagraphbullets"/>
      </w:pPr>
      <w:r>
        <w:t>Regulation should not be the default option for policy makers</w:t>
      </w:r>
      <w:r w:rsidR="003077BD">
        <w:t>.</w:t>
      </w:r>
    </w:p>
    <w:p w14:paraId="0DEAC74A" w14:textId="364B76FA" w:rsidR="001C561D" w:rsidRDefault="166E580F" w:rsidP="00883DB6">
      <w:pPr>
        <w:pStyle w:val="Listparagraphbullets"/>
      </w:pPr>
      <w:r>
        <w:t>Regulation should be imposed only when it can be shown to offer a net benefit</w:t>
      </w:r>
      <w:r w:rsidR="003077BD">
        <w:t>.</w:t>
      </w:r>
    </w:p>
    <w:p w14:paraId="02EC2A6B" w14:textId="2829615E" w:rsidR="001C561D" w:rsidRDefault="166E580F" w:rsidP="00883DB6">
      <w:pPr>
        <w:pStyle w:val="Listparagraphbullets"/>
      </w:pPr>
      <w:r>
        <w:t>The cost burden of new regulation must be offset by reductions in existing burden</w:t>
      </w:r>
      <w:r w:rsidR="003077BD">
        <w:t>.</w:t>
      </w:r>
    </w:p>
    <w:p w14:paraId="3923F7C1" w14:textId="734958DB" w:rsidR="001C561D" w:rsidRDefault="166E580F" w:rsidP="00883DB6">
      <w:pPr>
        <w:pStyle w:val="Listparagraphbullets"/>
      </w:pPr>
      <w:r>
        <w:t>Consider impacts on affected businesses</w:t>
      </w:r>
      <w:r w:rsidR="003077BD">
        <w:t>.</w:t>
      </w:r>
    </w:p>
    <w:p w14:paraId="336E35EC" w14:textId="5C12806A" w:rsidR="001C561D" w:rsidRDefault="166E580F" w:rsidP="00883DB6">
      <w:pPr>
        <w:pStyle w:val="Listparagraphbullets"/>
      </w:pPr>
      <w:r>
        <w:t>Community organisations and individuals</w:t>
      </w:r>
      <w:r w:rsidR="003077BD">
        <w:t>.</w:t>
      </w:r>
    </w:p>
    <w:p w14:paraId="2301C548" w14:textId="2FF05EB6" w:rsidR="001C561D" w:rsidRPr="0042441D" w:rsidRDefault="166E580F" w:rsidP="00883DB6">
      <w:pPr>
        <w:pStyle w:val="Listparagraphbullets"/>
      </w:pPr>
      <w:r>
        <w:t>Consider state and national options to avoid creating cumulative or overlapping regulatory burdens.</w:t>
      </w:r>
    </w:p>
    <w:p w14:paraId="6990FF2A" w14:textId="367C4E4D" w:rsidR="008609CD" w:rsidRDefault="008609CD" w:rsidP="00F20F29">
      <w:r w:rsidRPr="00BC34EB">
        <w:t xml:space="preserve">The requirements for regulatory change will depend on the </w:t>
      </w:r>
      <w:r>
        <w:t>other elements of the Hub design</w:t>
      </w:r>
      <w:r w:rsidR="00945752">
        <w:t xml:space="preserve">, the </w:t>
      </w:r>
      <w:r w:rsidRPr="00BC34EB">
        <w:t>current regulatory framework</w:t>
      </w:r>
      <w:r w:rsidR="0042441D">
        <w:t xml:space="preserve">, </w:t>
      </w:r>
      <w:r w:rsidR="00945752">
        <w:t>and</w:t>
      </w:r>
      <w:r w:rsidRPr="00BC34EB">
        <w:t xml:space="preserve"> whether changes are required to enable each </w:t>
      </w:r>
      <w:r>
        <w:t>use case</w:t>
      </w:r>
      <w:r w:rsidRPr="00BC34EB">
        <w:t xml:space="preserve"> </w:t>
      </w:r>
      <w:r>
        <w:t>and its requirements</w:t>
      </w:r>
      <w:r w:rsidRPr="00BC34EB">
        <w:t>.</w:t>
      </w:r>
      <w:r>
        <w:t xml:space="preserve"> </w:t>
      </w:r>
      <w:r w:rsidR="0051735C">
        <w:t xml:space="preserve">The </w:t>
      </w:r>
      <w:r>
        <w:t xml:space="preserve">potential circumstances that </w:t>
      </w:r>
      <w:r w:rsidR="0051735C">
        <w:t xml:space="preserve">may warrant </w:t>
      </w:r>
      <w:r>
        <w:t xml:space="preserve">a change, introduction or removal of a regulatory mechanism </w:t>
      </w:r>
      <w:r w:rsidR="0051735C">
        <w:t>are</w:t>
      </w:r>
      <w:r>
        <w:t>:</w:t>
      </w:r>
    </w:p>
    <w:p w14:paraId="7A99ECE2" w14:textId="59D4B65D" w:rsidR="008609CD" w:rsidRPr="00BE499F" w:rsidRDefault="35C3E946" w:rsidP="00BE499F">
      <w:pPr>
        <w:pStyle w:val="Listparagraphbullets"/>
      </w:pPr>
      <w:r w:rsidRPr="7342E18F">
        <w:rPr>
          <w:b/>
          <w:bCs/>
        </w:rPr>
        <w:t>To support the governance model</w:t>
      </w:r>
      <w:r w:rsidR="6E505E68">
        <w:t>:</w:t>
      </w:r>
      <w:r>
        <w:t xml:space="preserve"> The</w:t>
      </w:r>
      <w:r w:rsidR="00FF5692">
        <w:t xml:space="preserve"> </w:t>
      </w:r>
      <w:r>
        <w:t xml:space="preserve">governance option may require regulatory change to implement, for example, new legislation to establish </w:t>
      </w:r>
      <w:r w:rsidR="005E75ED">
        <w:t xml:space="preserve">a new </w:t>
      </w:r>
      <w:r>
        <w:t>responsible entity</w:t>
      </w:r>
      <w:r w:rsidR="005E75ED">
        <w:t>.</w:t>
      </w:r>
    </w:p>
    <w:p w14:paraId="028014A5" w14:textId="6B15203D" w:rsidR="005E75ED" w:rsidRPr="00BE499F" w:rsidRDefault="005E75ED" w:rsidP="005E75ED">
      <w:pPr>
        <w:pStyle w:val="Listparagraphbullets"/>
      </w:pPr>
      <w:r w:rsidRPr="7342E18F">
        <w:rPr>
          <w:b/>
          <w:bCs/>
        </w:rPr>
        <w:t>To support data collection standards</w:t>
      </w:r>
      <w:r>
        <w:t>: To define and implement a national framework of standards for freight data to facilitate aggregation and comparison across diverse data sources.</w:t>
      </w:r>
    </w:p>
    <w:p w14:paraId="7E219940" w14:textId="08328B7A" w:rsidR="008609CD" w:rsidRPr="00BE499F" w:rsidRDefault="35C3E946" w:rsidP="00BE499F">
      <w:pPr>
        <w:pStyle w:val="Listparagraphbullets"/>
      </w:pPr>
      <w:r w:rsidRPr="7342E18F">
        <w:rPr>
          <w:b/>
          <w:bCs/>
        </w:rPr>
        <w:t>To support the ability to collect and share data</w:t>
      </w:r>
      <w:r w:rsidR="6E505E68">
        <w:t>:</w:t>
      </w:r>
      <w:r>
        <w:t xml:space="preserve"> To encourage data owners </w:t>
      </w:r>
      <w:r w:rsidR="25FCC502">
        <w:t>to share data and to protect data</w:t>
      </w:r>
      <w:r w:rsidR="005E75ED">
        <w:t>.</w:t>
      </w:r>
      <w:r w:rsidR="25FCC502">
        <w:t xml:space="preserve"> </w:t>
      </w:r>
    </w:p>
    <w:p w14:paraId="4B7D5F98" w14:textId="4A85BBFE" w:rsidR="008609CD" w:rsidRDefault="35C3E946" w:rsidP="00BE499F">
      <w:pPr>
        <w:pStyle w:val="Listparagraphbullets"/>
      </w:pPr>
      <w:r w:rsidRPr="7342E18F">
        <w:rPr>
          <w:b/>
          <w:bCs/>
        </w:rPr>
        <w:t>To support funding collection</w:t>
      </w:r>
      <w:r w:rsidR="6E505E68">
        <w:t>:</w:t>
      </w:r>
      <w:r>
        <w:t xml:space="preserve"> </w:t>
      </w:r>
      <w:r w:rsidR="00DF48A0">
        <w:t>T</w:t>
      </w:r>
      <w:r>
        <w:t>o enable collection of fees, cognisant of specifications that may consider a tax versus fee-for-service funding model.</w:t>
      </w:r>
    </w:p>
    <w:p w14:paraId="620EC4B1" w14:textId="3E8F1D0D" w:rsidR="00D94B61" w:rsidRPr="0042441D" w:rsidRDefault="166E580F" w:rsidP="0042441D">
      <w:pPr>
        <w:pStyle w:val="Normaldisclaimerpage"/>
        <w:rPr>
          <w:sz w:val="21"/>
          <w:szCs w:val="21"/>
        </w:rPr>
      </w:pPr>
      <w:r w:rsidRPr="7342E18F">
        <w:rPr>
          <w:rFonts w:eastAsia="Arial" w:cs="Segoe UI"/>
        </w:rPr>
        <w:t>The</w:t>
      </w:r>
      <w:r w:rsidR="00DF48A0">
        <w:rPr>
          <w:rFonts w:eastAsia="Arial" w:cs="Segoe UI"/>
        </w:rPr>
        <w:t>refore, the</w:t>
      </w:r>
      <w:r w:rsidRPr="7342E18F">
        <w:rPr>
          <w:rFonts w:eastAsia="Arial" w:cs="Segoe UI"/>
        </w:rPr>
        <w:t xml:space="preserve"> changes required fo</w:t>
      </w:r>
      <w:r w:rsidRPr="00DF6D7D">
        <w:rPr>
          <w:rFonts w:eastAsia="Arial" w:cs="Segoe UI"/>
        </w:rPr>
        <w:t xml:space="preserve">r the successful operation of the Hub may involve a range of regulatory responses, from </w:t>
      </w:r>
      <w:r w:rsidR="006243BF">
        <w:rPr>
          <w:rFonts w:eastAsia="Arial" w:cs="Segoe UI"/>
        </w:rPr>
        <w:t>light touch to more regulation</w:t>
      </w:r>
      <w:r w:rsidRPr="00DF6D7D">
        <w:rPr>
          <w:rFonts w:eastAsia="Arial" w:cs="Segoe UI"/>
        </w:rPr>
        <w:t>.</w:t>
      </w:r>
      <w:r w:rsidRPr="00DF6D7D">
        <w:t xml:space="preserve"> </w:t>
      </w:r>
      <w:r w:rsidR="25FCC502" w:rsidRPr="00DF6D7D">
        <w:t>An overview of potential regulatory options is shown in</w:t>
      </w:r>
      <w:r w:rsidR="00F6484E">
        <w:t xml:space="preserve"> </w:t>
      </w:r>
      <w:r w:rsidR="00F6484E" w:rsidRPr="00513728">
        <w:rPr>
          <w:rFonts w:ascii="Segoe UI Semibold" w:hAnsi="Segoe UI Semibold"/>
          <w:color w:val="002D72"/>
          <w:szCs w:val="22"/>
        </w:rPr>
        <w:fldChar w:fldCharType="begin"/>
      </w:r>
      <w:r w:rsidR="00F6484E" w:rsidRPr="00513728">
        <w:rPr>
          <w:rFonts w:ascii="Segoe UI Semibold" w:hAnsi="Segoe UI Semibold"/>
          <w:color w:val="002D72"/>
          <w:szCs w:val="22"/>
        </w:rPr>
        <w:instrText xml:space="preserve"> REF _Ref48746630 \h </w:instrText>
      </w:r>
      <w:r w:rsidR="006243BF">
        <w:rPr>
          <w:rFonts w:ascii="Segoe UI Semibold" w:hAnsi="Segoe UI Semibold"/>
          <w:color w:val="002D72"/>
          <w:szCs w:val="22"/>
        </w:rPr>
        <w:instrText xml:space="preserve"> \* MERGEFORMAT </w:instrText>
      </w:r>
      <w:r w:rsidR="00F6484E" w:rsidRPr="00513728">
        <w:rPr>
          <w:rFonts w:ascii="Segoe UI Semibold" w:hAnsi="Segoe UI Semibold"/>
          <w:color w:val="002D72"/>
          <w:szCs w:val="22"/>
        </w:rPr>
      </w:r>
      <w:r w:rsidR="00F6484E" w:rsidRPr="00513728">
        <w:rPr>
          <w:rFonts w:ascii="Segoe UI Semibold" w:hAnsi="Segoe UI Semibold"/>
          <w:color w:val="002D72"/>
          <w:szCs w:val="22"/>
        </w:rPr>
        <w:fldChar w:fldCharType="separate"/>
      </w:r>
      <w:r w:rsidR="00F62613" w:rsidRPr="004A71B7">
        <w:rPr>
          <w:rFonts w:ascii="Segoe UI Semibold" w:hAnsi="Segoe UI Semibold"/>
          <w:color w:val="002D72"/>
          <w:szCs w:val="22"/>
        </w:rPr>
        <w:t xml:space="preserve">Figure </w:t>
      </w:r>
      <w:r w:rsidR="00F62613">
        <w:rPr>
          <w:rFonts w:ascii="Segoe UI Semibold" w:hAnsi="Segoe UI Semibold"/>
          <w:bCs/>
          <w:noProof/>
          <w:color w:val="002D72"/>
          <w:szCs w:val="22"/>
        </w:rPr>
        <w:t>11</w:t>
      </w:r>
      <w:r w:rsidR="00F6484E" w:rsidRPr="00513728">
        <w:rPr>
          <w:rFonts w:ascii="Segoe UI Semibold" w:hAnsi="Segoe UI Semibold"/>
          <w:color w:val="002D72"/>
          <w:szCs w:val="22"/>
        </w:rPr>
        <w:fldChar w:fldCharType="end"/>
      </w:r>
      <w:r w:rsidR="25FCC502" w:rsidRPr="0042441D">
        <w:rPr>
          <w:sz w:val="21"/>
          <w:szCs w:val="21"/>
        </w:rPr>
        <w:t>.</w:t>
      </w:r>
    </w:p>
    <w:p w14:paraId="57FF258A" w14:textId="77777777" w:rsidR="00E4371C" w:rsidRDefault="00E4371C">
      <w:pPr>
        <w:spacing w:line="259" w:lineRule="auto"/>
        <w:rPr>
          <w:rFonts w:ascii="Segoe UI Semibold" w:hAnsi="Segoe UI Semibold"/>
          <w:color w:val="002D72"/>
          <w:sz w:val="20"/>
        </w:rPr>
      </w:pPr>
      <w:bookmarkStart w:id="44" w:name="_Ref48119906"/>
      <w:bookmarkStart w:id="45" w:name="_Ref47971629"/>
      <w:r>
        <w:br w:type="page"/>
      </w:r>
    </w:p>
    <w:p w14:paraId="6B6D690A" w14:textId="6CD7272C" w:rsidR="00F6484E" w:rsidRDefault="00F6484E" w:rsidP="004A71B7">
      <w:pPr>
        <w:pStyle w:val="Caption"/>
        <w:rPr>
          <w:rFonts w:ascii="Segoe UI Semibold" w:eastAsiaTheme="minorHAnsi" w:hAnsi="Segoe UI Semibold" w:cstheme="minorBidi"/>
          <w:bCs w:val="0"/>
          <w:snapToGrid/>
          <w:color w:val="002D72"/>
          <w:sz w:val="20"/>
          <w:szCs w:val="22"/>
        </w:rPr>
      </w:pPr>
      <w:bookmarkStart w:id="46" w:name="_Ref48746630"/>
      <w:bookmarkStart w:id="47" w:name="_Toc49156983"/>
      <w:bookmarkStart w:id="48" w:name="_Toc48657219"/>
      <w:r w:rsidRPr="004A71B7">
        <w:rPr>
          <w:rFonts w:ascii="Segoe UI Semibold" w:eastAsiaTheme="minorHAnsi" w:hAnsi="Segoe UI Semibold" w:cstheme="minorBidi"/>
          <w:bCs w:val="0"/>
          <w:snapToGrid/>
          <w:color w:val="002D72"/>
          <w:sz w:val="20"/>
          <w:szCs w:val="22"/>
        </w:rPr>
        <w:lastRenderedPageBreak/>
        <w:t xml:space="preserve">Figure </w:t>
      </w:r>
      <w:r w:rsidRPr="004A71B7">
        <w:rPr>
          <w:rFonts w:ascii="Segoe UI Semibold" w:eastAsiaTheme="minorHAnsi" w:hAnsi="Segoe UI Semibold" w:cstheme="minorBidi"/>
          <w:bCs w:val="0"/>
          <w:snapToGrid/>
          <w:color w:val="002D72"/>
          <w:sz w:val="20"/>
          <w:szCs w:val="22"/>
        </w:rPr>
        <w:fldChar w:fldCharType="begin"/>
      </w:r>
      <w:r w:rsidRPr="004A71B7">
        <w:rPr>
          <w:rFonts w:ascii="Segoe UI Semibold" w:eastAsiaTheme="minorHAnsi" w:hAnsi="Segoe UI Semibold" w:cstheme="minorBidi"/>
          <w:bCs w:val="0"/>
          <w:snapToGrid/>
          <w:color w:val="002D72"/>
          <w:sz w:val="20"/>
          <w:szCs w:val="22"/>
        </w:rPr>
        <w:instrText xml:space="preserve"> SEQ Figure \* ARABIC </w:instrText>
      </w:r>
      <w:r w:rsidRPr="004A71B7">
        <w:rPr>
          <w:rFonts w:ascii="Segoe UI Semibold" w:eastAsiaTheme="minorHAnsi" w:hAnsi="Segoe UI Semibold" w:cstheme="minorBidi"/>
          <w:bCs w:val="0"/>
          <w:snapToGrid/>
          <w:color w:val="002D72"/>
          <w:sz w:val="20"/>
          <w:szCs w:val="22"/>
        </w:rPr>
        <w:fldChar w:fldCharType="separate"/>
      </w:r>
      <w:r w:rsidR="00F62613">
        <w:rPr>
          <w:rFonts w:ascii="Segoe UI Semibold" w:eastAsiaTheme="minorHAnsi" w:hAnsi="Segoe UI Semibold" w:cstheme="minorBidi"/>
          <w:bCs w:val="0"/>
          <w:noProof/>
          <w:snapToGrid/>
          <w:color w:val="002D72"/>
          <w:sz w:val="20"/>
          <w:szCs w:val="22"/>
        </w:rPr>
        <w:t>11</w:t>
      </w:r>
      <w:r w:rsidRPr="004A71B7">
        <w:rPr>
          <w:rFonts w:ascii="Segoe UI Semibold" w:eastAsiaTheme="minorHAnsi" w:hAnsi="Segoe UI Semibold" w:cstheme="minorBidi"/>
          <w:bCs w:val="0"/>
          <w:snapToGrid/>
          <w:color w:val="002D72"/>
          <w:sz w:val="20"/>
          <w:szCs w:val="22"/>
        </w:rPr>
        <w:fldChar w:fldCharType="end"/>
      </w:r>
      <w:bookmarkEnd w:id="46"/>
      <w:r w:rsidRPr="004A71B7">
        <w:rPr>
          <w:rFonts w:ascii="Segoe UI Semibold" w:eastAsiaTheme="minorHAnsi" w:hAnsi="Segoe UI Semibold" w:cstheme="minorBidi"/>
          <w:bCs w:val="0"/>
          <w:snapToGrid/>
          <w:color w:val="002D72"/>
          <w:sz w:val="20"/>
          <w:szCs w:val="22"/>
        </w:rPr>
        <w:t xml:space="preserve"> Regulatory options</w:t>
      </w:r>
      <w:bookmarkEnd w:id="47"/>
    </w:p>
    <w:p w14:paraId="159B48E9" w14:textId="77777777" w:rsidR="00C76EC5" w:rsidRPr="00365D4D" w:rsidRDefault="00C76EC5" w:rsidP="00365D4D">
      <w:pPr>
        <w:rPr>
          <w:bCs/>
        </w:rPr>
      </w:pPr>
    </w:p>
    <w:bookmarkEnd w:id="44"/>
    <w:bookmarkEnd w:id="45"/>
    <w:bookmarkEnd w:id="48"/>
    <w:p w14:paraId="7693E0AB" w14:textId="12CDE6A3" w:rsidR="0065397C" w:rsidRDefault="00C76EC5" w:rsidP="001409F5">
      <w:pPr>
        <w:pStyle w:val="Listparagraphbullets"/>
        <w:numPr>
          <w:ilvl w:val="0"/>
          <w:numId w:val="0"/>
        </w:numPr>
        <w:ind w:left="360" w:hanging="360"/>
        <w:rPr>
          <w:noProof/>
        </w:rPr>
      </w:pPr>
      <w:r>
        <w:rPr>
          <w:noProof/>
          <w:lang w:eastAsia="en-AU"/>
        </w:rPr>
        <w:drawing>
          <wp:inline distT="0" distB="0" distL="0" distR="0" wp14:anchorId="0015B48B" wp14:editId="718F88D7">
            <wp:extent cx="6015990" cy="3413760"/>
            <wp:effectExtent l="0" t="0" r="3810" b="0"/>
            <wp:docPr id="92478667" name="Picture 92478667" descr="This figure outlines no change, medium change and large change of the following: &#10;- Form&#10;- Data collection&#10;- Data security and privacy " title="Figure 11 Regulato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5990" cy="3413760"/>
                    </a:xfrm>
                    <a:prstGeom prst="rect">
                      <a:avLst/>
                    </a:prstGeom>
                  </pic:spPr>
                </pic:pic>
              </a:graphicData>
            </a:graphic>
          </wp:inline>
        </w:drawing>
      </w:r>
    </w:p>
    <w:p w14:paraId="37070FD3" w14:textId="65875E9A" w:rsidR="008609CD" w:rsidRDefault="001409F5" w:rsidP="007241B6">
      <w:pPr>
        <w:pStyle w:val="Sourcenote"/>
      </w:pPr>
      <w:r>
        <w:t xml:space="preserve">Source: </w:t>
      </w:r>
      <w:r w:rsidR="005E6DDD">
        <w:t xml:space="preserve">Adapted from </w:t>
      </w:r>
      <w:r>
        <w:t>OB</w:t>
      </w:r>
      <w:r w:rsidR="58BDFD7D">
        <w:t>PR</w:t>
      </w:r>
      <w:r w:rsidR="005E6DDD">
        <w:t>, PwC analysis</w:t>
      </w:r>
      <w:r w:rsidR="00D6668A">
        <w:t xml:space="preserve"> (2020)</w:t>
      </w:r>
      <w:r>
        <w:t xml:space="preserve"> </w:t>
      </w:r>
    </w:p>
    <w:p w14:paraId="154539A0" w14:textId="6DCDF9B1" w:rsidR="005E75ED" w:rsidRDefault="005E75ED" w:rsidP="007241B6">
      <w:pPr>
        <w:pStyle w:val="Sourcenote"/>
      </w:pPr>
    </w:p>
    <w:p w14:paraId="11F0E255" w14:textId="5818C3EC" w:rsidR="005E75ED" w:rsidRDefault="005E75ED" w:rsidP="007241B6">
      <w:pPr>
        <w:pStyle w:val="Sourcenote"/>
      </w:pPr>
    </w:p>
    <w:p w14:paraId="49210F53" w14:textId="77777777" w:rsidR="005E75ED" w:rsidRPr="007241B6" w:rsidRDefault="005E75ED" w:rsidP="007241B6">
      <w:pPr>
        <w:pStyle w:val="Sourcenote"/>
      </w:pPr>
    </w:p>
    <w:p w14:paraId="24F6D7F0" w14:textId="2A742D49" w:rsidR="008609CD" w:rsidRPr="005770E5" w:rsidRDefault="008609CD" w:rsidP="00495512">
      <w:pPr>
        <w:pStyle w:val="Heading3notshowing"/>
        <w:shd w:val="clear" w:color="auto" w:fill="E7E6E6" w:themeFill="background2"/>
      </w:pPr>
      <w:r w:rsidRPr="005770E5">
        <w:t xml:space="preserve">Questions for discussion </w:t>
      </w:r>
      <w:r w:rsidR="00BC5E29" w:rsidRPr="005770E5">
        <w:t>– Regulatory</w:t>
      </w:r>
    </w:p>
    <w:p w14:paraId="408EBFF3" w14:textId="4625365F" w:rsidR="001E5D3E" w:rsidRPr="00513728" w:rsidRDefault="00B61A69" w:rsidP="00BC5E29">
      <w:pPr>
        <w:pStyle w:val="Listparagraphbullets"/>
        <w:numPr>
          <w:ilvl w:val="0"/>
          <w:numId w:val="11"/>
        </w:numPr>
        <w:shd w:val="clear" w:color="auto" w:fill="E7E6E6" w:themeFill="background2"/>
        <w:rPr>
          <w:rFonts w:ascii="Segoe UI Semibold" w:eastAsia="MingLiU" w:hAnsi="Segoe UI Semibold" w:cs="Segoe UI Semibold"/>
          <w:color w:val="002D72"/>
          <w:sz w:val="36"/>
          <w:szCs w:val="26"/>
        </w:rPr>
      </w:pPr>
      <w:r>
        <w:t>To support the Hub’s governance, ability to collect and share data, setting of standards and funding model, which regulatory option is best suited?</w:t>
      </w:r>
    </w:p>
    <w:p w14:paraId="2204FC60" w14:textId="20FEB3FF" w:rsidR="001E5D3E" w:rsidRPr="00513728" w:rsidRDefault="001E5D3E" w:rsidP="00BC5E29">
      <w:pPr>
        <w:pStyle w:val="Listparagraphbullets"/>
        <w:numPr>
          <w:ilvl w:val="0"/>
          <w:numId w:val="11"/>
        </w:numPr>
        <w:shd w:val="clear" w:color="auto" w:fill="E7E6E6" w:themeFill="background2"/>
        <w:rPr>
          <w:rFonts w:ascii="Segoe UI Semibold" w:eastAsia="MingLiU" w:hAnsi="Segoe UI Semibold" w:cs="Segoe UI Semibold"/>
          <w:color w:val="002D72"/>
          <w:sz w:val="36"/>
          <w:szCs w:val="26"/>
        </w:rPr>
      </w:pPr>
      <w:r w:rsidRPr="00513728">
        <w:t>Would there be significant costs or benefits for your organisation associated with each of the regulatory options?</w:t>
      </w:r>
      <w:bookmarkStart w:id="49" w:name="_Toc47094672"/>
      <w:bookmarkStart w:id="50" w:name="_Toc47100005"/>
    </w:p>
    <w:p w14:paraId="67EB8B37" w14:textId="74F0E23A" w:rsidR="001E5D3E" w:rsidRPr="00513728" w:rsidRDefault="001E5D3E">
      <w:pPr>
        <w:pStyle w:val="Listparagraphbullets"/>
        <w:numPr>
          <w:ilvl w:val="0"/>
          <w:numId w:val="11"/>
        </w:numPr>
        <w:shd w:val="clear" w:color="auto" w:fill="E7E6E6" w:themeFill="background2"/>
      </w:pPr>
      <w:r w:rsidRPr="0032234E">
        <w:t>Are there additional circumstances to those outlined above, that may warrant a change, introduction or removal of a regulatory mechanism?</w:t>
      </w:r>
    </w:p>
    <w:p w14:paraId="78ECCB25" w14:textId="6BAD06D2" w:rsidR="00453597" w:rsidRPr="00513728" w:rsidRDefault="00453597" w:rsidP="00513728">
      <w:pPr>
        <w:pStyle w:val="Listparagraphbullets"/>
        <w:numPr>
          <w:ilvl w:val="0"/>
          <w:numId w:val="0"/>
        </w:numPr>
        <w:shd w:val="clear" w:color="auto" w:fill="E7E6E6" w:themeFill="background2"/>
        <w:ind w:left="360" w:hanging="360"/>
        <w:rPr>
          <w:rFonts w:ascii="Segoe UI Semibold" w:eastAsia="MingLiU" w:hAnsi="Segoe UI Semibold" w:cs="Segoe UI Semibold"/>
          <w:color w:val="002D72"/>
          <w:sz w:val="36"/>
          <w:szCs w:val="26"/>
          <w:highlight w:val="yellow"/>
        </w:rPr>
      </w:pPr>
      <w:r w:rsidRPr="00513728">
        <w:rPr>
          <w:highlight w:val="yellow"/>
        </w:rPr>
        <w:br w:type="page"/>
      </w:r>
    </w:p>
    <w:p w14:paraId="3E87D266" w14:textId="5E9E6286" w:rsidR="007E1C88" w:rsidRDefault="007E1C88" w:rsidP="007E1C88">
      <w:pPr>
        <w:pStyle w:val="Heading2"/>
        <w:numPr>
          <w:ilvl w:val="0"/>
          <w:numId w:val="0"/>
        </w:numPr>
      </w:pPr>
      <w:bookmarkStart w:id="51" w:name="_Toc48924116"/>
      <w:r>
        <w:lastRenderedPageBreak/>
        <w:t>Next Steps</w:t>
      </w:r>
      <w:bookmarkEnd w:id="49"/>
      <w:bookmarkEnd w:id="50"/>
      <w:bookmarkEnd w:id="51"/>
    </w:p>
    <w:p w14:paraId="7D1C276E" w14:textId="77777777" w:rsidR="005E75ED" w:rsidRDefault="005E75ED" w:rsidP="00597FB8">
      <w:pPr>
        <w:rPr>
          <w:b/>
          <w:bCs/>
        </w:rPr>
      </w:pPr>
    </w:p>
    <w:p w14:paraId="356F7D9D" w14:textId="65F82E7C" w:rsidR="006A1F3E" w:rsidRPr="00E94FCC" w:rsidRDefault="00597FB8" w:rsidP="00597FB8">
      <w:pPr>
        <w:rPr>
          <w:b/>
          <w:bCs/>
        </w:rPr>
      </w:pPr>
      <w:r w:rsidRPr="00E94FCC">
        <w:rPr>
          <w:b/>
          <w:bCs/>
        </w:rPr>
        <w:t xml:space="preserve">WEBINARS: </w:t>
      </w:r>
    </w:p>
    <w:p w14:paraId="2681A8A2" w14:textId="4613C1EF" w:rsidR="00B75CC5" w:rsidRPr="00DF6D7D" w:rsidRDefault="005C0D70" w:rsidP="00597FB8">
      <w:r>
        <w:t>There will be</w:t>
      </w:r>
      <w:r w:rsidR="00B75CC5" w:rsidRPr="00DF6D7D">
        <w:t xml:space="preserve"> </w:t>
      </w:r>
      <w:r w:rsidR="00DF6D7D" w:rsidRPr="00DF6D7D">
        <w:t>two</w:t>
      </w:r>
      <w:r w:rsidR="00B75CC5" w:rsidRPr="00DF6D7D">
        <w:t xml:space="preserve"> webinar</w:t>
      </w:r>
      <w:r w:rsidR="00DF6D7D" w:rsidRPr="00DF6D7D">
        <w:t>s</w:t>
      </w:r>
      <w:r>
        <w:t xml:space="preserve"> where stakeholders can</w:t>
      </w:r>
      <w:r w:rsidR="00DF6D7D" w:rsidRPr="00DF6D7D">
        <w:t xml:space="preserve"> </w:t>
      </w:r>
      <w:r w:rsidR="00C355F4">
        <w:t>participate in a briefing session</w:t>
      </w:r>
      <w:r w:rsidR="00903CF2">
        <w:t xml:space="preserve"> on</w:t>
      </w:r>
      <w:r w:rsidR="00C355F4">
        <w:t xml:space="preserve"> the Hub design elements</w:t>
      </w:r>
      <w:r w:rsidR="00DF6D7D" w:rsidRPr="00DF6D7D">
        <w:t>. These webinars will be held:</w:t>
      </w:r>
    </w:p>
    <w:p w14:paraId="6F02CE60" w14:textId="718344D1" w:rsidR="0048529F" w:rsidRPr="00DF6D7D" w:rsidRDefault="00DF6D7D" w:rsidP="00DF6D7D">
      <w:pPr>
        <w:pStyle w:val="Listparagraphbullets"/>
      </w:pPr>
      <w:r w:rsidRPr="00DF6D7D">
        <w:t xml:space="preserve">Monday </w:t>
      </w:r>
      <w:r w:rsidR="0048529F" w:rsidRPr="00DF6D7D">
        <w:t>31 August</w:t>
      </w:r>
      <w:r w:rsidRPr="00DF6D7D">
        <w:t xml:space="preserve">, </w:t>
      </w:r>
      <w:r w:rsidR="00DB1D6E">
        <w:t>14:00</w:t>
      </w:r>
      <w:r w:rsidR="0048529F" w:rsidRPr="00DF6D7D">
        <w:t>-</w:t>
      </w:r>
      <w:r w:rsidR="00DB1D6E">
        <w:t>15</w:t>
      </w:r>
      <w:r w:rsidR="0048529F" w:rsidRPr="00DF6D7D">
        <w:t>:30pm</w:t>
      </w:r>
      <w:r w:rsidRPr="00DF6D7D">
        <w:t xml:space="preserve"> AEST</w:t>
      </w:r>
    </w:p>
    <w:p w14:paraId="446A6092" w14:textId="2FD43410" w:rsidR="0048529F" w:rsidRPr="007E1C88" w:rsidRDefault="00DF6D7D" w:rsidP="00DF6D7D">
      <w:pPr>
        <w:pStyle w:val="Listparagraphbullets"/>
      </w:pPr>
      <w:r w:rsidRPr="00DF6D7D">
        <w:t xml:space="preserve">Tuesday </w:t>
      </w:r>
      <w:r w:rsidR="0048529F" w:rsidRPr="00DF6D7D">
        <w:t>1 September</w:t>
      </w:r>
      <w:r w:rsidRPr="00DF6D7D">
        <w:t>,</w:t>
      </w:r>
      <w:r w:rsidR="0048529F" w:rsidRPr="00DF6D7D">
        <w:t xml:space="preserve"> </w:t>
      </w:r>
      <w:r w:rsidR="00DB1D6E">
        <w:t>14:00</w:t>
      </w:r>
      <w:r w:rsidR="0048529F" w:rsidRPr="00DF6D7D">
        <w:t>-</w:t>
      </w:r>
      <w:r w:rsidR="00DB1D6E">
        <w:t>15</w:t>
      </w:r>
      <w:r w:rsidR="0048529F" w:rsidRPr="00DF6D7D">
        <w:t>:30pm</w:t>
      </w:r>
      <w:r w:rsidRPr="00DF6D7D">
        <w:t xml:space="preserve"> AEST</w:t>
      </w:r>
    </w:p>
    <w:p w14:paraId="6D87B4C7" w14:textId="194A0674" w:rsidR="006A1F3E" w:rsidRPr="00502F73" w:rsidRDefault="006A1F3E" w:rsidP="006A1F3E">
      <w:r>
        <w:t xml:space="preserve">Please email </w:t>
      </w:r>
      <w:hyperlink r:id="rId36" w:history="1">
        <w:r w:rsidRPr="0080374C">
          <w:rPr>
            <w:rStyle w:val="Hyperlink"/>
          </w:rPr>
          <w:t>freightdatahub@infrastructure.gov.au</w:t>
        </w:r>
      </w:hyperlink>
      <w:r>
        <w:t xml:space="preserve"> to register </w:t>
      </w:r>
      <w:r w:rsidR="00DF6D7D">
        <w:t>and you will be provided with the details of the webinar</w:t>
      </w:r>
      <w:r>
        <w:t>.</w:t>
      </w:r>
    </w:p>
    <w:p w14:paraId="271A9D9A" w14:textId="77777777" w:rsidR="006A1F3E" w:rsidRDefault="006A1F3E" w:rsidP="00A127D8"/>
    <w:p w14:paraId="2C1F9111" w14:textId="019062A2" w:rsidR="006A1F3E" w:rsidRPr="00E94FCC" w:rsidRDefault="00597FB8" w:rsidP="00A127D8">
      <w:pPr>
        <w:rPr>
          <w:b/>
          <w:bCs/>
        </w:rPr>
      </w:pPr>
      <w:r w:rsidRPr="00E94FCC">
        <w:rPr>
          <w:b/>
          <w:bCs/>
        </w:rPr>
        <w:t xml:space="preserve">SUBMISSIONS: </w:t>
      </w:r>
    </w:p>
    <w:p w14:paraId="03078243" w14:textId="5D537404" w:rsidR="008A5CB9" w:rsidRDefault="008A5CB9" w:rsidP="0012471B">
      <w:r w:rsidRPr="008A5CB9">
        <w:t>Please include in your submission:</w:t>
      </w:r>
    </w:p>
    <w:p w14:paraId="588B5FE3" w14:textId="77777777" w:rsidR="008A5CB9" w:rsidRDefault="0F82A0C0" w:rsidP="008A5CB9">
      <w:pPr>
        <w:pStyle w:val="Listparagraphbullets"/>
      </w:pPr>
      <w:r>
        <w:t>The name of your organisation.</w:t>
      </w:r>
    </w:p>
    <w:p w14:paraId="5734660A" w14:textId="77777777" w:rsidR="008A5CB9" w:rsidRDefault="0F82A0C0" w:rsidP="008A5CB9">
      <w:pPr>
        <w:pStyle w:val="Listparagraphbullets"/>
      </w:pPr>
      <w:r>
        <w:t>Contact details for a person within your organisation to whom any correspondence in relation to your submission can be addressed.</w:t>
      </w:r>
    </w:p>
    <w:p w14:paraId="666581F9" w14:textId="3038808B" w:rsidR="008A5CB9" w:rsidRDefault="0F82A0C0" w:rsidP="008A5CB9">
      <w:pPr>
        <w:pStyle w:val="Listparagraphbullets"/>
      </w:pPr>
      <w:r>
        <w:t xml:space="preserve">A brief description of why your organisation is interested in the </w:t>
      </w:r>
      <w:r w:rsidR="00F3336D">
        <w:t xml:space="preserve">National Freight </w:t>
      </w:r>
      <w:r>
        <w:t>Data Hub.</w:t>
      </w:r>
    </w:p>
    <w:p w14:paraId="38BE7216" w14:textId="45EA50BF" w:rsidR="008A5CB9" w:rsidRDefault="008A5CB9" w:rsidP="008A5CB9">
      <w:r w:rsidRPr="008A5CB9">
        <w:t xml:space="preserve">Submissions close on </w:t>
      </w:r>
      <w:r w:rsidR="001E1CB4">
        <w:t>11 September 2020 at 17:00</w:t>
      </w:r>
      <w:r w:rsidR="005861E0">
        <w:t xml:space="preserve"> AEST</w:t>
      </w:r>
      <w:r w:rsidR="00597FB8">
        <w:t xml:space="preserve">, and should be emailed to </w:t>
      </w:r>
      <w:hyperlink r:id="rId37" w:history="1">
        <w:r w:rsidR="00597FB8" w:rsidRPr="0080374C">
          <w:rPr>
            <w:rStyle w:val="Hyperlink"/>
          </w:rPr>
          <w:t>freightdatahub@infrastructure.gov.au</w:t>
        </w:r>
      </w:hyperlink>
      <w:r w:rsidR="00597FB8">
        <w:t>.</w:t>
      </w:r>
    </w:p>
    <w:p w14:paraId="7362F3D7" w14:textId="04612606" w:rsidR="00C77144" w:rsidRDefault="008A5CB9">
      <w:r w:rsidRPr="008A5CB9">
        <w:t>Your submission will be published on the website unles</w:t>
      </w:r>
      <w:r>
        <w:t>s</w:t>
      </w:r>
      <w:r w:rsidRPr="008A5CB9">
        <w:t xml:space="preserve"> yo</w:t>
      </w:r>
      <w:r>
        <w:t>u</w:t>
      </w:r>
      <w:r w:rsidRPr="008A5CB9">
        <w:t xml:space="preserve"> request otherwise. Information collected during this consultation process may be provided to persons making an application under freedom of information laws. Personal details will not be published in any report.</w:t>
      </w:r>
    </w:p>
    <w:p w14:paraId="3CA4ED5A" w14:textId="77777777" w:rsidR="00C77144" w:rsidRPr="00C77144" w:rsidRDefault="00C77144" w:rsidP="00C77144"/>
    <w:p w14:paraId="0FA8AF8C" w14:textId="77777777" w:rsidR="00C77144" w:rsidRPr="00C77144" w:rsidRDefault="00C77144" w:rsidP="00C77144"/>
    <w:p w14:paraId="1DFC5A3F" w14:textId="2D9A38EC" w:rsidR="00C77144" w:rsidRDefault="00C77144" w:rsidP="00C77144"/>
    <w:p w14:paraId="10866FFF" w14:textId="77777777" w:rsidR="00502F73" w:rsidRPr="00C77144" w:rsidRDefault="00502F73" w:rsidP="00C77144">
      <w:pPr>
        <w:jc w:val="center"/>
      </w:pPr>
    </w:p>
    <w:sectPr w:rsidR="00502F73" w:rsidRPr="00C77144" w:rsidSect="00513728">
      <w:pgSz w:w="11906" w:h="16838"/>
      <w:pgMar w:top="2268" w:right="992" w:bottom="1276" w:left="1440" w:header="0" w:footer="39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46F2F0" w16cid:durableId="22DEAE91"/>
  <w16cid:commentId w16cid:paraId="68B09DD9" w16cid:durableId="22E67B88"/>
  <w16cid:commentId w16cid:paraId="024C0B68" w16cid:durableId="22E67D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21DE0" w14:textId="77777777" w:rsidR="00E70B34" w:rsidRDefault="00E70B34" w:rsidP="00FC413F">
      <w:pPr>
        <w:spacing w:after="0"/>
      </w:pPr>
      <w:r>
        <w:separator/>
      </w:r>
    </w:p>
  </w:endnote>
  <w:endnote w:type="continuationSeparator" w:id="0">
    <w:p w14:paraId="74DF98A3" w14:textId="77777777" w:rsidR="00E70B34" w:rsidRDefault="00E70B34" w:rsidP="00FC413F">
      <w:pPr>
        <w:spacing w:after="0"/>
      </w:pPr>
      <w:r>
        <w:continuationSeparator/>
      </w:r>
    </w:p>
  </w:endnote>
  <w:endnote w:type="continuationNotice" w:id="1">
    <w:p w14:paraId="43005EC2" w14:textId="77777777" w:rsidR="00E70B34" w:rsidRDefault="00E70B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0003" w:usb1="00000000" w:usb2="00000000" w:usb3="00000000" w:csb0="00000001" w:csb1="00000000"/>
  </w:font>
  <w:font w:name="Corbel Light">
    <w:charset w:val="00"/>
    <w:family w:val="swiss"/>
    <w:pitch w:val="variable"/>
    <w:sig w:usb0="A00002EF" w:usb1="4000A44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29A92" w14:textId="77777777" w:rsidR="00E70B34" w:rsidRPr="00FC413F" w:rsidRDefault="00E70B34"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1C409222" w14:textId="362A8744" w:rsidR="00E70B34" w:rsidRPr="00FC413F" w:rsidRDefault="00E70B34"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3D516F">
      <w:rPr>
        <w:rFonts w:cs="Segoe UI"/>
        <w:noProof/>
        <w:szCs w:val="18"/>
      </w:rPr>
      <w:t>3</w:t>
    </w:r>
    <w:r>
      <w:rPr>
        <w:rFonts w:cs="Segoe UI"/>
        <w:szCs w:val="18"/>
      </w:rPr>
      <w:fldChar w:fldCharType="end"/>
    </w:r>
    <w:r w:rsidRPr="00FC413F">
      <w:rPr>
        <w:rFonts w:cs="Segoe UI"/>
        <w:noProof/>
        <w:szCs w:val="18"/>
      </w:rPr>
      <w:t>.</w:t>
    </w:r>
    <w:r w:rsidRPr="00FC413F">
      <w:rPr>
        <w:rFonts w:cs="Segoe UI"/>
        <w:noProof/>
        <w:szCs w:val="18"/>
      </w:rPr>
      <w:tab/>
    </w:r>
    <w:r w:rsidRPr="00502F73">
      <w:rPr>
        <w:rFonts w:cs="Segoe UI"/>
        <w:noProof/>
        <w:szCs w:val="18"/>
      </w:rPr>
      <w:t xml:space="preserve">National Freight </w:t>
    </w:r>
    <w:r>
      <w:rPr>
        <w:rFonts w:cs="Segoe UI"/>
        <w:noProof/>
        <w:szCs w:val="18"/>
      </w:rPr>
      <w:t>Data Hub</w:t>
    </w:r>
    <w:r w:rsidRPr="00502F73">
      <w:rPr>
        <w:rFonts w:cs="Segoe UI"/>
        <w:noProof/>
        <w:szCs w:val="18"/>
      </w:rPr>
      <w:t xml:space="preserve"> - Options Discussion Paper</w:t>
    </w:r>
    <w:r>
      <w:rPr>
        <w:rFonts w:cs="Segoe UI"/>
        <w:noProof/>
        <w:szCs w:val="18"/>
      </w:rPr>
      <w:t xml:space="preserve"> </w:t>
    </w:r>
  </w:p>
  <w:p w14:paraId="7432D394" w14:textId="77777777" w:rsidR="00E70B34" w:rsidRPr="00FC413F" w:rsidRDefault="003D516F" w:rsidP="00A82DAF">
    <w:pPr>
      <w:pStyle w:val="Footer"/>
      <w:tabs>
        <w:tab w:val="clear" w:pos="4513"/>
        <w:tab w:val="clear" w:pos="9026"/>
      </w:tabs>
      <w:ind w:left="-567"/>
      <w:jc w:val="center"/>
      <w:rPr>
        <w:rFonts w:cs="Segoe UI"/>
        <w:szCs w:val="18"/>
      </w:rPr>
    </w:pPr>
    <w:hyperlink r:id="rId1" w:history="1">
      <w:r w:rsidR="00E70B34" w:rsidRPr="00FC413F">
        <w:rPr>
          <w:rStyle w:val="Hyperlink"/>
          <w:rFonts w:cs="Segoe UI"/>
          <w:szCs w:val="18"/>
        </w:rPr>
        <w:t>infrastructure.gov.au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8DF2F" w14:textId="77777777" w:rsidR="00E70B34" w:rsidRDefault="00E70B34" w:rsidP="00FC413F">
      <w:pPr>
        <w:spacing w:after="0"/>
      </w:pPr>
      <w:r>
        <w:separator/>
      </w:r>
    </w:p>
  </w:footnote>
  <w:footnote w:type="continuationSeparator" w:id="0">
    <w:p w14:paraId="0E4CCD8B" w14:textId="77777777" w:rsidR="00E70B34" w:rsidRDefault="00E70B34" w:rsidP="00FC413F">
      <w:pPr>
        <w:spacing w:after="0"/>
      </w:pPr>
      <w:r>
        <w:continuationSeparator/>
      </w:r>
    </w:p>
  </w:footnote>
  <w:footnote w:type="continuationNotice" w:id="1">
    <w:p w14:paraId="50091DF6" w14:textId="77777777" w:rsidR="00E70B34" w:rsidRDefault="00E70B34">
      <w:pPr>
        <w:spacing w:after="0"/>
      </w:pPr>
    </w:p>
  </w:footnote>
  <w:footnote w:id="2">
    <w:p w14:paraId="32C10036" w14:textId="59B7C681" w:rsidR="00E70B34" w:rsidRPr="005A0F79" w:rsidRDefault="00E70B34">
      <w:pPr>
        <w:pStyle w:val="FootnoteText"/>
        <w:rPr>
          <w:lang w:val="en-US"/>
        </w:rPr>
      </w:pPr>
      <w:r>
        <w:rPr>
          <w:rStyle w:val="FootnoteReference"/>
        </w:rPr>
        <w:footnoteRef/>
      </w:r>
      <w:r>
        <w:t xml:space="preserve"> That previous discussion paper built on preceding work through the </w:t>
      </w:r>
      <w:proofErr w:type="spellStart"/>
      <w:r w:rsidRPr="55F33902">
        <w:rPr>
          <w:i/>
          <w:iCs/>
        </w:rPr>
        <w:t>iMove</w:t>
      </w:r>
      <w:proofErr w:type="spellEnd"/>
      <w:r w:rsidRPr="55F33902">
        <w:rPr>
          <w:i/>
          <w:iCs/>
        </w:rPr>
        <w:t xml:space="preserve"> Freight Data Requirement Study </w:t>
      </w:r>
      <w:r>
        <w:t xml:space="preserve">and stakeholder consultation conducted through the </w:t>
      </w:r>
      <w:r w:rsidRPr="55F33902">
        <w:rPr>
          <w:i/>
          <w:iCs/>
        </w:rPr>
        <w:t>National Freight and Supply Chain Strategy</w:t>
      </w:r>
      <w:r>
        <w:t>.</w:t>
      </w:r>
    </w:p>
  </w:footnote>
  <w:footnote w:id="3">
    <w:p w14:paraId="7ABE59BC" w14:textId="77777777" w:rsidR="00E70B34" w:rsidRPr="002D2C47" w:rsidRDefault="00E70B34" w:rsidP="008609CD">
      <w:pPr>
        <w:pStyle w:val="FootnoteText"/>
        <w:rPr>
          <w:lang w:val="en-US"/>
        </w:rPr>
      </w:pPr>
      <w:r>
        <w:rPr>
          <w:rStyle w:val="FootnoteReference"/>
        </w:rPr>
        <w:footnoteRef/>
      </w:r>
      <w:r>
        <w:t xml:space="preserve"> </w:t>
      </w:r>
      <w:hyperlink r:id="rId1" w:history="1">
        <w:r w:rsidRPr="00B44562">
          <w:rPr>
            <w:rStyle w:val="Hyperlink"/>
          </w:rPr>
          <w:t>https://www.pmc.gov.au/sites/default/files/publications/Australian_Government_Guide_to_Regulation.pdf</w:t>
        </w:r>
      </w:hyperlink>
      <w:r>
        <w:t xml:space="preserve"> </w:t>
      </w:r>
    </w:p>
  </w:footnote>
  <w:footnote w:id="4">
    <w:p w14:paraId="73856A45" w14:textId="77777777" w:rsidR="00E70B34" w:rsidRPr="009F4C71" w:rsidRDefault="00E70B34" w:rsidP="008609CD">
      <w:pPr>
        <w:pStyle w:val="FootnoteText"/>
        <w:rPr>
          <w:lang w:val="en-US"/>
        </w:rPr>
      </w:pPr>
      <w:r>
        <w:rPr>
          <w:rStyle w:val="FootnoteReference"/>
        </w:rPr>
        <w:footnoteRef/>
      </w:r>
      <w:r>
        <w:t xml:space="preserve"> </w:t>
      </w:r>
      <w:r>
        <w:rPr>
          <w:lang w:val="en-US"/>
        </w:rPr>
        <w:t xml:space="preserve">There is a spectrum of regulatory responses: no regulation, better enforcement of existing regulation, light-touch regulation, self-regulation, quasi-regulation, co-regulation, explicit government regulation, as well as alternative policy instruments.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DC913" w14:textId="77777777" w:rsidR="00E70B34" w:rsidRDefault="00E70B34">
    <w:pPr>
      <w:pStyle w:val="Header"/>
    </w:pPr>
  </w:p>
  <w:p w14:paraId="7894A115" w14:textId="77777777" w:rsidR="00E70B34" w:rsidRDefault="00E70B34">
    <w:pPr>
      <w:pStyle w:val="Header"/>
    </w:pPr>
  </w:p>
  <w:p w14:paraId="1C1211CA" w14:textId="3427B46F" w:rsidR="00E70B34" w:rsidRPr="006260F0" w:rsidRDefault="00E70B34" w:rsidP="006260F0">
    <w:pPr>
      <w:pStyle w:val="Header"/>
      <w:jc w:val="center"/>
      <w:rPr>
        <w:sz w:val="22"/>
        <w:szCs w:val="28"/>
      </w:rPr>
    </w:pPr>
    <w:r w:rsidRPr="006260F0">
      <w:rPr>
        <w:sz w:val="22"/>
        <w:szCs w:val="28"/>
      </w:rPr>
      <w:t>For Official Use Only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1F854" w14:textId="77777777" w:rsidR="00E70B34" w:rsidRDefault="00E70B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78B9B" w14:textId="7241CCFB" w:rsidR="00E70B34" w:rsidRDefault="00E70B34" w:rsidP="00FC413F">
    <w:pPr>
      <w:pStyle w:val="Header"/>
      <w:tabs>
        <w:tab w:val="right" w:pos="9475"/>
      </w:tabs>
      <w:ind w:left="-1418"/>
    </w:pPr>
    <w:r w:rsidRPr="006260F0">
      <w:rPr>
        <w:rFonts w:cs="Segoe UI Light"/>
        <w:noProof/>
        <w:szCs w:val="18"/>
        <w:lang w:eastAsia="en-AU"/>
      </w:rPr>
      <mc:AlternateContent>
        <mc:Choice Requires="wps">
          <w:drawing>
            <wp:anchor distT="45720" distB="45720" distL="114300" distR="114300" simplePos="0" relativeHeight="251657216" behindDoc="0" locked="0" layoutInCell="1" allowOverlap="1" wp14:anchorId="44B74556" wp14:editId="5C9BE8CC">
              <wp:simplePos x="0" y="0"/>
              <wp:positionH relativeFrom="margin">
                <wp:align>center</wp:align>
              </wp:positionH>
              <wp:positionV relativeFrom="paragraph">
                <wp:posOffset>298671</wp:posOffset>
              </wp:positionV>
              <wp:extent cx="2360930"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69EE0D" w14:textId="066AF962" w:rsidR="00E70B34" w:rsidRPr="006260F0" w:rsidRDefault="00E70B34" w:rsidP="006260F0">
                          <w:pPr>
                            <w:jc w:val="center"/>
                            <w:rPr>
                              <w:color w:val="FFFFFF" w:themeColor="background1"/>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4B74556" id="_x0000_t202" coordsize="21600,21600" o:spt="202" path="m,l,21600r21600,l21600,xe">
              <v:stroke joinstyle="miter"/>
              <v:path gradientshapeok="t" o:connecttype="rect"/>
            </v:shapetype>
            <v:shape id="Text Box 2" o:spid="_x0000_s1026" type="#_x0000_t202" style="position:absolute;left:0;text-align:left;margin-left:0;margin-top:23.5pt;width:185.9pt;height:110.6pt;z-index:2516572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" filled="f" stroked="f">
              <v:textbox style="mso-fit-shape-to-text:t">
                <w:txbxContent>
                  <w:p w14:paraId="3769EE0D" w14:textId="066AF962" w:rsidR="00E70B34" w:rsidRPr="006260F0" w:rsidRDefault="00E70B34" w:rsidP="006260F0">
                    <w:pPr>
                      <w:jc w:val="center"/>
                      <w:rPr>
                        <w:color w:val="FFFFFF" w:themeColor="background1"/>
                      </w:rPr>
                    </w:pPr>
                  </w:p>
                </w:txbxContent>
              </v:textbox>
              <w10:wrap anchorx="margin"/>
            </v:shape>
          </w:pict>
        </mc:Fallback>
      </mc:AlternateContent>
    </w:r>
    <w:r>
      <w:rPr>
        <w:noProof/>
        <w:lang w:eastAsia="en-AU"/>
      </w:rPr>
      <w:drawing>
        <wp:inline distT="0" distB="0" distL="0" distR="0" wp14:anchorId="1789F0B1" wp14:editId="643EB0E0">
          <wp:extent cx="7570706" cy="1080198"/>
          <wp:effectExtent l="0" t="0" r="0" b="5715"/>
          <wp:docPr id="11" name="Picture 2"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0706" cy="1080198"/>
                  </a:xfrm>
                  <a:prstGeom prst="rect">
                    <a:avLst/>
                  </a:prstGeom>
                </pic:spPr>
              </pic:pic>
            </a:graphicData>
          </a:graphic>
        </wp:inline>
      </w:drawing>
    </w:r>
  </w:p>
  <w:p w14:paraId="1D03A2A9" w14:textId="631DBB97" w:rsidR="00E70B34" w:rsidRPr="00261FFA" w:rsidRDefault="00E70B34" w:rsidP="00FC413F">
    <w:pPr>
      <w:pStyle w:val="Header"/>
      <w:rPr>
        <w:rFonts w:cs="Segoe UI Light"/>
        <w:color w:val="001C40"/>
        <w:szCs w:val="18"/>
      </w:rPr>
    </w:pPr>
    <w:r w:rsidRPr="00261FFA">
      <w:rPr>
        <w:rFonts w:cs="Segoe UI Light"/>
        <w:szCs w:val="18"/>
      </w:rPr>
      <w:tab/>
    </w:r>
    <w:r w:rsidRPr="00261FFA">
      <w:rPr>
        <w:rFonts w:cs="Segoe UI Light"/>
        <w:szCs w:val="18"/>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4A0CF" w14:textId="77777777" w:rsidR="00E70B34" w:rsidRDefault="00E70B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EFE68" w14:textId="77777777" w:rsidR="00E70B34" w:rsidRDefault="00E70B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FC313" w14:textId="25D6DCE2" w:rsidR="00E70B34" w:rsidRDefault="00E70B34" w:rsidP="00FC413F">
    <w:pPr>
      <w:pStyle w:val="Header"/>
      <w:tabs>
        <w:tab w:val="right" w:pos="9475"/>
      </w:tabs>
      <w:ind w:left="-1418"/>
    </w:pPr>
  </w:p>
  <w:p w14:paraId="1D670143" w14:textId="7CC1786F" w:rsidR="00E70B34" w:rsidRDefault="00E70B34" w:rsidP="00FC41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BF95A" w14:textId="77777777" w:rsidR="00E70B34" w:rsidRDefault="00E70B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10621"/>
    <w:multiLevelType w:val="hybridMultilevel"/>
    <w:tmpl w:val="86D8AA0C"/>
    <w:lvl w:ilvl="0" w:tplc="3B4C55EE">
      <w:start w:val="1"/>
      <w:numFmt w:val="bullet"/>
      <w:lvlText w:val="•"/>
      <w:lvlJc w:val="left"/>
      <w:pPr>
        <w:tabs>
          <w:tab w:val="num" w:pos="720"/>
        </w:tabs>
        <w:ind w:left="720" w:hanging="360"/>
      </w:pPr>
      <w:rPr>
        <w:rFonts w:ascii="Arial" w:hAnsi="Arial" w:hint="default"/>
      </w:rPr>
    </w:lvl>
    <w:lvl w:ilvl="1" w:tplc="FBF0B756" w:tentative="1">
      <w:start w:val="1"/>
      <w:numFmt w:val="bullet"/>
      <w:lvlText w:val="•"/>
      <w:lvlJc w:val="left"/>
      <w:pPr>
        <w:tabs>
          <w:tab w:val="num" w:pos="1440"/>
        </w:tabs>
        <w:ind w:left="1440" w:hanging="360"/>
      </w:pPr>
      <w:rPr>
        <w:rFonts w:ascii="Arial" w:hAnsi="Arial" w:hint="default"/>
      </w:rPr>
    </w:lvl>
    <w:lvl w:ilvl="2" w:tplc="150CBDC8" w:tentative="1">
      <w:start w:val="1"/>
      <w:numFmt w:val="bullet"/>
      <w:lvlText w:val="•"/>
      <w:lvlJc w:val="left"/>
      <w:pPr>
        <w:tabs>
          <w:tab w:val="num" w:pos="2160"/>
        </w:tabs>
        <w:ind w:left="2160" w:hanging="360"/>
      </w:pPr>
      <w:rPr>
        <w:rFonts w:ascii="Arial" w:hAnsi="Arial" w:hint="default"/>
      </w:rPr>
    </w:lvl>
    <w:lvl w:ilvl="3" w:tplc="48D43B5C" w:tentative="1">
      <w:start w:val="1"/>
      <w:numFmt w:val="bullet"/>
      <w:lvlText w:val="•"/>
      <w:lvlJc w:val="left"/>
      <w:pPr>
        <w:tabs>
          <w:tab w:val="num" w:pos="2880"/>
        </w:tabs>
        <w:ind w:left="2880" w:hanging="360"/>
      </w:pPr>
      <w:rPr>
        <w:rFonts w:ascii="Arial" w:hAnsi="Arial" w:hint="default"/>
      </w:rPr>
    </w:lvl>
    <w:lvl w:ilvl="4" w:tplc="BA42FA60" w:tentative="1">
      <w:start w:val="1"/>
      <w:numFmt w:val="bullet"/>
      <w:lvlText w:val="•"/>
      <w:lvlJc w:val="left"/>
      <w:pPr>
        <w:tabs>
          <w:tab w:val="num" w:pos="3600"/>
        </w:tabs>
        <w:ind w:left="3600" w:hanging="360"/>
      </w:pPr>
      <w:rPr>
        <w:rFonts w:ascii="Arial" w:hAnsi="Arial" w:hint="default"/>
      </w:rPr>
    </w:lvl>
    <w:lvl w:ilvl="5" w:tplc="BBBE10E2" w:tentative="1">
      <w:start w:val="1"/>
      <w:numFmt w:val="bullet"/>
      <w:lvlText w:val="•"/>
      <w:lvlJc w:val="left"/>
      <w:pPr>
        <w:tabs>
          <w:tab w:val="num" w:pos="4320"/>
        </w:tabs>
        <w:ind w:left="4320" w:hanging="360"/>
      </w:pPr>
      <w:rPr>
        <w:rFonts w:ascii="Arial" w:hAnsi="Arial" w:hint="default"/>
      </w:rPr>
    </w:lvl>
    <w:lvl w:ilvl="6" w:tplc="061CDF86" w:tentative="1">
      <w:start w:val="1"/>
      <w:numFmt w:val="bullet"/>
      <w:lvlText w:val="•"/>
      <w:lvlJc w:val="left"/>
      <w:pPr>
        <w:tabs>
          <w:tab w:val="num" w:pos="5040"/>
        </w:tabs>
        <w:ind w:left="5040" w:hanging="360"/>
      </w:pPr>
      <w:rPr>
        <w:rFonts w:ascii="Arial" w:hAnsi="Arial" w:hint="default"/>
      </w:rPr>
    </w:lvl>
    <w:lvl w:ilvl="7" w:tplc="9C0E41C2" w:tentative="1">
      <w:start w:val="1"/>
      <w:numFmt w:val="bullet"/>
      <w:lvlText w:val="•"/>
      <w:lvlJc w:val="left"/>
      <w:pPr>
        <w:tabs>
          <w:tab w:val="num" w:pos="5760"/>
        </w:tabs>
        <w:ind w:left="5760" w:hanging="360"/>
      </w:pPr>
      <w:rPr>
        <w:rFonts w:ascii="Arial" w:hAnsi="Arial" w:hint="default"/>
      </w:rPr>
    </w:lvl>
    <w:lvl w:ilvl="8" w:tplc="31CA5A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726C3A"/>
    <w:multiLevelType w:val="hybridMultilevel"/>
    <w:tmpl w:val="649E8B6A"/>
    <w:lvl w:ilvl="0" w:tplc="CF4C4EB2">
      <w:start w:val="1"/>
      <w:numFmt w:val="bullet"/>
      <w:lvlText w:val="•"/>
      <w:lvlJc w:val="left"/>
      <w:pPr>
        <w:tabs>
          <w:tab w:val="num" w:pos="720"/>
        </w:tabs>
        <w:ind w:left="720" w:hanging="360"/>
      </w:pPr>
      <w:rPr>
        <w:rFonts w:ascii="Arial" w:hAnsi="Arial" w:hint="default"/>
      </w:rPr>
    </w:lvl>
    <w:lvl w:ilvl="1" w:tplc="6C18723C" w:tentative="1">
      <w:start w:val="1"/>
      <w:numFmt w:val="bullet"/>
      <w:lvlText w:val="•"/>
      <w:lvlJc w:val="left"/>
      <w:pPr>
        <w:tabs>
          <w:tab w:val="num" w:pos="1440"/>
        </w:tabs>
        <w:ind w:left="1440" w:hanging="360"/>
      </w:pPr>
      <w:rPr>
        <w:rFonts w:ascii="Arial" w:hAnsi="Arial" w:hint="default"/>
      </w:rPr>
    </w:lvl>
    <w:lvl w:ilvl="2" w:tplc="F3FCAE10" w:tentative="1">
      <w:start w:val="1"/>
      <w:numFmt w:val="bullet"/>
      <w:lvlText w:val="•"/>
      <w:lvlJc w:val="left"/>
      <w:pPr>
        <w:tabs>
          <w:tab w:val="num" w:pos="2160"/>
        </w:tabs>
        <w:ind w:left="2160" w:hanging="360"/>
      </w:pPr>
      <w:rPr>
        <w:rFonts w:ascii="Arial" w:hAnsi="Arial" w:hint="default"/>
      </w:rPr>
    </w:lvl>
    <w:lvl w:ilvl="3" w:tplc="0E120DA4" w:tentative="1">
      <w:start w:val="1"/>
      <w:numFmt w:val="bullet"/>
      <w:lvlText w:val="•"/>
      <w:lvlJc w:val="left"/>
      <w:pPr>
        <w:tabs>
          <w:tab w:val="num" w:pos="2880"/>
        </w:tabs>
        <w:ind w:left="2880" w:hanging="360"/>
      </w:pPr>
      <w:rPr>
        <w:rFonts w:ascii="Arial" w:hAnsi="Arial" w:hint="default"/>
      </w:rPr>
    </w:lvl>
    <w:lvl w:ilvl="4" w:tplc="8B3ABD34" w:tentative="1">
      <w:start w:val="1"/>
      <w:numFmt w:val="bullet"/>
      <w:lvlText w:val="•"/>
      <w:lvlJc w:val="left"/>
      <w:pPr>
        <w:tabs>
          <w:tab w:val="num" w:pos="3600"/>
        </w:tabs>
        <w:ind w:left="3600" w:hanging="360"/>
      </w:pPr>
      <w:rPr>
        <w:rFonts w:ascii="Arial" w:hAnsi="Arial" w:hint="default"/>
      </w:rPr>
    </w:lvl>
    <w:lvl w:ilvl="5" w:tplc="0374CCF8" w:tentative="1">
      <w:start w:val="1"/>
      <w:numFmt w:val="bullet"/>
      <w:lvlText w:val="•"/>
      <w:lvlJc w:val="left"/>
      <w:pPr>
        <w:tabs>
          <w:tab w:val="num" w:pos="4320"/>
        </w:tabs>
        <w:ind w:left="4320" w:hanging="360"/>
      </w:pPr>
      <w:rPr>
        <w:rFonts w:ascii="Arial" w:hAnsi="Arial" w:hint="default"/>
      </w:rPr>
    </w:lvl>
    <w:lvl w:ilvl="6" w:tplc="CE681322" w:tentative="1">
      <w:start w:val="1"/>
      <w:numFmt w:val="bullet"/>
      <w:lvlText w:val="•"/>
      <w:lvlJc w:val="left"/>
      <w:pPr>
        <w:tabs>
          <w:tab w:val="num" w:pos="5040"/>
        </w:tabs>
        <w:ind w:left="5040" w:hanging="360"/>
      </w:pPr>
      <w:rPr>
        <w:rFonts w:ascii="Arial" w:hAnsi="Arial" w:hint="default"/>
      </w:rPr>
    </w:lvl>
    <w:lvl w:ilvl="7" w:tplc="6F7A0D38" w:tentative="1">
      <w:start w:val="1"/>
      <w:numFmt w:val="bullet"/>
      <w:lvlText w:val="•"/>
      <w:lvlJc w:val="left"/>
      <w:pPr>
        <w:tabs>
          <w:tab w:val="num" w:pos="5760"/>
        </w:tabs>
        <w:ind w:left="5760" w:hanging="360"/>
      </w:pPr>
      <w:rPr>
        <w:rFonts w:ascii="Arial" w:hAnsi="Arial" w:hint="default"/>
      </w:rPr>
    </w:lvl>
    <w:lvl w:ilvl="8" w:tplc="7414C1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C0310E8"/>
    <w:multiLevelType w:val="multilevel"/>
    <w:tmpl w:val="89528DAE"/>
    <w:lvl w:ilvl="0">
      <w:start w:val="1"/>
      <w:numFmt w:val="decimal"/>
      <w:lvlText w:val="%1."/>
      <w:lvlJc w:val="left"/>
      <w:pPr>
        <w:ind w:left="360" w:hanging="360"/>
      </w:pPr>
      <w:rPr>
        <w:caps w:val="0"/>
        <w:smallCaps w:val="0"/>
        <w:strike w:val="0"/>
        <w:dstrike w:val="0"/>
        <w:vanish w:val="0"/>
        <w:color w:val="auto"/>
        <w:position w:val="0"/>
        <w:sz w:val="22"/>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D21541C"/>
    <w:multiLevelType w:val="hybridMultilevel"/>
    <w:tmpl w:val="176CFB5C"/>
    <w:lvl w:ilvl="0" w:tplc="0C09000F">
      <w:start w:val="1"/>
      <w:numFmt w:val="decimal"/>
      <w:lvlText w:val="%1."/>
      <w:lvlJc w:val="left"/>
      <w:pPr>
        <w:ind w:left="360" w:hanging="360"/>
      </w:pPr>
      <w:rPr>
        <w:rFonts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086496"/>
    <w:multiLevelType w:val="multilevel"/>
    <w:tmpl w:val="5184BC06"/>
    <w:name w:val="Chapter numbering list"/>
    <w:lvl w:ilvl="0">
      <w:start w:val="1"/>
      <w:numFmt w:val="decimal"/>
      <w:lvlRestart w:val="0"/>
      <w:suff w:val="nothing"/>
      <w:lvlText w:val="%1"/>
      <w:lvlJc w:val="left"/>
      <w:pPr>
        <w:ind w:left="0" w:firstLine="0"/>
      </w:pPr>
      <w:rPr>
        <w:rFonts w:hint="default"/>
      </w:rPr>
    </w:lvl>
    <w:lvl w:ilvl="1">
      <w:start w:val="1"/>
      <w:numFmt w:val="decimal"/>
      <w:lvlRestart w:val="0"/>
      <w:pStyle w:val="Heading2"/>
      <w:lvlText w:val="%2"/>
      <w:lvlJc w:val="left"/>
      <w:pPr>
        <w:tabs>
          <w:tab w:val="num" w:pos="850"/>
        </w:tabs>
        <w:ind w:left="850" w:hanging="850"/>
      </w:pPr>
      <w:rPr>
        <w:rFonts w:hint="default"/>
      </w:rPr>
    </w:lvl>
    <w:lvl w:ilvl="2">
      <w:start w:val="1"/>
      <w:numFmt w:val="decimal"/>
      <w:pStyle w:val="Heading6"/>
      <w:lvlText w:val="%2.%3"/>
      <w:lvlJc w:val="left"/>
      <w:pPr>
        <w:tabs>
          <w:tab w:val="num" w:pos="850"/>
        </w:tabs>
        <w:ind w:left="850" w:hanging="850"/>
      </w:pPr>
      <w:rPr>
        <w:rFonts w:hint="default"/>
      </w:rPr>
    </w:lvl>
    <w:lvl w:ilvl="3">
      <w:start w:val="1"/>
      <w:numFmt w:val="decimal"/>
      <w:pStyle w:val="Heading7"/>
      <w:lvlText w:val="%2.%3.%4"/>
      <w:lvlJc w:val="left"/>
      <w:pPr>
        <w:tabs>
          <w:tab w:val="num" w:pos="850"/>
        </w:tabs>
        <w:ind w:left="850" w:hanging="850"/>
      </w:pPr>
      <w:rPr>
        <w:rFonts w:hint="default"/>
      </w:rPr>
    </w:lvl>
    <w:lvl w:ilvl="4">
      <w:start w:val="1"/>
      <w:numFmt w:val="upperLetter"/>
      <w:lvlRestart w:val="0"/>
      <w:pStyle w:val="Heading4"/>
      <w:lvlText w:val="Appendix %5"/>
      <w:lvlJc w:val="left"/>
      <w:pPr>
        <w:tabs>
          <w:tab w:val="num" w:pos="7371"/>
        </w:tabs>
        <w:ind w:left="3686" w:firstLine="0"/>
      </w:pPr>
      <w:rPr>
        <w:rFonts w:hint="default"/>
      </w:rPr>
    </w:lvl>
    <w:lvl w:ilvl="5">
      <w:start w:val="1"/>
      <w:numFmt w:val="upperLetter"/>
      <w:lvlRestart w:val="0"/>
      <w:suff w:val="nothing"/>
      <w:lvlText w:val="%6"/>
      <w:lvlJc w:val="left"/>
      <w:pPr>
        <w:ind w:left="0" w:firstLine="0"/>
      </w:pPr>
      <w:rPr>
        <w:rFonts w:hint="default"/>
      </w:rPr>
    </w:lvl>
    <w:lvl w:ilvl="6">
      <w:start w:val="1"/>
      <w:numFmt w:val="decimal"/>
      <w:pStyle w:val="Heading8"/>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pStyle w:val="Tablefigureheading"/>
      <w:lvlText w:val="%9"/>
      <w:lvlJc w:val="left"/>
      <w:pPr>
        <w:tabs>
          <w:tab w:val="num" w:pos="1134"/>
        </w:tabs>
        <w:ind w:left="1134" w:hanging="567"/>
      </w:pPr>
      <w:rPr>
        <w:rFonts w:hint="default"/>
      </w:rPr>
    </w:lvl>
  </w:abstractNum>
  <w:abstractNum w:abstractNumId="6" w15:restartNumberingAfterBreak="0">
    <w:nsid w:val="4AAB5470"/>
    <w:multiLevelType w:val="multilevel"/>
    <w:tmpl w:val="540E0A8E"/>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7"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571694"/>
    <w:multiLevelType w:val="hybridMultilevel"/>
    <w:tmpl w:val="9B2C4DE2"/>
    <w:lvl w:ilvl="0" w:tplc="592A29C6">
      <w:start w:val="1"/>
      <w:numFmt w:val="bullet"/>
      <w:lvlText w:val=""/>
      <w:lvlJc w:val="left"/>
      <w:pPr>
        <w:tabs>
          <w:tab w:val="num" w:pos="360"/>
        </w:tabs>
        <w:ind w:left="360" w:hanging="360"/>
      </w:pPr>
      <w:rPr>
        <w:rFonts w:ascii="Symbol" w:hAnsi="Symbol" w:hint="default"/>
      </w:rPr>
    </w:lvl>
    <w:lvl w:ilvl="1" w:tplc="DAE4F010" w:tentative="1">
      <w:start w:val="1"/>
      <w:numFmt w:val="bullet"/>
      <w:lvlText w:val=""/>
      <w:lvlJc w:val="left"/>
      <w:pPr>
        <w:tabs>
          <w:tab w:val="num" w:pos="1080"/>
        </w:tabs>
        <w:ind w:left="1080" w:hanging="360"/>
      </w:pPr>
      <w:rPr>
        <w:rFonts w:ascii="Symbol" w:hAnsi="Symbol" w:hint="default"/>
      </w:rPr>
    </w:lvl>
    <w:lvl w:ilvl="2" w:tplc="251CEDB6" w:tentative="1">
      <w:start w:val="1"/>
      <w:numFmt w:val="bullet"/>
      <w:lvlText w:val=""/>
      <w:lvlJc w:val="left"/>
      <w:pPr>
        <w:tabs>
          <w:tab w:val="num" w:pos="1800"/>
        </w:tabs>
        <w:ind w:left="1800" w:hanging="360"/>
      </w:pPr>
      <w:rPr>
        <w:rFonts w:ascii="Symbol" w:hAnsi="Symbol" w:hint="default"/>
      </w:rPr>
    </w:lvl>
    <w:lvl w:ilvl="3" w:tplc="F2682DC4" w:tentative="1">
      <w:start w:val="1"/>
      <w:numFmt w:val="bullet"/>
      <w:lvlText w:val=""/>
      <w:lvlJc w:val="left"/>
      <w:pPr>
        <w:tabs>
          <w:tab w:val="num" w:pos="2520"/>
        </w:tabs>
        <w:ind w:left="2520" w:hanging="360"/>
      </w:pPr>
      <w:rPr>
        <w:rFonts w:ascii="Symbol" w:hAnsi="Symbol" w:hint="default"/>
      </w:rPr>
    </w:lvl>
    <w:lvl w:ilvl="4" w:tplc="442464F8" w:tentative="1">
      <w:start w:val="1"/>
      <w:numFmt w:val="bullet"/>
      <w:lvlText w:val=""/>
      <w:lvlJc w:val="left"/>
      <w:pPr>
        <w:tabs>
          <w:tab w:val="num" w:pos="3240"/>
        </w:tabs>
        <w:ind w:left="3240" w:hanging="360"/>
      </w:pPr>
      <w:rPr>
        <w:rFonts w:ascii="Symbol" w:hAnsi="Symbol" w:hint="default"/>
      </w:rPr>
    </w:lvl>
    <w:lvl w:ilvl="5" w:tplc="09824466" w:tentative="1">
      <w:start w:val="1"/>
      <w:numFmt w:val="bullet"/>
      <w:lvlText w:val=""/>
      <w:lvlJc w:val="left"/>
      <w:pPr>
        <w:tabs>
          <w:tab w:val="num" w:pos="3960"/>
        </w:tabs>
        <w:ind w:left="3960" w:hanging="360"/>
      </w:pPr>
      <w:rPr>
        <w:rFonts w:ascii="Symbol" w:hAnsi="Symbol" w:hint="default"/>
      </w:rPr>
    </w:lvl>
    <w:lvl w:ilvl="6" w:tplc="921A9724" w:tentative="1">
      <w:start w:val="1"/>
      <w:numFmt w:val="bullet"/>
      <w:lvlText w:val=""/>
      <w:lvlJc w:val="left"/>
      <w:pPr>
        <w:tabs>
          <w:tab w:val="num" w:pos="4680"/>
        </w:tabs>
        <w:ind w:left="4680" w:hanging="360"/>
      </w:pPr>
      <w:rPr>
        <w:rFonts w:ascii="Symbol" w:hAnsi="Symbol" w:hint="default"/>
      </w:rPr>
    </w:lvl>
    <w:lvl w:ilvl="7" w:tplc="C5AE4BA8" w:tentative="1">
      <w:start w:val="1"/>
      <w:numFmt w:val="bullet"/>
      <w:lvlText w:val=""/>
      <w:lvlJc w:val="left"/>
      <w:pPr>
        <w:tabs>
          <w:tab w:val="num" w:pos="5400"/>
        </w:tabs>
        <w:ind w:left="5400" w:hanging="360"/>
      </w:pPr>
      <w:rPr>
        <w:rFonts w:ascii="Symbol" w:hAnsi="Symbol" w:hint="default"/>
      </w:rPr>
    </w:lvl>
    <w:lvl w:ilvl="8" w:tplc="F558D09E"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5DCE63DF"/>
    <w:multiLevelType w:val="hybridMultilevel"/>
    <w:tmpl w:val="57749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C16E59"/>
    <w:multiLevelType w:val="hybridMultilevel"/>
    <w:tmpl w:val="4EE4DA00"/>
    <w:lvl w:ilvl="0" w:tplc="AB464DF2">
      <w:start w:val="1"/>
      <w:numFmt w:val="bullet"/>
      <w:lvlText w:val="•"/>
      <w:lvlJc w:val="left"/>
      <w:pPr>
        <w:tabs>
          <w:tab w:val="num" w:pos="720"/>
        </w:tabs>
        <w:ind w:left="720" w:hanging="360"/>
      </w:pPr>
      <w:rPr>
        <w:rFonts w:ascii="Arial" w:hAnsi="Arial" w:hint="default"/>
      </w:rPr>
    </w:lvl>
    <w:lvl w:ilvl="1" w:tplc="B48E5BB2" w:tentative="1">
      <w:start w:val="1"/>
      <w:numFmt w:val="bullet"/>
      <w:lvlText w:val="•"/>
      <w:lvlJc w:val="left"/>
      <w:pPr>
        <w:tabs>
          <w:tab w:val="num" w:pos="1440"/>
        </w:tabs>
        <w:ind w:left="1440" w:hanging="360"/>
      </w:pPr>
      <w:rPr>
        <w:rFonts w:ascii="Arial" w:hAnsi="Arial" w:hint="default"/>
      </w:rPr>
    </w:lvl>
    <w:lvl w:ilvl="2" w:tplc="47920D64" w:tentative="1">
      <w:start w:val="1"/>
      <w:numFmt w:val="bullet"/>
      <w:lvlText w:val="•"/>
      <w:lvlJc w:val="left"/>
      <w:pPr>
        <w:tabs>
          <w:tab w:val="num" w:pos="2160"/>
        </w:tabs>
        <w:ind w:left="2160" w:hanging="360"/>
      </w:pPr>
      <w:rPr>
        <w:rFonts w:ascii="Arial" w:hAnsi="Arial" w:hint="default"/>
      </w:rPr>
    </w:lvl>
    <w:lvl w:ilvl="3" w:tplc="0AC20170" w:tentative="1">
      <w:start w:val="1"/>
      <w:numFmt w:val="bullet"/>
      <w:lvlText w:val="•"/>
      <w:lvlJc w:val="left"/>
      <w:pPr>
        <w:tabs>
          <w:tab w:val="num" w:pos="2880"/>
        </w:tabs>
        <w:ind w:left="2880" w:hanging="360"/>
      </w:pPr>
      <w:rPr>
        <w:rFonts w:ascii="Arial" w:hAnsi="Arial" w:hint="default"/>
      </w:rPr>
    </w:lvl>
    <w:lvl w:ilvl="4" w:tplc="A726D85A" w:tentative="1">
      <w:start w:val="1"/>
      <w:numFmt w:val="bullet"/>
      <w:lvlText w:val="•"/>
      <w:lvlJc w:val="left"/>
      <w:pPr>
        <w:tabs>
          <w:tab w:val="num" w:pos="3600"/>
        </w:tabs>
        <w:ind w:left="3600" w:hanging="360"/>
      </w:pPr>
      <w:rPr>
        <w:rFonts w:ascii="Arial" w:hAnsi="Arial" w:hint="default"/>
      </w:rPr>
    </w:lvl>
    <w:lvl w:ilvl="5" w:tplc="75941320" w:tentative="1">
      <w:start w:val="1"/>
      <w:numFmt w:val="bullet"/>
      <w:lvlText w:val="•"/>
      <w:lvlJc w:val="left"/>
      <w:pPr>
        <w:tabs>
          <w:tab w:val="num" w:pos="4320"/>
        </w:tabs>
        <w:ind w:left="4320" w:hanging="360"/>
      </w:pPr>
      <w:rPr>
        <w:rFonts w:ascii="Arial" w:hAnsi="Arial" w:hint="default"/>
      </w:rPr>
    </w:lvl>
    <w:lvl w:ilvl="6" w:tplc="299471F6" w:tentative="1">
      <w:start w:val="1"/>
      <w:numFmt w:val="bullet"/>
      <w:lvlText w:val="•"/>
      <w:lvlJc w:val="left"/>
      <w:pPr>
        <w:tabs>
          <w:tab w:val="num" w:pos="5040"/>
        </w:tabs>
        <w:ind w:left="5040" w:hanging="360"/>
      </w:pPr>
      <w:rPr>
        <w:rFonts w:ascii="Arial" w:hAnsi="Arial" w:hint="default"/>
      </w:rPr>
    </w:lvl>
    <w:lvl w:ilvl="7" w:tplc="5FDAC07A" w:tentative="1">
      <w:start w:val="1"/>
      <w:numFmt w:val="bullet"/>
      <w:lvlText w:val="•"/>
      <w:lvlJc w:val="left"/>
      <w:pPr>
        <w:tabs>
          <w:tab w:val="num" w:pos="5760"/>
        </w:tabs>
        <w:ind w:left="5760" w:hanging="360"/>
      </w:pPr>
      <w:rPr>
        <w:rFonts w:ascii="Arial" w:hAnsi="Arial" w:hint="default"/>
      </w:rPr>
    </w:lvl>
    <w:lvl w:ilvl="8" w:tplc="848C99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917BB9"/>
    <w:multiLevelType w:val="multilevel"/>
    <w:tmpl w:val="C63A1C26"/>
    <w:lvl w:ilvl="0">
      <w:start w:val="1"/>
      <w:numFmt w:val="decimal"/>
      <w:suff w:val="nothing"/>
      <w:lvlText w:val=""/>
      <w:lvlJc w:val="left"/>
      <w:pPr>
        <w:ind w:left="0" w:firstLine="0"/>
      </w:pPr>
      <w:rPr>
        <w:color w:val="auto"/>
      </w:rPr>
    </w:lvl>
    <w:lvl w:ilvl="1">
      <w:start w:val="1"/>
      <w:numFmt w:val="none"/>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12" w15:restartNumberingAfterBreak="0">
    <w:nsid w:val="6D1A3E11"/>
    <w:multiLevelType w:val="hybridMultilevel"/>
    <w:tmpl w:val="C01EF282"/>
    <w:lvl w:ilvl="0" w:tplc="03E84C7E">
      <w:start w:val="1"/>
      <w:numFmt w:val="decimal"/>
      <w:lvlText w:val="%1."/>
      <w:lvlJc w:val="left"/>
      <w:pPr>
        <w:ind w:left="360" w:hanging="360"/>
      </w:pPr>
      <w:rPr>
        <w:rFonts w:ascii="Segoe UI" w:hAnsi="Segoe UI" w:cs="Segoe UI" w:hint="default"/>
        <w:b w:val="0"/>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9"/>
  </w:num>
  <w:num w:numId="7">
    <w:abstractNumId w:val="10"/>
  </w:num>
  <w:num w:numId="8">
    <w:abstractNumId w:val="0"/>
  </w:num>
  <w:num w:numId="9">
    <w:abstractNumId w:val="2"/>
  </w:num>
  <w:num w:numId="10">
    <w:abstractNumId w:val="8"/>
  </w:num>
  <w:num w:numId="11">
    <w:abstractNumId w:val="12"/>
  </w:num>
  <w:num w:numId="12">
    <w:abstractNumId w:val="4"/>
  </w:num>
  <w:num w:numId="13">
    <w:abstractNumId w:val="3"/>
  </w:num>
  <w:num w:numId="14">
    <w:abstractNumId w:val="1"/>
  </w:num>
  <w:num w:numId="15">
    <w:abstractNumId w:val="1"/>
  </w:num>
  <w:num w:numId="16">
    <w:abstractNumId w:val="1"/>
  </w:num>
  <w:num w:numId="17">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904"/>
    <w:rsid w:val="00001089"/>
    <w:rsid w:val="0000139C"/>
    <w:rsid w:val="000037AA"/>
    <w:rsid w:val="00003D4E"/>
    <w:rsid w:val="000044F5"/>
    <w:rsid w:val="00004644"/>
    <w:rsid w:val="000049F7"/>
    <w:rsid w:val="00004C43"/>
    <w:rsid w:val="00005BBB"/>
    <w:rsid w:val="00005E30"/>
    <w:rsid w:val="000071D7"/>
    <w:rsid w:val="00007571"/>
    <w:rsid w:val="00007AC7"/>
    <w:rsid w:val="00010A04"/>
    <w:rsid w:val="0001150F"/>
    <w:rsid w:val="00012E31"/>
    <w:rsid w:val="00013B4C"/>
    <w:rsid w:val="00013BDE"/>
    <w:rsid w:val="0001422F"/>
    <w:rsid w:val="00014966"/>
    <w:rsid w:val="00015163"/>
    <w:rsid w:val="000166AF"/>
    <w:rsid w:val="00016AFA"/>
    <w:rsid w:val="00016DDE"/>
    <w:rsid w:val="00017FF4"/>
    <w:rsid w:val="00020706"/>
    <w:rsid w:val="000208B3"/>
    <w:rsid w:val="000217C6"/>
    <w:rsid w:val="000221B9"/>
    <w:rsid w:val="00022880"/>
    <w:rsid w:val="0002405B"/>
    <w:rsid w:val="00024987"/>
    <w:rsid w:val="00024A15"/>
    <w:rsid w:val="00025FA3"/>
    <w:rsid w:val="000264E9"/>
    <w:rsid w:val="00030E65"/>
    <w:rsid w:val="0003106D"/>
    <w:rsid w:val="00031258"/>
    <w:rsid w:val="000315BB"/>
    <w:rsid w:val="00034573"/>
    <w:rsid w:val="0003660E"/>
    <w:rsid w:val="00041668"/>
    <w:rsid w:val="0004183F"/>
    <w:rsid w:val="000422D2"/>
    <w:rsid w:val="00043F2F"/>
    <w:rsid w:val="00046CF1"/>
    <w:rsid w:val="000470EC"/>
    <w:rsid w:val="00047E69"/>
    <w:rsid w:val="000507CA"/>
    <w:rsid w:val="000512FC"/>
    <w:rsid w:val="00051A4B"/>
    <w:rsid w:val="000528DE"/>
    <w:rsid w:val="00052B27"/>
    <w:rsid w:val="000532B8"/>
    <w:rsid w:val="00054225"/>
    <w:rsid w:val="00055080"/>
    <w:rsid w:val="000562D0"/>
    <w:rsid w:val="000625F2"/>
    <w:rsid w:val="00063EC7"/>
    <w:rsid w:val="00064570"/>
    <w:rsid w:val="000647FE"/>
    <w:rsid w:val="0006571E"/>
    <w:rsid w:val="00066804"/>
    <w:rsid w:val="00067148"/>
    <w:rsid w:val="00070070"/>
    <w:rsid w:val="0007031A"/>
    <w:rsid w:val="00070C50"/>
    <w:rsid w:val="00072181"/>
    <w:rsid w:val="0007273C"/>
    <w:rsid w:val="00072A4E"/>
    <w:rsid w:val="000740FB"/>
    <w:rsid w:val="00077814"/>
    <w:rsid w:val="000816CC"/>
    <w:rsid w:val="00081C60"/>
    <w:rsid w:val="00082343"/>
    <w:rsid w:val="000826F5"/>
    <w:rsid w:val="00083016"/>
    <w:rsid w:val="00086B10"/>
    <w:rsid w:val="0008743B"/>
    <w:rsid w:val="00090E62"/>
    <w:rsid w:val="00091089"/>
    <w:rsid w:val="00091C9A"/>
    <w:rsid w:val="00091EBA"/>
    <w:rsid w:val="000932C2"/>
    <w:rsid w:val="0009336F"/>
    <w:rsid w:val="00094836"/>
    <w:rsid w:val="00095FB9"/>
    <w:rsid w:val="0009669F"/>
    <w:rsid w:val="00096D9F"/>
    <w:rsid w:val="000970B8"/>
    <w:rsid w:val="000A15AD"/>
    <w:rsid w:val="000A2033"/>
    <w:rsid w:val="000A27D3"/>
    <w:rsid w:val="000A2C5F"/>
    <w:rsid w:val="000A4006"/>
    <w:rsid w:val="000A4FB7"/>
    <w:rsid w:val="000A506F"/>
    <w:rsid w:val="000A6C36"/>
    <w:rsid w:val="000A71E9"/>
    <w:rsid w:val="000B1213"/>
    <w:rsid w:val="000B32CA"/>
    <w:rsid w:val="000B35ED"/>
    <w:rsid w:val="000B4EDC"/>
    <w:rsid w:val="000B535D"/>
    <w:rsid w:val="000B6056"/>
    <w:rsid w:val="000B7BC8"/>
    <w:rsid w:val="000C0244"/>
    <w:rsid w:val="000C0347"/>
    <w:rsid w:val="000C1B30"/>
    <w:rsid w:val="000C259E"/>
    <w:rsid w:val="000C2C93"/>
    <w:rsid w:val="000C3E2A"/>
    <w:rsid w:val="000C3FCF"/>
    <w:rsid w:val="000C4067"/>
    <w:rsid w:val="000C560E"/>
    <w:rsid w:val="000C622A"/>
    <w:rsid w:val="000C636D"/>
    <w:rsid w:val="000C6A04"/>
    <w:rsid w:val="000D068A"/>
    <w:rsid w:val="000D3DAB"/>
    <w:rsid w:val="000D7AD2"/>
    <w:rsid w:val="000E047C"/>
    <w:rsid w:val="000E2592"/>
    <w:rsid w:val="000E4B4C"/>
    <w:rsid w:val="000E5A33"/>
    <w:rsid w:val="000E5DA9"/>
    <w:rsid w:val="000E626B"/>
    <w:rsid w:val="000E638C"/>
    <w:rsid w:val="000E728F"/>
    <w:rsid w:val="000F1471"/>
    <w:rsid w:val="000F20F2"/>
    <w:rsid w:val="000F38D2"/>
    <w:rsid w:val="000F40B7"/>
    <w:rsid w:val="000F5E05"/>
    <w:rsid w:val="000F78E2"/>
    <w:rsid w:val="00101113"/>
    <w:rsid w:val="00101569"/>
    <w:rsid w:val="0010202B"/>
    <w:rsid w:val="001022D2"/>
    <w:rsid w:val="00102BE8"/>
    <w:rsid w:val="00102C67"/>
    <w:rsid w:val="001035FA"/>
    <w:rsid w:val="00104971"/>
    <w:rsid w:val="00104BEB"/>
    <w:rsid w:val="00104D15"/>
    <w:rsid w:val="00105086"/>
    <w:rsid w:val="00105877"/>
    <w:rsid w:val="00106C89"/>
    <w:rsid w:val="00107888"/>
    <w:rsid w:val="00107D18"/>
    <w:rsid w:val="001104C1"/>
    <w:rsid w:val="00110A4C"/>
    <w:rsid w:val="00110C24"/>
    <w:rsid w:val="00111A18"/>
    <w:rsid w:val="00111F6F"/>
    <w:rsid w:val="001156DC"/>
    <w:rsid w:val="00117E2A"/>
    <w:rsid w:val="00122671"/>
    <w:rsid w:val="00123F80"/>
    <w:rsid w:val="001243B6"/>
    <w:rsid w:val="0012471B"/>
    <w:rsid w:val="00126FE7"/>
    <w:rsid w:val="00127368"/>
    <w:rsid w:val="001308A7"/>
    <w:rsid w:val="00130A2B"/>
    <w:rsid w:val="001332E3"/>
    <w:rsid w:val="0013332F"/>
    <w:rsid w:val="00133591"/>
    <w:rsid w:val="00133F83"/>
    <w:rsid w:val="001360B1"/>
    <w:rsid w:val="0013719D"/>
    <w:rsid w:val="00137887"/>
    <w:rsid w:val="001407BB"/>
    <w:rsid w:val="001409F5"/>
    <w:rsid w:val="0014316B"/>
    <w:rsid w:val="001432AA"/>
    <w:rsid w:val="00144B10"/>
    <w:rsid w:val="001450B7"/>
    <w:rsid w:val="00145AE0"/>
    <w:rsid w:val="00145AEB"/>
    <w:rsid w:val="00145D91"/>
    <w:rsid w:val="00145F82"/>
    <w:rsid w:val="001465D1"/>
    <w:rsid w:val="00146C84"/>
    <w:rsid w:val="001475FA"/>
    <w:rsid w:val="00147DB1"/>
    <w:rsid w:val="00150F82"/>
    <w:rsid w:val="0015240B"/>
    <w:rsid w:val="00153C23"/>
    <w:rsid w:val="00153FD9"/>
    <w:rsid w:val="00157912"/>
    <w:rsid w:val="00157A73"/>
    <w:rsid w:val="00160CB1"/>
    <w:rsid w:val="001613FC"/>
    <w:rsid w:val="00161568"/>
    <w:rsid w:val="00161EF9"/>
    <w:rsid w:val="00162731"/>
    <w:rsid w:val="00162989"/>
    <w:rsid w:val="0016331A"/>
    <w:rsid w:val="0016391B"/>
    <w:rsid w:val="0016564B"/>
    <w:rsid w:val="00170944"/>
    <w:rsid w:val="00170D12"/>
    <w:rsid w:val="00171CA4"/>
    <w:rsid w:val="00172647"/>
    <w:rsid w:val="00173AC6"/>
    <w:rsid w:val="001810E8"/>
    <w:rsid w:val="00181354"/>
    <w:rsid w:val="001815C7"/>
    <w:rsid w:val="00181F47"/>
    <w:rsid w:val="00182F67"/>
    <w:rsid w:val="00183216"/>
    <w:rsid w:val="00183D1A"/>
    <w:rsid w:val="00183E21"/>
    <w:rsid w:val="00183FCD"/>
    <w:rsid w:val="001845D7"/>
    <w:rsid w:val="0018580D"/>
    <w:rsid w:val="00185AA4"/>
    <w:rsid w:val="00186088"/>
    <w:rsid w:val="00187CBB"/>
    <w:rsid w:val="00190AA4"/>
    <w:rsid w:val="00190F36"/>
    <w:rsid w:val="00191837"/>
    <w:rsid w:val="00192536"/>
    <w:rsid w:val="00192BB7"/>
    <w:rsid w:val="00192F3A"/>
    <w:rsid w:val="00192FF7"/>
    <w:rsid w:val="00195BB7"/>
    <w:rsid w:val="00196367"/>
    <w:rsid w:val="001975B7"/>
    <w:rsid w:val="00197B16"/>
    <w:rsid w:val="001A0940"/>
    <w:rsid w:val="001A121A"/>
    <w:rsid w:val="001A2D66"/>
    <w:rsid w:val="001A2DFE"/>
    <w:rsid w:val="001A2E60"/>
    <w:rsid w:val="001A4CF8"/>
    <w:rsid w:val="001A514A"/>
    <w:rsid w:val="001A6C7E"/>
    <w:rsid w:val="001A6EA3"/>
    <w:rsid w:val="001B1AC1"/>
    <w:rsid w:val="001B1F65"/>
    <w:rsid w:val="001B5922"/>
    <w:rsid w:val="001B6AB2"/>
    <w:rsid w:val="001B76AB"/>
    <w:rsid w:val="001C048E"/>
    <w:rsid w:val="001C07D8"/>
    <w:rsid w:val="001C3C1A"/>
    <w:rsid w:val="001C4C04"/>
    <w:rsid w:val="001C521C"/>
    <w:rsid w:val="001C561D"/>
    <w:rsid w:val="001C5DD8"/>
    <w:rsid w:val="001C6DBB"/>
    <w:rsid w:val="001D0BFF"/>
    <w:rsid w:val="001D1416"/>
    <w:rsid w:val="001D2179"/>
    <w:rsid w:val="001D3135"/>
    <w:rsid w:val="001D31AD"/>
    <w:rsid w:val="001D354B"/>
    <w:rsid w:val="001D364C"/>
    <w:rsid w:val="001D49CC"/>
    <w:rsid w:val="001D540D"/>
    <w:rsid w:val="001E01AC"/>
    <w:rsid w:val="001E0280"/>
    <w:rsid w:val="001E0708"/>
    <w:rsid w:val="001E131F"/>
    <w:rsid w:val="001E1CB4"/>
    <w:rsid w:val="001E2EAA"/>
    <w:rsid w:val="001E3BDC"/>
    <w:rsid w:val="001E4ABE"/>
    <w:rsid w:val="001E5D3E"/>
    <w:rsid w:val="001F04BF"/>
    <w:rsid w:val="001F242C"/>
    <w:rsid w:val="001F2C6E"/>
    <w:rsid w:val="001F578B"/>
    <w:rsid w:val="001F65AA"/>
    <w:rsid w:val="001F6FA7"/>
    <w:rsid w:val="002005E5"/>
    <w:rsid w:val="002013DE"/>
    <w:rsid w:val="00201516"/>
    <w:rsid w:val="00201A9A"/>
    <w:rsid w:val="00202612"/>
    <w:rsid w:val="00202D9D"/>
    <w:rsid w:val="0020415B"/>
    <w:rsid w:val="00204169"/>
    <w:rsid w:val="00204375"/>
    <w:rsid w:val="00205492"/>
    <w:rsid w:val="002054CB"/>
    <w:rsid w:val="00206FD7"/>
    <w:rsid w:val="002071B6"/>
    <w:rsid w:val="00210922"/>
    <w:rsid w:val="00211006"/>
    <w:rsid w:val="0021111B"/>
    <w:rsid w:val="00212B75"/>
    <w:rsid w:val="00212DB0"/>
    <w:rsid w:val="00213F1F"/>
    <w:rsid w:val="00214E3A"/>
    <w:rsid w:val="00214E89"/>
    <w:rsid w:val="00214FE4"/>
    <w:rsid w:val="00215DE2"/>
    <w:rsid w:val="00217805"/>
    <w:rsid w:val="002179EB"/>
    <w:rsid w:val="00217C11"/>
    <w:rsid w:val="0022006D"/>
    <w:rsid w:val="00220521"/>
    <w:rsid w:val="002208A8"/>
    <w:rsid w:val="002209FE"/>
    <w:rsid w:val="00231D3A"/>
    <w:rsid w:val="002323DD"/>
    <w:rsid w:val="00233C31"/>
    <w:rsid w:val="00236F1B"/>
    <w:rsid w:val="00237936"/>
    <w:rsid w:val="00237BA7"/>
    <w:rsid w:val="0024099E"/>
    <w:rsid w:val="00240FFC"/>
    <w:rsid w:val="002426BC"/>
    <w:rsid w:val="002427B9"/>
    <w:rsid w:val="00243681"/>
    <w:rsid w:val="0024386E"/>
    <w:rsid w:val="0024586A"/>
    <w:rsid w:val="00245D70"/>
    <w:rsid w:val="00245FD9"/>
    <w:rsid w:val="00247EA8"/>
    <w:rsid w:val="002502B2"/>
    <w:rsid w:val="00251996"/>
    <w:rsid w:val="002523C6"/>
    <w:rsid w:val="00253BA5"/>
    <w:rsid w:val="0025444A"/>
    <w:rsid w:val="00254904"/>
    <w:rsid w:val="00255717"/>
    <w:rsid w:val="002562A7"/>
    <w:rsid w:val="00256371"/>
    <w:rsid w:val="00257CD9"/>
    <w:rsid w:val="002606E3"/>
    <w:rsid w:val="0026113A"/>
    <w:rsid w:val="002615DE"/>
    <w:rsid w:val="00261E76"/>
    <w:rsid w:val="00261FFA"/>
    <w:rsid w:val="00263DB6"/>
    <w:rsid w:val="00263E84"/>
    <w:rsid w:val="00264094"/>
    <w:rsid w:val="00266183"/>
    <w:rsid w:val="00266667"/>
    <w:rsid w:val="0027231F"/>
    <w:rsid w:val="002738FB"/>
    <w:rsid w:val="002742A3"/>
    <w:rsid w:val="002758A6"/>
    <w:rsid w:val="00275DF4"/>
    <w:rsid w:val="0027606D"/>
    <w:rsid w:val="002764E7"/>
    <w:rsid w:val="00276E19"/>
    <w:rsid w:val="002807E2"/>
    <w:rsid w:val="00282116"/>
    <w:rsid w:val="00282D7E"/>
    <w:rsid w:val="00283360"/>
    <w:rsid w:val="0028386D"/>
    <w:rsid w:val="00283E29"/>
    <w:rsid w:val="002878B9"/>
    <w:rsid w:val="00287C7E"/>
    <w:rsid w:val="00290371"/>
    <w:rsid w:val="00290559"/>
    <w:rsid w:val="0029149E"/>
    <w:rsid w:val="0029185A"/>
    <w:rsid w:val="002922A7"/>
    <w:rsid w:val="00294528"/>
    <w:rsid w:val="002947D5"/>
    <w:rsid w:val="002952E1"/>
    <w:rsid w:val="0029596F"/>
    <w:rsid w:val="00297D31"/>
    <w:rsid w:val="002A02A0"/>
    <w:rsid w:val="002A1104"/>
    <w:rsid w:val="002A1FC5"/>
    <w:rsid w:val="002A37F7"/>
    <w:rsid w:val="002A4F34"/>
    <w:rsid w:val="002A7A69"/>
    <w:rsid w:val="002B0D09"/>
    <w:rsid w:val="002B160F"/>
    <w:rsid w:val="002B18AE"/>
    <w:rsid w:val="002B1C86"/>
    <w:rsid w:val="002B2A56"/>
    <w:rsid w:val="002B3AA0"/>
    <w:rsid w:val="002B493A"/>
    <w:rsid w:val="002B7F40"/>
    <w:rsid w:val="002C2920"/>
    <w:rsid w:val="002C2F60"/>
    <w:rsid w:val="002C5168"/>
    <w:rsid w:val="002C527F"/>
    <w:rsid w:val="002C55C0"/>
    <w:rsid w:val="002C591D"/>
    <w:rsid w:val="002C5EBF"/>
    <w:rsid w:val="002C72E7"/>
    <w:rsid w:val="002D28D0"/>
    <w:rsid w:val="002D3C94"/>
    <w:rsid w:val="002D4F8E"/>
    <w:rsid w:val="002D6609"/>
    <w:rsid w:val="002E0BF6"/>
    <w:rsid w:val="002E10D1"/>
    <w:rsid w:val="002E1267"/>
    <w:rsid w:val="002E2D00"/>
    <w:rsid w:val="002E404E"/>
    <w:rsid w:val="002E5B22"/>
    <w:rsid w:val="002E5BF1"/>
    <w:rsid w:val="002E65EA"/>
    <w:rsid w:val="002E74D5"/>
    <w:rsid w:val="002F074C"/>
    <w:rsid w:val="002F1A23"/>
    <w:rsid w:val="002F1C0C"/>
    <w:rsid w:val="002F1E72"/>
    <w:rsid w:val="002F2601"/>
    <w:rsid w:val="002F26C1"/>
    <w:rsid w:val="002F36BA"/>
    <w:rsid w:val="002F36BE"/>
    <w:rsid w:val="002F3BE9"/>
    <w:rsid w:val="002F412D"/>
    <w:rsid w:val="002F4BC4"/>
    <w:rsid w:val="002F5D42"/>
    <w:rsid w:val="002F65CA"/>
    <w:rsid w:val="002F761F"/>
    <w:rsid w:val="0030058B"/>
    <w:rsid w:val="003011CE"/>
    <w:rsid w:val="00303C30"/>
    <w:rsid w:val="00305341"/>
    <w:rsid w:val="00305B2B"/>
    <w:rsid w:val="00306BA6"/>
    <w:rsid w:val="00307789"/>
    <w:rsid w:val="003077BD"/>
    <w:rsid w:val="00310F4D"/>
    <w:rsid w:val="00312B96"/>
    <w:rsid w:val="003132F2"/>
    <w:rsid w:val="00313611"/>
    <w:rsid w:val="0031423B"/>
    <w:rsid w:val="00314B9B"/>
    <w:rsid w:val="0031578D"/>
    <w:rsid w:val="003161E5"/>
    <w:rsid w:val="00317A99"/>
    <w:rsid w:val="0032234E"/>
    <w:rsid w:val="00322706"/>
    <w:rsid w:val="00323275"/>
    <w:rsid w:val="00323B91"/>
    <w:rsid w:val="00324FB6"/>
    <w:rsid w:val="003254E2"/>
    <w:rsid w:val="00326C33"/>
    <w:rsid w:val="00326EAD"/>
    <w:rsid w:val="00327244"/>
    <w:rsid w:val="00327297"/>
    <w:rsid w:val="00330D4B"/>
    <w:rsid w:val="00330E3A"/>
    <w:rsid w:val="00330F21"/>
    <w:rsid w:val="00332086"/>
    <w:rsid w:val="003332B9"/>
    <w:rsid w:val="00333474"/>
    <w:rsid w:val="00333578"/>
    <w:rsid w:val="00334BBA"/>
    <w:rsid w:val="00335291"/>
    <w:rsid w:val="003357F7"/>
    <w:rsid w:val="00336A19"/>
    <w:rsid w:val="00337310"/>
    <w:rsid w:val="00340991"/>
    <w:rsid w:val="0034189F"/>
    <w:rsid w:val="00341D8B"/>
    <w:rsid w:val="00342201"/>
    <w:rsid w:val="00342348"/>
    <w:rsid w:val="00344605"/>
    <w:rsid w:val="00344F7C"/>
    <w:rsid w:val="00345057"/>
    <w:rsid w:val="00347827"/>
    <w:rsid w:val="00347BBE"/>
    <w:rsid w:val="0035013A"/>
    <w:rsid w:val="00350BBD"/>
    <w:rsid w:val="003513B6"/>
    <w:rsid w:val="0035459E"/>
    <w:rsid w:val="003564F1"/>
    <w:rsid w:val="003603C3"/>
    <w:rsid w:val="00360642"/>
    <w:rsid w:val="00361443"/>
    <w:rsid w:val="0036217D"/>
    <w:rsid w:val="0036253F"/>
    <w:rsid w:val="0036316E"/>
    <w:rsid w:val="00363BE5"/>
    <w:rsid w:val="00364512"/>
    <w:rsid w:val="003645D6"/>
    <w:rsid w:val="00365D04"/>
    <w:rsid w:val="00365D4D"/>
    <w:rsid w:val="00366271"/>
    <w:rsid w:val="00367402"/>
    <w:rsid w:val="00367DB9"/>
    <w:rsid w:val="003702D5"/>
    <w:rsid w:val="00373443"/>
    <w:rsid w:val="003739CC"/>
    <w:rsid w:val="00373B11"/>
    <w:rsid w:val="00374F2C"/>
    <w:rsid w:val="00375CDA"/>
    <w:rsid w:val="0037668E"/>
    <w:rsid w:val="00376CD6"/>
    <w:rsid w:val="003775FC"/>
    <w:rsid w:val="00380E47"/>
    <w:rsid w:val="00381757"/>
    <w:rsid w:val="00381CED"/>
    <w:rsid w:val="00382704"/>
    <w:rsid w:val="00382879"/>
    <w:rsid w:val="00383680"/>
    <w:rsid w:val="00384EE9"/>
    <w:rsid w:val="00387E2C"/>
    <w:rsid w:val="00390FBA"/>
    <w:rsid w:val="003918AC"/>
    <w:rsid w:val="00391BEE"/>
    <w:rsid w:val="00392681"/>
    <w:rsid w:val="003935C5"/>
    <w:rsid w:val="00393DD1"/>
    <w:rsid w:val="00394922"/>
    <w:rsid w:val="003957D2"/>
    <w:rsid w:val="0039660F"/>
    <w:rsid w:val="00396ADC"/>
    <w:rsid w:val="00396E96"/>
    <w:rsid w:val="003A0512"/>
    <w:rsid w:val="003A10D8"/>
    <w:rsid w:val="003A14A6"/>
    <w:rsid w:val="003A1FC5"/>
    <w:rsid w:val="003A2426"/>
    <w:rsid w:val="003A31B3"/>
    <w:rsid w:val="003A35F1"/>
    <w:rsid w:val="003A49F6"/>
    <w:rsid w:val="003A5049"/>
    <w:rsid w:val="003A65B7"/>
    <w:rsid w:val="003A7BFE"/>
    <w:rsid w:val="003B278F"/>
    <w:rsid w:val="003B3301"/>
    <w:rsid w:val="003B35C1"/>
    <w:rsid w:val="003B42B4"/>
    <w:rsid w:val="003B4B7F"/>
    <w:rsid w:val="003B5AF4"/>
    <w:rsid w:val="003B65FF"/>
    <w:rsid w:val="003B66D8"/>
    <w:rsid w:val="003B6D01"/>
    <w:rsid w:val="003B7FA1"/>
    <w:rsid w:val="003C00E6"/>
    <w:rsid w:val="003C011D"/>
    <w:rsid w:val="003C1A64"/>
    <w:rsid w:val="003C1D88"/>
    <w:rsid w:val="003C1DCF"/>
    <w:rsid w:val="003C2A65"/>
    <w:rsid w:val="003C2F66"/>
    <w:rsid w:val="003C3921"/>
    <w:rsid w:val="003C5285"/>
    <w:rsid w:val="003C5C95"/>
    <w:rsid w:val="003C60FF"/>
    <w:rsid w:val="003C776F"/>
    <w:rsid w:val="003D066D"/>
    <w:rsid w:val="003D0FFF"/>
    <w:rsid w:val="003D1100"/>
    <w:rsid w:val="003D1952"/>
    <w:rsid w:val="003D2401"/>
    <w:rsid w:val="003D516F"/>
    <w:rsid w:val="003D67DA"/>
    <w:rsid w:val="003D6B4D"/>
    <w:rsid w:val="003E05C9"/>
    <w:rsid w:val="003E1627"/>
    <w:rsid w:val="003E2941"/>
    <w:rsid w:val="003E2C01"/>
    <w:rsid w:val="003E2C96"/>
    <w:rsid w:val="003E2CE2"/>
    <w:rsid w:val="003E3D84"/>
    <w:rsid w:val="003E4088"/>
    <w:rsid w:val="003E68FA"/>
    <w:rsid w:val="003F1D00"/>
    <w:rsid w:val="003F1DC3"/>
    <w:rsid w:val="003F204F"/>
    <w:rsid w:val="003F2A48"/>
    <w:rsid w:val="003F4616"/>
    <w:rsid w:val="003F56E9"/>
    <w:rsid w:val="003F6EF8"/>
    <w:rsid w:val="003F6F55"/>
    <w:rsid w:val="003F7E78"/>
    <w:rsid w:val="0040135A"/>
    <w:rsid w:val="00401CCE"/>
    <w:rsid w:val="004042B2"/>
    <w:rsid w:val="00404EA5"/>
    <w:rsid w:val="004053FD"/>
    <w:rsid w:val="00405CDC"/>
    <w:rsid w:val="00405E3F"/>
    <w:rsid w:val="0041183D"/>
    <w:rsid w:val="00416A66"/>
    <w:rsid w:val="00416C1E"/>
    <w:rsid w:val="00416E54"/>
    <w:rsid w:val="004173C5"/>
    <w:rsid w:val="00421DF9"/>
    <w:rsid w:val="0042343C"/>
    <w:rsid w:val="0042441D"/>
    <w:rsid w:val="00424828"/>
    <w:rsid w:val="004251B8"/>
    <w:rsid w:val="00425936"/>
    <w:rsid w:val="00426A9E"/>
    <w:rsid w:val="00430173"/>
    <w:rsid w:val="00431AB0"/>
    <w:rsid w:val="00431F23"/>
    <w:rsid w:val="004332E1"/>
    <w:rsid w:val="004332FE"/>
    <w:rsid w:val="00433B7F"/>
    <w:rsid w:val="004350AB"/>
    <w:rsid w:val="00435C8E"/>
    <w:rsid w:val="00440036"/>
    <w:rsid w:val="00440DB1"/>
    <w:rsid w:val="00441175"/>
    <w:rsid w:val="004425DE"/>
    <w:rsid w:val="004427FD"/>
    <w:rsid w:val="00443DB0"/>
    <w:rsid w:val="00444A55"/>
    <w:rsid w:val="00450810"/>
    <w:rsid w:val="00453597"/>
    <w:rsid w:val="0045360B"/>
    <w:rsid w:val="00453885"/>
    <w:rsid w:val="00453993"/>
    <w:rsid w:val="00455D24"/>
    <w:rsid w:val="00456405"/>
    <w:rsid w:val="00456AC5"/>
    <w:rsid w:val="00457010"/>
    <w:rsid w:val="004570E6"/>
    <w:rsid w:val="004576B5"/>
    <w:rsid w:val="00460441"/>
    <w:rsid w:val="00460DF1"/>
    <w:rsid w:val="004610A2"/>
    <w:rsid w:val="00461E44"/>
    <w:rsid w:val="00463481"/>
    <w:rsid w:val="00463911"/>
    <w:rsid w:val="00465A8D"/>
    <w:rsid w:val="00466F12"/>
    <w:rsid w:val="0046733F"/>
    <w:rsid w:val="004677CB"/>
    <w:rsid w:val="0047011E"/>
    <w:rsid w:val="004704B5"/>
    <w:rsid w:val="0047071D"/>
    <w:rsid w:val="004709D8"/>
    <w:rsid w:val="004716AA"/>
    <w:rsid w:val="004716E2"/>
    <w:rsid w:val="00472E7B"/>
    <w:rsid w:val="00472F08"/>
    <w:rsid w:val="004749C5"/>
    <w:rsid w:val="00477797"/>
    <w:rsid w:val="004806CA"/>
    <w:rsid w:val="00481CF9"/>
    <w:rsid w:val="0048529F"/>
    <w:rsid w:val="00487BEB"/>
    <w:rsid w:val="00490E3E"/>
    <w:rsid w:val="00493CB8"/>
    <w:rsid w:val="00495512"/>
    <w:rsid w:val="00495557"/>
    <w:rsid w:val="00495EAB"/>
    <w:rsid w:val="00496292"/>
    <w:rsid w:val="00496B4A"/>
    <w:rsid w:val="004A2827"/>
    <w:rsid w:val="004A31A8"/>
    <w:rsid w:val="004A5851"/>
    <w:rsid w:val="004A5B4C"/>
    <w:rsid w:val="004A71B7"/>
    <w:rsid w:val="004A7865"/>
    <w:rsid w:val="004B2916"/>
    <w:rsid w:val="004B32AF"/>
    <w:rsid w:val="004B3D78"/>
    <w:rsid w:val="004B44C6"/>
    <w:rsid w:val="004B4C2A"/>
    <w:rsid w:val="004B4EC1"/>
    <w:rsid w:val="004B4EE2"/>
    <w:rsid w:val="004C2D08"/>
    <w:rsid w:val="004C2F5D"/>
    <w:rsid w:val="004C35AD"/>
    <w:rsid w:val="004C3A2B"/>
    <w:rsid w:val="004C41FA"/>
    <w:rsid w:val="004C4769"/>
    <w:rsid w:val="004C58C9"/>
    <w:rsid w:val="004C71D1"/>
    <w:rsid w:val="004C7341"/>
    <w:rsid w:val="004C7C4C"/>
    <w:rsid w:val="004D06A2"/>
    <w:rsid w:val="004D11F0"/>
    <w:rsid w:val="004D1432"/>
    <w:rsid w:val="004D1E7F"/>
    <w:rsid w:val="004D26DB"/>
    <w:rsid w:val="004D35D3"/>
    <w:rsid w:val="004D3ED5"/>
    <w:rsid w:val="004D44BE"/>
    <w:rsid w:val="004D486E"/>
    <w:rsid w:val="004D4DDD"/>
    <w:rsid w:val="004D58BF"/>
    <w:rsid w:val="004D6B4E"/>
    <w:rsid w:val="004D6D25"/>
    <w:rsid w:val="004D6EA7"/>
    <w:rsid w:val="004D76EA"/>
    <w:rsid w:val="004E01DA"/>
    <w:rsid w:val="004E0486"/>
    <w:rsid w:val="004E0E40"/>
    <w:rsid w:val="004E1345"/>
    <w:rsid w:val="004E21D7"/>
    <w:rsid w:val="004E383D"/>
    <w:rsid w:val="004E3BC0"/>
    <w:rsid w:val="004E3DCC"/>
    <w:rsid w:val="004E5F94"/>
    <w:rsid w:val="004E6642"/>
    <w:rsid w:val="004E741D"/>
    <w:rsid w:val="004F1089"/>
    <w:rsid w:val="004F22A9"/>
    <w:rsid w:val="004F29F4"/>
    <w:rsid w:val="004F2C1F"/>
    <w:rsid w:val="004F39FA"/>
    <w:rsid w:val="004F5458"/>
    <w:rsid w:val="004F5775"/>
    <w:rsid w:val="004F598E"/>
    <w:rsid w:val="004F6CF8"/>
    <w:rsid w:val="00500851"/>
    <w:rsid w:val="00500CB3"/>
    <w:rsid w:val="0050261F"/>
    <w:rsid w:val="00502F73"/>
    <w:rsid w:val="00503A68"/>
    <w:rsid w:val="0050461A"/>
    <w:rsid w:val="00504FA0"/>
    <w:rsid w:val="005053C0"/>
    <w:rsid w:val="00510E18"/>
    <w:rsid w:val="00511269"/>
    <w:rsid w:val="00512199"/>
    <w:rsid w:val="00513728"/>
    <w:rsid w:val="00516B94"/>
    <w:rsid w:val="0051735C"/>
    <w:rsid w:val="00522A0A"/>
    <w:rsid w:val="0052695D"/>
    <w:rsid w:val="00526A52"/>
    <w:rsid w:val="00527857"/>
    <w:rsid w:val="005304DD"/>
    <w:rsid w:val="0053204D"/>
    <w:rsid w:val="00533B68"/>
    <w:rsid w:val="005356EA"/>
    <w:rsid w:val="005366AF"/>
    <w:rsid w:val="00537FA2"/>
    <w:rsid w:val="005407A9"/>
    <w:rsid w:val="00541BB7"/>
    <w:rsid w:val="00544D1C"/>
    <w:rsid w:val="00545927"/>
    <w:rsid w:val="0054691C"/>
    <w:rsid w:val="00546BA8"/>
    <w:rsid w:val="00546E99"/>
    <w:rsid w:val="0055096B"/>
    <w:rsid w:val="00550A5F"/>
    <w:rsid w:val="00554246"/>
    <w:rsid w:val="005561EF"/>
    <w:rsid w:val="005572B2"/>
    <w:rsid w:val="005610DF"/>
    <w:rsid w:val="00561D15"/>
    <w:rsid w:val="0056218C"/>
    <w:rsid w:val="0056370D"/>
    <w:rsid w:val="005638E6"/>
    <w:rsid w:val="00564251"/>
    <w:rsid w:val="00565104"/>
    <w:rsid w:val="00565843"/>
    <w:rsid w:val="00565E0B"/>
    <w:rsid w:val="00566E5A"/>
    <w:rsid w:val="00567D0D"/>
    <w:rsid w:val="00567F34"/>
    <w:rsid w:val="005709DC"/>
    <w:rsid w:val="00570F24"/>
    <w:rsid w:val="00571049"/>
    <w:rsid w:val="00571625"/>
    <w:rsid w:val="0057336F"/>
    <w:rsid w:val="00574270"/>
    <w:rsid w:val="0057452C"/>
    <w:rsid w:val="005770E5"/>
    <w:rsid w:val="005823FE"/>
    <w:rsid w:val="00585C27"/>
    <w:rsid w:val="00585F32"/>
    <w:rsid w:val="005861E0"/>
    <w:rsid w:val="00586A1A"/>
    <w:rsid w:val="00586B42"/>
    <w:rsid w:val="005877AE"/>
    <w:rsid w:val="00590428"/>
    <w:rsid w:val="005919EF"/>
    <w:rsid w:val="00591E93"/>
    <w:rsid w:val="005925C4"/>
    <w:rsid w:val="0059266C"/>
    <w:rsid w:val="00592E14"/>
    <w:rsid w:val="00593CC2"/>
    <w:rsid w:val="00594031"/>
    <w:rsid w:val="00595B8E"/>
    <w:rsid w:val="005973BA"/>
    <w:rsid w:val="00597FB8"/>
    <w:rsid w:val="005A09AB"/>
    <w:rsid w:val="005A0F79"/>
    <w:rsid w:val="005A1B03"/>
    <w:rsid w:val="005A45E3"/>
    <w:rsid w:val="005A46FF"/>
    <w:rsid w:val="005A4C88"/>
    <w:rsid w:val="005A6754"/>
    <w:rsid w:val="005A7AA5"/>
    <w:rsid w:val="005B03EF"/>
    <w:rsid w:val="005B0476"/>
    <w:rsid w:val="005B0FB2"/>
    <w:rsid w:val="005B1053"/>
    <w:rsid w:val="005B1299"/>
    <w:rsid w:val="005B1AB8"/>
    <w:rsid w:val="005B1C44"/>
    <w:rsid w:val="005B4973"/>
    <w:rsid w:val="005B5883"/>
    <w:rsid w:val="005B6080"/>
    <w:rsid w:val="005B6615"/>
    <w:rsid w:val="005B6CE4"/>
    <w:rsid w:val="005B71C0"/>
    <w:rsid w:val="005B7EED"/>
    <w:rsid w:val="005C0D70"/>
    <w:rsid w:val="005C1392"/>
    <w:rsid w:val="005C13D6"/>
    <w:rsid w:val="005C2F0E"/>
    <w:rsid w:val="005C3DFD"/>
    <w:rsid w:val="005C40D9"/>
    <w:rsid w:val="005C488F"/>
    <w:rsid w:val="005C4F42"/>
    <w:rsid w:val="005C5343"/>
    <w:rsid w:val="005C73CA"/>
    <w:rsid w:val="005D038B"/>
    <w:rsid w:val="005D1714"/>
    <w:rsid w:val="005D1D50"/>
    <w:rsid w:val="005D2824"/>
    <w:rsid w:val="005D318A"/>
    <w:rsid w:val="005D38D4"/>
    <w:rsid w:val="005D4C1F"/>
    <w:rsid w:val="005D4F61"/>
    <w:rsid w:val="005D6179"/>
    <w:rsid w:val="005D741B"/>
    <w:rsid w:val="005D7B0F"/>
    <w:rsid w:val="005E508F"/>
    <w:rsid w:val="005E5683"/>
    <w:rsid w:val="005E6DDD"/>
    <w:rsid w:val="005E6E08"/>
    <w:rsid w:val="005E74CD"/>
    <w:rsid w:val="005E75ED"/>
    <w:rsid w:val="005E76BF"/>
    <w:rsid w:val="005E7856"/>
    <w:rsid w:val="005E7CCD"/>
    <w:rsid w:val="005F09DA"/>
    <w:rsid w:val="005F0CFB"/>
    <w:rsid w:val="005F0E4C"/>
    <w:rsid w:val="005F2100"/>
    <w:rsid w:val="005F3D8F"/>
    <w:rsid w:val="005F54EB"/>
    <w:rsid w:val="005F5727"/>
    <w:rsid w:val="005F753C"/>
    <w:rsid w:val="00600805"/>
    <w:rsid w:val="00600C9A"/>
    <w:rsid w:val="006013B3"/>
    <w:rsid w:val="00601469"/>
    <w:rsid w:val="00601AB6"/>
    <w:rsid w:val="00603032"/>
    <w:rsid w:val="00603E63"/>
    <w:rsid w:val="00604ABC"/>
    <w:rsid w:val="0060692E"/>
    <w:rsid w:val="00613E75"/>
    <w:rsid w:val="0061508E"/>
    <w:rsid w:val="00616356"/>
    <w:rsid w:val="00617162"/>
    <w:rsid w:val="00617475"/>
    <w:rsid w:val="00620DA3"/>
    <w:rsid w:val="00621AA1"/>
    <w:rsid w:val="00623BA3"/>
    <w:rsid w:val="006243BF"/>
    <w:rsid w:val="006259A0"/>
    <w:rsid w:val="00625BE5"/>
    <w:rsid w:val="006260F0"/>
    <w:rsid w:val="00626918"/>
    <w:rsid w:val="00626E7D"/>
    <w:rsid w:val="00627790"/>
    <w:rsid w:val="006306B1"/>
    <w:rsid w:val="00630D43"/>
    <w:rsid w:val="00632422"/>
    <w:rsid w:val="0063305C"/>
    <w:rsid w:val="00633869"/>
    <w:rsid w:val="00633B47"/>
    <w:rsid w:val="00633B5C"/>
    <w:rsid w:val="00634FAB"/>
    <w:rsid w:val="0063705A"/>
    <w:rsid w:val="00637534"/>
    <w:rsid w:val="0063775A"/>
    <w:rsid w:val="006400AC"/>
    <w:rsid w:val="00641973"/>
    <w:rsid w:val="00641BE3"/>
    <w:rsid w:val="00642648"/>
    <w:rsid w:val="00642C1C"/>
    <w:rsid w:val="00643516"/>
    <w:rsid w:val="00643B8C"/>
    <w:rsid w:val="006452B1"/>
    <w:rsid w:val="00646706"/>
    <w:rsid w:val="00647158"/>
    <w:rsid w:val="006515ED"/>
    <w:rsid w:val="00651CCB"/>
    <w:rsid w:val="00651F90"/>
    <w:rsid w:val="00653273"/>
    <w:rsid w:val="0065397C"/>
    <w:rsid w:val="00653FB8"/>
    <w:rsid w:val="00654812"/>
    <w:rsid w:val="00656345"/>
    <w:rsid w:val="00657A4C"/>
    <w:rsid w:val="00657E62"/>
    <w:rsid w:val="006602B0"/>
    <w:rsid w:val="00663580"/>
    <w:rsid w:val="006661CF"/>
    <w:rsid w:val="00666C7E"/>
    <w:rsid w:val="00670C05"/>
    <w:rsid w:val="00670C71"/>
    <w:rsid w:val="00671155"/>
    <w:rsid w:val="006754DE"/>
    <w:rsid w:val="00675685"/>
    <w:rsid w:val="00675AB5"/>
    <w:rsid w:val="006767FD"/>
    <w:rsid w:val="00676B10"/>
    <w:rsid w:val="006771DE"/>
    <w:rsid w:val="00677358"/>
    <w:rsid w:val="00680380"/>
    <w:rsid w:val="00681BAF"/>
    <w:rsid w:val="00681C36"/>
    <w:rsid w:val="006847D4"/>
    <w:rsid w:val="00687718"/>
    <w:rsid w:val="0069081C"/>
    <w:rsid w:val="00691FA2"/>
    <w:rsid w:val="00692BFF"/>
    <w:rsid w:val="00693D6C"/>
    <w:rsid w:val="00697649"/>
    <w:rsid w:val="0069786A"/>
    <w:rsid w:val="00697AD8"/>
    <w:rsid w:val="006A0D31"/>
    <w:rsid w:val="006A143B"/>
    <w:rsid w:val="006A1F3E"/>
    <w:rsid w:val="006A26E3"/>
    <w:rsid w:val="006A2831"/>
    <w:rsid w:val="006A2A62"/>
    <w:rsid w:val="006A48E6"/>
    <w:rsid w:val="006A6C4B"/>
    <w:rsid w:val="006A757E"/>
    <w:rsid w:val="006B00C8"/>
    <w:rsid w:val="006B05BF"/>
    <w:rsid w:val="006B0A0A"/>
    <w:rsid w:val="006B0BA3"/>
    <w:rsid w:val="006B12AF"/>
    <w:rsid w:val="006B2FFD"/>
    <w:rsid w:val="006B33AE"/>
    <w:rsid w:val="006B4BF2"/>
    <w:rsid w:val="006B4FD9"/>
    <w:rsid w:val="006B7850"/>
    <w:rsid w:val="006C10B2"/>
    <w:rsid w:val="006C2DAC"/>
    <w:rsid w:val="006C55EF"/>
    <w:rsid w:val="006C6D74"/>
    <w:rsid w:val="006D046E"/>
    <w:rsid w:val="006D0657"/>
    <w:rsid w:val="006D1031"/>
    <w:rsid w:val="006D17E9"/>
    <w:rsid w:val="006D279B"/>
    <w:rsid w:val="006D328C"/>
    <w:rsid w:val="006D43C7"/>
    <w:rsid w:val="006D4FC8"/>
    <w:rsid w:val="006D696D"/>
    <w:rsid w:val="006D6A51"/>
    <w:rsid w:val="006D6C8E"/>
    <w:rsid w:val="006E0A5D"/>
    <w:rsid w:val="006E1189"/>
    <w:rsid w:val="006E1575"/>
    <w:rsid w:val="006E171E"/>
    <w:rsid w:val="006E5483"/>
    <w:rsid w:val="006E5642"/>
    <w:rsid w:val="006E57F0"/>
    <w:rsid w:val="006E603C"/>
    <w:rsid w:val="006E7AC3"/>
    <w:rsid w:val="006F028F"/>
    <w:rsid w:val="006F18D3"/>
    <w:rsid w:val="006F1F07"/>
    <w:rsid w:val="006F3341"/>
    <w:rsid w:val="006F33FF"/>
    <w:rsid w:val="006F3FAD"/>
    <w:rsid w:val="006F5151"/>
    <w:rsid w:val="006F5366"/>
    <w:rsid w:val="006F5531"/>
    <w:rsid w:val="006F7C9F"/>
    <w:rsid w:val="0070044C"/>
    <w:rsid w:val="00701CE4"/>
    <w:rsid w:val="00704136"/>
    <w:rsid w:val="00704932"/>
    <w:rsid w:val="007061CB"/>
    <w:rsid w:val="007065F1"/>
    <w:rsid w:val="0070665A"/>
    <w:rsid w:val="00707137"/>
    <w:rsid w:val="007130FA"/>
    <w:rsid w:val="00713AAC"/>
    <w:rsid w:val="00713F05"/>
    <w:rsid w:val="00714ED3"/>
    <w:rsid w:val="00715415"/>
    <w:rsid w:val="0071580C"/>
    <w:rsid w:val="00717C2C"/>
    <w:rsid w:val="00720803"/>
    <w:rsid w:val="00721D52"/>
    <w:rsid w:val="00721E88"/>
    <w:rsid w:val="00721EC5"/>
    <w:rsid w:val="0072205A"/>
    <w:rsid w:val="007241B6"/>
    <w:rsid w:val="00725486"/>
    <w:rsid w:val="00725CF4"/>
    <w:rsid w:val="00727ADA"/>
    <w:rsid w:val="00730C8F"/>
    <w:rsid w:val="00731380"/>
    <w:rsid w:val="00733ED4"/>
    <w:rsid w:val="00736BEF"/>
    <w:rsid w:val="00736ECE"/>
    <w:rsid w:val="00737726"/>
    <w:rsid w:val="0074091C"/>
    <w:rsid w:val="00740AA2"/>
    <w:rsid w:val="007426AF"/>
    <w:rsid w:val="0074393F"/>
    <w:rsid w:val="00743C6A"/>
    <w:rsid w:val="00744277"/>
    <w:rsid w:val="00744EDE"/>
    <w:rsid w:val="0074639F"/>
    <w:rsid w:val="007469CD"/>
    <w:rsid w:val="00747510"/>
    <w:rsid w:val="00747645"/>
    <w:rsid w:val="007476B6"/>
    <w:rsid w:val="00750D90"/>
    <w:rsid w:val="00751E2E"/>
    <w:rsid w:val="00754FD8"/>
    <w:rsid w:val="00755221"/>
    <w:rsid w:val="00757A2E"/>
    <w:rsid w:val="0076046B"/>
    <w:rsid w:val="00761C90"/>
    <w:rsid w:val="00761D5E"/>
    <w:rsid w:val="0076235B"/>
    <w:rsid w:val="00763CCC"/>
    <w:rsid w:val="007644AE"/>
    <w:rsid w:val="007645F4"/>
    <w:rsid w:val="00765001"/>
    <w:rsid w:val="00765CA0"/>
    <w:rsid w:val="00765F63"/>
    <w:rsid w:val="00766B53"/>
    <w:rsid w:val="00766CD6"/>
    <w:rsid w:val="00767BE4"/>
    <w:rsid w:val="00767D95"/>
    <w:rsid w:val="00770467"/>
    <w:rsid w:val="00770504"/>
    <w:rsid w:val="00771E99"/>
    <w:rsid w:val="00772C27"/>
    <w:rsid w:val="00774F68"/>
    <w:rsid w:val="00777C6B"/>
    <w:rsid w:val="00781535"/>
    <w:rsid w:val="0078246C"/>
    <w:rsid w:val="00782613"/>
    <w:rsid w:val="00784824"/>
    <w:rsid w:val="007861A9"/>
    <w:rsid w:val="00786729"/>
    <w:rsid w:val="00786F5A"/>
    <w:rsid w:val="00787542"/>
    <w:rsid w:val="00787BEA"/>
    <w:rsid w:val="00790D4F"/>
    <w:rsid w:val="007920D6"/>
    <w:rsid w:val="007933F8"/>
    <w:rsid w:val="00793843"/>
    <w:rsid w:val="00794EA1"/>
    <w:rsid w:val="0079596C"/>
    <w:rsid w:val="0079788A"/>
    <w:rsid w:val="007A0C83"/>
    <w:rsid w:val="007A478C"/>
    <w:rsid w:val="007A56FE"/>
    <w:rsid w:val="007A57BD"/>
    <w:rsid w:val="007A599E"/>
    <w:rsid w:val="007B08A6"/>
    <w:rsid w:val="007B0910"/>
    <w:rsid w:val="007B0C44"/>
    <w:rsid w:val="007B0D35"/>
    <w:rsid w:val="007B12A6"/>
    <w:rsid w:val="007B1C26"/>
    <w:rsid w:val="007B2A76"/>
    <w:rsid w:val="007B635D"/>
    <w:rsid w:val="007B68AB"/>
    <w:rsid w:val="007C396D"/>
    <w:rsid w:val="007C585F"/>
    <w:rsid w:val="007C58ED"/>
    <w:rsid w:val="007C5D4C"/>
    <w:rsid w:val="007C70F9"/>
    <w:rsid w:val="007D2EFC"/>
    <w:rsid w:val="007D363D"/>
    <w:rsid w:val="007D38EB"/>
    <w:rsid w:val="007D4561"/>
    <w:rsid w:val="007D477B"/>
    <w:rsid w:val="007D6475"/>
    <w:rsid w:val="007D79D0"/>
    <w:rsid w:val="007D7D3F"/>
    <w:rsid w:val="007E1C88"/>
    <w:rsid w:val="007E3B2C"/>
    <w:rsid w:val="007E4371"/>
    <w:rsid w:val="007E4398"/>
    <w:rsid w:val="007E6855"/>
    <w:rsid w:val="007E78F0"/>
    <w:rsid w:val="007F0720"/>
    <w:rsid w:val="007F0867"/>
    <w:rsid w:val="007F0CD9"/>
    <w:rsid w:val="007F1FC8"/>
    <w:rsid w:val="007F3F06"/>
    <w:rsid w:val="007F4446"/>
    <w:rsid w:val="007F459F"/>
    <w:rsid w:val="007F485E"/>
    <w:rsid w:val="007F4C38"/>
    <w:rsid w:val="007F77DD"/>
    <w:rsid w:val="007F7EE9"/>
    <w:rsid w:val="00800003"/>
    <w:rsid w:val="0080054E"/>
    <w:rsid w:val="00801BF7"/>
    <w:rsid w:val="00803C44"/>
    <w:rsid w:val="00804319"/>
    <w:rsid w:val="0080525D"/>
    <w:rsid w:val="008057F7"/>
    <w:rsid w:val="008059B2"/>
    <w:rsid w:val="008065DE"/>
    <w:rsid w:val="00807613"/>
    <w:rsid w:val="00807752"/>
    <w:rsid w:val="00810A41"/>
    <w:rsid w:val="00811A36"/>
    <w:rsid w:val="00811E7F"/>
    <w:rsid w:val="00812D1B"/>
    <w:rsid w:val="00812E95"/>
    <w:rsid w:val="008133FA"/>
    <w:rsid w:val="008156AF"/>
    <w:rsid w:val="00815AFA"/>
    <w:rsid w:val="008167A0"/>
    <w:rsid w:val="00817018"/>
    <w:rsid w:val="00817268"/>
    <w:rsid w:val="008224B9"/>
    <w:rsid w:val="00822603"/>
    <w:rsid w:val="008226E8"/>
    <w:rsid w:val="00822EED"/>
    <w:rsid w:val="00823023"/>
    <w:rsid w:val="00823E98"/>
    <w:rsid w:val="00823EA3"/>
    <w:rsid w:val="008243A9"/>
    <w:rsid w:val="00824CE7"/>
    <w:rsid w:val="00825AFF"/>
    <w:rsid w:val="008264FD"/>
    <w:rsid w:val="00826C6D"/>
    <w:rsid w:val="00827A09"/>
    <w:rsid w:val="00827EAA"/>
    <w:rsid w:val="00830256"/>
    <w:rsid w:val="008310BE"/>
    <w:rsid w:val="0083124B"/>
    <w:rsid w:val="00831DE3"/>
    <w:rsid w:val="00831F24"/>
    <w:rsid w:val="00832299"/>
    <w:rsid w:val="00832ADC"/>
    <w:rsid w:val="00833B43"/>
    <w:rsid w:val="008362BD"/>
    <w:rsid w:val="00837E03"/>
    <w:rsid w:val="00837FB1"/>
    <w:rsid w:val="008451AF"/>
    <w:rsid w:val="008472A8"/>
    <w:rsid w:val="00847B12"/>
    <w:rsid w:val="00847FA1"/>
    <w:rsid w:val="008505A8"/>
    <w:rsid w:val="008506A9"/>
    <w:rsid w:val="00852566"/>
    <w:rsid w:val="00853277"/>
    <w:rsid w:val="00853929"/>
    <w:rsid w:val="00853C1D"/>
    <w:rsid w:val="0085468B"/>
    <w:rsid w:val="008563ED"/>
    <w:rsid w:val="00856402"/>
    <w:rsid w:val="00857395"/>
    <w:rsid w:val="00857CDC"/>
    <w:rsid w:val="008609CD"/>
    <w:rsid w:val="00860AB2"/>
    <w:rsid w:val="0086180E"/>
    <w:rsid w:val="008619E0"/>
    <w:rsid w:val="00861C66"/>
    <w:rsid w:val="00863011"/>
    <w:rsid w:val="00863C02"/>
    <w:rsid w:val="008640D5"/>
    <w:rsid w:val="00864E6A"/>
    <w:rsid w:val="00867894"/>
    <w:rsid w:val="00867971"/>
    <w:rsid w:val="00870140"/>
    <w:rsid w:val="00874256"/>
    <w:rsid w:val="00874503"/>
    <w:rsid w:val="00874622"/>
    <w:rsid w:val="00876219"/>
    <w:rsid w:val="00876473"/>
    <w:rsid w:val="00877BB4"/>
    <w:rsid w:val="00883DB6"/>
    <w:rsid w:val="00885BDA"/>
    <w:rsid w:val="00886644"/>
    <w:rsid w:val="008922AA"/>
    <w:rsid w:val="008928BD"/>
    <w:rsid w:val="00892EEC"/>
    <w:rsid w:val="00893A22"/>
    <w:rsid w:val="008943ED"/>
    <w:rsid w:val="00894CDF"/>
    <w:rsid w:val="00895273"/>
    <w:rsid w:val="00896AB2"/>
    <w:rsid w:val="00897A44"/>
    <w:rsid w:val="008A18A2"/>
    <w:rsid w:val="008A1FF2"/>
    <w:rsid w:val="008A2DAE"/>
    <w:rsid w:val="008A44EA"/>
    <w:rsid w:val="008A4BA5"/>
    <w:rsid w:val="008A4EDA"/>
    <w:rsid w:val="008A521E"/>
    <w:rsid w:val="008A5CB9"/>
    <w:rsid w:val="008A620C"/>
    <w:rsid w:val="008A7B93"/>
    <w:rsid w:val="008B5789"/>
    <w:rsid w:val="008B622A"/>
    <w:rsid w:val="008B76F6"/>
    <w:rsid w:val="008B7DD9"/>
    <w:rsid w:val="008C2391"/>
    <w:rsid w:val="008C2839"/>
    <w:rsid w:val="008C3F07"/>
    <w:rsid w:val="008C4393"/>
    <w:rsid w:val="008C5154"/>
    <w:rsid w:val="008C6CEF"/>
    <w:rsid w:val="008C708A"/>
    <w:rsid w:val="008C7382"/>
    <w:rsid w:val="008C7D0A"/>
    <w:rsid w:val="008C7E76"/>
    <w:rsid w:val="008D090F"/>
    <w:rsid w:val="008D09DC"/>
    <w:rsid w:val="008D1278"/>
    <w:rsid w:val="008D17B8"/>
    <w:rsid w:val="008D1C1F"/>
    <w:rsid w:val="008D23C0"/>
    <w:rsid w:val="008D4618"/>
    <w:rsid w:val="008D498C"/>
    <w:rsid w:val="008D5097"/>
    <w:rsid w:val="008D602A"/>
    <w:rsid w:val="008D7B50"/>
    <w:rsid w:val="008E0890"/>
    <w:rsid w:val="008E0A18"/>
    <w:rsid w:val="008E1D30"/>
    <w:rsid w:val="008E1F2E"/>
    <w:rsid w:val="008E28EA"/>
    <w:rsid w:val="008E472C"/>
    <w:rsid w:val="008E4A94"/>
    <w:rsid w:val="008E4E86"/>
    <w:rsid w:val="008E5B5E"/>
    <w:rsid w:val="008F1792"/>
    <w:rsid w:val="008F24DE"/>
    <w:rsid w:val="008F2A5A"/>
    <w:rsid w:val="008F32F3"/>
    <w:rsid w:val="008F52FF"/>
    <w:rsid w:val="00901A01"/>
    <w:rsid w:val="00903CF2"/>
    <w:rsid w:val="00904F1D"/>
    <w:rsid w:val="00905457"/>
    <w:rsid w:val="00905ACC"/>
    <w:rsid w:val="00906281"/>
    <w:rsid w:val="00910A33"/>
    <w:rsid w:val="009110F7"/>
    <w:rsid w:val="00911737"/>
    <w:rsid w:val="00911BF0"/>
    <w:rsid w:val="00912D17"/>
    <w:rsid w:val="009156BF"/>
    <w:rsid w:val="00915FD4"/>
    <w:rsid w:val="0092136A"/>
    <w:rsid w:val="009222E1"/>
    <w:rsid w:val="00923744"/>
    <w:rsid w:val="009243F6"/>
    <w:rsid w:val="0092463A"/>
    <w:rsid w:val="009251A6"/>
    <w:rsid w:val="0092564F"/>
    <w:rsid w:val="009276A3"/>
    <w:rsid w:val="00930277"/>
    <w:rsid w:val="00931866"/>
    <w:rsid w:val="009332E6"/>
    <w:rsid w:val="0093339F"/>
    <w:rsid w:val="009339B7"/>
    <w:rsid w:val="009353F4"/>
    <w:rsid w:val="00936282"/>
    <w:rsid w:val="00937047"/>
    <w:rsid w:val="009370BE"/>
    <w:rsid w:val="00940881"/>
    <w:rsid w:val="00942559"/>
    <w:rsid w:val="00944664"/>
    <w:rsid w:val="00945752"/>
    <w:rsid w:val="0094584D"/>
    <w:rsid w:val="0095003C"/>
    <w:rsid w:val="00950233"/>
    <w:rsid w:val="0095146E"/>
    <w:rsid w:val="009528CD"/>
    <w:rsid w:val="00952AEB"/>
    <w:rsid w:val="00952E92"/>
    <w:rsid w:val="0095573C"/>
    <w:rsid w:val="00955935"/>
    <w:rsid w:val="00957B05"/>
    <w:rsid w:val="0095E0E1"/>
    <w:rsid w:val="0096132C"/>
    <w:rsid w:val="00962C4D"/>
    <w:rsid w:val="00963086"/>
    <w:rsid w:val="00963ACA"/>
    <w:rsid w:val="00965FF7"/>
    <w:rsid w:val="0096650B"/>
    <w:rsid w:val="00970728"/>
    <w:rsid w:val="00970741"/>
    <w:rsid w:val="009724E0"/>
    <w:rsid w:val="00972F60"/>
    <w:rsid w:val="00974769"/>
    <w:rsid w:val="00974C30"/>
    <w:rsid w:val="00974ED0"/>
    <w:rsid w:val="00976155"/>
    <w:rsid w:val="009762D3"/>
    <w:rsid w:val="009766ED"/>
    <w:rsid w:val="0097678D"/>
    <w:rsid w:val="00977953"/>
    <w:rsid w:val="00977AA2"/>
    <w:rsid w:val="00980901"/>
    <w:rsid w:val="009825E6"/>
    <w:rsid w:val="00983724"/>
    <w:rsid w:val="00985DD5"/>
    <w:rsid w:val="0098602E"/>
    <w:rsid w:val="0098636D"/>
    <w:rsid w:val="00986381"/>
    <w:rsid w:val="00990926"/>
    <w:rsid w:val="00991E5C"/>
    <w:rsid w:val="00991F40"/>
    <w:rsid w:val="009923A6"/>
    <w:rsid w:val="00995879"/>
    <w:rsid w:val="00995EAE"/>
    <w:rsid w:val="00995EEC"/>
    <w:rsid w:val="00995F47"/>
    <w:rsid w:val="00996574"/>
    <w:rsid w:val="009A02B5"/>
    <w:rsid w:val="009A0A0E"/>
    <w:rsid w:val="009A0FED"/>
    <w:rsid w:val="009A24AF"/>
    <w:rsid w:val="009A27BF"/>
    <w:rsid w:val="009A29ED"/>
    <w:rsid w:val="009A602D"/>
    <w:rsid w:val="009A75EC"/>
    <w:rsid w:val="009B013E"/>
    <w:rsid w:val="009B0783"/>
    <w:rsid w:val="009B2099"/>
    <w:rsid w:val="009B25A1"/>
    <w:rsid w:val="009B40C6"/>
    <w:rsid w:val="009B56C9"/>
    <w:rsid w:val="009C027C"/>
    <w:rsid w:val="009C08FD"/>
    <w:rsid w:val="009C0B01"/>
    <w:rsid w:val="009C2697"/>
    <w:rsid w:val="009C5F4F"/>
    <w:rsid w:val="009C67AD"/>
    <w:rsid w:val="009C72A1"/>
    <w:rsid w:val="009D3D24"/>
    <w:rsid w:val="009D50E0"/>
    <w:rsid w:val="009D63D2"/>
    <w:rsid w:val="009E15BB"/>
    <w:rsid w:val="009E1C23"/>
    <w:rsid w:val="009E2C71"/>
    <w:rsid w:val="009E3744"/>
    <w:rsid w:val="009E51D8"/>
    <w:rsid w:val="009E5A8F"/>
    <w:rsid w:val="009E5C09"/>
    <w:rsid w:val="009E66FA"/>
    <w:rsid w:val="009E7376"/>
    <w:rsid w:val="009E7420"/>
    <w:rsid w:val="009F09B1"/>
    <w:rsid w:val="009F0C3B"/>
    <w:rsid w:val="009F106F"/>
    <w:rsid w:val="009F12D9"/>
    <w:rsid w:val="009F15D2"/>
    <w:rsid w:val="009F1A88"/>
    <w:rsid w:val="009F1F6A"/>
    <w:rsid w:val="009F2E81"/>
    <w:rsid w:val="009F6465"/>
    <w:rsid w:val="00A004F2"/>
    <w:rsid w:val="00A01EAD"/>
    <w:rsid w:val="00A033D3"/>
    <w:rsid w:val="00A0363E"/>
    <w:rsid w:val="00A03B11"/>
    <w:rsid w:val="00A0482F"/>
    <w:rsid w:val="00A04D69"/>
    <w:rsid w:val="00A063EE"/>
    <w:rsid w:val="00A069C2"/>
    <w:rsid w:val="00A06FE7"/>
    <w:rsid w:val="00A1006C"/>
    <w:rsid w:val="00A11114"/>
    <w:rsid w:val="00A127D8"/>
    <w:rsid w:val="00A134FB"/>
    <w:rsid w:val="00A13A76"/>
    <w:rsid w:val="00A13BAD"/>
    <w:rsid w:val="00A1447D"/>
    <w:rsid w:val="00A14BB7"/>
    <w:rsid w:val="00A15851"/>
    <w:rsid w:val="00A16A99"/>
    <w:rsid w:val="00A175C8"/>
    <w:rsid w:val="00A20A04"/>
    <w:rsid w:val="00A22429"/>
    <w:rsid w:val="00A22874"/>
    <w:rsid w:val="00A22927"/>
    <w:rsid w:val="00A23026"/>
    <w:rsid w:val="00A27303"/>
    <w:rsid w:val="00A27F13"/>
    <w:rsid w:val="00A31121"/>
    <w:rsid w:val="00A31C2B"/>
    <w:rsid w:val="00A31E22"/>
    <w:rsid w:val="00A32BDB"/>
    <w:rsid w:val="00A32E45"/>
    <w:rsid w:val="00A33489"/>
    <w:rsid w:val="00A34D4F"/>
    <w:rsid w:val="00A367B4"/>
    <w:rsid w:val="00A36F22"/>
    <w:rsid w:val="00A37728"/>
    <w:rsid w:val="00A42D21"/>
    <w:rsid w:val="00A42D9C"/>
    <w:rsid w:val="00A42DF8"/>
    <w:rsid w:val="00A43B23"/>
    <w:rsid w:val="00A44A3E"/>
    <w:rsid w:val="00A454B2"/>
    <w:rsid w:val="00A45A38"/>
    <w:rsid w:val="00A5075A"/>
    <w:rsid w:val="00A517F7"/>
    <w:rsid w:val="00A52004"/>
    <w:rsid w:val="00A54AB7"/>
    <w:rsid w:val="00A54E08"/>
    <w:rsid w:val="00A5570A"/>
    <w:rsid w:val="00A5600C"/>
    <w:rsid w:val="00A609AF"/>
    <w:rsid w:val="00A60F61"/>
    <w:rsid w:val="00A610BB"/>
    <w:rsid w:val="00A611DB"/>
    <w:rsid w:val="00A6194D"/>
    <w:rsid w:val="00A61D25"/>
    <w:rsid w:val="00A63A6B"/>
    <w:rsid w:val="00A65E40"/>
    <w:rsid w:val="00A707D2"/>
    <w:rsid w:val="00A71827"/>
    <w:rsid w:val="00A73618"/>
    <w:rsid w:val="00A73F0F"/>
    <w:rsid w:val="00A754DF"/>
    <w:rsid w:val="00A77663"/>
    <w:rsid w:val="00A80B5F"/>
    <w:rsid w:val="00A81A64"/>
    <w:rsid w:val="00A822D9"/>
    <w:rsid w:val="00A82D93"/>
    <w:rsid w:val="00A82DAF"/>
    <w:rsid w:val="00A85D0D"/>
    <w:rsid w:val="00A867F9"/>
    <w:rsid w:val="00A86F02"/>
    <w:rsid w:val="00A871E6"/>
    <w:rsid w:val="00A87B72"/>
    <w:rsid w:val="00A9294D"/>
    <w:rsid w:val="00A948E6"/>
    <w:rsid w:val="00A95FCA"/>
    <w:rsid w:val="00A97E22"/>
    <w:rsid w:val="00A97F29"/>
    <w:rsid w:val="00AA1A73"/>
    <w:rsid w:val="00AA23DE"/>
    <w:rsid w:val="00AA30AC"/>
    <w:rsid w:val="00AA6809"/>
    <w:rsid w:val="00AA7E68"/>
    <w:rsid w:val="00AB0A03"/>
    <w:rsid w:val="00AB0EB7"/>
    <w:rsid w:val="00AB132F"/>
    <w:rsid w:val="00AB35FC"/>
    <w:rsid w:val="00AB4B9E"/>
    <w:rsid w:val="00AB581F"/>
    <w:rsid w:val="00AC077A"/>
    <w:rsid w:val="00AC43C1"/>
    <w:rsid w:val="00AC5EFC"/>
    <w:rsid w:val="00AC69B2"/>
    <w:rsid w:val="00AC7140"/>
    <w:rsid w:val="00AC7FE9"/>
    <w:rsid w:val="00AD0F8C"/>
    <w:rsid w:val="00AD6108"/>
    <w:rsid w:val="00AD67A8"/>
    <w:rsid w:val="00AD72F0"/>
    <w:rsid w:val="00AE00D8"/>
    <w:rsid w:val="00AE01E2"/>
    <w:rsid w:val="00AE1233"/>
    <w:rsid w:val="00AE1BBC"/>
    <w:rsid w:val="00AE2118"/>
    <w:rsid w:val="00AE26C6"/>
    <w:rsid w:val="00AE2CAB"/>
    <w:rsid w:val="00AE36C8"/>
    <w:rsid w:val="00AE4BA2"/>
    <w:rsid w:val="00AE5927"/>
    <w:rsid w:val="00AE68DA"/>
    <w:rsid w:val="00AE7044"/>
    <w:rsid w:val="00AF06AE"/>
    <w:rsid w:val="00AF0763"/>
    <w:rsid w:val="00AF0A5C"/>
    <w:rsid w:val="00AF0BD5"/>
    <w:rsid w:val="00AF27DD"/>
    <w:rsid w:val="00AF2A19"/>
    <w:rsid w:val="00AF45EA"/>
    <w:rsid w:val="00AF5801"/>
    <w:rsid w:val="00AF6AAF"/>
    <w:rsid w:val="00AF6EF8"/>
    <w:rsid w:val="00AF78F0"/>
    <w:rsid w:val="00AF7A7C"/>
    <w:rsid w:val="00B02A82"/>
    <w:rsid w:val="00B03185"/>
    <w:rsid w:val="00B054B6"/>
    <w:rsid w:val="00B05A47"/>
    <w:rsid w:val="00B070B1"/>
    <w:rsid w:val="00B10E3F"/>
    <w:rsid w:val="00B134D0"/>
    <w:rsid w:val="00B13956"/>
    <w:rsid w:val="00B14E41"/>
    <w:rsid w:val="00B15B36"/>
    <w:rsid w:val="00B15B4D"/>
    <w:rsid w:val="00B17AFC"/>
    <w:rsid w:val="00B20907"/>
    <w:rsid w:val="00B2160E"/>
    <w:rsid w:val="00B21E43"/>
    <w:rsid w:val="00B24421"/>
    <w:rsid w:val="00B25093"/>
    <w:rsid w:val="00B27F5C"/>
    <w:rsid w:val="00B31275"/>
    <w:rsid w:val="00B32D98"/>
    <w:rsid w:val="00B330F8"/>
    <w:rsid w:val="00B33766"/>
    <w:rsid w:val="00B33A7F"/>
    <w:rsid w:val="00B33D11"/>
    <w:rsid w:val="00B3480E"/>
    <w:rsid w:val="00B3562C"/>
    <w:rsid w:val="00B37F48"/>
    <w:rsid w:val="00B37FFB"/>
    <w:rsid w:val="00B4177E"/>
    <w:rsid w:val="00B431EE"/>
    <w:rsid w:val="00B4482D"/>
    <w:rsid w:val="00B45282"/>
    <w:rsid w:val="00B4568A"/>
    <w:rsid w:val="00B45C3C"/>
    <w:rsid w:val="00B47414"/>
    <w:rsid w:val="00B5292E"/>
    <w:rsid w:val="00B52AD0"/>
    <w:rsid w:val="00B535A2"/>
    <w:rsid w:val="00B5393D"/>
    <w:rsid w:val="00B555DA"/>
    <w:rsid w:val="00B56426"/>
    <w:rsid w:val="00B57311"/>
    <w:rsid w:val="00B57848"/>
    <w:rsid w:val="00B6006C"/>
    <w:rsid w:val="00B60F1A"/>
    <w:rsid w:val="00B61890"/>
    <w:rsid w:val="00B61A69"/>
    <w:rsid w:val="00B62006"/>
    <w:rsid w:val="00B62B74"/>
    <w:rsid w:val="00B63324"/>
    <w:rsid w:val="00B64BD7"/>
    <w:rsid w:val="00B659EB"/>
    <w:rsid w:val="00B66857"/>
    <w:rsid w:val="00B708D1"/>
    <w:rsid w:val="00B709D5"/>
    <w:rsid w:val="00B7162A"/>
    <w:rsid w:val="00B71766"/>
    <w:rsid w:val="00B73EE4"/>
    <w:rsid w:val="00B7402F"/>
    <w:rsid w:val="00B74DDF"/>
    <w:rsid w:val="00B756D2"/>
    <w:rsid w:val="00B75CC5"/>
    <w:rsid w:val="00B767D8"/>
    <w:rsid w:val="00B7747C"/>
    <w:rsid w:val="00B807B1"/>
    <w:rsid w:val="00B80943"/>
    <w:rsid w:val="00B80D1C"/>
    <w:rsid w:val="00B81345"/>
    <w:rsid w:val="00B81E1D"/>
    <w:rsid w:val="00B82273"/>
    <w:rsid w:val="00B82353"/>
    <w:rsid w:val="00B82FDD"/>
    <w:rsid w:val="00B8337C"/>
    <w:rsid w:val="00B836FA"/>
    <w:rsid w:val="00B8435D"/>
    <w:rsid w:val="00B854A7"/>
    <w:rsid w:val="00B85F26"/>
    <w:rsid w:val="00B865EE"/>
    <w:rsid w:val="00B869F4"/>
    <w:rsid w:val="00B87BFF"/>
    <w:rsid w:val="00B91064"/>
    <w:rsid w:val="00B9134B"/>
    <w:rsid w:val="00B91A00"/>
    <w:rsid w:val="00B939FC"/>
    <w:rsid w:val="00B93DBF"/>
    <w:rsid w:val="00B94C27"/>
    <w:rsid w:val="00B952F1"/>
    <w:rsid w:val="00B95977"/>
    <w:rsid w:val="00B968EB"/>
    <w:rsid w:val="00B96993"/>
    <w:rsid w:val="00B97AE3"/>
    <w:rsid w:val="00B97F30"/>
    <w:rsid w:val="00BA0183"/>
    <w:rsid w:val="00BA0D84"/>
    <w:rsid w:val="00BA13F7"/>
    <w:rsid w:val="00BA47CA"/>
    <w:rsid w:val="00BA4C12"/>
    <w:rsid w:val="00BA52BA"/>
    <w:rsid w:val="00BB1294"/>
    <w:rsid w:val="00BB288A"/>
    <w:rsid w:val="00BB3E99"/>
    <w:rsid w:val="00BB4C53"/>
    <w:rsid w:val="00BB5092"/>
    <w:rsid w:val="00BC0598"/>
    <w:rsid w:val="00BC1218"/>
    <w:rsid w:val="00BC233A"/>
    <w:rsid w:val="00BC3B5C"/>
    <w:rsid w:val="00BC3FE8"/>
    <w:rsid w:val="00BC4E6D"/>
    <w:rsid w:val="00BC5C7F"/>
    <w:rsid w:val="00BC5E29"/>
    <w:rsid w:val="00BC7067"/>
    <w:rsid w:val="00BC7E47"/>
    <w:rsid w:val="00BD0174"/>
    <w:rsid w:val="00BD1F60"/>
    <w:rsid w:val="00BD5D0F"/>
    <w:rsid w:val="00BD7D87"/>
    <w:rsid w:val="00BE0175"/>
    <w:rsid w:val="00BE0EB4"/>
    <w:rsid w:val="00BE1A4B"/>
    <w:rsid w:val="00BE1F03"/>
    <w:rsid w:val="00BE2D36"/>
    <w:rsid w:val="00BE3C40"/>
    <w:rsid w:val="00BE499F"/>
    <w:rsid w:val="00BE4CB7"/>
    <w:rsid w:val="00BE70D4"/>
    <w:rsid w:val="00BE7F2D"/>
    <w:rsid w:val="00BF27E8"/>
    <w:rsid w:val="00BF38E3"/>
    <w:rsid w:val="00BF3D87"/>
    <w:rsid w:val="00BF4CF4"/>
    <w:rsid w:val="00BF5DAD"/>
    <w:rsid w:val="00BF6903"/>
    <w:rsid w:val="00BF6A75"/>
    <w:rsid w:val="00BF6B75"/>
    <w:rsid w:val="00BF6B8A"/>
    <w:rsid w:val="00BF6C5C"/>
    <w:rsid w:val="00C00510"/>
    <w:rsid w:val="00C0088F"/>
    <w:rsid w:val="00C00C0B"/>
    <w:rsid w:val="00C01702"/>
    <w:rsid w:val="00C02A25"/>
    <w:rsid w:val="00C02F8A"/>
    <w:rsid w:val="00C05182"/>
    <w:rsid w:val="00C05FC9"/>
    <w:rsid w:val="00C07451"/>
    <w:rsid w:val="00C07AEB"/>
    <w:rsid w:val="00C07FAB"/>
    <w:rsid w:val="00C11840"/>
    <w:rsid w:val="00C1351F"/>
    <w:rsid w:val="00C14515"/>
    <w:rsid w:val="00C15168"/>
    <w:rsid w:val="00C15459"/>
    <w:rsid w:val="00C17081"/>
    <w:rsid w:val="00C17D79"/>
    <w:rsid w:val="00C17F29"/>
    <w:rsid w:val="00C201B3"/>
    <w:rsid w:val="00C20AC4"/>
    <w:rsid w:val="00C2553A"/>
    <w:rsid w:val="00C25690"/>
    <w:rsid w:val="00C25F29"/>
    <w:rsid w:val="00C2617D"/>
    <w:rsid w:val="00C2794C"/>
    <w:rsid w:val="00C27F0A"/>
    <w:rsid w:val="00C3098C"/>
    <w:rsid w:val="00C30DC1"/>
    <w:rsid w:val="00C31AB1"/>
    <w:rsid w:val="00C3398B"/>
    <w:rsid w:val="00C355F4"/>
    <w:rsid w:val="00C35793"/>
    <w:rsid w:val="00C3641C"/>
    <w:rsid w:val="00C3653A"/>
    <w:rsid w:val="00C36561"/>
    <w:rsid w:val="00C36FE8"/>
    <w:rsid w:val="00C3758F"/>
    <w:rsid w:val="00C407E6"/>
    <w:rsid w:val="00C412D2"/>
    <w:rsid w:val="00C41851"/>
    <w:rsid w:val="00C41AB7"/>
    <w:rsid w:val="00C433DD"/>
    <w:rsid w:val="00C43D13"/>
    <w:rsid w:val="00C43E3A"/>
    <w:rsid w:val="00C448F8"/>
    <w:rsid w:val="00C45B41"/>
    <w:rsid w:val="00C522F1"/>
    <w:rsid w:val="00C526B7"/>
    <w:rsid w:val="00C52AAF"/>
    <w:rsid w:val="00C534BE"/>
    <w:rsid w:val="00C53568"/>
    <w:rsid w:val="00C53639"/>
    <w:rsid w:val="00C53D63"/>
    <w:rsid w:val="00C53D96"/>
    <w:rsid w:val="00C54426"/>
    <w:rsid w:val="00C54B5A"/>
    <w:rsid w:val="00C54B8F"/>
    <w:rsid w:val="00C57416"/>
    <w:rsid w:val="00C600A2"/>
    <w:rsid w:val="00C62177"/>
    <w:rsid w:val="00C625B9"/>
    <w:rsid w:val="00C64220"/>
    <w:rsid w:val="00C64E28"/>
    <w:rsid w:val="00C66460"/>
    <w:rsid w:val="00C673D2"/>
    <w:rsid w:val="00C67428"/>
    <w:rsid w:val="00C67DFD"/>
    <w:rsid w:val="00C67FFA"/>
    <w:rsid w:val="00C70D48"/>
    <w:rsid w:val="00C72119"/>
    <w:rsid w:val="00C72E71"/>
    <w:rsid w:val="00C73F20"/>
    <w:rsid w:val="00C7587F"/>
    <w:rsid w:val="00C76A34"/>
    <w:rsid w:val="00C76EC5"/>
    <w:rsid w:val="00C77021"/>
    <w:rsid w:val="00C77144"/>
    <w:rsid w:val="00C77F2D"/>
    <w:rsid w:val="00C83001"/>
    <w:rsid w:val="00C84F60"/>
    <w:rsid w:val="00C85C34"/>
    <w:rsid w:val="00C85C8E"/>
    <w:rsid w:val="00C86240"/>
    <w:rsid w:val="00C87C5D"/>
    <w:rsid w:val="00C905F5"/>
    <w:rsid w:val="00C9238B"/>
    <w:rsid w:val="00C94683"/>
    <w:rsid w:val="00C94911"/>
    <w:rsid w:val="00C94913"/>
    <w:rsid w:val="00C976DA"/>
    <w:rsid w:val="00C9777E"/>
    <w:rsid w:val="00C97AAE"/>
    <w:rsid w:val="00CA0CE9"/>
    <w:rsid w:val="00CA18EA"/>
    <w:rsid w:val="00CA1A40"/>
    <w:rsid w:val="00CA3447"/>
    <w:rsid w:val="00CA416D"/>
    <w:rsid w:val="00CA556D"/>
    <w:rsid w:val="00CA75B5"/>
    <w:rsid w:val="00CB02C2"/>
    <w:rsid w:val="00CB3E59"/>
    <w:rsid w:val="00CB4554"/>
    <w:rsid w:val="00CB5A0C"/>
    <w:rsid w:val="00CB5B3F"/>
    <w:rsid w:val="00CB671B"/>
    <w:rsid w:val="00CB69D2"/>
    <w:rsid w:val="00CB6BE3"/>
    <w:rsid w:val="00CB72F2"/>
    <w:rsid w:val="00CC1885"/>
    <w:rsid w:val="00CC382C"/>
    <w:rsid w:val="00CC413F"/>
    <w:rsid w:val="00CC4278"/>
    <w:rsid w:val="00CC4D36"/>
    <w:rsid w:val="00CC4F03"/>
    <w:rsid w:val="00CC5C79"/>
    <w:rsid w:val="00CC5D2D"/>
    <w:rsid w:val="00CC6732"/>
    <w:rsid w:val="00CC7699"/>
    <w:rsid w:val="00CC7DFB"/>
    <w:rsid w:val="00CD05AE"/>
    <w:rsid w:val="00CD2078"/>
    <w:rsid w:val="00CD374C"/>
    <w:rsid w:val="00CD4C68"/>
    <w:rsid w:val="00CD4CB9"/>
    <w:rsid w:val="00CD539C"/>
    <w:rsid w:val="00CD7479"/>
    <w:rsid w:val="00CDF3DD"/>
    <w:rsid w:val="00CE0FE6"/>
    <w:rsid w:val="00CE23F8"/>
    <w:rsid w:val="00CE24C5"/>
    <w:rsid w:val="00CE3112"/>
    <w:rsid w:val="00CE3485"/>
    <w:rsid w:val="00CE367F"/>
    <w:rsid w:val="00CE6142"/>
    <w:rsid w:val="00CE6C01"/>
    <w:rsid w:val="00CE6F02"/>
    <w:rsid w:val="00CE758A"/>
    <w:rsid w:val="00CF0C03"/>
    <w:rsid w:val="00CF0F98"/>
    <w:rsid w:val="00CF12FE"/>
    <w:rsid w:val="00CF15BB"/>
    <w:rsid w:val="00CF1992"/>
    <w:rsid w:val="00CF262C"/>
    <w:rsid w:val="00CF3608"/>
    <w:rsid w:val="00CF4C93"/>
    <w:rsid w:val="00CF508C"/>
    <w:rsid w:val="00CF5943"/>
    <w:rsid w:val="00CF5A8C"/>
    <w:rsid w:val="00CF7C84"/>
    <w:rsid w:val="00D00A34"/>
    <w:rsid w:val="00D00BCB"/>
    <w:rsid w:val="00D01128"/>
    <w:rsid w:val="00D04C71"/>
    <w:rsid w:val="00D04C87"/>
    <w:rsid w:val="00D05DEF"/>
    <w:rsid w:val="00D05EEF"/>
    <w:rsid w:val="00D0690F"/>
    <w:rsid w:val="00D07941"/>
    <w:rsid w:val="00D07A75"/>
    <w:rsid w:val="00D10C71"/>
    <w:rsid w:val="00D13304"/>
    <w:rsid w:val="00D146FE"/>
    <w:rsid w:val="00D1505B"/>
    <w:rsid w:val="00D17053"/>
    <w:rsid w:val="00D171F4"/>
    <w:rsid w:val="00D20C64"/>
    <w:rsid w:val="00D217C2"/>
    <w:rsid w:val="00D230A9"/>
    <w:rsid w:val="00D23317"/>
    <w:rsid w:val="00D24C16"/>
    <w:rsid w:val="00D25727"/>
    <w:rsid w:val="00D25E45"/>
    <w:rsid w:val="00D263CF"/>
    <w:rsid w:val="00D272C8"/>
    <w:rsid w:val="00D32A2D"/>
    <w:rsid w:val="00D32CF3"/>
    <w:rsid w:val="00D32D39"/>
    <w:rsid w:val="00D3470B"/>
    <w:rsid w:val="00D35ED2"/>
    <w:rsid w:val="00D36B23"/>
    <w:rsid w:val="00D36B4A"/>
    <w:rsid w:val="00D40849"/>
    <w:rsid w:val="00D41506"/>
    <w:rsid w:val="00D42E04"/>
    <w:rsid w:val="00D447B4"/>
    <w:rsid w:val="00D452E9"/>
    <w:rsid w:val="00D45577"/>
    <w:rsid w:val="00D45B3A"/>
    <w:rsid w:val="00D4607F"/>
    <w:rsid w:val="00D47826"/>
    <w:rsid w:val="00D47ADA"/>
    <w:rsid w:val="00D47DC2"/>
    <w:rsid w:val="00D50156"/>
    <w:rsid w:val="00D51985"/>
    <w:rsid w:val="00D51FE7"/>
    <w:rsid w:val="00D546E8"/>
    <w:rsid w:val="00D560D3"/>
    <w:rsid w:val="00D56A02"/>
    <w:rsid w:val="00D56A81"/>
    <w:rsid w:val="00D56B6B"/>
    <w:rsid w:val="00D57FCA"/>
    <w:rsid w:val="00D608A7"/>
    <w:rsid w:val="00D610DA"/>
    <w:rsid w:val="00D61CCB"/>
    <w:rsid w:val="00D62999"/>
    <w:rsid w:val="00D63878"/>
    <w:rsid w:val="00D6417C"/>
    <w:rsid w:val="00D64422"/>
    <w:rsid w:val="00D64922"/>
    <w:rsid w:val="00D656F8"/>
    <w:rsid w:val="00D66395"/>
    <w:rsid w:val="00D664E3"/>
    <w:rsid w:val="00D6668A"/>
    <w:rsid w:val="00D67731"/>
    <w:rsid w:val="00D67D8E"/>
    <w:rsid w:val="00D7062C"/>
    <w:rsid w:val="00D71DD6"/>
    <w:rsid w:val="00D72120"/>
    <w:rsid w:val="00D7225C"/>
    <w:rsid w:val="00D73B27"/>
    <w:rsid w:val="00D761DB"/>
    <w:rsid w:val="00D8023E"/>
    <w:rsid w:val="00D8046F"/>
    <w:rsid w:val="00D80AE3"/>
    <w:rsid w:val="00D81DB4"/>
    <w:rsid w:val="00D82A07"/>
    <w:rsid w:val="00D82F33"/>
    <w:rsid w:val="00D83AA2"/>
    <w:rsid w:val="00D84DEC"/>
    <w:rsid w:val="00D85603"/>
    <w:rsid w:val="00D86917"/>
    <w:rsid w:val="00D869E9"/>
    <w:rsid w:val="00D86C28"/>
    <w:rsid w:val="00D87257"/>
    <w:rsid w:val="00D87EDA"/>
    <w:rsid w:val="00D901BD"/>
    <w:rsid w:val="00D91FF1"/>
    <w:rsid w:val="00D93628"/>
    <w:rsid w:val="00D945DE"/>
    <w:rsid w:val="00D94B61"/>
    <w:rsid w:val="00D95417"/>
    <w:rsid w:val="00DA4230"/>
    <w:rsid w:val="00DA4DBF"/>
    <w:rsid w:val="00DA6B13"/>
    <w:rsid w:val="00DA6F64"/>
    <w:rsid w:val="00DB1291"/>
    <w:rsid w:val="00DB1D6E"/>
    <w:rsid w:val="00DB1EBE"/>
    <w:rsid w:val="00DB21FB"/>
    <w:rsid w:val="00DB37CC"/>
    <w:rsid w:val="00DB3E55"/>
    <w:rsid w:val="00DB498E"/>
    <w:rsid w:val="00DB4ADF"/>
    <w:rsid w:val="00DB653E"/>
    <w:rsid w:val="00DB6A0E"/>
    <w:rsid w:val="00DB7BA5"/>
    <w:rsid w:val="00DC0549"/>
    <w:rsid w:val="00DC265B"/>
    <w:rsid w:val="00DC369D"/>
    <w:rsid w:val="00DC36E1"/>
    <w:rsid w:val="00DC3F2C"/>
    <w:rsid w:val="00DC4162"/>
    <w:rsid w:val="00DC4553"/>
    <w:rsid w:val="00DC51EF"/>
    <w:rsid w:val="00DC5202"/>
    <w:rsid w:val="00DC5257"/>
    <w:rsid w:val="00DC6651"/>
    <w:rsid w:val="00DC7ED0"/>
    <w:rsid w:val="00DC7FEA"/>
    <w:rsid w:val="00DD02B6"/>
    <w:rsid w:val="00DD0C9F"/>
    <w:rsid w:val="00DD1D2D"/>
    <w:rsid w:val="00DD2390"/>
    <w:rsid w:val="00DD2618"/>
    <w:rsid w:val="00DD29D7"/>
    <w:rsid w:val="00DD3B1C"/>
    <w:rsid w:val="00DD3B7B"/>
    <w:rsid w:val="00DD5412"/>
    <w:rsid w:val="00DD612D"/>
    <w:rsid w:val="00DD71FF"/>
    <w:rsid w:val="00DD752C"/>
    <w:rsid w:val="00DE0036"/>
    <w:rsid w:val="00DE0423"/>
    <w:rsid w:val="00DE2686"/>
    <w:rsid w:val="00DE2BDF"/>
    <w:rsid w:val="00DE3336"/>
    <w:rsid w:val="00DE43A2"/>
    <w:rsid w:val="00DE4547"/>
    <w:rsid w:val="00DE5EDA"/>
    <w:rsid w:val="00DE6CF6"/>
    <w:rsid w:val="00DE7456"/>
    <w:rsid w:val="00DE775F"/>
    <w:rsid w:val="00DE7BED"/>
    <w:rsid w:val="00DF00A7"/>
    <w:rsid w:val="00DF01AC"/>
    <w:rsid w:val="00DF0CAD"/>
    <w:rsid w:val="00DF1174"/>
    <w:rsid w:val="00DF27DC"/>
    <w:rsid w:val="00DF398D"/>
    <w:rsid w:val="00DF4216"/>
    <w:rsid w:val="00DF48A0"/>
    <w:rsid w:val="00DF5F8C"/>
    <w:rsid w:val="00DF5FBC"/>
    <w:rsid w:val="00DF6D7D"/>
    <w:rsid w:val="00DF7456"/>
    <w:rsid w:val="00DF7AEC"/>
    <w:rsid w:val="00E00A20"/>
    <w:rsid w:val="00E00B80"/>
    <w:rsid w:val="00E00F89"/>
    <w:rsid w:val="00E02EC2"/>
    <w:rsid w:val="00E04B08"/>
    <w:rsid w:val="00E05278"/>
    <w:rsid w:val="00E10221"/>
    <w:rsid w:val="00E10F6B"/>
    <w:rsid w:val="00E11B40"/>
    <w:rsid w:val="00E125A7"/>
    <w:rsid w:val="00E12A5F"/>
    <w:rsid w:val="00E13D99"/>
    <w:rsid w:val="00E1521D"/>
    <w:rsid w:val="00E1581C"/>
    <w:rsid w:val="00E16E89"/>
    <w:rsid w:val="00E2027E"/>
    <w:rsid w:val="00E23347"/>
    <w:rsid w:val="00E2599B"/>
    <w:rsid w:val="00E25AB5"/>
    <w:rsid w:val="00E263EB"/>
    <w:rsid w:val="00E31DE8"/>
    <w:rsid w:val="00E32016"/>
    <w:rsid w:val="00E32050"/>
    <w:rsid w:val="00E3625A"/>
    <w:rsid w:val="00E3665D"/>
    <w:rsid w:val="00E3787C"/>
    <w:rsid w:val="00E37C0F"/>
    <w:rsid w:val="00E37F38"/>
    <w:rsid w:val="00E40050"/>
    <w:rsid w:val="00E426EA"/>
    <w:rsid w:val="00E4371C"/>
    <w:rsid w:val="00E437E3"/>
    <w:rsid w:val="00E441C9"/>
    <w:rsid w:val="00E450A9"/>
    <w:rsid w:val="00E46353"/>
    <w:rsid w:val="00E46688"/>
    <w:rsid w:val="00E47C4F"/>
    <w:rsid w:val="00E47E71"/>
    <w:rsid w:val="00E504FA"/>
    <w:rsid w:val="00E50F9B"/>
    <w:rsid w:val="00E52362"/>
    <w:rsid w:val="00E52D0F"/>
    <w:rsid w:val="00E544BF"/>
    <w:rsid w:val="00E54C75"/>
    <w:rsid w:val="00E550D2"/>
    <w:rsid w:val="00E554FA"/>
    <w:rsid w:val="00E56835"/>
    <w:rsid w:val="00E571CB"/>
    <w:rsid w:val="00E57700"/>
    <w:rsid w:val="00E605C7"/>
    <w:rsid w:val="00E607E4"/>
    <w:rsid w:val="00E6169D"/>
    <w:rsid w:val="00E61C32"/>
    <w:rsid w:val="00E63827"/>
    <w:rsid w:val="00E64C6B"/>
    <w:rsid w:val="00E67579"/>
    <w:rsid w:val="00E70587"/>
    <w:rsid w:val="00E70B34"/>
    <w:rsid w:val="00E71B50"/>
    <w:rsid w:val="00E7227D"/>
    <w:rsid w:val="00E72B76"/>
    <w:rsid w:val="00E72D0D"/>
    <w:rsid w:val="00E73382"/>
    <w:rsid w:val="00E745DB"/>
    <w:rsid w:val="00E74C09"/>
    <w:rsid w:val="00E76020"/>
    <w:rsid w:val="00E76928"/>
    <w:rsid w:val="00E76ACC"/>
    <w:rsid w:val="00E77DF7"/>
    <w:rsid w:val="00E80E04"/>
    <w:rsid w:val="00E80F61"/>
    <w:rsid w:val="00E8199B"/>
    <w:rsid w:val="00E81C7A"/>
    <w:rsid w:val="00E8204B"/>
    <w:rsid w:val="00E8275B"/>
    <w:rsid w:val="00E82B8C"/>
    <w:rsid w:val="00E84180"/>
    <w:rsid w:val="00E842FA"/>
    <w:rsid w:val="00E862BB"/>
    <w:rsid w:val="00E86AA5"/>
    <w:rsid w:val="00E9275A"/>
    <w:rsid w:val="00E927FF"/>
    <w:rsid w:val="00E9473D"/>
    <w:rsid w:val="00E94C29"/>
    <w:rsid w:val="00E94FCC"/>
    <w:rsid w:val="00E95100"/>
    <w:rsid w:val="00E95153"/>
    <w:rsid w:val="00E9517B"/>
    <w:rsid w:val="00E96C66"/>
    <w:rsid w:val="00EA470F"/>
    <w:rsid w:val="00EA5501"/>
    <w:rsid w:val="00EA5AAE"/>
    <w:rsid w:val="00EA5D25"/>
    <w:rsid w:val="00EA6284"/>
    <w:rsid w:val="00EA6E76"/>
    <w:rsid w:val="00EA73AF"/>
    <w:rsid w:val="00EA7E46"/>
    <w:rsid w:val="00EB01C3"/>
    <w:rsid w:val="00EB3752"/>
    <w:rsid w:val="00EB38BC"/>
    <w:rsid w:val="00EB44E1"/>
    <w:rsid w:val="00EB54D6"/>
    <w:rsid w:val="00EB6D53"/>
    <w:rsid w:val="00EB6FC5"/>
    <w:rsid w:val="00EC11D3"/>
    <w:rsid w:val="00EC1F61"/>
    <w:rsid w:val="00EC251B"/>
    <w:rsid w:val="00EC3D92"/>
    <w:rsid w:val="00EC3E29"/>
    <w:rsid w:val="00EC4730"/>
    <w:rsid w:val="00EC4C41"/>
    <w:rsid w:val="00EC657F"/>
    <w:rsid w:val="00EC7F5C"/>
    <w:rsid w:val="00ED05CB"/>
    <w:rsid w:val="00ED0650"/>
    <w:rsid w:val="00ED311A"/>
    <w:rsid w:val="00ED326B"/>
    <w:rsid w:val="00ED63CE"/>
    <w:rsid w:val="00ED68F0"/>
    <w:rsid w:val="00EE1C69"/>
    <w:rsid w:val="00EE2536"/>
    <w:rsid w:val="00EE2BC2"/>
    <w:rsid w:val="00EE4009"/>
    <w:rsid w:val="00EE46C9"/>
    <w:rsid w:val="00EE4F26"/>
    <w:rsid w:val="00EE562E"/>
    <w:rsid w:val="00EF3EE6"/>
    <w:rsid w:val="00EF4DA4"/>
    <w:rsid w:val="00EF4DB0"/>
    <w:rsid w:val="00EF4E13"/>
    <w:rsid w:val="00EF5031"/>
    <w:rsid w:val="00EF56A4"/>
    <w:rsid w:val="00EF5AD9"/>
    <w:rsid w:val="00EF6329"/>
    <w:rsid w:val="00EF6D16"/>
    <w:rsid w:val="00EF7F67"/>
    <w:rsid w:val="00F00A56"/>
    <w:rsid w:val="00F00B52"/>
    <w:rsid w:val="00F013BD"/>
    <w:rsid w:val="00F027FB"/>
    <w:rsid w:val="00F0366E"/>
    <w:rsid w:val="00F036F6"/>
    <w:rsid w:val="00F03A68"/>
    <w:rsid w:val="00F04A4F"/>
    <w:rsid w:val="00F05093"/>
    <w:rsid w:val="00F0631F"/>
    <w:rsid w:val="00F06F60"/>
    <w:rsid w:val="00F06FEA"/>
    <w:rsid w:val="00F1188E"/>
    <w:rsid w:val="00F11D38"/>
    <w:rsid w:val="00F12AD6"/>
    <w:rsid w:val="00F136AA"/>
    <w:rsid w:val="00F14FD6"/>
    <w:rsid w:val="00F153BE"/>
    <w:rsid w:val="00F2000D"/>
    <w:rsid w:val="00F204F8"/>
    <w:rsid w:val="00F2068B"/>
    <w:rsid w:val="00F206FF"/>
    <w:rsid w:val="00F20CA2"/>
    <w:rsid w:val="00F20F29"/>
    <w:rsid w:val="00F21D10"/>
    <w:rsid w:val="00F22AB1"/>
    <w:rsid w:val="00F252BE"/>
    <w:rsid w:val="00F25549"/>
    <w:rsid w:val="00F25CE9"/>
    <w:rsid w:val="00F25D57"/>
    <w:rsid w:val="00F274E9"/>
    <w:rsid w:val="00F302C0"/>
    <w:rsid w:val="00F31B0B"/>
    <w:rsid w:val="00F31E01"/>
    <w:rsid w:val="00F33056"/>
    <w:rsid w:val="00F3336D"/>
    <w:rsid w:val="00F34449"/>
    <w:rsid w:val="00F35497"/>
    <w:rsid w:val="00F358E3"/>
    <w:rsid w:val="00F35EAA"/>
    <w:rsid w:val="00F36912"/>
    <w:rsid w:val="00F36E61"/>
    <w:rsid w:val="00F37E92"/>
    <w:rsid w:val="00F37EEC"/>
    <w:rsid w:val="00F40D3E"/>
    <w:rsid w:val="00F41319"/>
    <w:rsid w:val="00F41931"/>
    <w:rsid w:val="00F42126"/>
    <w:rsid w:val="00F43875"/>
    <w:rsid w:val="00F45EA9"/>
    <w:rsid w:val="00F46A6C"/>
    <w:rsid w:val="00F4788C"/>
    <w:rsid w:val="00F47E08"/>
    <w:rsid w:val="00F51A7D"/>
    <w:rsid w:val="00F52219"/>
    <w:rsid w:val="00F53EFB"/>
    <w:rsid w:val="00F54097"/>
    <w:rsid w:val="00F5409F"/>
    <w:rsid w:val="00F54305"/>
    <w:rsid w:val="00F552DB"/>
    <w:rsid w:val="00F562C9"/>
    <w:rsid w:val="00F56F47"/>
    <w:rsid w:val="00F572D4"/>
    <w:rsid w:val="00F61340"/>
    <w:rsid w:val="00F62613"/>
    <w:rsid w:val="00F62DAC"/>
    <w:rsid w:val="00F63218"/>
    <w:rsid w:val="00F6384F"/>
    <w:rsid w:val="00F63EEA"/>
    <w:rsid w:val="00F6484E"/>
    <w:rsid w:val="00F64D29"/>
    <w:rsid w:val="00F6543A"/>
    <w:rsid w:val="00F661DD"/>
    <w:rsid w:val="00F66729"/>
    <w:rsid w:val="00F66CD0"/>
    <w:rsid w:val="00F67403"/>
    <w:rsid w:val="00F67E3A"/>
    <w:rsid w:val="00F67EED"/>
    <w:rsid w:val="00F7029A"/>
    <w:rsid w:val="00F736D0"/>
    <w:rsid w:val="00F81071"/>
    <w:rsid w:val="00F81EB6"/>
    <w:rsid w:val="00F820D6"/>
    <w:rsid w:val="00F82AE7"/>
    <w:rsid w:val="00F82D8C"/>
    <w:rsid w:val="00F848F5"/>
    <w:rsid w:val="00F85173"/>
    <w:rsid w:val="00F87073"/>
    <w:rsid w:val="00F909E8"/>
    <w:rsid w:val="00F90B68"/>
    <w:rsid w:val="00F92D38"/>
    <w:rsid w:val="00F95088"/>
    <w:rsid w:val="00F95E5A"/>
    <w:rsid w:val="00F97620"/>
    <w:rsid w:val="00FA182D"/>
    <w:rsid w:val="00FA1A97"/>
    <w:rsid w:val="00FA1ED3"/>
    <w:rsid w:val="00FA28F8"/>
    <w:rsid w:val="00FA3C79"/>
    <w:rsid w:val="00FA3E45"/>
    <w:rsid w:val="00FA43D5"/>
    <w:rsid w:val="00FA5C1E"/>
    <w:rsid w:val="00FA6038"/>
    <w:rsid w:val="00FB0334"/>
    <w:rsid w:val="00FB0BBB"/>
    <w:rsid w:val="00FB0BDF"/>
    <w:rsid w:val="00FB1BAA"/>
    <w:rsid w:val="00FB27C6"/>
    <w:rsid w:val="00FB387F"/>
    <w:rsid w:val="00FB3D14"/>
    <w:rsid w:val="00FB3F7C"/>
    <w:rsid w:val="00FB561A"/>
    <w:rsid w:val="00FB5731"/>
    <w:rsid w:val="00FB5F7B"/>
    <w:rsid w:val="00FB67CD"/>
    <w:rsid w:val="00FB6B85"/>
    <w:rsid w:val="00FB6F74"/>
    <w:rsid w:val="00FB775C"/>
    <w:rsid w:val="00FC2458"/>
    <w:rsid w:val="00FC28CA"/>
    <w:rsid w:val="00FC413F"/>
    <w:rsid w:val="00FC4934"/>
    <w:rsid w:val="00FC52E8"/>
    <w:rsid w:val="00FC681D"/>
    <w:rsid w:val="00FC6F40"/>
    <w:rsid w:val="00FD02CD"/>
    <w:rsid w:val="00FD0A98"/>
    <w:rsid w:val="00FD17CF"/>
    <w:rsid w:val="00FD3A7C"/>
    <w:rsid w:val="00FD3DAB"/>
    <w:rsid w:val="00FD3E70"/>
    <w:rsid w:val="00FD3FE7"/>
    <w:rsid w:val="00FD4F44"/>
    <w:rsid w:val="00FD5D74"/>
    <w:rsid w:val="00FD5F5E"/>
    <w:rsid w:val="00FE0B43"/>
    <w:rsid w:val="00FE1694"/>
    <w:rsid w:val="00FE4456"/>
    <w:rsid w:val="00FE4712"/>
    <w:rsid w:val="00FE4EFA"/>
    <w:rsid w:val="00FE587E"/>
    <w:rsid w:val="00FE63E3"/>
    <w:rsid w:val="00FE75A6"/>
    <w:rsid w:val="00FF0203"/>
    <w:rsid w:val="00FF20B9"/>
    <w:rsid w:val="00FF3928"/>
    <w:rsid w:val="00FF4835"/>
    <w:rsid w:val="00FF5692"/>
    <w:rsid w:val="00FF5973"/>
    <w:rsid w:val="00FF7AE5"/>
    <w:rsid w:val="01052A59"/>
    <w:rsid w:val="01A22FA1"/>
    <w:rsid w:val="01D2F661"/>
    <w:rsid w:val="01FB2B6D"/>
    <w:rsid w:val="026223E1"/>
    <w:rsid w:val="02931840"/>
    <w:rsid w:val="02A7714F"/>
    <w:rsid w:val="02B33102"/>
    <w:rsid w:val="02BD98C1"/>
    <w:rsid w:val="02C4F967"/>
    <w:rsid w:val="02CAF61F"/>
    <w:rsid w:val="0343D38C"/>
    <w:rsid w:val="03773002"/>
    <w:rsid w:val="03AC18A1"/>
    <w:rsid w:val="03B3EB6A"/>
    <w:rsid w:val="03CDA2C7"/>
    <w:rsid w:val="03FB1185"/>
    <w:rsid w:val="04336284"/>
    <w:rsid w:val="0452A4C9"/>
    <w:rsid w:val="049D2689"/>
    <w:rsid w:val="04C6827A"/>
    <w:rsid w:val="04F58DF6"/>
    <w:rsid w:val="0581F378"/>
    <w:rsid w:val="0593FE9C"/>
    <w:rsid w:val="05FB1E75"/>
    <w:rsid w:val="06178C22"/>
    <w:rsid w:val="06B34C48"/>
    <w:rsid w:val="06E03F27"/>
    <w:rsid w:val="07A931A9"/>
    <w:rsid w:val="07B409A0"/>
    <w:rsid w:val="07EC931B"/>
    <w:rsid w:val="0816F538"/>
    <w:rsid w:val="081FEDEE"/>
    <w:rsid w:val="0820AEA6"/>
    <w:rsid w:val="0841E4BD"/>
    <w:rsid w:val="084C804E"/>
    <w:rsid w:val="0875B277"/>
    <w:rsid w:val="087DA798"/>
    <w:rsid w:val="08C6E35E"/>
    <w:rsid w:val="08CDB593"/>
    <w:rsid w:val="08F2A893"/>
    <w:rsid w:val="09A4685A"/>
    <w:rsid w:val="09E94541"/>
    <w:rsid w:val="0A42A7B9"/>
    <w:rsid w:val="0A614AEB"/>
    <w:rsid w:val="0AA7945B"/>
    <w:rsid w:val="0ACDFA85"/>
    <w:rsid w:val="0ADF1785"/>
    <w:rsid w:val="0B882DBE"/>
    <w:rsid w:val="0BB6D884"/>
    <w:rsid w:val="0BC97244"/>
    <w:rsid w:val="0BF51747"/>
    <w:rsid w:val="0C50566B"/>
    <w:rsid w:val="0C5B899A"/>
    <w:rsid w:val="0C5D514F"/>
    <w:rsid w:val="0C81EDEF"/>
    <w:rsid w:val="0C834D2F"/>
    <w:rsid w:val="0C863DE6"/>
    <w:rsid w:val="0CDDAF5B"/>
    <w:rsid w:val="0D76D4DE"/>
    <w:rsid w:val="0D9E4733"/>
    <w:rsid w:val="0DC6212C"/>
    <w:rsid w:val="0DDD5050"/>
    <w:rsid w:val="0E0D2AA1"/>
    <w:rsid w:val="0E1399FC"/>
    <w:rsid w:val="0E5D4022"/>
    <w:rsid w:val="0EC7AF6B"/>
    <w:rsid w:val="0ED20F62"/>
    <w:rsid w:val="0EDB6736"/>
    <w:rsid w:val="0EFD72AB"/>
    <w:rsid w:val="0F32DC58"/>
    <w:rsid w:val="0F3E5529"/>
    <w:rsid w:val="0F3FEB1E"/>
    <w:rsid w:val="0F4269C1"/>
    <w:rsid w:val="0F82A0C0"/>
    <w:rsid w:val="0F9824D2"/>
    <w:rsid w:val="0FED2203"/>
    <w:rsid w:val="1008B782"/>
    <w:rsid w:val="10200864"/>
    <w:rsid w:val="1041D590"/>
    <w:rsid w:val="108E62C5"/>
    <w:rsid w:val="10C7F92C"/>
    <w:rsid w:val="10E97949"/>
    <w:rsid w:val="1152AC3B"/>
    <w:rsid w:val="1156DB1B"/>
    <w:rsid w:val="11722711"/>
    <w:rsid w:val="118BC825"/>
    <w:rsid w:val="1190E077"/>
    <w:rsid w:val="119D0777"/>
    <w:rsid w:val="123F09E3"/>
    <w:rsid w:val="124C3321"/>
    <w:rsid w:val="127CCB4E"/>
    <w:rsid w:val="12D4020A"/>
    <w:rsid w:val="13CCDC53"/>
    <w:rsid w:val="1404E3F1"/>
    <w:rsid w:val="1446EA27"/>
    <w:rsid w:val="1449EB97"/>
    <w:rsid w:val="14A1DCAB"/>
    <w:rsid w:val="14B67546"/>
    <w:rsid w:val="14DA36E2"/>
    <w:rsid w:val="14E39B59"/>
    <w:rsid w:val="1593D2AA"/>
    <w:rsid w:val="15EBD0A7"/>
    <w:rsid w:val="163F7116"/>
    <w:rsid w:val="166E580F"/>
    <w:rsid w:val="1713D698"/>
    <w:rsid w:val="1775232D"/>
    <w:rsid w:val="1797987C"/>
    <w:rsid w:val="179BE1A3"/>
    <w:rsid w:val="17A21FF4"/>
    <w:rsid w:val="17FE5C19"/>
    <w:rsid w:val="182D851F"/>
    <w:rsid w:val="1857F4B5"/>
    <w:rsid w:val="186215A3"/>
    <w:rsid w:val="188119F3"/>
    <w:rsid w:val="18A4DFF6"/>
    <w:rsid w:val="1905B73D"/>
    <w:rsid w:val="193D9D79"/>
    <w:rsid w:val="193EBE1C"/>
    <w:rsid w:val="19BF1D41"/>
    <w:rsid w:val="19F9C02F"/>
    <w:rsid w:val="1A2200D1"/>
    <w:rsid w:val="1A26D9FB"/>
    <w:rsid w:val="1A6952E6"/>
    <w:rsid w:val="1A6B349F"/>
    <w:rsid w:val="1A80D6AC"/>
    <w:rsid w:val="1AB8E112"/>
    <w:rsid w:val="1ACDB974"/>
    <w:rsid w:val="1AE9A5BB"/>
    <w:rsid w:val="1B9ADA37"/>
    <w:rsid w:val="1BB192A2"/>
    <w:rsid w:val="1BF5258F"/>
    <w:rsid w:val="1C49F8D4"/>
    <w:rsid w:val="1C535AF8"/>
    <w:rsid w:val="1C62098E"/>
    <w:rsid w:val="1CD67B09"/>
    <w:rsid w:val="1D051314"/>
    <w:rsid w:val="1D1380CC"/>
    <w:rsid w:val="1D298A1F"/>
    <w:rsid w:val="1D33A33F"/>
    <w:rsid w:val="1D4DB027"/>
    <w:rsid w:val="1D714FE8"/>
    <w:rsid w:val="1D7675E5"/>
    <w:rsid w:val="1D8296F8"/>
    <w:rsid w:val="1D9F8E26"/>
    <w:rsid w:val="1DC8D069"/>
    <w:rsid w:val="1E9F5622"/>
    <w:rsid w:val="1EBE4EE7"/>
    <w:rsid w:val="1F19F4FF"/>
    <w:rsid w:val="1F2BFF93"/>
    <w:rsid w:val="1F352EC8"/>
    <w:rsid w:val="1F447A02"/>
    <w:rsid w:val="1F4DDC55"/>
    <w:rsid w:val="1F5BA164"/>
    <w:rsid w:val="1F5C0752"/>
    <w:rsid w:val="1FA5E4A9"/>
    <w:rsid w:val="1FC3020A"/>
    <w:rsid w:val="1FC3C2A9"/>
    <w:rsid w:val="200BEBEC"/>
    <w:rsid w:val="20263577"/>
    <w:rsid w:val="20536F33"/>
    <w:rsid w:val="207D09C4"/>
    <w:rsid w:val="20874145"/>
    <w:rsid w:val="20B09AB6"/>
    <w:rsid w:val="20B7AB39"/>
    <w:rsid w:val="20C50905"/>
    <w:rsid w:val="20D0CE7E"/>
    <w:rsid w:val="215D35E7"/>
    <w:rsid w:val="21B50D52"/>
    <w:rsid w:val="21B68912"/>
    <w:rsid w:val="21EBE7BF"/>
    <w:rsid w:val="21EEDA5D"/>
    <w:rsid w:val="22159838"/>
    <w:rsid w:val="222C1716"/>
    <w:rsid w:val="222E737C"/>
    <w:rsid w:val="226D4E20"/>
    <w:rsid w:val="22CD5879"/>
    <w:rsid w:val="22CFF868"/>
    <w:rsid w:val="23252CCA"/>
    <w:rsid w:val="23524E29"/>
    <w:rsid w:val="2359DDBC"/>
    <w:rsid w:val="23A8D585"/>
    <w:rsid w:val="23AC008D"/>
    <w:rsid w:val="23B2D4F2"/>
    <w:rsid w:val="23F15AC0"/>
    <w:rsid w:val="2417F825"/>
    <w:rsid w:val="241F0E06"/>
    <w:rsid w:val="2457E788"/>
    <w:rsid w:val="24A381CA"/>
    <w:rsid w:val="24F190B6"/>
    <w:rsid w:val="25792BA8"/>
    <w:rsid w:val="258F9C16"/>
    <w:rsid w:val="25E9A373"/>
    <w:rsid w:val="25FCC502"/>
    <w:rsid w:val="261CE29D"/>
    <w:rsid w:val="26390335"/>
    <w:rsid w:val="266F7496"/>
    <w:rsid w:val="2682DCA2"/>
    <w:rsid w:val="26A18756"/>
    <w:rsid w:val="26AFB498"/>
    <w:rsid w:val="26BEB633"/>
    <w:rsid w:val="26FBC299"/>
    <w:rsid w:val="26FBEBEB"/>
    <w:rsid w:val="27539E21"/>
    <w:rsid w:val="27703A35"/>
    <w:rsid w:val="2797C392"/>
    <w:rsid w:val="27ABCEA0"/>
    <w:rsid w:val="27DBA2EC"/>
    <w:rsid w:val="2875AD4E"/>
    <w:rsid w:val="28928F39"/>
    <w:rsid w:val="28983FA2"/>
    <w:rsid w:val="28A9BCFA"/>
    <w:rsid w:val="28C2DC22"/>
    <w:rsid w:val="28E61086"/>
    <w:rsid w:val="28F502B1"/>
    <w:rsid w:val="293CAE64"/>
    <w:rsid w:val="29415C44"/>
    <w:rsid w:val="298C34E9"/>
    <w:rsid w:val="29A0528C"/>
    <w:rsid w:val="29D7D262"/>
    <w:rsid w:val="2AC93358"/>
    <w:rsid w:val="2AFA096C"/>
    <w:rsid w:val="2BB50C12"/>
    <w:rsid w:val="2BBDFD02"/>
    <w:rsid w:val="2BD50154"/>
    <w:rsid w:val="2BDB2F84"/>
    <w:rsid w:val="2BDD06D2"/>
    <w:rsid w:val="2C223A37"/>
    <w:rsid w:val="2C4C8B5D"/>
    <w:rsid w:val="2C55C896"/>
    <w:rsid w:val="2C6E7943"/>
    <w:rsid w:val="2CBA19A6"/>
    <w:rsid w:val="2D136793"/>
    <w:rsid w:val="2D5811E7"/>
    <w:rsid w:val="2DE5DABD"/>
    <w:rsid w:val="2E1CEF9C"/>
    <w:rsid w:val="2E6ED1E5"/>
    <w:rsid w:val="2E8C713A"/>
    <w:rsid w:val="2EC2E9A2"/>
    <w:rsid w:val="2EC85329"/>
    <w:rsid w:val="2ECDE2B9"/>
    <w:rsid w:val="2F32077B"/>
    <w:rsid w:val="2F33515D"/>
    <w:rsid w:val="2F7858B5"/>
    <w:rsid w:val="2F87E34F"/>
    <w:rsid w:val="2F9F99D0"/>
    <w:rsid w:val="2FF7F190"/>
    <w:rsid w:val="2FFDE5DD"/>
    <w:rsid w:val="3004954C"/>
    <w:rsid w:val="30153C3F"/>
    <w:rsid w:val="305C7CA2"/>
    <w:rsid w:val="306A5242"/>
    <w:rsid w:val="30B7BF17"/>
    <w:rsid w:val="310AFD82"/>
    <w:rsid w:val="312164A1"/>
    <w:rsid w:val="314A5136"/>
    <w:rsid w:val="319AF800"/>
    <w:rsid w:val="31A0F621"/>
    <w:rsid w:val="31A759AD"/>
    <w:rsid w:val="31B40615"/>
    <w:rsid w:val="31BE627A"/>
    <w:rsid w:val="32197E97"/>
    <w:rsid w:val="3221CBA6"/>
    <w:rsid w:val="33058F2A"/>
    <w:rsid w:val="33976E33"/>
    <w:rsid w:val="33C40924"/>
    <w:rsid w:val="33D80D9C"/>
    <w:rsid w:val="33F22268"/>
    <w:rsid w:val="33F453F2"/>
    <w:rsid w:val="340B597A"/>
    <w:rsid w:val="34127F83"/>
    <w:rsid w:val="345B8DBE"/>
    <w:rsid w:val="34623A49"/>
    <w:rsid w:val="3471AB21"/>
    <w:rsid w:val="34B5E6BE"/>
    <w:rsid w:val="34CB305D"/>
    <w:rsid w:val="352F52DB"/>
    <w:rsid w:val="357A4F7A"/>
    <w:rsid w:val="359727ED"/>
    <w:rsid w:val="35BDFD29"/>
    <w:rsid w:val="35C3E946"/>
    <w:rsid w:val="35C4D35D"/>
    <w:rsid w:val="35EB9895"/>
    <w:rsid w:val="361A135C"/>
    <w:rsid w:val="3633C15D"/>
    <w:rsid w:val="36385023"/>
    <w:rsid w:val="36444D2C"/>
    <w:rsid w:val="3646783B"/>
    <w:rsid w:val="3692460E"/>
    <w:rsid w:val="36AB71C8"/>
    <w:rsid w:val="36B9EC60"/>
    <w:rsid w:val="36CF54FD"/>
    <w:rsid w:val="37062BAA"/>
    <w:rsid w:val="37524B60"/>
    <w:rsid w:val="375E87FB"/>
    <w:rsid w:val="37AA62BC"/>
    <w:rsid w:val="37C6816D"/>
    <w:rsid w:val="37CD81EE"/>
    <w:rsid w:val="37E53CF9"/>
    <w:rsid w:val="385A71D4"/>
    <w:rsid w:val="396877D2"/>
    <w:rsid w:val="39996F8B"/>
    <w:rsid w:val="39A16FFC"/>
    <w:rsid w:val="39CC3B42"/>
    <w:rsid w:val="39E24C5E"/>
    <w:rsid w:val="39F2E525"/>
    <w:rsid w:val="39FE5805"/>
    <w:rsid w:val="3AB56AA3"/>
    <w:rsid w:val="3ACC08CA"/>
    <w:rsid w:val="3ACD446D"/>
    <w:rsid w:val="3AD7DADE"/>
    <w:rsid w:val="3AEB0253"/>
    <w:rsid w:val="3B1DB29C"/>
    <w:rsid w:val="3B7F03AE"/>
    <w:rsid w:val="3BA7EF27"/>
    <w:rsid w:val="3CC6940C"/>
    <w:rsid w:val="3CEEFE07"/>
    <w:rsid w:val="3D0E6400"/>
    <w:rsid w:val="3D14CB56"/>
    <w:rsid w:val="3DF190FB"/>
    <w:rsid w:val="3DF9754C"/>
    <w:rsid w:val="3DFFB295"/>
    <w:rsid w:val="3E14A6C5"/>
    <w:rsid w:val="3E691770"/>
    <w:rsid w:val="3E8B4F05"/>
    <w:rsid w:val="3EAEB449"/>
    <w:rsid w:val="3EC876BF"/>
    <w:rsid w:val="3F0BFF1D"/>
    <w:rsid w:val="3F93F236"/>
    <w:rsid w:val="400DD359"/>
    <w:rsid w:val="4041930E"/>
    <w:rsid w:val="40421FEE"/>
    <w:rsid w:val="4046BDC2"/>
    <w:rsid w:val="406F4250"/>
    <w:rsid w:val="409BABD3"/>
    <w:rsid w:val="40D3EA61"/>
    <w:rsid w:val="40F0EE67"/>
    <w:rsid w:val="41255D6C"/>
    <w:rsid w:val="417D7639"/>
    <w:rsid w:val="41A478D1"/>
    <w:rsid w:val="41CF8AD1"/>
    <w:rsid w:val="4200A1B8"/>
    <w:rsid w:val="420FC2DE"/>
    <w:rsid w:val="42193E33"/>
    <w:rsid w:val="423908D4"/>
    <w:rsid w:val="423F9615"/>
    <w:rsid w:val="4251CA12"/>
    <w:rsid w:val="425B0EA4"/>
    <w:rsid w:val="4273B187"/>
    <w:rsid w:val="428B1679"/>
    <w:rsid w:val="42A3101B"/>
    <w:rsid w:val="42C4065B"/>
    <w:rsid w:val="4335577E"/>
    <w:rsid w:val="434FDAC3"/>
    <w:rsid w:val="4383C394"/>
    <w:rsid w:val="43EE00F3"/>
    <w:rsid w:val="441940C9"/>
    <w:rsid w:val="444F247C"/>
    <w:rsid w:val="44851AE3"/>
    <w:rsid w:val="4495CBCC"/>
    <w:rsid w:val="4496595F"/>
    <w:rsid w:val="44B447A2"/>
    <w:rsid w:val="44FC950A"/>
    <w:rsid w:val="451FA702"/>
    <w:rsid w:val="45236E4E"/>
    <w:rsid w:val="4534D916"/>
    <w:rsid w:val="45F6228A"/>
    <w:rsid w:val="463526B3"/>
    <w:rsid w:val="464A62CE"/>
    <w:rsid w:val="46857D6C"/>
    <w:rsid w:val="46A054D3"/>
    <w:rsid w:val="46D6EBFE"/>
    <w:rsid w:val="472A0688"/>
    <w:rsid w:val="4747BD54"/>
    <w:rsid w:val="4753FE9F"/>
    <w:rsid w:val="4754336D"/>
    <w:rsid w:val="478F8937"/>
    <w:rsid w:val="47B683EE"/>
    <w:rsid w:val="47C35A20"/>
    <w:rsid w:val="47F85F65"/>
    <w:rsid w:val="48018166"/>
    <w:rsid w:val="48513E92"/>
    <w:rsid w:val="487F0E40"/>
    <w:rsid w:val="48BECC35"/>
    <w:rsid w:val="4920C9EF"/>
    <w:rsid w:val="498BBECD"/>
    <w:rsid w:val="4A09A20A"/>
    <w:rsid w:val="4A34D106"/>
    <w:rsid w:val="4A653837"/>
    <w:rsid w:val="4A66B21A"/>
    <w:rsid w:val="4A740ED8"/>
    <w:rsid w:val="4A8001F3"/>
    <w:rsid w:val="4A8E53B3"/>
    <w:rsid w:val="4A9069A6"/>
    <w:rsid w:val="4A9B0B91"/>
    <w:rsid w:val="4ABB1804"/>
    <w:rsid w:val="4ABD1105"/>
    <w:rsid w:val="4B2060B5"/>
    <w:rsid w:val="4B4B926A"/>
    <w:rsid w:val="4B57D513"/>
    <w:rsid w:val="4B6185E4"/>
    <w:rsid w:val="4B63C713"/>
    <w:rsid w:val="4B7B9A74"/>
    <w:rsid w:val="4B8B2834"/>
    <w:rsid w:val="4BAA20F5"/>
    <w:rsid w:val="4BD2E4FF"/>
    <w:rsid w:val="4C017618"/>
    <w:rsid w:val="4C2A2347"/>
    <w:rsid w:val="4C62DAF7"/>
    <w:rsid w:val="4C652D63"/>
    <w:rsid w:val="4C8EB9C5"/>
    <w:rsid w:val="4CDA4AE5"/>
    <w:rsid w:val="4D3A0790"/>
    <w:rsid w:val="4D67A852"/>
    <w:rsid w:val="4DDED364"/>
    <w:rsid w:val="4DF3456E"/>
    <w:rsid w:val="4E415CE5"/>
    <w:rsid w:val="4E84E28C"/>
    <w:rsid w:val="4E903448"/>
    <w:rsid w:val="4F0D04FD"/>
    <w:rsid w:val="4F25F022"/>
    <w:rsid w:val="4F59944A"/>
    <w:rsid w:val="4F6D3BBD"/>
    <w:rsid w:val="4F8E819A"/>
    <w:rsid w:val="4FCFCCCB"/>
    <w:rsid w:val="4FF682F5"/>
    <w:rsid w:val="4FF7A049"/>
    <w:rsid w:val="5029A2AC"/>
    <w:rsid w:val="50504C39"/>
    <w:rsid w:val="507B34F8"/>
    <w:rsid w:val="50A08298"/>
    <w:rsid w:val="50CAFCF6"/>
    <w:rsid w:val="50DFB710"/>
    <w:rsid w:val="50FF179E"/>
    <w:rsid w:val="513255A0"/>
    <w:rsid w:val="513DA7A8"/>
    <w:rsid w:val="516C342B"/>
    <w:rsid w:val="518548AE"/>
    <w:rsid w:val="5185CD49"/>
    <w:rsid w:val="5190BB13"/>
    <w:rsid w:val="51B5F608"/>
    <w:rsid w:val="51D172D1"/>
    <w:rsid w:val="51E1DD23"/>
    <w:rsid w:val="51EA867B"/>
    <w:rsid w:val="51FACC42"/>
    <w:rsid w:val="522C726D"/>
    <w:rsid w:val="525D033A"/>
    <w:rsid w:val="526AA02E"/>
    <w:rsid w:val="528FD5D1"/>
    <w:rsid w:val="529026DF"/>
    <w:rsid w:val="52E7C4FE"/>
    <w:rsid w:val="52FF8504"/>
    <w:rsid w:val="538D0834"/>
    <w:rsid w:val="53AC8440"/>
    <w:rsid w:val="53AFFD43"/>
    <w:rsid w:val="540DA4DF"/>
    <w:rsid w:val="541F0591"/>
    <w:rsid w:val="543384AE"/>
    <w:rsid w:val="5450D185"/>
    <w:rsid w:val="54556382"/>
    <w:rsid w:val="546636A0"/>
    <w:rsid w:val="549FFFAB"/>
    <w:rsid w:val="54D71AC9"/>
    <w:rsid w:val="5515633C"/>
    <w:rsid w:val="554BBC35"/>
    <w:rsid w:val="55F33902"/>
    <w:rsid w:val="561B4E52"/>
    <w:rsid w:val="56452230"/>
    <w:rsid w:val="564FCFEE"/>
    <w:rsid w:val="5653E9C3"/>
    <w:rsid w:val="568B802C"/>
    <w:rsid w:val="5695333B"/>
    <w:rsid w:val="56C71B51"/>
    <w:rsid w:val="56F50828"/>
    <w:rsid w:val="56FF4F0A"/>
    <w:rsid w:val="571A190B"/>
    <w:rsid w:val="578D9EC9"/>
    <w:rsid w:val="57A43F80"/>
    <w:rsid w:val="57A6A4EC"/>
    <w:rsid w:val="58154E6E"/>
    <w:rsid w:val="58B18BA0"/>
    <w:rsid w:val="58B72EA5"/>
    <w:rsid w:val="58BDFD7D"/>
    <w:rsid w:val="58CF8CAF"/>
    <w:rsid w:val="5950566F"/>
    <w:rsid w:val="5999C9E5"/>
    <w:rsid w:val="5A079D0B"/>
    <w:rsid w:val="5A27D796"/>
    <w:rsid w:val="5A8A2B62"/>
    <w:rsid w:val="5A922261"/>
    <w:rsid w:val="5A9678D3"/>
    <w:rsid w:val="5B018D97"/>
    <w:rsid w:val="5B241FEB"/>
    <w:rsid w:val="5B44B22D"/>
    <w:rsid w:val="5BB95189"/>
    <w:rsid w:val="5BEE205D"/>
    <w:rsid w:val="5C0DCA49"/>
    <w:rsid w:val="5C28F458"/>
    <w:rsid w:val="5C9CB8EB"/>
    <w:rsid w:val="5CCC6785"/>
    <w:rsid w:val="5CCD39AC"/>
    <w:rsid w:val="5CDC6521"/>
    <w:rsid w:val="5D0B3FB8"/>
    <w:rsid w:val="5D88C937"/>
    <w:rsid w:val="5DF1EB98"/>
    <w:rsid w:val="5E2172CE"/>
    <w:rsid w:val="5E740EDC"/>
    <w:rsid w:val="5E794DDD"/>
    <w:rsid w:val="5EDEDB89"/>
    <w:rsid w:val="5EF1734A"/>
    <w:rsid w:val="5F01B1C0"/>
    <w:rsid w:val="5F0AF1E2"/>
    <w:rsid w:val="5F374CE5"/>
    <w:rsid w:val="5F9BA793"/>
    <w:rsid w:val="5FDADEF7"/>
    <w:rsid w:val="5FF2D3D7"/>
    <w:rsid w:val="602CF04A"/>
    <w:rsid w:val="6037CD38"/>
    <w:rsid w:val="605196EF"/>
    <w:rsid w:val="606139BB"/>
    <w:rsid w:val="6070C467"/>
    <w:rsid w:val="60977488"/>
    <w:rsid w:val="60C6A7B1"/>
    <w:rsid w:val="60CB1817"/>
    <w:rsid w:val="60E6666B"/>
    <w:rsid w:val="615DC235"/>
    <w:rsid w:val="61F28514"/>
    <w:rsid w:val="6243BE77"/>
    <w:rsid w:val="6244F7D2"/>
    <w:rsid w:val="62919769"/>
    <w:rsid w:val="629FA9B4"/>
    <w:rsid w:val="630ECB2E"/>
    <w:rsid w:val="634DD663"/>
    <w:rsid w:val="636CCD4B"/>
    <w:rsid w:val="6374D984"/>
    <w:rsid w:val="6397FF33"/>
    <w:rsid w:val="63D1B826"/>
    <w:rsid w:val="6403FF57"/>
    <w:rsid w:val="641F5998"/>
    <w:rsid w:val="64779B2C"/>
    <w:rsid w:val="64C437AC"/>
    <w:rsid w:val="64EACB27"/>
    <w:rsid w:val="65168BE9"/>
    <w:rsid w:val="657AE839"/>
    <w:rsid w:val="658A2DB0"/>
    <w:rsid w:val="665B79B5"/>
    <w:rsid w:val="665D79AE"/>
    <w:rsid w:val="6668FB42"/>
    <w:rsid w:val="672696D8"/>
    <w:rsid w:val="67498C84"/>
    <w:rsid w:val="67961391"/>
    <w:rsid w:val="67D1E050"/>
    <w:rsid w:val="68580D07"/>
    <w:rsid w:val="686AAB25"/>
    <w:rsid w:val="68B67C55"/>
    <w:rsid w:val="68F12541"/>
    <w:rsid w:val="691589A0"/>
    <w:rsid w:val="695E9139"/>
    <w:rsid w:val="6963D585"/>
    <w:rsid w:val="696653A2"/>
    <w:rsid w:val="6975B509"/>
    <w:rsid w:val="699D5414"/>
    <w:rsid w:val="69CE7F7B"/>
    <w:rsid w:val="69D0AA8A"/>
    <w:rsid w:val="69DC292F"/>
    <w:rsid w:val="69F64617"/>
    <w:rsid w:val="6A5A4C9C"/>
    <w:rsid w:val="6AB02105"/>
    <w:rsid w:val="6ABFD5D9"/>
    <w:rsid w:val="6AC5DB39"/>
    <w:rsid w:val="6ACA95D9"/>
    <w:rsid w:val="6B185788"/>
    <w:rsid w:val="6B2264D6"/>
    <w:rsid w:val="6B4B2D13"/>
    <w:rsid w:val="6C181BA4"/>
    <w:rsid w:val="6CA58EDC"/>
    <w:rsid w:val="6CCCCFAE"/>
    <w:rsid w:val="6D026D70"/>
    <w:rsid w:val="6D048EE0"/>
    <w:rsid w:val="6D2F27FD"/>
    <w:rsid w:val="6D65A825"/>
    <w:rsid w:val="6D95175C"/>
    <w:rsid w:val="6DEFF0D2"/>
    <w:rsid w:val="6E0E0E47"/>
    <w:rsid w:val="6E360E05"/>
    <w:rsid w:val="6E4AEBA5"/>
    <w:rsid w:val="6E505E68"/>
    <w:rsid w:val="6E8758C6"/>
    <w:rsid w:val="6ECDF63C"/>
    <w:rsid w:val="6ECF05FB"/>
    <w:rsid w:val="6EF2D2A6"/>
    <w:rsid w:val="6F3EB9E0"/>
    <w:rsid w:val="6F4F2A98"/>
    <w:rsid w:val="6F63E7ED"/>
    <w:rsid w:val="6F6B9845"/>
    <w:rsid w:val="6F921C29"/>
    <w:rsid w:val="6FCAC0BF"/>
    <w:rsid w:val="6FEDFA3B"/>
    <w:rsid w:val="70054605"/>
    <w:rsid w:val="702E233E"/>
    <w:rsid w:val="7068792A"/>
    <w:rsid w:val="71147C2C"/>
    <w:rsid w:val="716A452E"/>
    <w:rsid w:val="720471C4"/>
    <w:rsid w:val="72E567CC"/>
    <w:rsid w:val="7342E18F"/>
    <w:rsid w:val="734850FB"/>
    <w:rsid w:val="736FDC2A"/>
    <w:rsid w:val="738F8220"/>
    <w:rsid w:val="73972B3A"/>
    <w:rsid w:val="73C22C77"/>
    <w:rsid w:val="7456FDD6"/>
    <w:rsid w:val="745C62C0"/>
    <w:rsid w:val="7467E87A"/>
    <w:rsid w:val="749FB049"/>
    <w:rsid w:val="74C416C5"/>
    <w:rsid w:val="74C60560"/>
    <w:rsid w:val="74D8B153"/>
    <w:rsid w:val="74DEED05"/>
    <w:rsid w:val="753F725B"/>
    <w:rsid w:val="7584F376"/>
    <w:rsid w:val="75AB9FBC"/>
    <w:rsid w:val="75CBB4F0"/>
    <w:rsid w:val="75EF24B5"/>
    <w:rsid w:val="75FDC740"/>
    <w:rsid w:val="76289382"/>
    <w:rsid w:val="76B31793"/>
    <w:rsid w:val="770F07B3"/>
    <w:rsid w:val="77627D6D"/>
    <w:rsid w:val="77B59A13"/>
    <w:rsid w:val="77FBE267"/>
    <w:rsid w:val="78322B88"/>
    <w:rsid w:val="78844F8D"/>
    <w:rsid w:val="78F9A6E6"/>
    <w:rsid w:val="7940F012"/>
    <w:rsid w:val="7984FE53"/>
    <w:rsid w:val="7992349E"/>
    <w:rsid w:val="79C2E830"/>
    <w:rsid w:val="7A088502"/>
    <w:rsid w:val="7A2E4647"/>
    <w:rsid w:val="7A4BBE98"/>
    <w:rsid w:val="7A4F053A"/>
    <w:rsid w:val="7A660808"/>
    <w:rsid w:val="7A87EFDF"/>
    <w:rsid w:val="7A99FA49"/>
    <w:rsid w:val="7ADE7DA6"/>
    <w:rsid w:val="7ADF2C2D"/>
    <w:rsid w:val="7B041407"/>
    <w:rsid w:val="7B16D162"/>
    <w:rsid w:val="7B6B433B"/>
    <w:rsid w:val="7BB3FEEB"/>
    <w:rsid w:val="7BBE91B7"/>
    <w:rsid w:val="7BC94917"/>
    <w:rsid w:val="7BDA0252"/>
    <w:rsid w:val="7BDF3616"/>
    <w:rsid w:val="7C1C67BD"/>
    <w:rsid w:val="7C5F472E"/>
    <w:rsid w:val="7C90A86C"/>
    <w:rsid w:val="7CAAAB77"/>
    <w:rsid w:val="7D1F4655"/>
    <w:rsid w:val="7D6735BE"/>
    <w:rsid w:val="7D8D5635"/>
    <w:rsid w:val="7E16EBF9"/>
    <w:rsid w:val="7E4D502A"/>
    <w:rsid w:val="7E548DAF"/>
    <w:rsid w:val="7E7525F0"/>
    <w:rsid w:val="7E8F8E2E"/>
    <w:rsid w:val="7EA50891"/>
    <w:rsid w:val="7EFB6260"/>
    <w:rsid w:val="7EFF7E6B"/>
    <w:rsid w:val="7EFF80C5"/>
    <w:rsid w:val="7F49986D"/>
    <w:rsid w:val="7F650B4F"/>
    <w:rsid w:val="7F90C8CE"/>
    <w:rsid w:val="7F91A847"/>
    <w:rsid w:val="7F9F5FAB"/>
    <w:rsid w:val="7FBD5CF5"/>
    <w:rsid w:val="7FBF55CA"/>
    <w:rsid w:val="7FCD8CC5"/>
    <w:rsid w:val="7FF926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F7A074"/>
  <w15:chartTrackingRefBased/>
  <w15:docId w15:val="{0ECB7211-71C0-45FD-921D-18641E9A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iPriority="59"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iPriority="5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0FB"/>
    <w:pPr>
      <w:spacing w:line="240" w:lineRule="auto"/>
    </w:pPr>
    <w:rPr>
      <w:rFonts w:ascii="Segoe UI" w:hAnsi="Segoe UI"/>
      <w:sz w:val="21"/>
    </w:rPr>
  </w:style>
  <w:style w:type="paragraph" w:styleId="Heading1">
    <w:name w:val="heading 1"/>
    <w:basedOn w:val="Normal"/>
    <w:next w:val="Normal"/>
    <w:link w:val="Heading1Char"/>
    <w:uiPriority w:val="9"/>
    <w:qFormat/>
    <w:rsid w:val="00B5393D"/>
    <w:pPr>
      <w:keepNext/>
      <w:keepLines/>
      <w:shd w:val="clear" w:color="auto" w:fill="002D72"/>
      <w:spacing w:before="168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aliases w:val="Chapter Heading (Short)"/>
    <w:basedOn w:val="Normal"/>
    <w:next w:val="Normal"/>
    <w:link w:val="Heading2Char"/>
    <w:uiPriority w:val="1"/>
    <w:unhideWhenUsed/>
    <w:qFormat/>
    <w:rsid w:val="00772C27"/>
    <w:pPr>
      <w:keepNext/>
      <w:numPr>
        <w:ilvl w:val="1"/>
        <w:numId w:val="4"/>
      </w:numPr>
      <w:spacing w:before="120"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772C27"/>
    <w:pPr>
      <w:keepNext/>
      <w:spacing w:before="120" w:after="120"/>
      <w:outlineLvl w:val="2"/>
    </w:pPr>
    <w:rPr>
      <w:rFonts w:ascii="Segoe UI Semibold" w:eastAsia="MingLiU" w:hAnsi="Segoe UI Semibold" w:cs="Segoe UI Semibold"/>
      <w:color w:val="002D72"/>
      <w:sz w:val="30"/>
      <w:szCs w:val="30"/>
    </w:rPr>
  </w:style>
  <w:style w:type="paragraph" w:styleId="Heading4">
    <w:name w:val="heading 4"/>
    <w:aliases w:val="Appendix Heading (Short)"/>
    <w:basedOn w:val="Normal"/>
    <w:next w:val="Normal"/>
    <w:link w:val="Heading4Char"/>
    <w:uiPriority w:val="1"/>
    <w:unhideWhenUsed/>
    <w:qFormat/>
    <w:rsid w:val="00772C27"/>
    <w:pPr>
      <w:keepNext/>
      <w:numPr>
        <w:ilvl w:val="4"/>
        <w:numId w:val="4"/>
      </w:numPr>
      <w:spacing w:before="120" w:after="120"/>
      <w:outlineLvl w:val="3"/>
    </w:pPr>
    <w:rPr>
      <w:rFonts w:ascii="Segoe UI Semibold" w:eastAsia="MingLiU" w:hAnsi="Segoe UI Semibold" w:cs="Segoe UI Semibold"/>
      <w:color w:val="626E81"/>
      <w:sz w:val="26"/>
      <w:szCs w:val="26"/>
    </w:rPr>
  </w:style>
  <w:style w:type="paragraph" w:styleId="Heading5">
    <w:name w:val="heading 5"/>
    <w:basedOn w:val="Normal"/>
    <w:next w:val="Normal"/>
    <w:link w:val="Heading5Char"/>
    <w:uiPriority w:val="9"/>
    <w:unhideWhenUsed/>
    <w:qFormat/>
    <w:rsid w:val="00772C27"/>
    <w:pPr>
      <w:keepNext/>
      <w:spacing w:before="120" w:after="120"/>
      <w:outlineLvl w:val="4"/>
    </w:pPr>
    <w:rPr>
      <w:rFonts w:ascii="Segoe UI Semibold" w:eastAsia="MingLiU" w:hAnsi="Segoe UI Semibold" w:cs="Segoe UI Semibold"/>
      <w:color w:val="626E81"/>
    </w:rPr>
  </w:style>
  <w:style w:type="paragraph" w:styleId="Heading6">
    <w:name w:val="heading 6"/>
    <w:basedOn w:val="Normal"/>
    <w:next w:val="Normal"/>
    <w:link w:val="Heading6Char"/>
    <w:uiPriority w:val="1"/>
    <w:unhideWhenUsed/>
    <w:qFormat/>
    <w:rsid w:val="00772C27"/>
    <w:pPr>
      <w:keepNext/>
      <w:numPr>
        <w:ilvl w:val="2"/>
        <w:numId w:val="4"/>
      </w:numPr>
      <w:spacing w:before="120" w:after="120"/>
      <w:outlineLvl w:val="5"/>
    </w:pPr>
    <w:rPr>
      <w:rFonts w:ascii="Segoe UI Semibold" w:eastAsia="MingLiU" w:hAnsi="Segoe UI Semibold" w:cs="Segoe UI Semibold"/>
      <w:color w:val="626E81"/>
      <w:sz w:val="20"/>
      <w:szCs w:val="20"/>
    </w:rPr>
  </w:style>
  <w:style w:type="paragraph" w:styleId="Heading7">
    <w:name w:val="heading 7"/>
    <w:basedOn w:val="Normal"/>
    <w:next w:val="Normal"/>
    <w:link w:val="Heading7Char"/>
    <w:uiPriority w:val="1"/>
    <w:unhideWhenUsed/>
    <w:qFormat/>
    <w:rsid w:val="00772C27"/>
    <w:pPr>
      <w:keepNext/>
      <w:keepLines/>
      <w:numPr>
        <w:ilvl w:val="3"/>
        <w:numId w:val="4"/>
      </w:numPr>
      <w:spacing w:before="40" w:after="0"/>
      <w:outlineLvl w:val="6"/>
    </w:pPr>
    <w:rPr>
      <w:rFonts w:ascii="Segoe UI Semibold" w:eastAsiaTheme="majorEastAsia" w:hAnsi="Segoe UI Semibold" w:cs="Segoe UI Semibold"/>
      <w:iCs/>
      <w:color w:val="626E81"/>
      <w:sz w:val="18"/>
      <w:szCs w:val="18"/>
    </w:rPr>
  </w:style>
  <w:style w:type="paragraph" w:styleId="Heading8">
    <w:name w:val="heading 8"/>
    <w:basedOn w:val="Normal"/>
    <w:next w:val="Normal"/>
    <w:link w:val="Heading8Char"/>
    <w:uiPriority w:val="1"/>
    <w:unhideWhenUsed/>
    <w:qFormat/>
    <w:rsid w:val="00090E62"/>
    <w:pPr>
      <w:keepNext/>
      <w:keepLines/>
      <w:numPr>
        <w:ilvl w:val="6"/>
        <w:numId w:val="4"/>
      </w:numPr>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C72A1"/>
    <w:pPr>
      <w:numPr>
        <w:numId w:val="0"/>
      </w:numPr>
      <w:ind w:left="426"/>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B5393D"/>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aliases w:val="Chapter Heading (Short) Char"/>
    <w:basedOn w:val="DefaultParagraphFont"/>
    <w:link w:val="Heading2"/>
    <w:uiPriority w:val="1"/>
    <w:rsid w:val="00772C27"/>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772C27"/>
    <w:rPr>
      <w:rFonts w:ascii="Segoe UI Semibold" w:eastAsia="MingLiU" w:hAnsi="Segoe UI Semibold" w:cs="Segoe UI Semibold"/>
      <w:color w:val="002D72"/>
      <w:sz w:val="30"/>
      <w:szCs w:val="30"/>
    </w:rPr>
  </w:style>
  <w:style w:type="character" w:customStyle="1" w:styleId="Heading4Char">
    <w:name w:val="Heading 4 Char"/>
    <w:aliases w:val="Appendix Heading (Short) Char"/>
    <w:basedOn w:val="DefaultParagraphFont"/>
    <w:link w:val="Heading4"/>
    <w:uiPriority w:val="1"/>
    <w:rsid w:val="00772C27"/>
    <w:rPr>
      <w:rFonts w:ascii="Segoe UI Semibold" w:eastAsia="MingLiU" w:hAnsi="Segoe UI Semibold" w:cs="Segoe UI Semibold"/>
      <w:color w:val="626E81"/>
      <w:sz w:val="26"/>
      <w:szCs w:val="26"/>
    </w:rPr>
  </w:style>
  <w:style w:type="character" w:customStyle="1" w:styleId="Heading5Char">
    <w:name w:val="Heading 5 Char"/>
    <w:basedOn w:val="DefaultParagraphFont"/>
    <w:link w:val="Heading5"/>
    <w:uiPriority w:val="9"/>
    <w:rsid w:val="00772C27"/>
    <w:rPr>
      <w:rFonts w:ascii="Segoe UI Semibold" w:eastAsia="MingLiU" w:hAnsi="Segoe UI Semibold" w:cs="Segoe UI Semibold"/>
      <w:color w:val="626E81"/>
    </w:rPr>
  </w:style>
  <w:style w:type="character" w:customStyle="1" w:styleId="Heading6Char">
    <w:name w:val="Heading 6 Char"/>
    <w:basedOn w:val="DefaultParagraphFont"/>
    <w:link w:val="Heading6"/>
    <w:uiPriority w:val="1"/>
    <w:rsid w:val="00772C27"/>
    <w:rPr>
      <w:rFonts w:ascii="Segoe UI Semibold" w:eastAsia="MingLiU" w:hAnsi="Segoe UI Semibold" w:cs="Segoe UI Semibold"/>
      <w:color w:val="626E81"/>
      <w:sz w:val="20"/>
      <w:szCs w:val="20"/>
    </w:rPr>
  </w:style>
  <w:style w:type="character" w:customStyle="1" w:styleId="Heading7Char">
    <w:name w:val="Heading 7 Char"/>
    <w:basedOn w:val="DefaultParagraphFont"/>
    <w:link w:val="Heading7"/>
    <w:uiPriority w:val="1"/>
    <w:rsid w:val="00772C27"/>
    <w:rPr>
      <w:rFonts w:ascii="Segoe UI Semibold" w:eastAsiaTheme="majorEastAsia" w:hAnsi="Segoe UI Semibold" w:cs="Segoe UI Semibold"/>
      <w:iCs/>
      <w:color w:val="626E81"/>
      <w:sz w:val="18"/>
      <w:szCs w:val="18"/>
    </w:rPr>
  </w:style>
  <w:style w:type="paragraph" w:customStyle="1" w:styleId="Heading2notshowing">
    <w:name w:val="Heading 2—not showing"/>
    <w:basedOn w:val="Normal"/>
    <w:next w:val="Normal"/>
    <w:qFormat/>
    <w:rsid w:val="00772C27"/>
    <w:pPr>
      <w:keepNext/>
      <w:spacing w:after="120"/>
    </w:pPr>
    <w:rPr>
      <w:rFonts w:ascii="Segoe UI Semibold" w:eastAsia="MingLiU" w:hAnsi="Segoe UI Semibold" w:cs="Segoe UI Semibold"/>
      <w:color w:val="626E81"/>
      <w:sz w:val="28"/>
      <w:szCs w:val="26"/>
    </w:rPr>
  </w:style>
  <w:style w:type="paragraph" w:customStyle="1" w:styleId="Heading3notshowing">
    <w:name w:val="Heading 3—not showing"/>
    <w:basedOn w:val="Normal"/>
    <w:next w:val="Normal"/>
    <w:qFormat/>
    <w:rsid w:val="00772C27"/>
    <w:pPr>
      <w:keepNext/>
      <w:spacing w:after="120"/>
    </w:pPr>
    <w:rPr>
      <w:rFonts w:ascii="Segoe UI Semibold" w:eastAsia="MingLiU" w:hAnsi="Segoe UI Semibold" w:cs="Segoe UI Semibold"/>
      <w:color w:val="626E81"/>
      <w:sz w:val="24"/>
      <w:szCs w:val="30"/>
    </w:rPr>
  </w:style>
  <w:style w:type="paragraph" w:styleId="Quote">
    <w:name w:val="Quote"/>
    <w:basedOn w:val="Normal"/>
    <w:next w:val="Normal"/>
    <w:link w:val="QuoteChar"/>
    <w:uiPriority w:val="29"/>
    <w:qFormat/>
    <w:rsid w:val="00287C7E"/>
    <w:pPr>
      <w:tabs>
        <w:tab w:val="right" w:pos="9072"/>
      </w:tabs>
      <w:ind w:left="567"/>
    </w:pPr>
    <w:rPr>
      <w:b/>
      <w:color w:val="626E81"/>
      <w:sz w:val="20"/>
      <w:szCs w:val="20"/>
    </w:rPr>
  </w:style>
  <w:style w:type="character" w:customStyle="1" w:styleId="QuoteChar">
    <w:name w:val="Quote Char"/>
    <w:basedOn w:val="DefaultParagraphFont"/>
    <w:link w:val="Quote"/>
    <w:uiPriority w:val="29"/>
    <w:rsid w:val="00287C7E"/>
    <w:rPr>
      <w:rFonts w:ascii="Segoe UI" w:hAnsi="Segoe UI"/>
      <w:b/>
      <w:color w:val="626E81"/>
      <w:sz w:val="20"/>
      <w:szCs w:val="20"/>
    </w:rPr>
  </w:style>
  <w:style w:type="character" w:customStyle="1" w:styleId="Heading8Char">
    <w:name w:val="Heading 8 Char"/>
    <w:basedOn w:val="DefaultParagraphFont"/>
    <w:link w:val="Heading8"/>
    <w:uiPriority w:val="1"/>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1"/>
      </w:numPr>
    </w:pPr>
    <w:rPr>
      <w:lang w:eastAsia="zh-TW"/>
    </w:rPr>
  </w:style>
  <w:style w:type="paragraph" w:styleId="ListParagraph">
    <w:name w:val="List Paragraph"/>
    <w:basedOn w:val="Normal"/>
    <w:uiPriority w:val="34"/>
    <w:qFormat/>
    <w:rsid w:val="00B5393D"/>
    <w:pPr>
      <w:numPr>
        <w:numId w:val="2"/>
      </w:numPr>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217C11"/>
    <w:pPr>
      <w:spacing w:after="0"/>
    </w:pPr>
    <w:rPr>
      <w:rFonts w:eastAsia="Times New Roman" w:cs="Times New Roman"/>
      <w:b/>
      <w:bCs/>
      <w:sz w:val="20"/>
      <w:szCs w:val="20"/>
    </w:rPr>
  </w:style>
  <w:style w:type="paragraph" w:styleId="FootnoteText">
    <w:name w:val="footnote text"/>
    <w:basedOn w:val="Normal"/>
    <w:link w:val="FootnoteTextChar"/>
    <w:uiPriority w:val="39"/>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39"/>
    <w:unhideWhenUsed/>
    <w:rsid w:val="00217C11"/>
    <w:rPr>
      <w:vertAlign w:val="superscript"/>
    </w:rPr>
  </w:style>
  <w:style w:type="paragraph" w:customStyle="1" w:styleId="Tablefigureheading">
    <w:name w:val="Table/figure heading"/>
    <w:basedOn w:val="Normal"/>
    <w:next w:val="Normal"/>
    <w:qFormat/>
    <w:rsid w:val="00E80E04"/>
    <w:pPr>
      <w:keepNext/>
      <w:numPr>
        <w:ilvl w:val="8"/>
        <w:numId w:val="4"/>
      </w:numPr>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6D43C7"/>
    <w:rPr>
      <w:rFonts w:eastAsia="PMingLiU" w:cs="Mangal"/>
      <w:color w:val="626E81"/>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D6668A"/>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857CDC"/>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883DB6"/>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paragraph" w:styleId="BalloonText">
    <w:name w:val="Balloon Text"/>
    <w:basedOn w:val="Normal"/>
    <w:link w:val="BalloonTextChar"/>
    <w:uiPriority w:val="99"/>
    <w:semiHidden/>
    <w:unhideWhenUsed/>
    <w:rsid w:val="00502F73"/>
    <w:pPr>
      <w:spacing w:after="0"/>
    </w:pPr>
    <w:rPr>
      <w:rFonts w:cs="Segoe UI"/>
      <w:sz w:val="18"/>
      <w:szCs w:val="18"/>
    </w:rPr>
  </w:style>
  <w:style w:type="character" w:customStyle="1" w:styleId="BalloonTextChar">
    <w:name w:val="Balloon Text Char"/>
    <w:basedOn w:val="DefaultParagraphFont"/>
    <w:link w:val="BalloonText"/>
    <w:uiPriority w:val="99"/>
    <w:semiHidden/>
    <w:rsid w:val="00502F73"/>
    <w:rPr>
      <w:rFonts w:ascii="Segoe UI" w:hAnsi="Segoe UI" w:cs="Segoe UI"/>
      <w:sz w:val="18"/>
      <w:szCs w:val="18"/>
    </w:rPr>
  </w:style>
  <w:style w:type="paragraph" w:customStyle="1" w:styleId="AppendixNumberLong">
    <w:name w:val="Appendix Number (Long)"/>
    <w:basedOn w:val="Heading3"/>
    <w:next w:val="Heading3"/>
    <w:uiPriority w:val="19"/>
    <w:rsid w:val="00502F73"/>
    <w:pPr>
      <w:keepLines/>
      <w:pageBreakBefore/>
      <w:kinsoku w:val="0"/>
      <w:overflowPunct w:val="0"/>
      <w:autoSpaceDE w:val="0"/>
      <w:autoSpaceDN w:val="0"/>
      <w:adjustRightInd w:val="0"/>
      <w:snapToGrid w:val="0"/>
      <w:spacing w:before="0" w:after="0" w:line="640" w:lineRule="atLeast"/>
    </w:pPr>
    <w:rPr>
      <w:rFonts w:asciiTheme="minorHAnsi" w:eastAsia="Times New Roman" w:hAnsiTheme="minorHAnsi" w:cs="Arial"/>
      <w:snapToGrid w:val="0"/>
      <w:color w:val="FFFFFF" w:themeColor="background1"/>
      <w:sz w:val="760"/>
      <w:szCs w:val="72"/>
    </w:rPr>
  </w:style>
  <w:style w:type="paragraph" w:customStyle="1" w:styleId="ChapterNumberLong">
    <w:name w:val="Chapter Number (Long)"/>
    <w:basedOn w:val="Heading1"/>
    <w:next w:val="Heading1"/>
    <w:uiPriority w:val="19"/>
    <w:rsid w:val="00502F73"/>
    <w:pPr>
      <w:keepNext w:val="0"/>
      <w:keepLines w:val="0"/>
      <w:pageBreakBefore/>
      <w:framePr w:w="5670" w:wrap="around" w:vAnchor="text" w:hAnchor="text" w:y="1"/>
      <w:shd w:val="clear" w:color="auto" w:fill="auto"/>
      <w:kinsoku w:val="0"/>
      <w:overflowPunct w:val="0"/>
      <w:autoSpaceDE w:val="0"/>
      <w:autoSpaceDN w:val="0"/>
      <w:adjustRightInd w:val="0"/>
      <w:snapToGrid w:val="0"/>
      <w:spacing w:before="0" w:after="0" w:line="640" w:lineRule="atLeast"/>
    </w:pPr>
    <w:rPr>
      <w:rFonts w:asciiTheme="minorHAnsi" w:eastAsia="Times New Roman" w:hAnsiTheme="minorHAnsi" w:cs="Arial"/>
      <w:bCs/>
      <w:snapToGrid w:val="0"/>
      <w:sz w:val="900"/>
      <w:szCs w:val="72"/>
    </w:rPr>
  </w:style>
  <w:style w:type="paragraph" w:customStyle="1" w:styleId="ChapterNumberedList1">
    <w:name w:val="Chapter Numbered List 1"/>
    <w:basedOn w:val="PwCNormal"/>
    <w:uiPriority w:val="19"/>
    <w:rsid w:val="00502F73"/>
    <w:pPr>
      <w:tabs>
        <w:tab w:val="num" w:pos="360"/>
      </w:tabs>
      <w:spacing w:before="120"/>
    </w:pPr>
  </w:style>
  <w:style w:type="paragraph" w:customStyle="1" w:styleId="ChapterNumberedList2">
    <w:name w:val="Chapter Numbered List 2"/>
    <w:basedOn w:val="ChapterNumberedList1"/>
    <w:uiPriority w:val="19"/>
    <w:rsid w:val="00502F73"/>
  </w:style>
  <w:style w:type="paragraph" w:customStyle="1" w:styleId="PwCNormal">
    <w:name w:val="PwC Normal"/>
    <w:basedOn w:val="Normal"/>
    <w:link w:val="PwCNormalChar"/>
    <w:qFormat/>
    <w:rsid w:val="00502F73"/>
    <w:pPr>
      <w:kinsoku w:val="0"/>
      <w:overflowPunct w:val="0"/>
      <w:autoSpaceDE w:val="0"/>
      <w:autoSpaceDN w:val="0"/>
      <w:adjustRightInd w:val="0"/>
      <w:snapToGrid w:val="0"/>
      <w:spacing w:before="240" w:after="120" w:line="281" w:lineRule="auto"/>
    </w:pPr>
    <w:rPr>
      <w:rFonts w:asciiTheme="minorHAnsi" w:eastAsia="Times New Roman" w:hAnsiTheme="minorHAnsi" w:cs="Arial"/>
      <w:snapToGrid w:val="0"/>
      <w:color w:val="000000" w:themeColor="text1"/>
      <w:sz w:val="18"/>
      <w:szCs w:val="20"/>
    </w:rPr>
  </w:style>
  <w:style w:type="character" w:customStyle="1" w:styleId="PwCNormalChar">
    <w:name w:val="PwC Normal Char"/>
    <w:basedOn w:val="DefaultParagraphFont"/>
    <w:link w:val="PwCNormal"/>
    <w:rsid w:val="00502F73"/>
    <w:rPr>
      <w:rFonts w:eastAsia="Times New Roman" w:cs="Arial"/>
      <w:snapToGrid w:val="0"/>
      <w:color w:val="000000" w:themeColor="text1"/>
      <w:sz w:val="18"/>
      <w:szCs w:val="20"/>
    </w:rPr>
  </w:style>
  <w:style w:type="paragraph" w:styleId="Caption">
    <w:name w:val="caption"/>
    <w:basedOn w:val="Normal"/>
    <w:next w:val="Normal"/>
    <w:uiPriority w:val="4"/>
    <w:unhideWhenUsed/>
    <w:rsid w:val="00502F73"/>
    <w:pPr>
      <w:keepNext/>
      <w:keepLines/>
      <w:tabs>
        <w:tab w:val="left" w:pos="992"/>
      </w:tabs>
      <w:kinsoku w:val="0"/>
      <w:overflowPunct w:val="0"/>
      <w:autoSpaceDE w:val="0"/>
      <w:autoSpaceDN w:val="0"/>
      <w:adjustRightInd w:val="0"/>
      <w:snapToGrid w:val="0"/>
      <w:spacing w:before="240" w:after="120" w:line="281" w:lineRule="auto"/>
      <w:ind w:left="992" w:hanging="992"/>
    </w:pPr>
    <w:rPr>
      <w:rFonts w:asciiTheme="minorHAnsi" w:eastAsia="Times New Roman" w:hAnsiTheme="minorHAnsi" w:cs="Arial"/>
      <w:bCs/>
      <w:snapToGrid w:val="0"/>
      <w:color w:val="5B9BD5" w:themeColor="accent1"/>
      <w:sz w:val="18"/>
      <w:szCs w:val="18"/>
    </w:rPr>
  </w:style>
  <w:style w:type="paragraph" w:customStyle="1" w:styleId="Sources">
    <w:name w:val="Sources"/>
    <w:basedOn w:val="Normal"/>
    <w:next w:val="PwCNormal"/>
    <w:rsid w:val="00502F73"/>
    <w:pPr>
      <w:kinsoku w:val="0"/>
      <w:overflowPunct w:val="0"/>
      <w:autoSpaceDE w:val="0"/>
      <w:autoSpaceDN w:val="0"/>
      <w:adjustRightInd w:val="0"/>
      <w:snapToGrid w:val="0"/>
      <w:spacing w:before="80" w:after="240" w:line="180" w:lineRule="atLeast"/>
    </w:pPr>
    <w:rPr>
      <w:rFonts w:asciiTheme="minorHAnsi" w:eastAsia="Times New Roman" w:hAnsiTheme="minorHAnsi" w:cs="Arial"/>
      <w:snapToGrid w:val="0"/>
      <w:color w:val="5B9BD5" w:themeColor="accent1"/>
      <w:sz w:val="16"/>
      <w:szCs w:val="20"/>
    </w:rPr>
  </w:style>
  <w:style w:type="table" w:customStyle="1" w:styleId="PwCColour">
    <w:name w:val="PwC Colour"/>
    <w:basedOn w:val="TableNormal"/>
    <w:rsid w:val="00502F73"/>
    <w:pPr>
      <w:spacing w:after="0" w:line="240" w:lineRule="auto"/>
    </w:pPr>
    <w:rPr>
      <w:rFonts w:ascii="Georgia" w:eastAsia="Times New Roman" w:hAnsi="Georgia" w:cs="Times New Roman"/>
      <w:sz w:val="20"/>
      <w:szCs w:val="20"/>
      <w:lang w:eastAsia="en-AU"/>
    </w:rPr>
    <w:tblPr>
      <w:tblStyleRowBandSize w:val="1"/>
      <w:tblStyleColBandSize w:val="1"/>
      <w:tblBorders>
        <w:top w:val="single" w:sz="4" w:space="0" w:color="FFFFFF"/>
        <w:left w:val="single" w:sz="4" w:space="0" w:color="FFFFFF"/>
        <w:bottom w:val="single" w:sz="6" w:space="0" w:color="44546A" w:themeColor="text2"/>
        <w:right w:val="single" w:sz="4" w:space="0" w:color="FFFFFF"/>
        <w:insideH w:val="dotted" w:sz="8" w:space="0" w:color="44546A" w:themeColor="text2"/>
        <w:insideV w:val="single" w:sz="4" w:space="0" w:color="FFFFFF"/>
      </w:tblBorders>
    </w:tblPr>
    <w:tcPr>
      <w:shd w:val="clear" w:color="auto" w:fill="auto"/>
      <w:tcMar>
        <w:top w:w="0" w:type="dxa"/>
        <w:left w:w="108" w:type="dxa"/>
        <w:bottom w:w="0" w:type="dxa"/>
        <w:right w:w="108" w:type="dxa"/>
      </w:tcMar>
    </w:tcPr>
    <w:tblStylePr w:type="firstRow">
      <w:pPr>
        <w:jc w:val="left"/>
      </w:pPr>
      <w:rPr>
        <w:rFonts w:ascii="Corbel Light" w:hAnsi="Corbel Light"/>
        <w:b w:val="0"/>
        <w:color w:val="auto"/>
      </w:rPr>
      <w:tblPr/>
      <w:trPr>
        <w:tblHeader/>
      </w:trPr>
      <w:tcPr>
        <w:tcBorders>
          <w:top w:val="single" w:sz="4" w:space="0" w:color="FFC000" w:themeColor="accent4"/>
          <w:bottom w:val="single" w:sz="4" w:space="0" w:color="FFC000" w:themeColor="accent4"/>
        </w:tcBorders>
      </w:tcPr>
    </w:tblStylePr>
    <w:tblStylePr w:type="lastRow">
      <w:rPr>
        <w:color w:val="auto"/>
      </w:rPr>
      <w:tblPr/>
      <w:tcPr>
        <w:tcBorders>
          <w:top w:val="single" w:sz="4" w:space="0" w:color="44546A" w:themeColor="text2"/>
        </w:tcBorders>
        <w:shd w:val="clear" w:color="auto" w:fill="auto"/>
      </w:tcPr>
    </w:tblStylePr>
    <w:tblStylePr w:type="nwCell">
      <w:pPr>
        <w:jc w:val="left"/>
      </w:pPr>
      <w:tblPr/>
      <w:tcPr>
        <w:vAlign w:val="bottom"/>
      </w:tcPr>
    </w:tblStylePr>
  </w:style>
  <w:style w:type="character" w:styleId="CommentReference">
    <w:name w:val="annotation reference"/>
    <w:basedOn w:val="DefaultParagraphFont"/>
    <w:uiPriority w:val="59"/>
    <w:semiHidden/>
    <w:rsid w:val="00502F73"/>
    <w:rPr>
      <w:rFonts w:ascii="Georgia" w:hAnsi="Georgia"/>
      <w:sz w:val="16"/>
      <w:szCs w:val="16"/>
    </w:rPr>
  </w:style>
  <w:style w:type="paragraph" w:styleId="CommentText">
    <w:name w:val="annotation text"/>
    <w:basedOn w:val="Normal"/>
    <w:link w:val="CommentTextChar"/>
    <w:uiPriority w:val="59"/>
    <w:semiHidden/>
    <w:rsid w:val="00502F73"/>
    <w:pPr>
      <w:kinsoku w:val="0"/>
      <w:overflowPunct w:val="0"/>
      <w:autoSpaceDE w:val="0"/>
      <w:autoSpaceDN w:val="0"/>
      <w:adjustRightInd w:val="0"/>
      <w:snapToGrid w:val="0"/>
      <w:spacing w:after="0" w:line="281" w:lineRule="auto"/>
    </w:pPr>
    <w:rPr>
      <w:rFonts w:asciiTheme="minorHAnsi" w:eastAsia="Times New Roman" w:hAnsiTheme="minorHAnsi" w:cs="Arial"/>
      <w:snapToGrid w:val="0"/>
      <w:sz w:val="18"/>
      <w:szCs w:val="20"/>
    </w:rPr>
  </w:style>
  <w:style w:type="character" w:customStyle="1" w:styleId="CommentTextChar">
    <w:name w:val="Comment Text Char"/>
    <w:basedOn w:val="DefaultParagraphFont"/>
    <w:link w:val="CommentText"/>
    <w:uiPriority w:val="59"/>
    <w:semiHidden/>
    <w:rsid w:val="00502F73"/>
    <w:rPr>
      <w:rFonts w:eastAsia="Times New Roman" w:cs="Arial"/>
      <w:snapToGrid w:val="0"/>
      <w:sz w:val="18"/>
      <w:szCs w:val="20"/>
    </w:rPr>
  </w:style>
  <w:style w:type="paragraph" w:styleId="ListBullet">
    <w:name w:val="List Bullet"/>
    <w:basedOn w:val="Normal"/>
    <w:uiPriority w:val="2"/>
    <w:qFormat/>
    <w:rsid w:val="00502F73"/>
    <w:pPr>
      <w:numPr>
        <w:numId w:val="3"/>
      </w:numPr>
      <w:kinsoku w:val="0"/>
      <w:overflowPunct w:val="0"/>
      <w:autoSpaceDE w:val="0"/>
      <w:autoSpaceDN w:val="0"/>
      <w:adjustRightInd w:val="0"/>
      <w:snapToGrid w:val="0"/>
      <w:spacing w:before="120" w:after="120" w:line="281" w:lineRule="auto"/>
    </w:pPr>
    <w:rPr>
      <w:rFonts w:asciiTheme="minorHAnsi" w:eastAsia="Times New Roman" w:hAnsiTheme="minorHAnsi" w:cs="Arial"/>
      <w:snapToGrid w:val="0"/>
      <w:sz w:val="18"/>
      <w:szCs w:val="20"/>
    </w:rPr>
  </w:style>
  <w:style w:type="character" w:customStyle="1" w:styleId="normaltextrun">
    <w:name w:val="normaltextrun"/>
    <w:basedOn w:val="DefaultParagraphFont"/>
    <w:rsid w:val="00502F73"/>
  </w:style>
  <w:style w:type="character" w:customStyle="1" w:styleId="eop">
    <w:name w:val="eop"/>
    <w:basedOn w:val="DefaultParagraphFont"/>
    <w:rsid w:val="00502F73"/>
  </w:style>
  <w:style w:type="paragraph" w:customStyle="1" w:styleId="Indent2">
    <w:name w:val="Indent 2"/>
    <w:basedOn w:val="Normal"/>
    <w:uiPriority w:val="49"/>
    <w:qFormat/>
    <w:rsid w:val="00502F73"/>
    <w:pPr>
      <w:numPr>
        <w:ilvl w:val="2"/>
        <w:numId w:val="5"/>
      </w:numPr>
      <w:kinsoku w:val="0"/>
      <w:overflowPunct w:val="0"/>
      <w:autoSpaceDE w:val="0"/>
      <w:autoSpaceDN w:val="0"/>
      <w:adjustRightInd w:val="0"/>
      <w:snapToGrid w:val="0"/>
      <w:spacing w:before="100" w:after="100" w:line="281" w:lineRule="auto"/>
    </w:pPr>
    <w:rPr>
      <w:rFonts w:asciiTheme="minorHAnsi" w:eastAsia="Times New Roman" w:hAnsiTheme="minorHAnsi" w:cs="Times New Roman"/>
      <w:snapToGrid w:val="0"/>
      <w:sz w:val="18"/>
      <w:szCs w:val="20"/>
    </w:rPr>
  </w:style>
  <w:style w:type="paragraph" w:customStyle="1" w:styleId="Indent3">
    <w:name w:val="Indent 3"/>
    <w:basedOn w:val="Indent2"/>
    <w:uiPriority w:val="49"/>
    <w:qFormat/>
    <w:rsid w:val="00502F73"/>
    <w:pPr>
      <w:numPr>
        <w:ilvl w:val="3"/>
      </w:numPr>
    </w:pPr>
  </w:style>
  <w:style w:type="paragraph" w:customStyle="1" w:styleId="Indent5">
    <w:name w:val="Indent 5"/>
    <w:basedOn w:val="Indent4"/>
    <w:uiPriority w:val="49"/>
    <w:rsid w:val="00502F73"/>
    <w:pPr>
      <w:numPr>
        <w:ilvl w:val="5"/>
      </w:numPr>
    </w:pPr>
  </w:style>
  <w:style w:type="paragraph" w:customStyle="1" w:styleId="Indent6">
    <w:name w:val="Indent 6"/>
    <w:basedOn w:val="Indent5"/>
    <w:uiPriority w:val="49"/>
    <w:rsid w:val="00502F73"/>
    <w:pPr>
      <w:numPr>
        <w:ilvl w:val="6"/>
      </w:numPr>
    </w:pPr>
  </w:style>
  <w:style w:type="paragraph" w:customStyle="1" w:styleId="Indent7">
    <w:name w:val="Indent 7"/>
    <w:basedOn w:val="Indent6"/>
    <w:uiPriority w:val="49"/>
    <w:rsid w:val="00502F73"/>
    <w:pPr>
      <w:numPr>
        <w:ilvl w:val="7"/>
      </w:numPr>
    </w:pPr>
  </w:style>
  <w:style w:type="paragraph" w:customStyle="1" w:styleId="Indent4">
    <w:name w:val="Indent 4"/>
    <w:basedOn w:val="Indent3"/>
    <w:uiPriority w:val="49"/>
    <w:rsid w:val="00502F73"/>
    <w:pPr>
      <w:numPr>
        <w:ilvl w:val="4"/>
      </w:numPr>
    </w:pPr>
  </w:style>
  <w:style w:type="paragraph" w:customStyle="1" w:styleId="Minorheading">
    <w:name w:val="Minor heading"/>
    <w:basedOn w:val="Normal"/>
    <w:next w:val="PwCNormal"/>
    <w:uiPriority w:val="1"/>
    <w:qFormat/>
    <w:rsid w:val="00502F73"/>
    <w:pPr>
      <w:keepNext/>
      <w:keepLines/>
      <w:kinsoku w:val="0"/>
      <w:overflowPunct w:val="0"/>
      <w:autoSpaceDE w:val="0"/>
      <w:autoSpaceDN w:val="0"/>
      <w:adjustRightInd w:val="0"/>
      <w:snapToGrid w:val="0"/>
      <w:spacing w:before="240" w:after="40" w:line="180" w:lineRule="atLeast"/>
    </w:pPr>
    <w:rPr>
      <w:rFonts w:asciiTheme="minorHAnsi" w:eastAsia="Times New Roman" w:hAnsiTheme="minorHAnsi" w:cs="Arial"/>
      <w:b/>
      <w:snapToGrid w:val="0"/>
      <w:color w:val="000000" w:themeColor="text1"/>
      <w:sz w:val="18"/>
      <w:szCs w:val="24"/>
    </w:rPr>
  </w:style>
  <w:style w:type="table" w:styleId="TableGrid">
    <w:name w:val="Table Grid"/>
    <w:basedOn w:val="TableNormal"/>
    <w:rsid w:val="00502F73"/>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8">
    <w:name w:val="Indent 8"/>
    <w:basedOn w:val="Indent7"/>
    <w:uiPriority w:val="49"/>
    <w:rsid w:val="00502F73"/>
    <w:pPr>
      <w:numPr>
        <w:ilvl w:val="8"/>
      </w:numPr>
    </w:pPr>
  </w:style>
  <w:style w:type="paragraph" w:styleId="CommentSubject">
    <w:name w:val="annotation subject"/>
    <w:basedOn w:val="CommentText"/>
    <w:next w:val="CommentText"/>
    <w:link w:val="CommentSubjectChar"/>
    <w:uiPriority w:val="99"/>
    <w:semiHidden/>
    <w:unhideWhenUsed/>
    <w:rsid w:val="00CB3E59"/>
    <w:pPr>
      <w:kinsoku/>
      <w:overflowPunct/>
      <w:autoSpaceDE/>
      <w:autoSpaceDN/>
      <w:adjustRightInd/>
      <w:snapToGrid/>
      <w:spacing w:after="160" w:line="240" w:lineRule="auto"/>
    </w:pPr>
    <w:rPr>
      <w:rFonts w:ascii="Segoe UI" w:eastAsiaTheme="minorHAnsi" w:hAnsi="Segoe UI" w:cstheme="minorBidi"/>
      <w:b/>
      <w:bCs/>
      <w:snapToGrid/>
      <w:sz w:val="20"/>
    </w:rPr>
  </w:style>
  <w:style w:type="character" w:customStyle="1" w:styleId="CommentSubjectChar">
    <w:name w:val="Comment Subject Char"/>
    <w:basedOn w:val="CommentTextChar"/>
    <w:link w:val="CommentSubject"/>
    <w:uiPriority w:val="99"/>
    <w:semiHidden/>
    <w:rsid w:val="00CB3E59"/>
    <w:rPr>
      <w:rFonts w:ascii="Segoe UI" w:eastAsia="Times New Roman" w:hAnsi="Segoe UI" w:cs="Arial"/>
      <w:b/>
      <w:bCs/>
      <w:snapToGrid/>
      <w:sz w:val="20"/>
      <w:szCs w:val="20"/>
    </w:rPr>
  </w:style>
  <w:style w:type="paragraph" w:styleId="Revision">
    <w:name w:val="Revision"/>
    <w:hidden/>
    <w:uiPriority w:val="99"/>
    <w:semiHidden/>
    <w:rsid w:val="00817268"/>
    <w:pPr>
      <w:spacing w:after="0" w:line="240" w:lineRule="auto"/>
    </w:pPr>
    <w:rPr>
      <w:rFonts w:ascii="Segoe UI" w:hAnsi="Segoe UI"/>
      <w:sz w:val="21"/>
    </w:rPr>
  </w:style>
  <w:style w:type="character" w:styleId="FollowedHyperlink">
    <w:name w:val="FollowedHyperlink"/>
    <w:basedOn w:val="DefaultParagraphFont"/>
    <w:uiPriority w:val="99"/>
    <w:semiHidden/>
    <w:unhideWhenUsed/>
    <w:rsid w:val="00717C2C"/>
    <w:rPr>
      <w:color w:val="954F72" w:themeColor="followedHyperlink"/>
      <w:u w:val="single"/>
    </w:rPr>
  </w:style>
  <w:style w:type="table" w:styleId="GridTable4-Accent1">
    <w:name w:val="Grid Table 4 Accent 1"/>
    <w:basedOn w:val="TableNormal"/>
    <w:uiPriority w:val="49"/>
    <w:rsid w:val="002F07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2F074C"/>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5">
    <w:name w:val="Grid Table 1 Light Accent 5"/>
    <w:basedOn w:val="TableNormal"/>
    <w:uiPriority w:val="46"/>
    <w:rsid w:val="0037668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477797"/>
    <w:rPr>
      <w:color w:val="605E5C"/>
      <w:shd w:val="clear" w:color="auto" w:fill="E1DFDD"/>
    </w:rPr>
  </w:style>
  <w:style w:type="table" w:styleId="GridTable4-Accent5">
    <w:name w:val="Grid Table 4 Accent 5"/>
    <w:basedOn w:val="TableNormal"/>
    <w:uiPriority w:val="49"/>
    <w:rsid w:val="00DF5FB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F6484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94941">
      <w:bodyDiv w:val="1"/>
      <w:marLeft w:val="0"/>
      <w:marRight w:val="0"/>
      <w:marTop w:val="0"/>
      <w:marBottom w:val="0"/>
      <w:divBdr>
        <w:top w:val="none" w:sz="0" w:space="0" w:color="auto"/>
        <w:left w:val="none" w:sz="0" w:space="0" w:color="auto"/>
        <w:bottom w:val="none" w:sz="0" w:space="0" w:color="auto"/>
        <w:right w:val="none" w:sz="0" w:space="0" w:color="auto"/>
      </w:divBdr>
      <w:divsChild>
        <w:div w:id="355811897">
          <w:marLeft w:val="446"/>
          <w:marRight w:val="0"/>
          <w:marTop w:val="0"/>
          <w:marBottom w:val="0"/>
          <w:divBdr>
            <w:top w:val="none" w:sz="0" w:space="0" w:color="auto"/>
            <w:left w:val="none" w:sz="0" w:space="0" w:color="auto"/>
            <w:bottom w:val="none" w:sz="0" w:space="0" w:color="auto"/>
            <w:right w:val="none" w:sz="0" w:space="0" w:color="auto"/>
          </w:divBdr>
        </w:div>
        <w:div w:id="478882200">
          <w:marLeft w:val="446"/>
          <w:marRight w:val="0"/>
          <w:marTop w:val="0"/>
          <w:marBottom w:val="0"/>
          <w:divBdr>
            <w:top w:val="none" w:sz="0" w:space="0" w:color="auto"/>
            <w:left w:val="none" w:sz="0" w:space="0" w:color="auto"/>
            <w:bottom w:val="none" w:sz="0" w:space="0" w:color="auto"/>
            <w:right w:val="none" w:sz="0" w:space="0" w:color="auto"/>
          </w:divBdr>
        </w:div>
        <w:div w:id="491877432">
          <w:marLeft w:val="446"/>
          <w:marRight w:val="0"/>
          <w:marTop w:val="0"/>
          <w:marBottom w:val="0"/>
          <w:divBdr>
            <w:top w:val="none" w:sz="0" w:space="0" w:color="auto"/>
            <w:left w:val="none" w:sz="0" w:space="0" w:color="auto"/>
            <w:bottom w:val="none" w:sz="0" w:space="0" w:color="auto"/>
            <w:right w:val="none" w:sz="0" w:space="0" w:color="auto"/>
          </w:divBdr>
        </w:div>
        <w:div w:id="559633143">
          <w:marLeft w:val="446"/>
          <w:marRight w:val="0"/>
          <w:marTop w:val="0"/>
          <w:marBottom w:val="0"/>
          <w:divBdr>
            <w:top w:val="none" w:sz="0" w:space="0" w:color="auto"/>
            <w:left w:val="none" w:sz="0" w:space="0" w:color="auto"/>
            <w:bottom w:val="none" w:sz="0" w:space="0" w:color="auto"/>
            <w:right w:val="none" w:sz="0" w:space="0" w:color="auto"/>
          </w:divBdr>
        </w:div>
        <w:div w:id="1058936115">
          <w:marLeft w:val="446"/>
          <w:marRight w:val="0"/>
          <w:marTop w:val="0"/>
          <w:marBottom w:val="0"/>
          <w:divBdr>
            <w:top w:val="none" w:sz="0" w:space="0" w:color="auto"/>
            <w:left w:val="none" w:sz="0" w:space="0" w:color="auto"/>
            <w:bottom w:val="none" w:sz="0" w:space="0" w:color="auto"/>
            <w:right w:val="none" w:sz="0" w:space="0" w:color="auto"/>
          </w:divBdr>
        </w:div>
        <w:div w:id="1230729670">
          <w:marLeft w:val="446"/>
          <w:marRight w:val="0"/>
          <w:marTop w:val="0"/>
          <w:marBottom w:val="0"/>
          <w:divBdr>
            <w:top w:val="none" w:sz="0" w:space="0" w:color="auto"/>
            <w:left w:val="none" w:sz="0" w:space="0" w:color="auto"/>
            <w:bottom w:val="none" w:sz="0" w:space="0" w:color="auto"/>
            <w:right w:val="none" w:sz="0" w:space="0" w:color="auto"/>
          </w:divBdr>
        </w:div>
        <w:div w:id="1243952042">
          <w:marLeft w:val="446"/>
          <w:marRight w:val="0"/>
          <w:marTop w:val="0"/>
          <w:marBottom w:val="0"/>
          <w:divBdr>
            <w:top w:val="none" w:sz="0" w:space="0" w:color="auto"/>
            <w:left w:val="none" w:sz="0" w:space="0" w:color="auto"/>
            <w:bottom w:val="none" w:sz="0" w:space="0" w:color="auto"/>
            <w:right w:val="none" w:sz="0" w:space="0" w:color="auto"/>
          </w:divBdr>
        </w:div>
        <w:div w:id="1249079565">
          <w:marLeft w:val="446"/>
          <w:marRight w:val="0"/>
          <w:marTop w:val="0"/>
          <w:marBottom w:val="0"/>
          <w:divBdr>
            <w:top w:val="none" w:sz="0" w:space="0" w:color="auto"/>
            <w:left w:val="none" w:sz="0" w:space="0" w:color="auto"/>
            <w:bottom w:val="none" w:sz="0" w:space="0" w:color="auto"/>
            <w:right w:val="none" w:sz="0" w:space="0" w:color="auto"/>
          </w:divBdr>
        </w:div>
        <w:div w:id="1871068233">
          <w:marLeft w:val="446"/>
          <w:marRight w:val="0"/>
          <w:marTop w:val="0"/>
          <w:marBottom w:val="0"/>
          <w:divBdr>
            <w:top w:val="none" w:sz="0" w:space="0" w:color="auto"/>
            <w:left w:val="none" w:sz="0" w:space="0" w:color="auto"/>
            <w:bottom w:val="none" w:sz="0" w:space="0" w:color="auto"/>
            <w:right w:val="none" w:sz="0" w:space="0" w:color="auto"/>
          </w:divBdr>
        </w:div>
      </w:divsChild>
    </w:div>
    <w:div w:id="655956320">
      <w:bodyDiv w:val="1"/>
      <w:marLeft w:val="0"/>
      <w:marRight w:val="0"/>
      <w:marTop w:val="0"/>
      <w:marBottom w:val="0"/>
      <w:divBdr>
        <w:top w:val="none" w:sz="0" w:space="0" w:color="auto"/>
        <w:left w:val="none" w:sz="0" w:space="0" w:color="auto"/>
        <w:bottom w:val="none" w:sz="0" w:space="0" w:color="auto"/>
        <w:right w:val="none" w:sz="0" w:space="0" w:color="auto"/>
      </w:divBdr>
      <w:divsChild>
        <w:div w:id="6714867">
          <w:marLeft w:val="274"/>
          <w:marRight w:val="0"/>
          <w:marTop w:val="0"/>
          <w:marBottom w:val="0"/>
          <w:divBdr>
            <w:top w:val="none" w:sz="0" w:space="0" w:color="auto"/>
            <w:left w:val="none" w:sz="0" w:space="0" w:color="auto"/>
            <w:bottom w:val="none" w:sz="0" w:space="0" w:color="auto"/>
            <w:right w:val="none" w:sz="0" w:space="0" w:color="auto"/>
          </w:divBdr>
        </w:div>
        <w:div w:id="65305352">
          <w:marLeft w:val="274"/>
          <w:marRight w:val="0"/>
          <w:marTop w:val="0"/>
          <w:marBottom w:val="0"/>
          <w:divBdr>
            <w:top w:val="none" w:sz="0" w:space="0" w:color="auto"/>
            <w:left w:val="none" w:sz="0" w:space="0" w:color="auto"/>
            <w:bottom w:val="none" w:sz="0" w:space="0" w:color="auto"/>
            <w:right w:val="none" w:sz="0" w:space="0" w:color="auto"/>
          </w:divBdr>
        </w:div>
        <w:div w:id="105002492">
          <w:marLeft w:val="274"/>
          <w:marRight w:val="0"/>
          <w:marTop w:val="0"/>
          <w:marBottom w:val="0"/>
          <w:divBdr>
            <w:top w:val="none" w:sz="0" w:space="0" w:color="auto"/>
            <w:left w:val="none" w:sz="0" w:space="0" w:color="auto"/>
            <w:bottom w:val="none" w:sz="0" w:space="0" w:color="auto"/>
            <w:right w:val="none" w:sz="0" w:space="0" w:color="auto"/>
          </w:divBdr>
        </w:div>
        <w:div w:id="135076560">
          <w:marLeft w:val="274"/>
          <w:marRight w:val="0"/>
          <w:marTop w:val="0"/>
          <w:marBottom w:val="0"/>
          <w:divBdr>
            <w:top w:val="none" w:sz="0" w:space="0" w:color="auto"/>
            <w:left w:val="none" w:sz="0" w:space="0" w:color="auto"/>
            <w:bottom w:val="none" w:sz="0" w:space="0" w:color="auto"/>
            <w:right w:val="none" w:sz="0" w:space="0" w:color="auto"/>
          </w:divBdr>
        </w:div>
        <w:div w:id="200434454">
          <w:marLeft w:val="274"/>
          <w:marRight w:val="0"/>
          <w:marTop w:val="0"/>
          <w:marBottom w:val="0"/>
          <w:divBdr>
            <w:top w:val="none" w:sz="0" w:space="0" w:color="auto"/>
            <w:left w:val="none" w:sz="0" w:space="0" w:color="auto"/>
            <w:bottom w:val="none" w:sz="0" w:space="0" w:color="auto"/>
            <w:right w:val="none" w:sz="0" w:space="0" w:color="auto"/>
          </w:divBdr>
        </w:div>
        <w:div w:id="207492493">
          <w:marLeft w:val="274"/>
          <w:marRight w:val="0"/>
          <w:marTop w:val="0"/>
          <w:marBottom w:val="0"/>
          <w:divBdr>
            <w:top w:val="none" w:sz="0" w:space="0" w:color="auto"/>
            <w:left w:val="none" w:sz="0" w:space="0" w:color="auto"/>
            <w:bottom w:val="none" w:sz="0" w:space="0" w:color="auto"/>
            <w:right w:val="none" w:sz="0" w:space="0" w:color="auto"/>
          </w:divBdr>
        </w:div>
        <w:div w:id="280261145">
          <w:marLeft w:val="274"/>
          <w:marRight w:val="0"/>
          <w:marTop w:val="0"/>
          <w:marBottom w:val="0"/>
          <w:divBdr>
            <w:top w:val="none" w:sz="0" w:space="0" w:color="auto"/>
            <w:left w:val="none" w:sz="0" w:space="0" w:color="auto"/>
            <w:bottom w:val="none" w:sz="0" w:space="0" w:color="auto"/>
            <w:right w:val="none" w:sz="0" w:space="0" w:color="auto"/>
          </w:divBdr>
        </w:div>
        <w:div w:id="368187548">
          <w:marLeft w:val="274"/>
          <w:marRight w:val="0"/>
          <w:marTop w:val="0"/>
          <w:marBottom w:val="0"/>
          <w:divBdr>
            <w:top w:val="none" w:sz="0" w:space="0" w:color="auto"/>
            <w:left w:val="none" w:sz="0" w:space="0" w:color="auto"/>
            <w:bottom w:val="none" w:sz="0" w:space="0" w:color="auto"/>
            <w:right w:val="none" w:sz="0" w:space="0" w:color="auto"/>
          </w:divBdr>
        </w:div>
        <w:div w:id="372967446">
          <w:marLeft w:val="274"/>
          <w:marRight w:val="0"/>
          <w:marTop w:val="0"/>
          <w:marBottom w:val="0"/>
          <w:divBdr>
            <w:top w:val="none" w:sz="0" w:space="0" w:color="auto"/>
            <w:left w:val="none" w:sz="0" w:space="0" w:color="auto"/>
            <w:bottom w:val="none" w:sz="0" w:space="0" w:color="auto"/>
            <w:right w:val="none" w:sz="0" w:space="0" w:color="auto"/>
          </w:divBdr>
        </w:div>
        <w:div w:id="372969187">
          <w:marLeft w:val="274"/>
          <w:marRight w:val="0"/>
          <w:marTop w:val="0"/>
          <w:marBottom w:val="0"/>
          <w:divBdr>
            <w:top w:val="none" w:sz="0" w:space="0" w:color="auto"/>
            <w:left w:val="none" w:sz="0" w:space="0" w:color="auto"/>
            <w:bottom w:val="none" w:sz="0" w:space="0" w:color="auto"/>
            <w:right w:val="none" w:sz="0" w:space="0" w:color="auto"/>
          </w:divBdr>
        </w:div>
        <w:div w:id="404959772">
          <w:marLeft w:val="274"/>
          <w:marRight w:val="0"/>
          <w:marTop w:val="0"/>
          <w:marBottom w:val="0"/>
          <w:divBdr>
            <w:top w:val="none" w:sz="0" w:space="0" w:color="auto"/>
            <w:left w:val="none" w:sz="0" w:space="0" w:color="auto"/>
            <w:bottom w:val="none" w:sz="0" w:space="0" w:color="auto"/>
            <w:right w:val="none" w:sz="0" w:space="0" w:color="auto"/>
          </w:divBdr>
        </w:div>
        <w:div w:id="412048310">
          <w:marLeft w:val="274"/>
          <w:marRight w:val="0"/>
          <w:marTop w:val="0"/>
          <w:marBottom w:val="0"/>
          <w:divBdr>
            <w:top w:val="none" w:sz="0" w:space="0" w:color="auto"/>
            <w:left w:val="none" w:sz="0" w:space="0" w:color="auto"/>
            <w:bottom w:val="none" w:sz="0" w:space="0" w:color="auto"/>
            <w:right w:val="none" w:sz="0" w:space="0" w:color="auto"/>
          </w:divBdr>
        </w:div>
        <w:div w:id="553002215">
          <w:marLeft w:val="274"/>
          <w:marRight w:val="0"/>
          <w:marTop w:val="0"/>
          <w:marBottom w:val="0"/>
          <w:divBdr>
            <w:top w:val="none" w:sz="0" w:space="0" w:color="auto"/>
            <w:left w:val="none" w:sz="0" w:space="0" w:color="auto"/>
            <w:bottom w:val="none" w:sz="0" w:space="0" w:color="auto"/>
            <w:right w:val="none" w:sz="0" w:space="0" w:color="auto"/>
          </w:divBdr>
        </w:div>
        <w:div w:id="581523091">
          <w:marLeft w:val="274"/>
          <w:marRight w:val="0"/>
          <w:marTop w:val="0"/>
          <w:marBottom w:val="0"/>
          <w:divBdr>
            <w:top w:val="none" w:sz="0" w:space="0" w:color="auto"/>
            <w:left w:val="none" w:sz="0" w:space="0" w:color="auto"/>
            <w:bottom w:val="none" w:sz="0" w:space="0" w:color="auto"/>
            <w:right w:val="none" w:sz="0" w:space="0" w:color="auto"/>
          </w:divBdr>
        </w:div>
        <w:div w:id="582498203">
          <w:marLeft w:val="274"/>
          <w:marRight w:val="0"/>
          <w:marTop w:val="0"/>
          <w:marBottom w:val="0"/>
          <w:divBdr>
            <w:top w:val="none" w:sz="0" w:space="0" w:color="auto"/>
            <w:left w:val="none" w:sz="0" w:space="0" w:color="auto"/>
            <w:bottom w:val="none" w:sz="0" w:space="0" w:color="auto"/>
            <w:right w:val="none" w:sz="0" w:space="0" w:color="auto"/>
          </w:divBdr>
        </w:div>
        <w:div w:id="679745732">
          <w:marLeft w:val="274"/>
          <w:marRight w:val="0"/>
          <w:marTop w:val="0"/>
          <w:marBottom w:val="0"/>
          <w:divBdr>
            <w:top w:val="none" w:sz="0" w:space="0" w:color="auto"/>
            <w:left w:val="none" w:sz="0" w:space="0" w:color="auto"/>
            <w:bottom w:val="none" w:sz="0" w:space="0" w:color="auto"/>
            <w:right w:val="none" w:sz="0" w:space="0" w:color="auto"/>
          </w:divBdr>
        </w:div>
        <w:div w:id="703334307">
          <w:marLeft w:val="274"/>
          <w:marRight w:val="0"/>
          <w:marTop w:val="0"/>
          <w:marBottom w:val="0"/>
          <w:divBdr>
            <w:top w:val="none" w:sz="0" w:space="0" w:color="auto"/>
            <w:left w:val="none" w:sz="0" w:space="0" w:color="auto"/>
            <w:bottom w:val="none" w:sz="0" w:space="0" w:color="auto"/>
            <w:right w:val="none" w:sz="0" w:space="0" w:color="auto"/>
          </w:divBdr>
        </w:div>
        <w:div w:id="730882714">
          <w:marLeft w:val="274"/>
          <w:marRight w:val="0"/>
          <w:marTop w:val="0"/>
          <w:marBottom w:val="0"/>
          <w:divBdr>
            <w:top w:val="none" w:sz="0" w:space="0" w:color="auto"/>
            <w:left w:val="none" w:sz="0" w:space="0" w:color="auto"/>
            <w:bottom w:val="none" w:sz="0" w:space="0" w:color="auto"/>
            <w:right w:val="none" w:sz="0" w:space="0" w:color="auto"/>
          </w:divBdr>
        </w:div>
        <w:div w:id="749892560">
          <w:marLeft w:val="274"/>
          <w:marRight w:val="0"/>
          <w:marTop w:val="0"/>
          <w:marBottom w:val="0"/>
          <w:divBdr>
            <w:top w:val="none" w:sz="0" w:space="0" w:color="auto"/>
            <w:left w:val="none" w:sz="0" w:space="0" w:color="auto"/>
            <w:bottom w:val="none" w:sz="0" w:space="0" w:color="auto"/>
            <w:right w:val="none" w:sz="0" w:space="0" w:color="auto"/>
          </w:divBdr>
        </w:div>
        <w:div w:id="779108071">
          <w:marLeft w:val="274"/>
          <w:marRight w:val="0"/>
          <w:marTop w:val="0"/>
          <w:marBottom w:val="0"/>
          <w:divBdr>
            <w:top w:val="none" w:sz="0" w:space="0" w:color="auto"/>
            <w:left w:val="none" w:sz="0" w:space="0" w:color="auto"/>
            <w:bottom w:val="none" w:sz="0" w:space="0" w:color="auto"/>
            <w:right w:val="none" w:sz="0" w:space="0" w:color="auto"/>
          </w:divBdr>
        </w:div>
        <w:div w:id="947782090">
          <w:marLeft w:val="274"/>
          <w:marRight w:val="0"/>
          <w:marTop w:val="0"/>
          <w:marBottom w:val="0"/>
          <w:divBdr>
            <w:top w:val="none" w:sz="0" w:space="0" w:color="auto"/>
            <w:left w:val="none" w:sz="0" w:space="0" w:color="auto"/>
            <w:bottom w:val="none" w:sz="0" w:space="0" w:color="auto"/>
            <w:right w:val="none" w:sz="0" w:space="0" w:color="auto"/>
          </w:divBdr>
        </w:div>
        <w:div w:id="955253667">
          <w:marLeft w:val="274"/>
          <w:marRight w:val="0"/>
          <w:marTop w:val="0"/>
          <w:marBottom w:val="0"/>
          <w:divBdr>
            <w:top w:val="none" w:sz="0" w:space="0" w:color="auto"/>
            <w:left w:val="none" w:sz="0" w:space="0" w:color="auto"/>
            <w:bottom w:val="none" w:sz="0" w:space="0" w:color="auto"/>
            <w:right w:val="none" w:sz="0" w:space="0" w:color="auto"/>
          </w:divBdr>
        </w:div>
        <w:div w:id="1043213074">
          <w:marLeft w:val="274"/>
          <w:marRight w:val="0"/>
          <w:marTop w:val="0"/>
          <w:marBottom w:val="0"/>
          <w:divBdr>
            <w:top w:val="none" w:sz="0" w:space="0" w:color="auto"/>
            <w:left w:val="none" w:sz="0" w:space="0" w:color="auto"/>
            <w:bottom w:val="none" w:sz="0" w:space="0" w:color="auto"/>
            <w:right w:val="none" w:sz="0" w:space="0" w:color="auto"/>
          </w:divBdr>
        </w:div>
        <w:div w:id="1188908662">
          <w:marLeft w:val="274"/>
          <w:marRight w:val="0"/>
          <w:marTop w:val="0"/>
          <w:marBottom w:val="0"/>
          <w:divBdr>
            <w:top w:val="none" w:sz="0" w:space="0" w:color="auto"/>
            <w:left w:val="none" w:sz="0" w:space="0" w:color="auto"/>
            <w:bottom w:val="none" w:sz="0" w:space="0" w:color="auto"/>
            <w:right w:val="none" w:sz="0" w:space="0" w:color="auto"/>
          </w:divBdr>
        </w:div>
        <w:div w:id="1334189527">
          <w:marLeft w:val="274"/>
          <w:marRight w:val="0"/>
          <w:marTop w:val="0"/>
          <w:marBottom w:val="0"/>
          <w:divBdr>
            <w:top w:val="none" w:sz="0" w:space="0" w:color="auto"/>
            <w:left w:val="none" w:sz="0" w:space="0" w:color="auto"/>
            <w:bottom w:val="none" w:sz="0" w:space="0" w:color="auto"/>
            <w:right w:val="none" w:sz="0" w:space="0" w:color="auto"/>
          </w:divBdr>
        </w:div>
        <w:div w:id="1415127453">
          <w:marLeft w:val="274"/>
          <w:marRight w:val="0"/>
          <w:marTop w:val="0"/>
          <w:marBottom w:val="0"/>
          <w:divBdr>
            <w:top w:val="none" w:sz="0" w:space="0" w:color="auto"/>
            <w:left w:val="none" w:sz="0" w:space="0" w:color="auto"/>
            <w:bottom w:val="none" w:sz="0" w:space="0" w:color="auto"/>
            <w:right w:val="none" w:sz="0" w:space="0" w:color="auto"/>
          </w:divBdr>
        </w:div>
        <w:div w:id="1529492856">
          <w:marLeft w:val="274"/>
          <w:marRight w:val="0"/>
          <w:marTop w:val="0"/>
          <w:marBottom w:val="0"/>
          <w:divBdr>
            <w:top w:val="none" w:sz="0" w:space="0" w:color="auto"/>
            <w:left w:val="none" w:sz="0" w:space="0" w:color="auto"/>
            <w:bottom w:val="none" w:sz="0" w:space="0" w:color="auto"/>
            <w:right w:val="none" w:sz="0" w:space="0" w:color="auto"/>
          </w:divBdr>
        </w:div>
        <w:div w:id="1550534706">
          <w:marLeft w:val="274"/>
          <w:marRight w:val="0"/>
          <w:marTop w:val="0"/>
          <w:marBottom w:val="0"/>
          <w:divBdr>
            <w:top w:val="none" w:sz="0" w:space="0" w:color="auto"/>
            <w:left w:val="none" w:sz="0" w:space="0" w:color="auto"/>
            <w:bottom w:val="none" w:sz="0" w:space="0" w:color="auto"/>
            <w:right w:val="none" w:sz="0" w:space="0" w:color="auto"/>
          </w:divBdr>
        </w:div>
        <w:div w:id="1613710164">
          <w:marLeft w:val="274"/>
          <w:marRight w:val="0"/>
          <w:marTop w:val="0"/>
          <w:marBottom w:val="0"/>
          <w:divBdr>
            <w:top w:val="none" w:sz="0" w:space="0" w:color="auto"/>
            <w:left w:val="none" w:sz="0" w:space="0" w:color="auto"/>
            <w:bottom w:val="none" w:sz="0" w:space="0" w:color="auto"/>
            <w:right w:val="none" w:sz="0" w:space="0" w:color="auto"/>
          </w:divBdr>
        </w:div>
        <w:div w:id="1748503233">
          <w:marLeft w:val="274"/>
          <w:marRight w:val="0"/>
          <w:marTop w:val="0"/>
          <w:marBottom w:val="0"/>
          <w:divBdr>
            <w:top w:val="none" w:sz="0" w:space="0" w:color="auto"/>
            <w:left w:val="none" w:sz="0" w:space="0" w:color="auto"/>
            <w:bottom w:val="none" w:sz="0" w:space="0" w:color="auto"/>
            <w:right w:val="none" w:sz="0" w:space="0" w:color="auto"/>
          </w:divBdr>
        </w:div>
        <w:div w:id="1849364558">
          <w:marLeft w:val="274"/>
          <w:marRight w:val="0"/>
          <w:marTop w:val="0"/>
          <w:marBottom w:val="0"/>
          <w:divBdr>
            <w:top w:val="none" w:sz="0" w:space="0" w:color="auto"/>
            <w:left w:val="none" w:sz="0" w:space="0" w:color="auto"/>
            <w:bottom w:val="none" w:sz="0" w:space="0" w:color="auto"/>
            <w:right w:val="none" w:sz="0" w:space="0" w:color="auto"/>
          </w:divBdr>
        </w:div>
        <w:div w:id="1867870178">
          <w:marLeft w:val="274"/>
          <w:marRight w:val="0"/>
          <w:marTop w:val="0"/>
          <w:marBottom w:val="0"/>
          <w:divBdr>
            <w:top w:val="none" w:sz="0" w:space="0" w:color="auto"/>
            <w:left w:val="none" w:sz="0" w:space="0" w:color="auto"/>
            <w:bottom w:val="none" w:sz="0" w:space="0" w:color="auto"/>
            <w:right w:val="none" w:sz="0" w:space="0" w:color="auto"/>
          </w:divBdr>
        </w:div>
        <w:div w:id="1889798584">
          <w:marLeft w:val="274"/>
          <w:marRight w:val="0"/>
          <w:marTop w:val="0"/>
          <w:marBottom w:val="0"/>
          <w:divBdr>
            <w:top w:val="none" w:sz="0" w:space="0" w:color="auto"/>
            <w:left w:val="none" w:sz="0" w:space="0" w:color="auto"/>
            <w:bottom w:val="none" w:sz="0" w:space="0" w:color="auto"/>
            <w:right w:val="none" w:sz="0" w:space="0" w:color="auto"/>
          </w:divBdr>
        </w:div>
        <w:div w:id="1891529771">
          <w:marLeft w:val="274"/>
          <w:marRight w:val="0"/>
          <w:marTop w:val="0"/>
          <w:marBottom w:val="0"/>
          <w:divBdr>
            <w:top w:val="none" w:sz="0" w:space="0" w:color="auto"/>
            <w:left w:val="none" w:sz="0" w:space="0" w:color="auto"/>
            <w:bottom w:val="none" w:sz="0" w:space="0" w:color="auto"/>
            <w:right w:val="none" w:sz="0" w:space="0" w:color="auto"/>
          </w:divBdr>
        </w:div>
      </w:divsChild>
    </w:div>
    <w:div w:id="1035277395">
      <w:bodyDiv w:val="1"/>
      <w:marLeft w:val="0"/>
      <w:marRight w:val="0"/>
      <w:marTop w:val="0"/>
      <w:marBottom w:val="0"/>
      <w:divBdr>
        <w:top w:val="none" w:sz="0" w:space="0" w:color="auto"/>
        <w:left w:val="none" w:sz="0" w:space="0" w:color="auto"/>
        <w:bottom w:val="none" w:sz="0" w:space="0" w:color="auto"/>
        <w:right w:val="none" w:sz="0" w:space="0" w:color="auto"/>
      </w:divBdr>
    </w:div>
    <w:div w:id="1229194033">
      <w:bodyDiv w:val="1"/>
      <w:marLeft w:val="0"/>
      <w:marRight w:val="0"/>
      <w:marTop w:val="0"/>
      <w:marBottom w:val="0"/>
      <w:divBdr>
        <w:top w:val="none" w:sz="0" w:space="0" w:color="auto"/>
        <w:left w:val="none" w:sz="0" w:space="0" w:color="auto"/>
        <w:bottom w:val="none" w:sz="0" w:space="0" w:color="auto"/>
        <w:right w:val="none" w:sz="0" w:space="0" w:color="auto"/>
      </w:divBdr>
      <w:divsChild>
        <w:div w:id="1690837830">
          <w:marLeft w:val="0"/>
          <w:marRight w:val="0"/>
          <w:marTop w:val="0"/>
          <w:marBottom w:val="0"/>
          <w:divBdr>
            <w:top w:val="none" w:sz="0" w:space="0" w:color="auto"/>
            <w:left w:val="none" w:sz="0" w:space="0" w:color="auto"/>
            <w:bottom w:val="none" w:sz="0" w:space="0" w:color="auto"/>
            <w:right w:val="none" w:sz="0" w:space="0" w:color="auto"/>
          </w:divBdr>
          <w:divsChild>
            <w:div w:id="4594540">
              <w:marLeft w:val="0"/>
              <w:marRight w:val="0"/>
              <w:marTop w:val="0"/>
              <w:marBottom w:val="0"/>
              <w:divBdr>
                <w:top w:val="none" w:sz="0" w:space="0" w:color="auto"/>
                <w:left w:val="none" w:sz="0" w:space="0" w:color="auto"/>
                <w:bottom w:val="none" w:sz="0" w:space="0" w:color="auto"/>
                <w:right w:val="none" w:sz="0" w:space="0" w:color="auto"/>
              </w:divBdr>
            </w:div>
            <w:div w:id="104545512">
              <w:marLeft w:val="0"/>
              <w:marRight w:val="0"/>
              <w:marTop w:val="0"/>
              <w:marBottom w:val="0"/>
              <w:divBdr>
                <w:top w:val="none" w:sz="0" w:space="0" w:color="auto"/>
                <w:left w:val="none" w:sz="0" w:space="0" w:color="auto"/>
                <w:bottom w:val="none" w:sz="0" w:space="0" w:color="auto"/>
                <w:right w:val="none" w:sz="0" w:space="0" w:color="auto"/>
              </w:divBdr>
            </w:div>
            <w:div w:id="227308612">
              <w:marLeft w:val="0"/>
              <w:marRight w:val="0"/>
              <w:marTop w:val="0"/>
              <w:marBottom w:val="0"/>
              <w:divBdr>
                <w:top w:val="none" w:sz="0" w:space="0" w:color="auto"/>
                <w:left w:val="none" w:sz="0" w:space="0" w:color="auto"/>
                <w:bottom w:val="none" w:sz="0" w:space="0" w:color="auto"/>
                <w:right w:val="none" w:sz="0" w:space="0" w:color="auto"/>
              </w:divBdr>
              <w:divsChild>
                <w:div w:id="907616559">
                  <w:marLeft w:val="0"/>
                  <w:marRight w:val="0"/>
                  <w:marTop w:val="0"/>
                  <w:marBottom w:val="0"/>
                  <w:divBdr>
                    <w:top w:val="none" w:sz="0" w:space="0" w:color="auto"/>
                    <w:left w:val="none" w:sz="0" w:space="0" w:color="auto"/>
                    <w:bottom w:val="none" w:sz="0" w:space="0" w:color="auto"/>
                    <w:right w:val="none" w:sz="0" w:space="0" w:color="auto"/>
                  </w:divBdr>
                </w:div>
              </w:divsChild>
            </w:div>
            <w:div w:id="326370146">
              <w:marLeft w:val="0"/>
              <w:marRight w:val="0"/>
              <w:marTop w:val="0"/>
              <w:marBottom w:val="0"/>
              <w:divBdr>
                <w:top w:val="none" w:sz="0" w:space="0" w:color="auto"/>
                <w:left w:val="none" w:sz="0" w:space="0" w:color="auto"/>
                <w:bottom w:val="none" w:sz="0" w:space="0" w:color="auto"/>
                <w:right w:val="none" w:sz="0" w:space="0" w:color="auto"/>
              </w:divBdr>
            </w:div>
            <w:div w:id="382481673">
              <w:marLeft w:val="0"/>
              <w:marRight w:val="0"/>
              <w:marTop w:val="0"/>
              <w:marBottom w:val="0"/>
              <w:divBdr>
                <w:top w:val="none" w:sz="0" w:space="0" w:color="auto"/>
                <w:left w:val="none" w:sz="0" w:space="0" w:color="auto"/>
                <w:bottom w:val="none" w:sz="0" w:space="0" w:color="auto"/>
                <w:right w:val="none" w:sz="0" w:space="0" w:color="auto"/>
              </w:divBdr>
            </w:div>
            <w:div w:id="463278894">
              <w:marLeft w:val="0"/>
              <w:marRight w:val="0"/>
              <w:marTop w:val="0"/>
              <w:marBottom w:val="0"/>
              <w:divBdr>
                <w:top w:val="none" w:sz="0" w:space="0" w:color="auto"/>
                <w:left w:val="none" w:sz="0" w:space="0" w:color="auto"/>
                <w:bottom w:val="none" w:sz="0" w:space="0" w:color="auto"/>
                <w:right w:val="none" w:sz="0" w:space="0" w:color="auto"/>
              </w:divBdr>
              <w:divsChild>
                <w:div w:id="884176211">
                  <w:marLeft w:val="0"/>
                  <w:marRight w:val="0"/>
                  <w:marTop w:val="0"/>
                  <w:marBottom w:val="0"/>
                  <w:divBdr>
                    <w:top w:val="none" w:sz="0" w:space="0" w:color="auto"/>
                    <w:left w:val="none" w:sz="0" w:space="0" w:color="auto"/>
                    <w:bottom w:val="none" w:sz="0" w:space="0" w:color="auto"/>
                    <w:right w:val="none" w:sz="0" w:space="0" w:color="auto"/>
                  </w:divBdr>
                </w:div>
              </w:divsChild>
            </w:div>
            <w:div w:id="549415990">
              <w:marLeft w:val="0"/>
              <w:marRight w:val="0"/>
              <w:marTop w:val="0"/>
              <w:marBottom w:val="0"/>
              <w:divBdr>
                <w:top w:val="none" w:sz="0" w:space="0" w:color="auto"/>
                <w:left w:val="none" w:sz="0" w:space="0" w:color="auto"/>
                <w:bottom w:val="none" w:sz="0" w:space="0" w:color="auto"/>
                <w:right w:val="none" w:sz="0" w:space="0" w:color="auto"/>
              </w:divBdr>
              <w:divsChild>
                <w:div w:id="1289438093">
                  <w:marLeft w:val="0"/>
                  <w:marRight w:val="0"/>
                  <w:marTop w:val="0"/>
                  <w:marBottom w:val="0"/>
                  <w:divBdr>
                    <w:top w:val="none" w:sz="0" w:space="0" w:color="auto"/>
                    <w:left w:val="none" w:sz="0" w:space="0" w:color="auto"/>
                    <w:bottom w:val="none" w:sz="0" w:space="0" w:color="auto"/>
                    <w:right w:val="none" w:sz="0" w:space="0" w:color="auto"/>
                  </w:divBdr>
                </w:div>
              </w:divsChild>
            </w:div>
            <w:div w:id="567616251">
              <w:marLeft w:val="0"/>
              <w:marRight w:val="0"/>
              <w:marTop w:val="0"/>
              <w:marBottom w:val="0"/>
              <w:divBdr>
                <w:top w:val="none" w:sz="0" w:space="0" w:color="auto"/>
                <w:left w:val="none" w:sz="0" w:space="0" w:color="auto"/>
                <w:bottom w:val="none" w:sz="0" w:space="0" w:color="auto"/>
                <w:right w:val="none" w:sz="0" w:space="0" w:color="auto"/>
              </w:divBdr>
              <w:divsChild>
                <w:div w:id="1581014010">
                  <w:marLeft w:val="0"/>
                  <w:marRight w:val="0"/>
                  <w:marTop w:val="0"/>
                  <w:marBottom w:val="0"/>
                  <w:divBdr>
                    <w:top w:val="none" w:sz="0" w:space="0" w:color="auto"/>
                    <w:left w:val="none" w:sz="0" w:space="0" w:color="auto"/>
                    <w:bottom w:val="none" w:sz="0" w:space="0" w:color="auto"/>
                    <w:right w:val="none" w:sz="0" w:space="0" w:color="auto"/>
                  </w:divBdr>
                </w:div>
              </w:divsChild>
            </w:div>
            <w:div w:id="637615261">
              <w:marLeft w:val="0"/>
              <w:marRight w:val="0"/>
              <w:marTop w:val="0"/>
              <w:marBottom w:val="0"/>
              <w:divBdr>
                <w:top w:val="none" w:sz="0" w:space="0" w:color="auto"/>
                <w:left w:val="none" w:sz="0" w:space="0" w:color="auto"/>
                <w:bottom w:val="none" w:sz="0" w:space="0" w:color="auto"/>
                <w:right w:val="none" w:sz="0" w:space="0" w:color="auto"/>
              </w:divBdr>
            </w:div>
            <w:div w:id="645166455">
              <w:marLeft w:val="0"/>
              <w:marRight w:val="0"/>
              <w:marTop w:val="0"/>
              <w:marBottom w:val="0"/>
              <w:divBdr>
                <w:top w:val="none" w:sz="0" w:space="0" w:color="auto"/>
                <w:left w:val="none" w:sz="0" w:space="0" w:color="auto"/>
                <w:bottom w:val="none" w:sz="0" w:space="0" w:color="auto"/>
                <w:right w:val="none" w:sz="0" w:space="0" w:color="auto"/>
              </w:divBdr>
            </w:div>
            <w:div w:id="827669230">
              <w:marLeft w:val="0"/>
              <w:marRight w:val="0"/>
              <w:marTop w:val="0"/>
              <w:marBottom w:val="0"/>
              <w:divBdr>
                <w:top w:val="none" w:sz="0" w:space="0" w:color="auto"/>
                <w:left w:val="none" w:sz="0" w:space="0" w:color="auto"/>
                <w:bottom w:val="none" w:sz="0" w:space="0" w:color="auto"/>
                <w:right w:val="none" w:sz="0" w:space="0" w:color="auto"/>
              </w:divBdr>
            </w:div>
            <w:div w:id="858422803">
              <w:marLeft w:val="0"/>
              <w:marRight w:val="0"/>
              <w:marTop w:val="0"/>
              <w:marBottom w:val="0"/>
              <w:divBdr>
                <w:top w:val="none" w:sz="0" w:space="0" w:color="auto"/>
                <w:left w:val="none" w:sz="0" w:space="0" w:color="auto"/>
                <w:bottom w:val="none" w:sz="0" w:space="0" w:color="auto"/>
                <w:right w:val="none" w:sz="0" w:space="0" w:color="auto"/>
              </w:divBdr>
            </w:div>
            <w:div w:id="1169177247">
              <w:marLeft w:val="0"/>
              <w:marRight w:val="0"/>
              <w:marTop w:val="0"/>
              <w:marBottom w:val="0"/>
              <w:divBdr>
                <w:top w:val="none" w:sz="0" w:space="0" w:color="auto"/>
                <w:left w:val="none" w:sz="0" w:space="0" w:color="auto"/>
                <w:bottom w:val="none" w:sz="0" w:space="0" w:color="auto"/>
                <w:right w:val="none" w:sz="0" w:space="0" w:color="auto"/>
              </w:divBdr>
            </w:div>
            <w:div w:id="1186559313">
              <w:marLeft w:val="0"/>
              <w:marRight w:val="0"/>
              <w:marTop w:val="0"/>
              <w:marBottom w:val="0"/>
              <w:divBdr>
                <w:top w:val="none" w:sz="0" w:space="0" w:color="auto"/>
                <w:left w:val="none" w:sz="0" w:space="0" w:color="auto"/>
                <w:bottom w:val="none" w:sz="0" w:space="0" w:color="auto"/>
                <w:right w:val="none" w:sz="0" w:space="0" w:color="auto"/>
              </w:divBdr>
            </w:div>
            <w:div w:id="1268461143">
              <w:marLeft w:val="0"/>
              <w:marRight w:val="0"/>
              <w:marTop w:val="0"/>
              <w:marBottom w:val="0"/>
              <w:divBdr>
                <w:top w:val="none" w:sz="0" w:space="0" w:color="auto"/>
                <w:left w:val="none" w:sz="0" w:space="0" w:color="auto"/>
                <w:bottom w:val="none" w:sz="0" w:space="0" w:color="auto"/>
                <w:right w:val="none" w:sz="0" w:space="0" w:color="auto"/>
              </w:divBdr>
            </w:div>
            <w:div w:id="1343631572">
              <w:marLeft w:val="0"/>
              <w:marRight w:val="0"/>
              <w:marTop w:val="0"/>
              <w:marBottom w:val="0"/>
              <w:divBdr>
                <w:top w:val="none" w:sz="0" w:space="0" w:color="auto"/>
                <w:left w:val="none" w:sz="0" w:space="0" w:color="auto"/>
                <w:bottom w:val="none" w:sz="0" w:space="0" w:color="auto"/>
                <w:right w:val="none" w:sz="0" w:space="0" w:color="auto"/>
              </w:divBdr>
            </w:div>
            <w:div w:id="1414205046">
              <w:marLeft w:val="0"/>
              <w:marRight w:val="0"/>
              <w:marTop w:val="0"/>
              <w:marBottom w:val="0"/>
              <w:divBdr>
                <w:top w:val="none" w:sz="0" w:space="0" w:color="auto"/>
                <w:left w:val="none" w:sz="0" w:space="0" w:color="auto"/>
                <w:bottom w:val="none" w:sz="0" w:space="0" w:color="auto"/>
                <w:right w:val="none" w:sz="0" w:space="0" w:color="auto"/>
              </w:divBdr>
            </w:div>
            <w:div w:id="1487208942">
              <w:marLeft w:val="0"/>
              <w:marRight w:val="0"/>
              <w:marTop w:val="0"/>
              <w:marBottom w:val="0"/>
              <w:divBdr>
                <w:top w:val="none" w:sz="0" w:space="0" w:color="auto"/>
                <w:left w:val="none" w:sz="0" w:space="0" w:color="auto"/>
                <w:bottom w:val="none" w:sz="0" w:space="0" w:color="auto"/>
                <w:right w:val="none" w:sz="0" w:space="0" w:color="auto"/>
              </w:divBdr>
            </w:div>
            <w:div w:id="1521384742">
              <w:marLeft w:val="0"/>
              <w:marRight w:val="0"/>
              <w:marTop w:val="0"/>
              <w:marBottom w:val="0"/>
              <w:divBdr>
                <w:top w:val="none" w:sz="0" w:space="0" w:color="auto"/>
                <w:left w:val="none" w:sz="0" w:space="0" w:color="auto"/>
                <w:bottom w:val="none" w:sz="0" w:space="0" w:color="auto"/>
                <w:right w:val="none" w:sz="0" w:space="0" w:color="auto"/>
              </w:divBdr>
              <w:divsChild>
                <w:div w:id="2057196862">
                  <w:marLeft w:val="0"/>
                  <w:marRight w:val="0"/>
                  <w:marTop w:val="0"/>
                  <w:marBottom w:val="0"/>
                  <w:divBdr>
                    <w:top w:val="none" w:sz="0" w:space="0" w:color="auto"/>
                    <w:left w:val="none" w:sz="0" w:space="0" w:color="auto"/>
                    <w:bottom w:val="none" w:sz="0" w:space="0" w:color="auto"/>
                    <w:right w:val="none" w:sz="0" w:space="0" w:color="auto"/>
                  </w:divBdr>
                </w:div>
              </w:divsChild>
            </w:div>
            <w:div w:id="1613711666">
              <w:marLeft w:val="0"/>
              <w:marRight w:val="0"/>
              <w:marTop w:val="0"/>
              <w:marBottom w:val="0"/>
              <w:divBdr>
                <w:top w:val="none" w:sz="0" w:space="0" w:color="auto"/>
                <w:left w:val="none" w:sz="0" w:space="0" w:color="auto"/>
                <w:bottom w:val="none" w:sz="0" w:space="0" w:color="auto"/>
                <w:right w:val="none" w:sz="0" w:space="0" w:color="auto"/>
              </w:divBdr>
            </w:div>
            <w:div w:id="1790316723">
              <w:marLeft w:val="0"/>
              <w:marRight w:val="0"/>
              <w:marTop w:val="0"/>
              <w:marBottom w:val="0"/>
              <w:divBdr>
                <w:top w:val="none" w:sz="0" w:space="0" w:color="auto"/>
                <w:left w:val="none" w:sz="0" w:space="0" w:color="auto"/>
                <w:bottom w:val="none" w:sz="0" w:space="0" w:color="auto"/>
                <w:right w:val="none" w:sz="0" w:space="0" w:color="auto"/>
              </w:divBdr>
            </w:div>
            <w:div w:id="1805417641">
              <w:marLeft w:val="0"/>
              <w:marRight w:val="0"/>
              <w:marTop w:val="0"/>
              <w:marBottom w:val="0"/>
              <w:divBdr>
                <w:top w:val="none" w:sz="0" w:space="0" w:color="auto"/>
                <w:left w:val="none" w:sz="0" w:space="0" w:color="auto"/>
                <w:bottom w:val="none" w:sz="0" w:space="0" w:color="auto"/>
                <w:right w:val="none" w:sz="0" w:space="0" w:color="auto"/>
              </w:divBdr>
              <w:divsChild>
                <w:div w:id="746078332">
                  <w:marLeft w:val="0"/>
                  <w:marRight w:val="0"/>
                  <w:marTop w:val="0"/>
                  <w:marBottom w:val="0"/>
                  <w:divBdr>
                    <w:top w:val="none" w:sz="0" w:space="0" w:color="auto"/>
                    <w:left w:val="none" w:sz="0" w:space="0" w:color="auto"/>
                    <w:bottom w:val="none" w:sz="0" w:space="0" w:color="auto"/>
                    <w:right w:val="none" w:sz="0" w:space="0" w:color="auto"/>
                  </w:divBdr>
                </w:div>
              </w:divsChild>
            </w:div>
            <w:div w:id="1820993518">
              <w:marLeft w:val="0"/>
              <w:marRight w:val="0"/>
              <w:marTop w:val="0"/>
              <w:marBottom w:val="0"/>
              <w:divBdr>
                <w:top w:val="none" w:sz="0" w:space="0" w:color="auto"/>
                <w:left w:val="none" w:sz="0" w:space="0" w:color="auto"/>
                <w:bottom w:val="none" w:sz="0" w:space="0" w:color="auto"/>
                <w:right w:val="none" w:sz="0" w:space="0" w:color="auto"/>
              </w:divBdr>
              <w:divsChild>
                <w:div w:id="1464351234">
                  <w:marLeft w:val="0"/>
                  <w:marRight w:val="0"/>
                  <w:marTop w:val="0"/>
                  <w:marBottom w:val="0"/>
                  <w:divBdr>
                    <w:top w:val="none" w:sz="0" w:space="0" w:color="auto"/>
                    <w:left w:val="none" w:sz="0" w:space="0" w:color="auto"/>
                    <w:bottom w:val="none" w:sz="0" w:space="0" w:color="auto"/>
                    <w:right w:val="none" w:sz="0" w:space="0" w:color="auto"/>
                  </w:divBdr>
                </w:div>
              </w:divsChild>
            </w:div>
            <w:div w:id="1970625757">
              <w:marLeft w:val="0"/>
              <w:marRight w:val="0"/>
              <w:marTop w:val="0"/>
              <w:marBottom w:val="0"/>
              <w:divBdr>
                <w:top w:val="none" w:sz="0" w:space="0" w:color="auto"/>
                <w:left w:val="none" w:sz="0" w:space="0" w:color="auto"/>
                <w:bottom w:val="none" w:sz="0" w:space="0" w:color="auto"/>
                <w:right w:val="none" w:sz="0" w:space="0" w:color="auto"/>
              </w:divBdr>
              <w:divsChild>
                <w:div w:id="410347774">
                  <w:marLeft w:val="0"/>
                  <w:marRight w:val="0"/>
                  <w:marTop w:val="0"/>
                  <w:marBottom w:val="0"/>
                  <w:divBdr>
                    <w:top w:val="none" w:sz="0" w:space="0" w:color="auto"/>
                    <w:left w:val="none" w:sz="0" w:space="0" w:color="auto"/>
                    <w:bottom w:val="none" w:sz="0" w:space="0" w:color="auto"/>
                    <w:right w:val="none" w:sz="0" w:space="0" w:color="auto"/>
                  </w:divBdr>
                </w:div>
              </w:divsChild>
            </w:div>
            <w:div w:id="1981766396">
              <w:marLeft w:val="0"/>
              <w:marRight w:val="0"/>
              <w:marTop w:val="0"/>
              <w:marBottom w:val="0"/>
              <w:divBdr>
                <w:top w:val="none" w:sz="0" w:space="0" w:color="auto"/>
                <w:left w:val="none" w:sz="0" w:space="0" w:color="auto"/>
                <w:bottom w:val="none" w:sz="0" w:space="0" w:color="auto"/>
                <w:right w:val="none" w:sz="0" w:space="0" w:color="auto"/>
              </w:divBdr>
              <w:divsChild>
                <w:div w:id="449713814">
                  <w:marLeft w:val="0"/>
                  <w:marRight w:val="0"/>
                  <w:marTop w:val="0"/>
                  <w:marBottom w:val="0"/>
                  <w:divBdr>
                    <w:top w:val="none" w:sz="0" w:space="0" w:color="auto"/>
                    <w:left w:val="none" w:sz="0" w:space="0" w:color="auto"/>
                    <w:bottom w:val="none" w:sz="0" w:space="0" w:color="auto"/>
                    <w:right w:val="none" w:sz="0" w:space="0" w:color="auto"/>
                  </w:divBdr>
                </w:div>
              </w:divsChild>
            </w:div>
            <w:div w:id="2027517289">
              <w:marLeft w:val="0"/>
              <w:marRight w:val="0"/>
              <w:marTop w:val="0"/>
              <w:marBottom w:val="0"/>
              <w:divBdr>
                <w:top w:val="none" w:sz="0" w:space="0" w:color="auto"/>
                <w:left w:val="none" w:sz="0" w:space="0" w:color="auto"/>
                <w:bottom w:val="none" w:sz="0" w:space="0" w:color="auto"/>
                <w:right w:val="none" w:sz="0" w:space="0" w:color="auto"/>
              </w:divBdr>
            </w:div>
            <w:div w:id="2051031486">
              <w:marLeft w:val="0"/>
              <w:marRight w:val="0"/>
              <w:marTop w:val="0"/>
              <w:marBottom w:val="0"/>
              <w:divBdr>
                <w:top w:val="none" w:sz="0" w:space="0" w:color="auto"/>
                <w:left w:val="none" w:sz="0" w:space="0" w:color="auto"/>
                <w:bottom w:val="none" w:sz="0" w:space="0" w:color="auto"/>
                <w:right w:val="none" w:sz="0" w:space="0" w:color="auto"/>
              </w:divBdr>
            </w:div>
            <w:div w:id="2051227989">
              <w:marLeft w:val="0"/>
              <w:marRight w:val="0"/>
              <w:marTop w:val="0"/>
              <w:marBottom w:val="0"/>
              <w:divBdr>
                <w:top w:val="none" w:sz="0" w:space="0" w:color="auto"/>
                <w:left w:val="none" w:sz="0" w:space="0" w:color="auto"/>
                <w:bottom w:val="none" w:sz="0" w:space="0" w:color="auto"/>
                <w:right w:val="none" w:sz="0" w:space="0" w:color="auto"/>
              </w:divBdr>
              <w:divsChild>
                <w:div w:id="2145387393">
                  <w:marLeft w:val="0"/>
                  <w:marRight w:val="0"/>
                  <w:marTop w:val="0"/>
                  <w:marBottom w:val="0"/>
                  <w:divBdr>
                    <w:top w:val="none" w:sz="0" w:space="0" w:color="auto"/>
                    <w:left w:val="none" w:sz="0" w:space="0" w:color="auto"/>
                    <w:bottom w:val="none" w:sz="0" w:space="0" w:color="auto"/>
                    <w:right w:val="none" w:sz="0" w:space="0" w:color="auto"/>
                  </w:divBdr>
                </w:div>
              </w:divsChild>
            </w:div>
            <w:div w:id="2082169714">
              <w:marLeft w:val="0"/>
              <w:marRight w:val="0"/>
              <w:marTop w:val="0"/>
              <w:marBottom w:val="0"/>
              <w:divBdr>
                <w:top w:val="none" w:sz="0" w:space="0" w:color="auto"/>
                <w:left w:val="none" w:sz="0" w:space="0" w:color="auto"/>
                <w:bottom w:val="none" w:sz="0" w:space="0" w:color="auto"/>
                <w:right w:val="none" w:sz="0" w:space="0" w:color="auto"/>
              </w:divBdr>
            </w:div>
            <w:div w:id="20964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95152">
      <w:bodyDiv w:val="1"/>
      <w:marLeft w:val="0"/>
      <w:marRight w:val="0"/>
      <w:marTop w:val="0"/>
      <w:marBottom w:val="0"/>
      <w:divBdr>
        <w:top w:val="none" w:sz="0" w:space="0" w:color="auto"/>
        <w:left w:val="none" w:sz="0" w:space="0" w:color="auto"/>
        <w:bottom w:val="none" w:sz="0" w:space="0" w:color="auto"/>
        <w:right w:val="none" w:sz="0" w:space="0" w:color="auto"/>
      </w:divBdr>
      <w:divsChild>
        <w:div w:id="810558104">
          <w:marLeft w:val="8424"/>
          <w:marRight w:val="0"/>
          <w:marTop w:val="0"/>
          <w:marBottom w:val="0"/>
          <w:divBdr>
            <w:top w:val="none" w:sz="0" w:space="0" w:color="auto"/>
            <w:left w:val="none" w:sz="0" w:space="0" w:color="auto"/>
            <w:bottom w:val="none" w:sz="0" w:space="0" w:color="auto"/>
            <w:right w:val="none" w:sz="0" w:space="0" w:color="auto"/>
          </w:divBdr>
        </w:div>
        <w:div w:id="140082252">
          <w:marLeft w:val="7488"/>
          <w:marRight w:val="0"/>
          <w:marTop w:val="208"/>
          <w:marBottom w:val="0"/>
          <w:divBdr>
            <w:top w:val="none" w:sz="0" w:space="0" w:color="auto"/>
            <w:left w:val="none" w:sz="0" w:space="0" w:color="auto"/>
            <w:bottom w:val="none" w:sz="0" w:space="0" w:color="auto"/>
            <w:right w:val="none" w:sz="0" w:space="0" w:color="auto"/>
          </w:divBdr>
        </w:div>
        <w:div w:id="1991665296">
          <w:marLeft w:val="10512"/>
          <w:marRight w:val="0"/>
          <w:marTop w:val="208"/>
          <w:marBottom w:val="892"/>
          <w:divBdr>
            <w:top w:val="none" w:sz="0" w:space="0" w:color="auto"/>
            <w:left w:val="none" w:sz="0" w:space="0" w:color="auto"/>
            <w:bottom w:val="none" w:sz="0" w:space="0" w:color="auto"/>
            <w:right w:val="none" w:sz="0" w:space="0" w:color="auto"/>
          </w:divBdr>
        </w:div>
      </w:divsChild>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mc.gov.au" TargetMode="External"/><Relationship Id="rId20" Type="http://schemas.openxmlformats.org/officeDocument/2006/relationships/hyperlink" Target="https://www.infrastructure.gov.au/transport/freight/national-freight-data-hub/index.asp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hyperlink" Target="mailto:freightdatahub@infrastructure.gov.au" TargetMode="Externa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hyperlink" Target="mailto:freightdatahub@infrastructure.gov.au"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png"/><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hyperlink" Target="https://imoveaustralia.com/project/freight-data-requirements-study/" TargetMode="External"/><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www.infrastructure.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mc.gov.au/sites/default/files/publications/Australian_Government_Guide_to_Regulation.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RDC%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D15B1D30C82459F643233FDBC92DE" ma:contentTypeVersion="6" ma:contentTypeDescription="Create a new document." ma:contentTypeScope="" ma:versionID="0373d7711a0b9588b2a801e1bc346ca9">
  <xsd:schema xmlns:xsd="http://www.w3.org/2001/XMLSchema" xmlns:xs="http://www.w3.org/2001/XMLSchema" xmlns:p="http://schemas.microsoft.com/office/2006/metadata/properties" xmlns:ns2="f8552d10-6fde-4d57-b9cd-d56f2d841e98" xmlns:ns3="8e6ad6e2-bb58-49f6-971a-733334e71c4b" targetNamespace="http://schemas.microsoft.com/office/2006/metadata/properties" ma:root="true" ma:fieldsID="33fc9f68b58f4c5d080763cd0e7c0b27" ns2:_="" ns3:_="">
    <xsd:import namespace="f8552d10-6fde-4d57-b9cd-d56f2d841e98"/>
    <xsd:import namespace="8e6ad6e2-bb58-49f6-971a-733334e71c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52d10-6fde-4d57-b9cd-d56f2d841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6ad6e2-bb58-49f6-971a-733334e71c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65655-59F0-447E-8AF4-7EB155C26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52d10-6fde-4d57-b9cd-d56f2d841e98"/>
    <ds:schemaRef ds:uri="8e6ad6e2-bb58-49f6-971a-733334e71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9D90B5-9591-4AA9-BF2A-16939611E17C}">
  <ds:schemaRefs>
    <ds:schemaRef ds:uri="http://schemas.microsoft.com/sharepoint/v3/contenttype/forms"/>
  </ds:schemaRefs>
</ds:datastoreItem>
</file>

<file path=customXml/itemProps3.xml><?xml version="1.0" encoding="utf-8"?>
<ds:datastoreItem xmlns:ds="http://schemas.openxmlformats.org/officeDocument/2006/customXml" ds:itemID="{C9176271-357C-4FC0-B675-1382C74EEDE7}">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f8552d10-6fde-4d57-b9cd-d56f2d841e98"/>
    <ds:schemaRef ds:uri="http://schemas.microsoft.com/office/infopath/2007/PartnerControls"/>
    <ds:schemaRef ds:uri="8e6ad6e2-bb58-49f6-971a-733334e71c4b"/>
    <ds:schemaRef ds:uri="http://www.w3.org/XML/1998/namespace"/>
    <ds:schemaRef ds:uri="http://purl.org/dc/dcmitype/"/>
  </ds:schemaRefs>
</ds:datastoreItem>
</file>

<file path=customXml/itemProps4.xml><?xml version="1.0" encoding="utf-8"?>
<ds:datastoreItem xmlns:ds="http://schemas.openxmlformats.org/officeDocument/2006/customXml" ds:itemID="{328ADC7F-B294-4A31-ABAC-C9F168AF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DoITRDC Report.dotx</Template>
  <TotalTime>81</TotalTime>
  <Pages>19</Pages>
  <Words>3379</Words>
  <Characters>19263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Transport, Regional Development and Communications</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I'ANSON Sandra</dc:creator>
  <cp:keywords/>
  <dc:description>17 February 2020</dc:description>
  <cp:lastModifiedBy>GUYES Helen</cp:lastModifiedBy>
  <cp:revision>13</cp:revision>
  <dcterms:created xsi:type="dcterms:W3CDTF">2020-08-23T22:59:00Z</dcterms:created>
  <dcterms:modified xsi:type="dcterms:W3CDTF">2020-08-24T01:17:00Z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0x010100EB2D15B1D30C82459F643233FDBC92DE</vt:lpwstr>
  </property>
</Properties>
</file>