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51CF2" w14:textId="77777777" w:rsidR="00DA5A6F" w:rsidRDefault="00DA5A6F">
      <w:bookmarkStart w:id="0" w:name="_Hlk483910596"/>
      <w:bookmarkStart w:id="1" w:name="_GoBack"/>
      <w:bookmarkEnd w:id="0"/>
      <w:bookmarkEnd w:id="1"/>
    </w:p>
    <w:p w14:paraId="59947D4E" w14:textId="77777777" w:rsidR="008672FA" w:rsidRDefault="008672FA"/>
    <w:p w14:paraId="3097F845" w14:textId="77777777" w:rsidR="000366DC" w:rsidRDefault="000366DC"/>
    <w:p w14:paraId="511C4E3A" w14:textId="77777777" w:rsidR="00F076BE" w:rsidRDefault="00F076BE"/>
    <w:p w14:paraId="45F1D4C5" w14:textId="77777777" w:rsidR="00F076BE" w:rsidRDefault="006D7587" w:rsidP="004C0E81">
      <w:pPr>
        <w:spacing w:after="0" w:line="240" w:lineRule="auto"/>
        <w:ind w:left="567"/>
        <w:jc w:val="center"/>
      </w:pPr>
      <w:r>
        <w:rPr>
          <w:noProof/>
          <w:lang w:eastAsia="en-AU"/>
        </w:rPr>
        <w:drawing>
          <wp:anchor distT="0" distB="0" distL="114300" distR="114300" simplePos="0" relativeHeight="251661312" behindDoc="0" locked="0" layoutInCell="1" allowOverlap="1" wp14:anchorId="40367852" wp14:editId="04B2B351">
            <wp:simplePos x="0" y="0"/>
            <wp:positionH relativeFrom="margin">
              <wp:posOffset>2054225</wp:posOffset>
            </wp:positionH>
            <wp:positionV relativeFrom="margin">
              <wp:posOffset>1725295</wp:posOffset>
            </wp:positionV>
            <wp:extent cx="2819400" cy="18573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893"/>
                    <a:stretch/>
                  </pic:blipFill>
                  <pic:spPr bwMode="auto">
                    <a:xfrm>
                      <a:off x="0" y="0"/>
                      <a:ext cx="2819400" cy="1857375"/>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5695CF84" wp14:editId="4C46D16C">
                <wp:simplePos x="0" y="0"/>
                <wp:positionH relativeFrom="column">
                  <wp:posOffset>-172085</wp:posOffset>
                </wp:positionH>
                <wp:positionV relativeFrom="paragraph">
                  <wp:posOffset>2463800</wp:posOffset>
                </wp:positionV>
                <wp:extent cx="6977062" cy="985520"/>
                <wp:effectExtent l="0" t="0" r="14605" b="24130"/>
                <wp:wrapNone/>
                <wp:docPr id="1" name="Rectangle 1"/>
                <wp:cNvGraphicFramePr/>
                <a:graphic xmlns:a="http://schemas.openxmlformats.org/drawingml/2006/main">
                  <a:graphicData uri="http://schemas.microsoft.com/office/word/2010/wordprocessingShape">
                    <wps:wsp>
                      <wps:cNvSpPr/>
                      <wps:spPr>
                        <a:xfrm>
                          <a:off x="0" y="0"/>
                          <a:ext cx="6977062" cy="98552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B53FE5" id="Rectangle 1" o:spid="_x0000_s1026" style="position:absolute;margin-left:-13.55pt;margin-top:194pt;width:549.35pt;height:7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3IkgIAAK4FAAAOAAAAZHJzL2Uyb0RvYy54bWysVFFPGzEMfp+0/xDlfdy1ogUqrqgqYpqE&#10;AAETz2ku6Z2UizMn7bX79XNy1ysDtAe0PqTx2f5sf7F9ebVrDNsq9DXYgo9Ocs6UlVDWdl3wn883&#10;384580HYUhiwquB75fnV/OuXy9bN1BgqMKVCRiDWz1pX8CoEN8syLyvVCH8CTllSasBGBBJxnZUo&#10;WkJvTDbO82nWApYOQSrv6et1p+TzhK+1kuFea68CMwWn3EI6MZ2reGbzSzFbo3BVLfs0xCeyaERt&#10;KegAdS2CYBus30E1tUTwoMOJhCYDrWupUg1UzSh/U81TJZxKtRA53g00+f8HK++2D8jqkt6OMysa&#10;eqJHIk3YtVFsFOlpnZ+R1ZN7wF7ydI217jQ28Z+qYLtE6X6gVO0Ck/RxenF2lk/HnEnSXZxPJuPE&#10;eXb0dujDdwUNi5eCI0VPTIrtrQ8UkUwPJjGYB1OXN7UxScD1ammQbUV83nycTw/of5kZ+zlPCh1d&#10;s0hBV3S6hb1REdDYR6WJOypznFJOXauGhISUyoZRp6pEqbo8Jzn9IrMEP3gkKQFGZE31Ddg9QJyI&#10;99gdTG8fXVVq+sE5/1dinfPgkSKDDYNzU1vAjwAMVdVH7uwPJHXURJZWUO6psxC6kfNO3tT0wLfC&#10;hweBNGM0jbQ3wj0d2kBbcOhvnFWAvz/6Hu2p9UnLWUszW3D/ayNQcWZ+WBqKi9HpaRzyJJxOzqjX&#10;GL7WrF5r7KZZAvUNNT5ll67RPpjDVSM0L7ReFjEqqYSVFLvgMuBBWIZul9CCkmqxSGY02E6EW/vk&#10;ZASPrMYGft69CHR9lweajzs4zLeYvWn2zjZ6WlhsAug6TcKR155vWgqpcfoFFrfOazlZHdfs/A8A&#10;AAD//wMAUEsDBBQABgAIAAAAIQDBGnAF4gAAAAwBAAAPAAAAZHJzL2Rvd25yZXYueG1sTI/BTsMw&#10;EETvSPyDtUjcWjspTaM0mwoVgRDi0hSJqxtvk4jYjmKnTfl63FM5rvZp5k2+mXTHTjS41hqEaC6A&#10;kamsak2N8LV/naXAnJdGyc4aQriQg01xf5fLTNmz2dGp9DULIcZlEqHxvs84d1VDWrq57cmE39EO&#10;WvpwDjVXgzyHcN3xWIiEa9ma0NDInrYNVT/lqBFIbz++P5flzibiso+jF/s7vr0jPj5Mz2tgniZ/&#10;g+GqH9ShCE4HOxrlWIcwi1dRQBEWaRpGXQmxihJgB4Tl0yIGXuT8/4jiDwAA//8DAFBLAQItABQA&#10;BgAIAAAAIQC2gziS/gAAAOEBAAATAAAAAAAAAAAAAAAAAAAAAABbQ29udGVudF9UeXBlc10ueG1s&#10;UEsBAi0AFAAGAAgAAAAhADj9If/WAAAAlAEAAAsAAAAAAAAAAAAAAAAALwEAAF9yZWxzLy5yZWxz&#10;UEsBAi0AFAAGAAgAAAAhAO4jPciSAgAArgUAAA4AAAAAAAAAAAAAAAAALgIAAGRycy9lMm9Eb2Mu&#10;eG1sUEsBAi0AFAAGAAgAAAAhAMEacAXiAAAADAEAAA8AAAAAAAAAAAAAAAAA7AQAAGRycy9kb3du&#10;cmV2LnhtbFBLBQYAAAAABAAEAPMAAAD7BQAAAAA=&#10;" fillcolor="#002060" strokecolor="#002060" strokeweight="1pt"/>
            </w:pict>
          </mc:Fallback>
        </mc:AlternateContent>
      </w:r>
      <w:r>
        <w:rPr>
          <w:noProof/>
          <w:lang w:eastAsia="en-AU"/>
        </w:rPr>
        <mc:AlternateContent>
          <mc:Choice Requires="wps">
            <w:drawing>
              <wp:anchor distT="0" distB="0" distL="114300" distR="114300" simplePos="0" relativeHeight="251660288" behindDoc="0" locked="0" layoutInCell="1" allowOverlap="1" wp14:anchorId="53DCE73D" wp14:editId="5C9FE22E">
                <wp:simplePos x="0" y="0"/>
                <wp:positionH relativeFrom="column">
                  <wp:posOffset>-212725</wp:posOffset>
                </wp:positionH>
                <wp:positionV relativeFrom="paragraph">
                  <wp:posOffset>2532697</wp:posOffset>
                </wp:positionV>
                <wp:extent cx="7015162" cy="781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15162" cy="781050"/>
                        </a:xfrm>
                        <a:prstGeom prst="rect">
                          <a:avLst/>
                        </a:prstGeom>
                        <a:noFill/>
                        <a:ln w="6350">
                          <a:noFill/>
                        </a:ln>
                      </wps:spPr>
                      <wps:txbx>
                        <w:txbxContent>
                          <w:p w14:paraId="0C16C7DC" w14:textId="77777777" w:rsidR="00F234D8" w:rsidRPr="000366DC" w:rsidRDefault="00F234D8" w:rsidP="006418DF">
                            <w:pPr>
                              <w:jc w:val="center"/>
                              <w:rPr>
                                <w:rFonts w:asciiTheme="majorHAnsi" w:hAnsiTheme="majorHAnsi"/>
                                <w:b/>
                                <w:i/>
                                <w:color w:val="FFFFFF" w:themeColor="background1"/>
                                <w:sz w:val="96"/>
                                <w:szCs w:val="96"/>
                              </w:rPr>
                            </w:pPr>
                            <w:r w:rsidRPr="000366DC">
                              <w:rPr>
                                <w:rFonts w:asciiTheme="majorHAnsi" w:hAnsiTheme="majorHAnsi"/>
                                <w:b/>
                                <w:i/>
                                <w:color w:val="FFFFFF" w:themeColor="background1"/>
                                <w:sz w:val="96"/>
                                <w:szCs w:val="96"/>
                              </w:rPr>
                              <w:t>Inter-Port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DCE73D" id="_x0000_t202" coordsize="21600,21600" o:spt="202" path="m,l,21600r21600,l21600,xe">
                <v:stroke joinstyle="miter"/>
                <v:path gradientshapeok="t" o:connecttype="rect"/>
              </v:shapetype>
              <v:shape id="Text Box 2" o:spid="_x0000_s1026" type="#_x0000_t202" style="position:absolute;left:0;text-align:left;margin-left:-16.75pt;margin-top:199.4pt;width:552.35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xNLQIAAFEEAAAOAAAAZHJzL2Uyb0RvYy54bWysVN9v2jAQfp+0/8Hy+0jCgLYRoWKtmCah&#10;thJMfTaOTSI5Ps82JOyv39kJlHV7mvbinO/O9+P77jK/7xpFjsK6GnRBs1FKidAcylrvC/p9u/p0&#10;S4nzTJdMgRYFPQlH7xcfP8xbk4sxVKBKYQkG0S5vTUEr702eJI5XomFuBEZoNEqwDfN4tfuktKzF&#10;6I1Kxmk6S1qwpbHAhXOofeyNdBHjSym4f5bSCU9UQbE2H08bz104k8Wc5XvLTFXzoQz2D1U0rNaY&#10;9BLqkXlGDrb+I1RTcwsOpB9xaBKQsuYi9oDdZOm7bjYVMyL2guA4c4HJ/b+w/On4YkldFnRMiWYN&#10;UrQVnSdfoCPjgE5rXI5OG4NuvkM1snzWO1SGpjtpm/DFdgjaEefTBdsQjKPyJs2m2QyTcLTd3Gbp&#10;NIKfvL021vmvAhoShIJa5C5Cyo5r57ESdD27hGQaVrVSkT+lSVvQ2WcM+ZsFXyiND0MPfa1B8t2u&#10;GxrbQXnCviz0c+EMX9WYfM2cf2EWBwFbweH2z3hIBZgEBomSCuzPv+mDP/KDVkpaHKyCuh8HZgUl&#10;6ptG5u6yySRMYrxMpjdjvNhry+7aog/NA+DsZrhGhkcx+Ht1FqWF5hV3YBmyoolpjrkL6s/ig+/H&#10;HXeIi+UyOuHsGebXemN4CB1AC9Buu1dmzYC/R+ae4DyCLH9HQ+/bw708eJB15CgA3KM64I5zG6kb&#10;diwsxvU9er39CRa/AAAA//8DAFBLAwQUAAYACAAAACEA0Ao14uMAAAAMAQAADwAAAGRycy9kb3du&#10;cmV2LnhtbEyPy07DMBBF90j8gzVI7FrnoUAIcaoqUoWEYNHSDbtJPE0i/Aix2wa+HndVlqM5uvfc&#10;cjVrxU40ucEaAfEyAkamtXIwnYD9x2aRA3MejURlDQn4IQer6vamxELas9nSaec7FkKMK1BA7/1Y&#10;cO7anjS6pR3JhN/BThp9OKeOywnPIVwrnkTRA9c4mNDQ40h1T+3X7qgFvNabd9w2ic5/Vf3ydliP&#10;3/vPTIj7u3n9DMzT7K8wXPSDOlTBqbFHIx1TAhZpmgVUQPqUhw0XInqME2CNgCyJc+BVyf+PqP4A&#10;AAD//wMAUEsBAi0AFAAGAAgAAAAhALaDOJL+AAAA4QEAABMAAAAAAAAAAAAAAAAAAAAAAFtDb250&#10;ZW50X1R5cGVzXS54bWxQSwECLQAUAAYACAAAACEAOP0h/9YAAACUAQAACwAAAAAAAAAAAAAAAAAv&#10;AQAAX3JlbHMvLnJlbHNQSwECLQAUAAYACAAAACEAlcAMTS0CAABRBAAADgAAAAAAAAAAAAAAAAAu&#10;AgAAZHJzL2Uyb0RvYy54bWxQSwECLQAUAAYACAAAACEA0Ao14uMAAAAMAQAADwAAAAAAAAAAAAAA&#10;AACHBAAAZHJzL2Rvd25yZXYueG1sUEsFBgAAAAAEAAQA8wAAAJcFAAAAAA==&#10;" filled="f" stroked="f" strokeweight=".5pt">
                <v:textbox>
                  <w:txbxContent>
                    <w:p w14:paraId="0C16C7DC" w14:textId="77777777" w:rsidR="00F234D8" w:rsidRPr="000366DC" w:rsidRDefault="00F234D8" w:rsidP="006418DF">
                      <w:pPr>
                        <w:jc w:val="center"/>
                        <w:rPr>
                          <w:rFonts w:asciiTheme="majorHAnsi" w:hAnsiTheme="majorHAnsi"/>
                          <w:b/>
                          <w:i/>
                          <w:color w:val="FFFFFF" w:themeColor="background1"/>
                          <w:sz w:val="96"/>
                          <w:szCs w:val="96"/>
                        </w:rPr>
                      </w:pPr>
                      <w:r w:rsidRPr="000366DC">
                        <w:rPr>
                          <w:rFonts w:asciiTheme="majorHAnsi" w:hAnsiTheme="majorHAnsi"/>
                          <w:b/>
                          <w:i/>
                          <w:color w:val="FFFFFF" w:themeColor="background1"/>
                          <w:sz w:val="96"/>
                          <w:szCs w:val="96"/>
                        </w:rPr>
                        <w:t>Inter-Port Global</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14:anchorId="7CB4E270" wp14:editId="425FD9D3">
                <wp:simplePos x="0" y="0"/>
                <wp:positionH relativeFrom="column">
                  <wp:posOffset>-157798</wp:posOffset>
                </wp:positionH>
                <wp:positionV relativeFrom="paragraph">
                  <wp:posOffset>3489325</wp:posOffset>
                </wp:positionV>
                <wp:extent cx="6962457" cy="7143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62457" cy="714375"/>
                        </a:xfrm>
                        <a:prstGeom prst="rect">
                          <a:avLst/>
                        </a:prstGeom>
                        <a:noFill/>
                        <a:ln w="6350">
                          <a:noFill/>
                        </a:ln>
                      </wps:spPr>
                      <wps:txbx>
                        <w:txbxContent>
                          <w:p w14:paraId="0CFBD509" w14:textId="77777777" w:rsidR="00F234D8" w:rsidRDefault="00F234D8" w:rsidP="00E25871">
                            <w:pPr>
                              <w:jc w:val="center"/>
                              <w:rPr>
                                <w:b/>
                              </w:rPr>
                            </w:pPr>
                            <w:r w:rsidRPr="00E25871">
                              <w:rPr>
                                <w:b/>
                              </w:rPr>
                              <w:t>ACN 614 434 865</w:t>
                            </w:r>
                          </w:p>
                          <w:p w14:paraId="34287AC9" w14:textId="77777777" w:rsidR="00F234D8" w:rsidRPr="00E25871" w:rsidRDefault="00F234D8" w:rsidP="00E25871">
                            <w:pPr>
                              <w:jc w:val="center"/>
                              <w:rPr>
                                <w:b/>
                              </w:rPr>
                            </w:pPr>
                            <w:r>
                              <w:rPr>
                                <w:b/>
                              </w:rPr>
                              <w:t>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B4E270" id="Text Box 12" o:spid="_x0000_s1027" type="#_x0000_t202" style="position:absolute;left:0;text-align:left;margin-left:-12.45pt;margin-top:274.75pt;width:548.2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ERLwIAAFoEAAAOAAAAZHJzL2Uyb0RvYy54bWysVFFv2jAQfp+0/2D5fQQo0BYRKtaKaRJq&#10;K8HUZ+M4JFLi82xDwn79PjtAUbenaS/mfHe58/d9d8we2rpiB2VdSTrlg16fM6UlZaXepfzHZvnl&#10;jjPnhc5ERVql/Kgcf5h//jRrzFQNqaAqU5ahiHbTxqS88N5Mk8TJQtXC9cgojWBOthYeV7tLMisa&#10;VK+rZNjvT5KGbGYsSeUcvE9dkM9j/TxX0r/kuVOeVSnH23w8bTy34UzmMzHdWWGKUp6eIf7hFbUo&#10;NZpeSj0JL9jeln+UqktpyVHue5LqhPK8lCpiAJpB/wOadSGMilhAjjMXmtz/KyufD6+WlRm0G3Km&#10;RQ2NNqr17Cu1DC7w0xg3RdraING38CP37HdwBthtbuvwC0AMcTB9vLAbqkk4J/eT4Wh8y5lE7HYw&#10;urkdhzLJ+9fGOv9NUc2CkXIL9SKp4rByvks9p4RmmpZlVUUFK80adLgZ9+MHlwiKVxo9AoburcHy&#10;7bbtMJ9xbCk7Ap6lbkCckcsSb1gJ51+FxUQAEabcv+DIK0IvOlmcFWR//c0f8iEUopw1mLCUu597&#10;YRVn1XcNCe8Ho1EYyXgBMUNc7HVkex3R+/qRMMQD7JOR0Qz5vjqbuaX6DcuwCF0RElqid8r92Xz0&#10;3dxjmaRaLGIShtAIv9JrI0PpwGpgeNO+CWtOMngI+EznWRTTD2p0uZ0ei72nvIxSBZ47Vk/0Y4Cj&#10;2KdlCxtyfY9Z738J898AAAD//wMAUEsDBBQABgAIAAAAIQC7HcPg4wAAAAwBAAAPAAAAZHJzL2Rv&#10;d25yZXYueG1sTI/BbsIwDIbvk/YOkSftBgkV7aDURagSmjRtBxiX3dwmtBVN0jUBuj39wondbPnT&#10;7+/P1qPu2EUNrrUGYTYVwJSprGxNjXD43E4WwJwnI6mzRiH8KAfr/PEho1Taq9mpy97XLIQYlxJC&#10;432fcu6qRmlyU9srE25HO2jyYR1qLge6hnDd8UiIhGtqTfjQUK+KRlWn/VkjvBXbD9qVkV78dsXr&#10;+3HTfx++YsTnp3GzAubV6O8w3PSDOuTBqbRnIx3rECbRfBlQhHi+jIHdCPEyC1OJkCSRAJ5n/H+J&#10;/A8AAP//AwBQSwECLQAUAAYACAAAACEAtoM4kv4AAADhAQAAEwAAAAAAAAAAAAAAAAAAAAAAW0Nv&#10;bnRlbnRfVHlwZXNdLnhtbFBLAQItABQABgAIAAAAIQA4/SH/1gAAAJQBAAALAAAAAAAAAAAAAAAA&#10;AC8BAABfcmVscy8ucmVsc1BLAQItABQABgAIAAAAIQCp4ZERLwIAAFoEAAAOAAAAAAAAAAAAAAAA&#10;AC4CAABkcnMvZTJvRG9jLnhtbFBLAQItABQABgAIAAAAIQC7HcPg4wAAAAwBAAAPAAAAAAAAAAAA&#10;AAAAAIkEAABkcnMvZG93bnJldi54bWxQSwUGAAAAAAQABADzAAAAmQUAAAAA&#10;" filled="f" stroked="f" strokeweight=".5pt">
                <v:textbox>
                  <w:txbxContent>
                    <w:p w14:paraId="0CFBD509" w14:textId="77777777" w:rsidR="00F234D8" w:rsidRDefault="00F234D8" w:rsidP="00E25871">
                      <w:pPr>
                        <w:jc w:val="center"/>
                        <w:rPr>
                          <w:b/>
                        </w:rPr>
                      </w:pPr>
                      <w:r w:rsidRPr="00E25871">
                        <w:rPr>
                          <w:b/>
                        </w:rPr>
                        <w:t>ACN 614 434 865</w:t>
                      </w:r>
                    </w:p>
                    <w:p w14:paraId="34287AC9" w14:textId="77777777" w:rsidR="00F234D8" w:rsidRPr="00E25871" w:rsidRDefault="00F234D8" w:rsidP="00E25871">
                      <w:pPr>
                        <w:jc w:val="center"/>
                        <w:rPr>
                          <w:b/>
                        </w:rPr>
                      </w:pPr>
                      <w:r>
                        <w:rPr>
                          <w:b/>
                        </w:rPr>
                        <w:t>MAY 2017</w:t>
                      </w:r>
                    </w:p>
                  </w:txbxContent>
                </v:textbox>
              </v:shape>
            </w:pict>
          </mc:Fallback>
        </mc:AlternateContent>
      </w:r>
      <w:r w:rsidR="000366DC">
        <w:rPr>
          <w:noProof/>
          <w:lang w:eastAsia="en-AU"/>
        </w:rPr>
        <mc:AlternateContent>
          <mc:Choice Requires="wps">
            <w:drawing>
              <wp:anchor distT="0" distB="0" distL="114300" distR="114300" simplePos="0" relativeHeight="251666432" behindDoc="0" locked="0" layoutInCell="1" allowOverlap="1" wp14:anchorId="7234464C" wp14:editId="5A79B8DC">
                <wp:simplePos x="0" y="0"/>
                <wp:positionH relativeFrom="column">
                  <wp:posOffset>-212090</wp:posOffset>
                </wp:positionH>
                <wp:positionV relativeFrom="paragraph">
                  <wp:posOffset>4441190</wp:posOffset>
                </wp:positionV>
                <wp:extent cx="6962140" cy="26003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962140" cy="2600325"/>
                        </a:xfrm>
                        <a:prstGeom prst="rect">
                          <a:avLst/>
                        </a:prstGeom>
                        <a:solidFill>
                          <a:schemeClr val="lt1"/>
                        </a:solidFill>
                        <a:ln w="6350">
                          <a:noFill/>
                        </a:ln>
                      </wps:spPr>
                      <wps:txbx>
                        <w:txbxContent>
                          <w:p w14:paraId="32F5B3D1" w14:textId="77777777" w:rsidR="00F234D8" w:rsidRPr="00AF1316" w:rsidRDefault="00F234D8" w:rsidP="00B274D1">
                            <w:pPr>
                              <w:jc w:val="center"/>
                              <w:rPr>
                                <w:color w:val="002060"/>
                                <w:sz w:val="40"/>
                                <w:szCs w:val="40"/>
                              </w:rPr>
                            </w:pPr>
                            <w:r w:rsidRPr="00AF1316">
                              <w:rPr>
                                <w:color w:val="002060"/>
                                <w:sz w:val="40"/>
                                <w:szCs w:val="40"/>
                              </w:rPr>
                              <w:t xml:space="preserve">Multi-Billion Dollar Integrated SDA  </w:t>
                            </w:r>
                          </w:p>
                          <w:p w14:paraId="17001B9D" w14:textId="77777777" w:rsidR="00F234D8" w:rsidRPr="00AF1316" w:rsidRDefault="00F234D8" w:rsidP="00B274D1">
                            <w:pPr>
                              <w:jc w:val="center"/>
                              <w:rPr>
                                <w:color w:val="002060"/>
                                <w:sz w:val="40"/>
                                <w:szCs w:val="40"/>
                              </w:rPr>
                            </w:pPr>
                            <w:proofErr w:type="gramStart"/>
                            <w:r w:rsidRPr="00AF1316">
                              <w:rPr>
                                <w:color w:val="002060"/>
                                <w:sz w:val="40"/>
                                <w:szCs w:val="40"/>
                              </w:rPr>
                              <w:t>and</w:t>
                            </w:r>
                            <w:proofErr w:type="gramEnd"/>
                            <w:r w:rsidRPr="00AF1316">
                              <w:rPr>
                                <w:color w:val="002060"/>
                                <w:sz w:val="40"/>
                                <w:szCs w:val="40"/>
                              </w:rPr>
                              <w:t xml:space="preserve"> Eastern Australian Rail </w:t>
                            </w:r>
                            <w:r>
                              <w:rPr>
                                <w:color w:val="002060"/>
                                <w:sz w:val="40"/>
                                <w:szCs w:val="40"/>
                              </w:rPr>
                              <w:t xml:space="preserve">Freight Proposal  </w:t>
                            </w:r>
                            <w:r w:rsidRPr="00AF1316">
                              <w:rPr>
                                <w:color w:val="002060"/>
                                <w:sz w:val="40"/>
                                <w:szCs w:val="40"/>
                              </w:rPr>
                              <w:t xml:space="preserve"> </w:t>
                            </w:r>
                          </w:p>
                          <w:p w14:paraId="7A3022D5" w14:textId="77777777" w:rsidR="00F234D8" w:rsidRPr="00AF1316" w:rsidRDefault="00F234D8" w:rsidP="00B274D1">
                            <w:pPr>
                              <w:jc w:val="center"/>
                              <w:rPr>
                                <w:color w:val="002060"/>
                                <w:sz w:val="40"/>
                                <w:szCs w:val="40"/>
                              </w:rPr>
                            </w:pPr>
                            <w:r w:rsidRPr="00AF1316">
                              <w:rPr>
                                <w:color w:val="002060"/>
                                <w:sz w:val="40"/>
                                <w:szCs w:val="40"/>
                              </w:rPr>
                              <w:t xml:space="preserve">Positions Gladstone as the Premier Hub </w:t>
                            </w:r>
                            <w:r>
                              <w:rPr>
                                <w:color w:val="002060"/>
                                <w:sz w:val="40"/>
                                <w:szCs w:val="40"/>
                              </w:rPr>
                              <w:t>for</w:t>
                            </w:r>
                          </w:p>
                          <w:p w14:paraId="23B54C8D" w14:textId="77777777" w:rsidR="00F234D8" w:rsidRDefault="00F234D8" w:rsidP="00B274D1">
                            <w:pPr>
                              <w:jc w:val="center"/>
                              <w:rPr>
                                <w:color w:val="002060"/>
                                <w:sz w:val="32"/>
                                <w:szCs w:val="32"/>
                              </w:rPr>
                            </w:pPr>
                            <w:r w:rsidRPr="00AF1316">
                              <w:rPr>
                                <w:color w:val="002060"/>
                                <w:sz w:val="40"/>
                                <w:szCs w:val="40"/>
                              </w:rPr>
                              <w:t>Global Trade Exchange and Economic Integration</w:t>
                            </w:r>
                          </w:p>
                          <w:p w14:paraId="7D468AC5" w14:textId="77777777" w:rsidR="00F234D8" w:rsidRPr="00F51A13" w:rsidRDefault="00F234D8" w:rsidP="00B274D1">
                            <w:pPr>
                              <w:jc w:val="center"/>
                              <w:rPr>
                                <w:i/>
                                <w:color w:val="002060"/>
                                <w:sz w:val="72"/>
                                <w:szCs w:val="72"/>
                              </w:rPr>
                            </w:pPr>
                            <w:r w:rsidRPr="00F51A13">
                              <w:rPr>
                                <w:i/>
                                <w:color w:val="002060"/>
                                <w:sz w:val="72"/>
                                <w:szCs w:val="72"/>
                              </w:rPr>
                              <w:t>‘A Place for Freight’</w:t>
                            </w:r>
                          </w:p>
                          <w:p w14:paraId="1646A7B2" w14:textId="77777777" w:rsidR="00F234D8" w:rsidRDefault="00F234D8" w:rsidP="00B274D1">
                            <w:pPr>
                              <w:jc w:val="center"/>
                              <w:rPr>
                                <w:color w:val="002060"/>
                                <w:sz w:val="32"/>
                                <w:szCs w:val="32"/>
                              </w:rPr>
                            </w:pPr>
                          </w:p>
                          <w:p w14:paraId="2F9C2285" w14:textId="77777777" w:rsidR="00F234D8" w:rsidRDefault="00F234D8" w:rsidP="00B274D1">
                            <w:pPr>
                              <w:jc w:val="center"/>
                              <w:rPr>
                                <w:color w:val="002060"/>
                                <w:sz w:val="32"/>
                                <w:szCs w:val="32"/>
                              </w:rPr>
                            </w:pPr>
                          </w:p>
                          <w:p w14:paraId="13E50D67" w14:textId="77777777" w:rsidR="00F234D8" w:rsidRPr="004C0E81" w:rsidRDefault="00F234D8" w:rsidP="00B274D1">
                            <w:pPr>
                              <w:jc w:val="center"/>
                              <w:rPr>
                                <w:color w:val="002060"/>
                                <w:sz w:val="32"/>
                                <w:szCs w:val="32"/>
                              </w:rPr>
                            </w:pPr>
                            <w:r w:rsidRPr="004C0E81">
                              <w:rPr>
                                <w:color w:val="002060"/>
                                <w:sz w:val="32"/>
                                <w:szCs w:val="32"/>
                              </w:rPr>
                              <w:t xml:space="preserve">  </w:t>
                            </w:r>
                          </w:p>
                          <w:p w14:paraId="553FEE06" w14:textId="77777777" w:rsidR="00F234D8" w:rsidRPr="00B274D1" w:rsidRDefault="00F234D8" w:rsidP="00B274D1">
                            <w:pPr>
                              <w:jc w:val="center"/>
                              <w:rPr>
                                <w:sz w:val="36"/>
                                <w:szCs w:val="36"/>
                              </w:rPr>
                            </w:pPr>
                            <w:r>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34464C" id="Text Box 7" o:spid="_x0000_s1028" type="#_x0000_t202" style="position:absolute;left:0;text-align:left;margin-left:-16.7pt;margin-top:349.7pt;width:548.2pt;height:20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QKRAIAAIEEAAAOAAAAZHJzL2Uyb0RvYy54bWysVE2P2jAQvVfqf7B8LwlZProRYUVZUVVC&#10;uytBtWfj2CSS43FtQ0J/fccOsHTbU9WLGc9Mnmfem2H20DWKHIV1NeiCDgcpJUJzKGu9L+j37erT&#10;Z0qcZ7pkCrQo6Ek4+jD/+GHWmlxkUIEqhSUIol3emoJW3ps8SRyvRMPcAIzQGJRgG+bxavdJaVmL&#10;6I1KsjSdJC3Y0ljgwjn0PvZBOo/4Ugrun6V0whNVUKzNx9PGcxfOZD5j+d4yU9X8XAb7hyoaVmt8&#10;9Ar1yDwjB1v/AdXU3IID6QccmgSkrLmIPWA3w/RdN5uKGRF7QXKcudLk/h8sfzq+WFKXBZ1SolmD&#10;Em1F58kX6Mg0sNMal2PSxmCa79CNKl/8Dp2h6U7aJvxiOwTjyPPpym0A4+ic3E+y4QhDHGPZJE3v&#10;snHASd4+N9b5rwIaEoyCWhQvcsqOa+f71EtKeM2BqstVrVS8hIERS2XJkaHUysciEfy3LKVJi6Xc&#10;jdMIrCF83iMrjbWEZvumguW7XRepyS4N76A8IQ8W+jlyhq9qrHXNnH9hFgcH+8Nl8M94SAX4Fpwt&#10;SiqwP//mD/moJ0YpaXEQC+p+HJgVlKhvGpW+H44CbT5eRuNphhd7G9ndRvShWQISMMS1MzyaId+r&#10;iyktNK+4M4vwKoaY5vh2Qf3FXPp+PXDnuFgsYhLOqmF+rTeGB+hAeFBi270ya85yeVT6CS4jy/J3&#10;qvW54UsNi4MHWUdJA889q2f6cc7jUJx3MizS7T1mvf1zzH8BAAD//wMAUEsDBBQABgAIAAAAIQD4&#10;xfHc4wAAAA0BAAAPAAAAZHJzL2Rvd25yZXYueG1sTI/NTsMwEITvSLyDtUhcUGsXQ2hCnAohoBI3&#10;Gn7EzY2XJCK2o9hNwtuzPcFtRvtpdibfzLZjIw6h9U7BaimAoau8aV2t4LV8XKyBhaid0Z13qOAH&#10;A2yK05NcZ8ZP7gXHXawZhbiQaQVNjH3GeagatDosfY+Obl9+sDqSHWpuBj1RuO34pRAJt7p19KHR&#10;Pd43WH3vDlbB50X98Rzmp7dJXsv+YTuWN++mVOr8bL67BRZxjn8wHOtTdSio094fnAmsU7CQ8opQ&#10;BUmakjgSIpE0b09qJdYp8CLn/1cUvwAAAP//AwBQSwECLQAUAAYACAAAACEAtoM4kv4AAADhAQAA&#10;EwAAAAAAAAAAAAAAAAAAAAAAW0NvbnRlbnRfVHlwZXNdLnhtbFBLAQItABQABgAIAAAAIQA4/SH/&#10;1gAAAJQBAAALAAAAAAAAAAAAAAAAAC8BAABfcmVscy8ucmVsc1BLAQItABQABgAIAAAAIQAprZQK&#10;RAIAAIEEAAAOAAAAAAAAAAAAAAAAAC4CAABkcnMvZTJvRG9jLnhtbFBLAQItABQABgAIAAAAIQD4&#10;xfHc4wAAAA0BAAAPAAAAAAAAAAAAAAAAAJ4EAABkcnMvZG93bnJldi54bWxQSwUGAAAAAAQABADz&#10;AAAArgUAAAAA&#10;" fillcolor="white [3201]" stroked="f" strokeweight=".5pt">
                <v:textbox>
                  <w:txbxContent>
                    <w:p w14:paraId="32F5B3D1" w14:textId="77777777" w:rsidR="00F234D8" w:rsidRPr="00AF1316" w:rsidRDefault="00F234D8" w:rsidP="00B274D1">
                      <w:pPr>
                        <w:jc w:val="center"/>
                        <w:rPr>
                          <w:color w:val="002060"/>
                          <w:sz w:val="40"/>
                          <w:szCs w:val="40"/>
                        </w:rPr>
                      </w:pPr>
                      <w:r w:rsidRPr="00AF1316">
                        <w:rPr>
                          <w:color w:val="002060"/>
                          <w:sz w:val="40"/>
                          <w:szCs w:val="40"/>
                        </w:rPr>
                        <w:t xml:space="preserve">Multi-Billion Dollar Integrated SDA  </w:t>
                      </w:r>
                    </w:p>
                    <w:p w14:paraId="17001B9D" w14:textId="77777777" w:rsidR="00F234D8" w:rsidRPr="00AF1316" w:rsidRDefault="00F234D8" w:rsidP="00B274D1">
                      <w:pPr>
                        <w:jc w:val="center"/>
                        <w:rPr>
                          <w:color w:val="002060"/>
                          <w:sz w:val="40"/>
                          <w:szCs w:val="40"/>
                        </w:rPr>
                      </w:pPr>
                      <w:r w:rsidRPr="00AF1316">
                        <w:rPr>
                          <w:color w:val="002060"/>
                          <w:sz w:val="40"/>
                          <w:szCs w:val="40"/>
                        </w:rPr>
                        <w:t xml:space="preserve">and Eastern Australian Rail </w:t>
                      </w:r>
                      <w:r>
                        <w:rPr>
                          <w:color w:val="002060"/>
                          <w:sz w:val="40"/>
                          <w:szCs w:val="40"/>
                        </w:rPr>
                        <w:t xml:space="preserve">Freight Proposal  </w:t>
                      </w:r>
                      <w:r w:rsidRPr="00AF1316">
                        <w:rPr>
                          <w:color w:val="002060"/>
                          <w:sz w:val="40"/>
                          <w:szCs w:val="40"/>
                        </w:rPr>
                        <w:t xml:space="preserve"> </w:t>
                      </w:r>
                    </w:p>
                    <w:p w14:paraId="7A3022D5" w14:textId="77777777" w:rsidR="00F234D8" w:rsidRPr="00AF1316" w:rsidRDefault="00F234D8" w:rsidP="00B274D1">
                      <w:pPr>
                        <w:jc w:val="center"/>
                        <w:rPr>
                          <w:color w:val="002060"/>
                          <w:sz w:val="40"/>
                          <w:szCs w:val="40"/>
                        </w:rPr>
                      </w:pPr>
                      <w:r w:rsidRPr="00AF1316">
                        <w:rPr>
                          <w:color w:val="002060"/>
                          <w:sz w:val="40"/>
                          <w:szCs w:val="40"/>
                        </w:rPr>
                        <w:t xml:space="preserve">Positions Gladstone as the Premier Hub </w:t>
                      </w:r>
                      <w:r>
                        <w:rPr>
                          <w:color w:val="002060"/>
                          <w:sz w:val="40"/>
                          <w:szCs w:val="40"/>
                        </w:rPr>
                        <w:t>for</w:t>
                      </w:r>
                    </w:p>
                    <w:p w14:paraId="23B54C8D" w14:textId="77777777" w:rsidR="00F234D8" w:rsidRDefault="00F234D8" w:rsidP="00B274D1">
                      <w:pPr>
                        <w:jc w:val="center"/>
                        <w:rPr>
                          <w:color w:val="002060"/>
                          <w:sz w:val="32"/>
                          <w:szCs w:val="32"/>
                        </w:rPr>
                      </w:pPr>
                      <w:r w:rsidRPr="00AF1316">
                        <w:rPr>
                          <w:color w:val="002060"/>
                          <w:sz w:val="40"/>
                          <w:szCs w:val="40"/>
                        </w:rPr>
                        <w:t>Global Trade Exchange and Economic Integration</w:t>
                      </w:r>
                    </w:p>
                    <w:p w14:paraId="7D468AC5" w14:textId="77777777" w:rsidR="00F234D8" w:rsidRPr="00F51A13" w:rsidRDefault="00F234D8" w:rsidP="00B274D1">
                      <w:pPr>
                        <w:jc w:val="center"/>
                        <w:rPr>
                          <w:i/>
                          <w:color w:val="002060"/>
                          <w:sz w:val="72"/>
                          <w:szCs w:val="72"/>
                        </w:rPr>
                      </w:pPr>
                      <w:r w:rsidRPr="00F51A13">
                        <w:rPr>
                          <w:i/>
                          <w:color w:val="002060"/>
                          <w:sz w:val="72"/>
                          <w:szCs w:val="72"/>
                        </w:rPr>
                        <w:t>‘A Place for Freight’</w:t>
                      </w:r>
                    </w:p>
                    <w:p w14:paraId="1646A7B2" w14:textId="77777777" w:rsidR="00F234D8" w:rsidRDefault="00F234D8" w:rsidP="00B274D1">
                      <w:pPr>
                        <w:jc w:val="center"/>
                        <w:rPr>
                          <w:color w:val="002060"/>
                          <w:sz w:val="32"/>
                          <w:szCs w:val="32"/>
                        </w:rPr>
                      </w:pPr>
                    </w:p>
                    <w:p w14:paraId="2F9C2285" w14:textId="77777777" w:rsidR="00F234D8" w:rsidRDefault="00F234D8" w:rsidP="00B274D1">
                      <w:pPr>
                        <w:jc w:val="center"/>
                        <w:rPr>
                          <w:color w:val="002060"/>
                          <w:sz w:val="32"/>
                          <w:szCs w:val="32"/>
                        </w:rPr>
                      </w:pPr>
                    </w:p>
                    <w:p w14:paraId="13E50D67" w14:textId="77777777" w:rsidR="00F234D8" w:rsidRPr="004C0E81" w:rsidRDefault="00F234D8" w:rsidP="00B274D1">
                      <w:pPr>
                        <w:jc w:val="center"/>
                        <w:rPr>
                          <w:color w:val="002060"/>
                          <w:sz w:val="32"/>
                          <w:szCs w:val="32"/>
                        </w:rPr>
                      </w:pPr>
                      <w:r w:rsidRPr="004C0E81">
                        <w:rPr>
                          <w:color w:val="002060"/>
                          <w:sz w:val="32"/>
                          <w:szCs w:val="32"/>
                        </w:rPr>
                        <w:t xml:space="preserve">  </w:t>
                      </w:r>
                    </w:p>
                    <w:p w14:paraId="553FEE06" w14:textId="77777777" w:rsidR="00F234D8" w:rsidRPr="00B274D1" w:rsidRDefault="00F234D8" w:rsidP="00B274D1">
                      <w:pPr>
                        <w:jc w:val="center"/>
                        <w:rPr>
                          <w:sz w:val="36"/>
                          <w:szCs w:val="36"/>
                        </w:rPr>
                      </w:pPr>
                      <w:r>
                        <w:rPr>
                          <w:sz w:val="36"/>
                          <w:szCs w:val="36"/>
                        </w:rPr>
                        <w:t xml:space="preserve"> </w:t>
                      </w:r>
                    </w:p>
                  </w:txbxContent>
                </v:textbox>
              </v:shape>
            </w:pict>
          </mc:Fallback>
        </mc:AlternateContent>
      </w:r>
      <w:r w:rsidR="00F076BE">
        <w:br w:type="page"/>
      </w:r>
      <w:r w:rsidR="004C0E81">
        <w:lastRenderedPageBreak/>
        <w:t xml:space="preserve"> </w:t>
      </w:r>
    </w:p>
    <w:p w14:paraId="697C7144" w14:textId="77777777" w:rsidR="00E06D03" w:rsidRDefault="000A6E43" w:rsidP="00DB230C">
      <w:pPr>
        <w:jc w:val="center"/>
        <w:rPr>
          <w:b/>
        </w:rPr>
      </w:pPr>
      <w:r>
        <w:rPr>
          <w:b/>
        </w:rPr>
        <w:t xml:space="preserve">Table of </w:t>
      </w:r>
      <w:r w:rsidR="00F076BE" w:rsidRPr="00F076BE">
        <w:rPr>
          <w:b/>
        </w:rPr>
        <w:t>Contents</w:t>
      </w:r>
    </w:p>
    <w:p w14:paraId="66122687" w14:textId="77777777" w:rsidR="00E06D03" w:rsidRDefault="00E06D03" w:rsidP="00560157">
      <w:pPr>
        <w:spacing w:before="120" w:after="120" w:line="360" w:lineRule="auto"/>
        <w:rPr>
          <w:b/>
        </w:rPr>
      </w:pPr>
    </w:p>
    <w:p w14:paraId="615CE74D" w14:textId="77777777" w:rsidR="00E06D03" w:rsidRPr="00560157" w:rsidRDefault="00E06D03" w:rsidP="00560157">
      <w:pPr>
        <w:spacing w:before="120" w:after="120" w:line="360" w:lineRule="auto"/>
        <w:ind w:left="567"/>
      </w:pPr>
      <w:r w:rsidRPr="00560157">
        <w:t xml:space="preserve">Strategic Imperative </w:t>
      </w:r>
      <w:r w:rsidRPr="00560157">
        <w:tab/>
      </w:r>
      <w:r w:rsidRPr="00560157">
        <w:tab/>
      </w:r>
      <w:r w:rsidRPr="00560157">
        <w:tab/>
      </w:r>
      <w:r w:rsidRPr="00560157">
        <w:tab/>
      </w:r>
      <w:r w:rsidR="00560157">
        <w:tab/>
      </w:r>
      <w:r w:rsidR="00560157">
        <w:tab/>
      </w:r>
      <w:r w:rsidR="00560157">
        <w:tab/>
      </w:r>
      <w:r w:rsidR="00560157">
        <w:tab/>
      </w:r>
      <w:r w:rsidR="00560157">
        <w:tab/>
      </w:r>
      <w:r w:rsidRPr="00560157">
        <w:t>2</w:t>
      </w:r>
    </w:p>
    <w:p w14:paraId="44226225" w14:textId="77777777" w:rsidR="00E06D03" w:rsidRPr="00560157" w:rsidRDefault="00E06D03" w:rsidP="00560157">
      <w:pPr>
        <w:spacing w:before="120" w:after="120" w:line="360" w:lineRule="auto"/>
        <w:ind w:left="567"/>
        <w:jc w:val="both"/>
      </w:pPr>
      <w:r w:rsidRPr="00560157">
        <w:rPr>
          <w:rFonts w:eastAsiaTheme="minorEastAsia" w:cstheme="minorHAnsi"/>
          <w:kern w:val="24"/>
        </w:rPr>
        <w:t xml:space="preserve">The importance of freight logistics infrastructure cannot be underestimated </w:t>
      </w:r>
      <w:r w:rsidRPr="00560157">
        <w:tab/>
      </w:r>
      <w:r w:rsidRPr="00560157">
        <w:tab/>
        <w:t>2</w:t>
      </w:r>
    </w:p>
    <w:p w14:paraId="761BF1DE" w14:textId="77777777" w:rsidR="00E06D03" w:rsidRPr="00560157" w:rsidRDefault="00E06D03" w:rsidP="00560157">
      <w:pPr>
        <w:spacing w:before="120" w:after="120" w:line="360" w:lineRule="auto"/>
        <w:ind w:left="567"/>
        <w:rPr>
          <w:rFonts w:cstheme="minorHAnsi"/>
        </w:rPr>
      </w:pPr>
      <w:r w:rsidRPr="00560157">
        <w:rPr>
          <w:rFonts w:cstheme="minorHAnsi"/>
        </w:rPr>
        <w:t>Infrastructure Reports Reinforce Concerns</w:t>
      </w:r>
      <w:r w:rsidRPr="00560157">
        <w:rPr>
          <w:rFonts w:cstheme="minorHAnsi"/>
        </w:rPr>
        <w:tab/>
      </w:r>
      <w:r w:rsidRPr="00560157">
        <w:rPr>
          <w:rFonts w:cstheme="minorHAnsi"/>
        </w:rPr>
        <w:tab/>
      </w:r>
      <w:r w:rsidRPr="00560157">
        <w:rPr>
          <w:rFonts w:cstheme="minorHAnsi"/>
        </w:rPr>
        <w:tab/>
      </w:r>
      <w:r w:rsidRPr="00560157">
        <w:rPr>
          <w:rFonts w:cstheme="minorHAnsi"/>
        </w:rPr>
        <w:tab/>
      </w:r>
      <w:r w:rsidRPr="00560157">
        <w:rPr>
          <w:rFonts w:cstheme="minorHAnsi"/>
        </w:rPr>
        <w:tab/>
      </w:r>
      <w:r w:rsidR="00560157">
        <w:rPr>
          <w:rFonts w:cstheme="minorHAnsi"/>
        </w:rPr>
        <w:tab/>
      </w:r>
      <w:r w:rsidRPr="00560157">
        <w:rPr>
          <w:rFonts w:cstheme="minorHAnsi"/>
        </w:rPr>
        <w:t>2</w:t>
      </w:r>
    </w:p>
    <w:p w14:paraId="291AB5FB" w14:textId="77777777" w:rsidR="00E06D03" w:rsidRPr="00560157" w:rsidRDefault="00E06D03" w:rsidP="00560157">
      <w:pPr>
        <w:pStyle w:val="ListParagraph"/>
        <w:spacing w:before="120" w:after="120" w:line="360" w:lineRule="auto"/>
        <w:ind w:left="567"/>
        <w:rPr>
          <w:rFonts w:cstheme="minorHAnsi"/>
        </w:rPr>
      </w:pPr>
      <w:r w:rsidRPr="00560157">
        <w:rPr>
          <w:rFonts w:cstheme="minorHAnsi"/>
        </w:rPr>
        <w:t xml:space="preserve">BITRE Forecasts: Containerised Trade Growth </w:t>
      </w:r>
      <w:r w:rsidRPr="00560157">
        <w:rPr>
          <w:rFonts w:cstheme="minorHAnsi"/>
        </w:rPr>
        <w:tab/>
      </w:r>
      <w:r w:rsidRPr="00560157">
        <w:rPr>
          <w:rFonts w:cstheme="minorHAnsi"/>
        </w:rPr>
        <w:tab/>
      </w:r>
      <w:r w:rsidRPr="00560157">
        <w:rPr>
          <w:rFonts w:cstheme="minorHAnsi"/>
        </w:rPr>
        <w:tab/>
      </w:r>
      <w:r w:rsidRPr="00560157">
        <w:rPr>
          <w:rFonts w:cstheme="minorHAnsi"/>
        </w:rPr>
        <w:tab/>
      </w:r>
      <w:r w:rsidRPr="00560157">
        <w:rPr>
          <w:rFonts w:cstheme="minorHAnsi"/>
        </w:rPr>
        <w:tab/>
      </w:r>
      <w:r w:rsidRPr="00560157">
        <w:rPr>
          <w:rFonts w:cstheme="minorHAnsi"/>
        </w:rPr>
        <w:tab/>
        <w:t>3</w:t>
      </w:r>
    </w:p>
    <w:p w14:paraId="00C41A0E" w14:textId="77777777" w:rsidR="00E06D03" w:rsidRPr="00560157" w:rsidRDefault="00E06D03" w:rsidP="00560157">
      <w:pPr>
        <w:pStyle w:val="ListParagraph"/>
        <w:spacing w:before="120" w:after="120" w:line="360" w:lineRule="auto"/>
        <w:ind w:left="567"/>
        <w:jc w:val="both"/>
        <w:rPr>
          <w:rFonts w:cs="Arial"/>
          <w:lang w:val="en"/>
        </w:rPr>
      </w:pPr>
      <w:r w:rsidRPr="00560157">
        <w:rPr>
          <w:rFonts w:cs="Arial"/>
          <w:lang w:val="en"/>
        </w:rPr>
        <w:t>Sydney: Logistics challenge</w:t>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t>3</w:t>
      </w:r>
    </w:p>
    <w:p w14:paraId="7E284394" w14:textId="77777777" w:rsidR="00E06D03" w:rsidRPr="00560157" w:rsidRDefault="00E06D03" w:rsidP="00560157">
      <w:pPr>
        <w:pStyle w:val="ListParagraph"/>
        <w:spacing w:before="120" w:after="120" w:line="360" w:lineRule="auto"/>
        <w:ind w:left="567"/>
        <w:jc w:val="both"/>
        <w:rPr>
          <w:rFonts w:cs="Arial"/>
          <w:lang w:val="en"/>
        </w:rPr>
      </w:pPr>
      <w:r w:rsidRPr="00560157">
        <w:rPr>
          <w:rFonts w:cs="Arial"/>
          <w:lang w:val="en"/>
        </w:rPr>
        <w:t>Independent Traffic Modelling Report</w:t>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t>3</w:t>
      </w:r>
    </w:p>
    <w:p w14:paraId="69B58352" w14:textId="77777777" w:rsidR="00E06D03" w:rsidRPr="00560157" w:rsidRDefault="00E06D03" w:rsidP="00560157">
      <w:pPr>
        <w:pStyle w:val="ListParagraph"/>
        <w:spacing w:before="120" w:after="120" w:line="360" w:lineRule="auto"/>
        <w:ind w:left="567"/>
        <w:rPr>
          <w:rFonts w:cs="Arial"/>
          <w:lang w:val="en"/>
        </w:rPr>
      </w:pPr>
      <w:r w:rsidRPr="00560157">
        <w:rPr>
          <w:rFonts w:cs="Arial"/>
          <w:lang w:val="en"/>
        </w:rPr>
        <w:t>Forecast Capital City Congestion Costs</w:t>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t>3</w:t>
      </w:r>
    </w:p>
    <w:p w14:paraId="737BBE39" w14:textId="77777777" w:rsidR="00E06D03" w:rsidRPr="00560157" w:rsidRDefault="00E06D03" w:rsidP="00560157">
      <w:pPr>
        <w:pStyle w:val="ListParagraph"/>
        <w:spacing w:before="120" w:after="120" w:line="360" w:lineRule="auto"/>
        <w:ind w:left="567"/>
        <w:rPr>
          <w:rFonts w:cs="Arial"/>
          <w:lang w:val="en"/>
        </w:rPr>
      </w:pPr>
      <w:r w:rsidRPr="00560157">
        <w:rPr>
          <w:rFonts w:cs="Arial"/>
          <w:lang w:val="en"/>
        </w:rPr>
        <w:t>Submission on Draft National Ports Strategy</w:t>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r>
      <w:r w:rsidRPr="00560157">
        <w:rPr>
          <w:rFonts w:cs="Arial"/>
          <w:lang w:val="en"/>
        </w:rPr>
        <w:tab/>
        <w:t>3</w:t>
      </w:r>
    </w:p>
    <w:p w14:paraId="6D3D7DF3" w14:textId="77777777" w:rsidR="00560157" w:rsidRPr="00560157" w:rsidRDefault="00560157" w:rsidP="00560157">
      <w:pPr>
        <w:spacing w:before="120" w:after="120" w:line="360" w:lineRule="auto"/>
        <w:ind w:left="567"/>
      </w:pPr>
      <w:r w:rsidRPr="00560157">
        <w:t>I-PG MULTI-BILLION DOLLAR SDA PROJECT AND</w:t>
      </w:r>
      <w:r w:rsidRPr="00560157">
        <w:tab/>
      </w:r>
      <w:r w:rsidRPr="00560157">
        <w:tab/>
      </w:r>
      <w:r w:rsidRPr="00560157">
        <w:tab/>
      </w:r>
      <w:r>
        <w:tab/>
      </w:r>
      <w:r>
        <w:tab/>
      </w:r>
      <w:r>
        <w:tab/>
      </w:r>
      <w:r w:rsidRPr="00560157">
        <w:t>4</w:t>
      </w:r>
    </w:p>
    <w:p w14:paraId="6B15CD2F" w14:textId="77777777" w:rsidR="00560157" w:rsidRPr="00560157" w:rsidRDefault="00560157" w:rsidP="00560157">
      <w:pPr>
        <w:spacing w:before="120" w:after="120" w:line="360" w:lineRule="auto"/>
        <w:ind w:left="567"/>
        <w:rPr>
          <w:rFonts w:cstheme="minorHAnsi"/>
        </w:rPr>
      </w:pPr>
      <w:r w:rsidRPr="00560157">
        <w:rPr>
          <w:rFonts w:cstheme="minorHAnsi"/>
        </w:rPr>
        <w:t>Gladstone -Toowoomba Railway Project Development</w:t>
      </w:r>
      <w:r w:rsidRPr="00560157">
        <w:rPr>
          <w:rFonts w:cstheme="minorHAnsi"/>
        </w:rPr>
        <w:tab/>
      </w:r>
      <w:r w:rsidRPr="00560157">
        <w:rPr>
          <w:rFonts w:cstheme="minorHAnsi"/>
        </w:rPr>
        <w:tab/>
      </w:r>
      <w:r>
        <w:rPr>
          <w:rFonts w:cstheme="minorHAnsi"/>
        </w:rPr>
        <w:tab/>
      </w:r>
      <w:r>
        <w:rPr>
          <w:rFonts w:cstheme="minorHAnsi"/>
        </w:rPr>
        <w:tab/>
      </w:r>
      <w:r>
        <w:rPr>
          <w:rFonts w:cstheme="minorHAnsi"/>
        </w:rPr>
        <w:tab/>
      </w:r>
      <w:r w:rsidRPr="00560157">
        <w:rPr>
          <w:rFonts w:cstheme="minorHAnsi"/>
        </w:rPr>
        <w:t>5</w:t>
      </w:r>
    </w:p>
    <w:p w14:paraId="3E6D724B" w14:textId="0BFBCAC0" w:rsidR="00560157" w:rsidRPr="00560157" w:rsidRDefault="00560157" w:rsidP="00560157">
      <w:pPr>
        <w:spacing w:before="120" w:after="120" w:line="360" w:lineRule="auto"/>
        <w:ind w:left="567"/>
        <w:jc w:val="both"/>
        <w:rPr>
          <w:rFonts w:ascii="Times New Roman" w:eastAsia="Times New Roman" w:hAnsi="Times New Roman" w:cs="Times New Roman"/>
          <w:lang w:val="en-US"/>
        </w:rPr>
      </w:pPr>
      <w:r w:rsidRPr="00560157">
        <w:rPr>
          <w:rFonts w:eastAsiaTheme="minorEastAsia" w:hAnsi="Calibri"/>
          <w:bCs/>
          <w:kern w:val="24"/>
          <w:lang w:val="en-US"/>
        </w:rPr>
        <w:t xml:space="preserve">Global Benefits for Australian Import/Export </w:t>
      </w:r>
      <w:r w:rsidR="002B26A9" w:rsidRPr="00560157">
        <w:rPr>
          <w:rFonts w:eastAsiaTheme="minorEastAsia" w:hAnsi="Calibri"/>
          <w:bCs/>
          <w:kern w:val="24"/>
          <w:lang w:val="en-US"/>
        </w:rPr>
        <w:t>Organizations</w:t>
      </w:r>
      <w:r w:rsidRPr="00560157">
        <w:rPr>
          <w:rFonts w:eastAsiaTheme="minorEastAsia" w:hAnsi="Calibri"/>
          <w:bCs/>
          <w:kern w:val="24"/>
          <w:lang w:val="en-US"/>
        </w:rPr>
        <w:t xml:space="preserve"> </w:t>
      </w:r>
      <w:r w:rsidRPr="00560157">
        <w:rPr>
          <w:rFonts w:eastAsiaTheme="minorEastAsia" w:hAnsi="Calibri"/>
          <w:bCs/>
          <w:kern w:val="24"/>
          <w:lang w:val="en-US"/>
        </w:rPr>
        <w:tab/>
      </w:r>
      <w:r w:rsidRPr="00560157">
        <w:rPr>
          <w:rFonts w:eastAsiaTheme="minorEastAsia" w:hAnsi="Calibri"/>
          <w:bCs/>
          <w:kern w:val="24"/>
          <w:lang w:val="en-US"/>
        </w:rPr>
        <w:tab/>
      </w:r>
      <w:r w:rsidRPr="00560157">
        <w:rPr>
          <w:rFonts w:eastAsiaTheme="minorEastAsia" w:hAnsi="Calibri"/>
          <w:bCs/>
          <w:kern w:val="24"/>
          <w:lang w:val="en-US"/>
        </w:rPr>
        <w:tab/>
      </w:r>
      <w:r>
        <w:rPr>
          <w:rFonts w:eastAsiaTheme="minorEastAsia" w:hAnsi="Calibri"/>
          <w:bCs/>
          <w:kern w:val="24"/>
          <w:lang w:val="en-US"/>
        </w:rPr>
        <w:tab/>
      </w:r>
      <w:r w:rsidRPr="00560157">
        <w:rPr>
          <w:rFonts w:eastAsiaTheme="minorEastAsia" w:hAnsi="Calibri"/>
          <w:bCs/>
          <w:kern w:val="24"/>
          <w:lang w:val="en-US"/>
        </w:rPr>
        <w:t>6</w:t>
      </w:r>
    </w:p>
    <w:p w14:paraId="07C68895" w14:textId="77777777" w:rsidR="00E06D03" w:rsidRPr="00560157" w:rsidRDefault="00560157" w:rsidP="00560157">
      <w:pPr>
        <w:pStyle w:val="ListParagraph"/>
        <w:spacing w:before="120" w:after="120" w:line="360" w:lineRule="auto"/>
        <w:ind w:left="567"/>
        <w:rPr>
          <w:rFonts w:eastAsiaTheme="minorEastAsia" w:hAnsi="Calibri"/>
          <w:kern w:val="24"/>
        </w:rPr>
      </w:pPr>
      <w:r w:rsidRPr="00560157">
        <w:rPr>
          <w:rFonts w:eastAsiaTheme="minorEastAsia" w:hAnsi="Calibri"/>
          <w:kern w:val="24"/>
        </w:rPr>
        <w:t>Realistic economic strengths and enduring benefits</w:t>
      </w:r>
      <w:r w:rsidRPr="00560157">
        <w:rPr>
          <w:rFonts w:eastAsiaTheme="minorEastAsia" w:hAnsi="Calibri"/>
          <w:kern w:val="24"/>
        </w:rPr>
        <w:tab/>
      </w:r>
      <w:r w:rsidRPr="00560157">
        <w:rPr>
          <w:rFonts w:eastAsiaTheme="minorEastAsia" w:hAnsi="Calibri"/>
          <w:kern w:val="24"/>
        </w:rPr>
        <w:tab/>
      </w:r>
      <w:r w:rsidRPr="00560157">
        <w:rPr>
          <w:rFonts w:eastAsiaTheme="minorEastAsia" w:hAnsi="Calibri"/>
          <w:kern w:val="24"/>
        </w:rPr>
        <w:tab/>
      </w:r>
      <w:r w:rsidRPr="00560157">
        <w:rPr>
          <w:rFonts w:eastAsiaTheme="minorEastAsia" w:hAnsi="Calibri"/>
          <w:kern w:val="24"/>
        </w:rPr>
        <w:tab/>
      </w:r>
      <w:r>
        <w:rPr>
          <w:rFonts w:eastAsiaTheme="minorEastAsia" w:hAnsi="Calibri"/>
          <w:kern w:val="24"/>
        </w:rPr>
        <w:tab/>
      </w:r>
      <w:r w:rsidRPr="00560157">
        <w:rPr>
          <w:rFonts w:eastAsiaTheme="minorEastAsia" w:hAnsi="Calibri"/>
          <w:kern w:val="24"/>
        </w:rPr>
        <w:t>6</w:t>
      </w:r>
    </w:p>
    <w:p w14:paraId="66726DBB" w14:textId="77777777" w:rsidR="00560157" w:rsidRPr="00560157" w:rsidRDefault="00560157" w:rsidP="00560157">
      <w:pPr>
        <w:spacing w:before="120" w:after="120" w:line="360" w:lineRule="auto"/>
        <w:ind w:left="567"/>
        <w:jc w:val="both"/>
      </w:pPr>
      <w:r w:rsidRPr="00560157">
        <w:t>In summary</w:t>
      </w:r>
      <w:r>
        <w:t>:</w:t>
      </w:r>
      <w:r w:rsidRPr="00560157">
        <w:tab/>
      </w:r>
      <w:r w:rsidRPr="00560157">
        <w:tab/>
      </w:r>
      <w:r w:rsidRPr="00560157">
        <w:tab/>
      </w:r>
      <w:r w:rsidRPr="00560157">
        <w:tab/>
      </w:r>
      <w:r w:rsidRPr="00560157">
        <w:tab/>
      </w:r>
      <w:r w:rsidRPr="00560157">
        <w:tab/>
      </w:r>
      <w:r w:rsidRPr="00560157">
        <w:tab/>
      </w:r>
      <w:r w:rsidRPr="00560157">
        <w:tab/>
      </w:r>
      <w:r w:rsidRPr="00560157">
        <w:tab/>
      </w:r>
      <w:r>
        <w:tab/>
      </w:r>
      <w:r w:rsidRPr="00560157">
        <w:t>7</w:t>
      </w:r>
    </w:p>
    <w:p w14:paraId="4EE88237" w14:textId="77777777" w:rsidR="00560157" w:rsidRPr="00560157" w:rsidRDefault="00560157" w:rsidP="00560157">
      <w:pPr>
        <w:spacing w:before="120" w:after="120" w:line="360" w:lineRule="auto"/>
        <w:ind w:left="567"/>
        <w:jc w:val="both"/>
        <w:rPr>
          <w:rFonts w:cstheme="minorHAnsi"/>
        </w:rPr>
      </w:pPr>
      <w:r w:rsidRPr="00560157">
        <w:rPr>
          <w:rFonts w:cstheme="minorHAnsi"/>
        </w:rPr>
        <w:t xml:space="preserve">     Salient features </w:t>
      </w:r>
      <w:r w:rsidR="006408B9">
        <w:rPr>
          <w:rFonts w:cstheme="minorHAnsi"/>
        </w:rPr>
        <w:t xml:space="preserve">                                                        </w:t>
      </w:r>
      <w:r w:rsidRPr="00560157">
        <w:rPr>
          <w:rFonts w:cstheme="minorHAnsi"/>
        </w:rPr>
        <w:t xml:space="preserve"> </w:t>
      </w:r>
      <w:r w:rsidRPr="00560157">
        <w:rPr>
          <w:rFonts w:cstheme="minorHAnsi"/>
        </w:rPr>
        <w:tab/>
      </w:r>
      <w:r w:rsidRPr="00560157">
        <w:rPr>
          <w:rFonts w:cstheme="minorHAnsi"/>
        </w:rPr>
        <w:tab/>
      </w:r>
      <w:r w:rsidRPr="00560157">
        <w:rPr>
          <w:rFonts w:cstheme="minorHAnsi"/>
        </w:rPr>
        <w:tab/>
      </w:r>
      <w:r w:rsidRPr="00560157">
        <w:rPr>
          <w:rFonts w:cstheme="minorHAnsi"/>
        </w:rPr>
        <w:tab/>
      </w:r>
      <w:r>
        <w:rPr>
          <w:rFonts w:cstheme="minorHAnsi"/>
        </w:rPr>
        <w:tab/>
      </w:r>
      <w:r w:rsidRPr="00560157">
        <w:rPr>
          <w:rFonts w:cstheme="minorHAnsi"/>
        </w:rPr>
        <w:t>7</w:t>
      </w:r>
    </w:p>
    <w:p w14:paraId="48D8454E" w14:textId="77777777" w:rsidR="00560157" w:rsidRPr="00560157" w:rsidRDefault="00560157" w:rsidP="00560157">
      <w:pPr>
        <w:spacing w:before="120" w:after="120" w:line="360" w:lineRule="auto"/>
        <w:ind w:left="567"/>
        <w:jc w:val="both"/>
        <w:rPr>
          <w:rFonts w:cstheme="minorHAnsi"/>
        </w:rPr>
      </w:pPr>
      <w:r w:rsidRPr="00560157">
        <w:rPr>
          <w:rFonts w:cstheme="minorHAnsi"/>
        </w:rPr>
        <w:t xml:space="preserve">     The I-PG strategy is structured to address the following operational objectives</w:t>
      </w:r>
      <w:r>
        <w:rPr>
          <w:rFonts w:cstheme="minorHAnsi"/>
        </w:rPr>
        <w:t xml:space="preserve"> </w:t>
      </w:r>
      <w:r>
        <w:rPr>
          <w:rFonts w:cstheme="minorHAnsi"/>
        </w:rPr>
        <w:tab/>
      </w:r>
      <w:r w:rsidRPr="00560157">
        <w:rPr>
          <w:rFonts w:cstheme="minorHAnsi"/>
        </w:rPr>
        <w:tab/>
        <w:t>7</w:t>
      </w:r>
    </w:p>
    <w:p w14:paraId="2BE7AC8F" w14:textId="77777777" w:rsidR="00560157" w:rsidRPr="00560157" w:rsidRDefault="00560157" w:rsidP="00560157">
      <w:pPr>
        <w:spacing w:before="120" w:after="120" w:line="360" w:lineRule="auto"/>
        <w:ind w:left="567"/>
        <w:jc w:val="both"/>
        <w:rPr>
          <w:rFonts w:cstheme="minorHAnsi"/>
        </w:rPr>
      </w:pPr>
      <w:r w:rsidRPr="00560157">
        <w:rPr>
          <w:rFonts w:cstheme="minorHAnsi"/>
        </w:rPr>
        <w:t xml:space="preserve">     The economic significance of the I-PG project can be summarised as follows</w:t>
      </w:r>
      <w:r w:rsidRPr="00560157">
        <w:rPr>
          <w:rFonts w:cstheme="minorHAnsi"/>
        </w:rPr>
        <w:tab/>
      </w:r>
      <w:r w:rsidRPr="00560157">
        <w:rPr>
          <w:rFonts w:cstheme="minorHAnsi"/>
        </w:rPr>
        <w:tab/>
        <w:t>7</w:t>
      </w:r>
    </w:p>
    <w:p w14:paraId="71D3C103" w14:textId="77777777" w:rsidR="00560157" w:rsidRPr="00560157" w:rsidRDefault="00560157" w:rsidP="00560157">
      <w:pPr>
        <w:spacing w:before="120" w:after="120" w:line="360" w:lineRule="auto"/>
        <w:ind w:left="567"/>
        <w:jc w:val="both"/>
        <w:rPr>
          <w:rFonts w:cstheme="minorHAnsi"/>
        </w:rPr>
      </w:pPr>
      <w:r w:rsidRPr="00560157">
        <w:rPr>
          <w:rFonts w:cstheme="minorHAnsi"/>
        </w:rPr>
        <w:t xml:space="preserve">     The economic significance of the I-PG project can be summarised as follows</w:t>
      </w:r>
      <w:r w:rsidRPr="00560157">
        <w:rPr>
          <w:rFonts w:cstheme="minorHAnsi"/>
        </w:rPr>
        <w:tab/>
      </w:r>
      <w:r w:rsidRPr="00560157">
        <w:rPr>
          <w:rFonts w:cstheme="minorHAnsi"/>
        </w:rPr>
        <w:tab/>
        <w:t>7</w:t>
      </w:r>
    </w:p>
    <w:p w14:paraId="63A092D6" w14:textId="77777777" w:rsidR="00560157" w:rsidRPr="00560157" w:rsidRDefault="00560157" w:rsidP="00560157">
      <w:pPr>
        <w:spacing w:before="120" w:after="120" w:line="360" w:lineRule="auto"/>
        <w:ind w:left="567"/>
        <w:jc w:val="both"/>
        <w:rPr>
          <w:rFonts w:cstheme="minorHAnsi"/>
        </w:rPr>
      </w:pPr>
    </w:p>
    <w:p w14:paraId="222E1A99" w14:textId="77777777" w:rsidR="00560157" w:rsidRPr="00560157" w:rsidRDefault="00560157" w:rsidP="00560157">
      <w:pPr>
        <w:pStyle w:val="ListParagraph"/>
        <w:spacing w:before="120" w:after="120" w:line="360" w:lineRule="auto"/>
        <w:ind w:left="567"/>
        <w:rPr>
          <w:rFonts w:cs="Arial"/>
          <w:lang w:val="en"/>
        </w:rPr>
      </w:pPr>
    </w:p>
    <w:p w14:paraId="5DBF26EA" w14:textId="77777777" w:rsidR="00E06D03" w:rsidRDefault="00E06D03" w:rsidP="00560157">
      <w:pPr>
        <w:pStyle w:val="ListParagraph"/>
        <w:spacing w:before="120" w:after="120" w:line="360" w:lineRule="auto"/>
        <w:ind w:left="567"/>
        <w:jc w:val="both"/>
        <w:rPr>
          <w:rFonts w:cs="Arial"/>
          <w:b/>
          <w:color w:val="292929"/>
          <w:lang w:val="en"/>
        </w:rPr>
      </w:pPr>
    </w:p>
    <w:p w14:paraId="0944B5DA" w14:textId="77777777" w:rsidR="00E06D03" w:rsidRPr="00E06D03" w:rsidRDefault="00E06D03" w:rsidP="00E06D03">
      <w:pPr>
        <w:pStyle w:val="ListParagraph"/>
        <w:ind w:left="567"/>
        <w:jc w:val="both"/>
        <w:rPr>
          <w:rFonts w:cs="Arial"/>
          <w:b/>
          <w:color w:val="292929"/>
          <w:lang w:val="en"/>
        </w:rPr>
      </w:pPr>
    </w:p>
    <w:p w14:paraId="2C0133AE" w14:textId="77777777" w:rsidR="00E06D03" w:rsidRDefault="00E06D03">
      <w:pPr>
        <w:rPr>
          <w:b/>
        </w:rPr>
      </w:pPr>
    </w:p>
    <w:p w14:paraId="452858A0" w14:textId="77777777" w:rsidR="008672FA" w:rsidRPr="00F076BE" w:rsidRDefault="008672FA">
      <w:pPr>
        <w:rPr>
          <w:b/>
        </w:rPr>
      </w:pPr>
      <w:r w:rsidRPr="00F076BE">
        <w:rPr>
          <w:b/>
        </w:rPr>
        <w:br w:type="page"/>
      </w:r>
    </w:p>
    <w:p w14:paraId="37DCD7BB" w14:textId="77777777" w:rsidR="008672FA" w:rsidRPr="008672FA" w:rsidRDefault="008E2CE1" w:rsidP="009C770A">
      <w:pPr>
        <w:ind w:left="567"/>
        <w:rPr>
          <w:b/>
        </w:rPr>
      </w:pPr>
      <w:bookmarkStart w:id="2" w:name="OLE_LINK1"/>
      <w:r>
        <w:rPr>
          <w:b/>
        </w:rPr>
        <w:t>Strategic Imperative</w:t>
      </w:r>
      <w:r w:rsidR="008672FA" w:rsidRPr="008672FA">
        <w:rPr>
          <w:b/>
        </w:rPr>
        <w:t xml:space="preserve"> </w:t>
      </w:r>
    </w:p>
    <w:bookmarkEnd w:id="2"/>
    <w:p w14:paraId="2E4CE019" w14:textId="77777777" w:rsidR="007D7DC0" w:rsidRPr="00DE0BF4" w:rsidRDefault="008672FA" w:rsidP="009C770A">
      <w:pPr>
        <w:spacing w:line="240" w:lineRule="auto"/>
        <w:ind w:left="567"/>
        <w:jc w:val="both"/>
        <w:rPr>
          <w:rFonts w:eastAsiaTheme="minorEastAsia" w:cstheme="minorHAnsi"/>
          <w:kern w:val="24"/>
        </w:rPr>
      </w:pPr>
      <w:r w:rsidRPr="00DE0BF4">
        <w:rPr>
          <w:rFonts w:eastAsiaTheme="minorEastAsia" w:cstheme="minorHAnsi"/>
          <w:kern w:val="24"/>
        </w:rPr>
        <w:t xml:space="preserve">With Australia’s freight task projected to double by 2030 and triple by 2050, there is a clear impetus </w:t>
      </w:r>
      <w:r w:rsidR="001C3B64" w:rsidRPr="00DE0BF4">
        <w:rPr>
          <w:rFonts w:eastAsiaTheme="minorEastAsia" w:cstheme="minorHAnsi"/>
          <w:kern w:val="24"/>
        </w:rPr>
        <w:t xml:space="preserve">to lift </w:t>
      </w:r>
      <w:r w:rsidR="007D7DC0" w:rsidRPr="00DE0BF4">
        <w:rPr>
          <w:rFonts w:eastAsiaTheme="minorEastAsia" w:cstheme="minorHAnsi"/>
          <w:kern w:val="24"/>
        </w:rPr>
        <w:t xml:space="preserve">the level of efficiency and </w:t>
      </w:r>
      <w:r w:rsidRPr="00DE0BF4">
        <w:rPr>
          <w:rFonts w:eastAsiaTheme="minorEastAsia" w:cstheme="minorHAnsi"/>
          <w:kern w:val="24"/>
        </w:rPr>
        <w:t xml:space="preserve">coordination between the port gate and </w:t>
      </w:r>
      <w:r w:rsidR="007D7DC0" w:rsidRPr="00DE0BF4">
        <w:rPr>
          <w:rFonts w:eastAsiaTheme="minorEastAsia" w:cstheme="minorHAnsi"/>
          <w:kern w:val="24"/>
        </w:rPr>
        <w:t xml:space="preserve">end users. </w:t>
      </w:r>
    </w:p>
    <w:p w14:paraId="563DFDA4" w14:textId="77777777" w:rsidR="003E7649" w:rsidRPr="00DE0BF4" w:rsidRDefault="001A35F8" w:rsidP="009C770A">
      <w:pPr>
        <w:spacing w:line="240" w:lineRule="auto"/>
        <w:ind w:left="567"/>
        <w:jc w:val="both"/>
        <w:rPr>
          <w:rFonts w:eastAsiaTheme="minorEastAsia" w:cstheme="minorHAnsi"/>
          <w:kern w:val="24"/>
        </w:rPr>
      </w:pPr>
      <w:r>
        <w:rPr>
          <w:rFonts w:eastAsiaTheme="minorEastAsia" w:cstheme="minorHAnsi"/>
          <w:kern w:val="24"/>
        </w:rPr>
        <w:t>F</w:t>
      </w:r>
      <w:r w:rsidR="007D7DC0" w:rsidRPr="00DE0BF4">
        <w:rPr>
          <w:rFonts w:eastAsiaTheme="minorEastAsia" w:cstheme="minorHAnsi"/>
          <w:kern w:val="24"/>
        </w:rPr>
        <w:t xml:space="preserve">or land-side freight operations to keep pace with </w:t>
      </w:r>
      <w:r>
        <w:rPr>
          <w:rFonts w:eastAsiaTheme="minorEastAsia" w:cstheme="minorHAnsi"/>
          <w:kern w:val="24"/>
        </w:rPr>
        <w:t xml:space="preserve">forecast </w:t>
      </w:r>
      <w:r w:rsidR="007D7DC0" w:rsidRPr="00DE0BF4">
        <w:rPr>
          <w:rFonts w:eastAsiaTheme="minorEastAsia" w:cstheme="minorHAnsi"/>
          <w:kern w:val="24"/>
        </w:rPr>
        <w:t>trade growth</w:t>
      </w:r>
      <w:r>
        <w:rPr>
          <w:rFonts w:eastAsiaTheme="minorEastAsia" w:cstheme="minorHAnsi"/>
          <w:kern w:val="24"/>
        </w:rPr>
        <w:t xml:space="preserve">, </w:t>
      </w:r>
      <w:r w:rsidR="007D7DC0" w:rsidRPr="00DE0BF4">
        <w:rPr>
          <w:rFonts w:eastAsiaTheme="minorEastAsia" w:cstheme="minorHAnsi"/>
          <w:kern w:val="24"/>
        </w:rPr>
        <w:t xml:space="preserve">it is essential that port-hinterland connectivity becomes a fundamental part of </w:t>
      </w:r>
      <w:r w:rsidR="001751AF">
        <w:rPr>
          <w:rFonts w:eastAsiaTheme="minorEastAsia" w:cstheme="minorHAnsi"/>
          <w:kern w:val="24"/>
        </w:rPr>
        <w:t xml:space="preserve">the </w:t>
      </w:r>
      <w:r>
        <w:rPr>
          <w:rFonts w:eastAsiaTheme="minorEastAsia" w:cstheme="minorHAnsi"/>
          <w:kern w:val="24"/>
        </w:rPr>
        <w:t>port</w:t>
      </w:r>
      <w:r w:rsidR="001751AF">
        <w:rPr>
          <w:rFonts w:eastAsiaTheme="minorEastAsia" w:cstheme="minorHAnsi"/>
          <w:kern w:val="24"/>
        </w:rPr>
        <w:t>s ove</w:t>
      </w:r>
      <w:r w:rsidR="00E678BE">
        <w:rPr>
          <w:rFonts w:eastAsiaTheme="minorEastAsia" w:cstheme="minorHAnsi"/>
          <w:kern w:val="24"/>
        </w:rPr>
        <w:t>rall</w:t>
      </w:r>
      <w:r>
        <w:rPr>
          <w:rFonts w:eastAsiaTheme="minorEastAsia" w:cstheme="minorHAnsi"/>
          <w:kern w:val="24"/>
        </w:rPr>
        <w:t xml:space="preserve"> </w:t>
      </w:r>
      <w:r w:rsidR="007D7DC0" w:rsidRPr="00DE0BF4">
        <w:rPr>
          <w:rFonts w:eastAsiaTheme="minorEastAsia" w:cstheme="minorHAnsi"/>
          <w:kern w:val="24"/>
        </w:rPr>
        <w:t>strategy</w:t>
      </w:r>
      <w:r w:rsidR="003E7649" w:rsidRPr="00DE0BF4">
        <w:rPr>
          <w:rFonts w:eastAsiaTheme="minorEastAsia" w:cstheme="minorHAnsi"/>
          <w:kern w:val="24"/>
        </w:rPr>
        <w:t xml:space="preserve"> and </w:t>
      </w:r>
      <w:r w:rsidR="007D7DC0" w:rsidRPr="00DE0BF4">
        <w:rPr>
          <w:rFonts w:eastAsiaTheme="minorEastAsia" w:cstheme="minorHAnsi"/>
          <w:kern w:val="24"/>
        </w:rPr>
        <w:t>management process</w:t>
      </w:r>
      <w:r w:rsidR="003E7649" w:rsidRPr="00DE0BF4">
        <w:rPr>
          <w:rFonts w:eastAsiaTheme="minorEastAsia" w:cstheme="minorHAnsi"/>
          <w:kern w:val="24"/>
        </w:rPr>
        <w:t>.</w:t>
      </w:r>
      <w:r>
        <w:rPr>
          <w:rFonts w:eastAsiaTheme="minorEastAsia" w:cstheme="minorHAnsi"/>
          <w:kern w:val="24"/>
        </w:rPr>
        <w:t xml:space="preserve"> </w:t>
      </w:r>
      <w:r w:rsidR="007D7DC0" w:rsidRPr="00DE0BF4">
        <w:rPr>
          <w:rFonts w:eastAsiaTheme="minorEastAsia" w:cstheme="minorHAnsi"/>
          <w:kern w:val="24"/>
        </w:rPr>
        <w:t xml:space="preserve">In this context, </w:t>
      </w:r>
      <w:r w:rsidR="003E7649" w:rsidRPr="00DE0BF4">
        <w:rPr>
          <w:rFonts w:eastAsiaTheme="minorEastAsia" w:cstheme="minorHAnsi"/>
          <w:kern w:val="24"/>
        </w:rPr>
        <w:t xml:space="preserve">the port is part of the overall logistics operation where logistics and multimodal transport corridor issues are considered in parallel.  </w:t>
      </w:r>
    </w:p>
    <w:p w14:paraId="23385F43" w14:textId="77777777" w:rsidR="008672FA" w:rsidRPr="00DE0BF4" w:rsidRDefault="008672FA" w:rsidP="009C770A">
      <w:pPr>
        <w:spacing w:line="240" w:lineRule="auto"/>
        <w:ind w:left="567"/>
        <w:jc w:val="both"/>
        <w:rPr>
          <w:rFonts w:cstheme="minorHAnsi"/>
        </w:rPr>
      </w:pPr>
      <w:r w:rsidRPr="00DE0BF4">
        <w:rPr>
          <w:rFonts w:cstheme="minorHAnsi"/>
        </w:rPr>
        <w:t xml:space="preserve">With Australia’s population growth now forecast to reach 30 million by 2031, </w:t>
      </w:r>
      <w:r w:rsidR="00E678BE">
        <w:rPr>
          <w:rFonts w:cstheme="minorHAnsi"/>
        </w:rPr>
        <w:t xml:space="preserve">in conjunction with </w:t>
      </w:r>
      <w:r w:rsidR="00497D1F" w:rsidRPr="00DE0BF4">
        <w:rPr>
          <w:rFonts w:cstheme="minorHAnsi"/>
        </w:rPr>
        <w:t xml:space="preserve">the </w:t>
      </w:r>
      <w:r w:rsidR="00E678BE">
        <w:rPr>
          <w:rFonts w:cstheme="minorHAnsi"/>
        </w:rPr>
        <w:t xml:space="preserve">forecast doubling of the national freight task </w:t>
      </w:r>
      <w:r w:rsidR="00497D1F" w:rsidRPr="00DE0BF4">
        <w:rPr>
          <w:rFonts w:cstheme="minorHAnsi"/>
        </w:rPr>
        <w:t xml:space="preserve">by 2025, </w:t>
      </w:r>
      <w:r w:rsidRPr="00DE0BF4">
        <w:rPr>
          <w:rFonts w:cstheme="minorHAnsi"/>
        </w:rPr>
        <w:t>pressure is on all Australian Governments to deliver large and complex infrastructure projects in an environment of fiscal constraint</w:t>
      </w:r>
      <w:r w:rsidR="0049037A">
        <w:rPr>
          <w:rFonts w:cstheme="minorHAnsi"/>
        </w:rPr>
        <w:t>,</w:t>
      </w:r>
      <w:r w:rsidRPr="00DE0BF4">
        <w:rPr>
          <w:rFonts w:cstheme="minorHAnsi"/>
        </w:rPr>
        <w:t xml:space="preserve"> where spending of public money faces intense scrutiny from a value-for-money perspective. </w:t>
      </w:r>
    </w:p>
    <w:p w14:paraId="44AB4948" w14:textId="77777777" w:rsidR="008672FA" w:rsidRPr="00DE0BF4" w:rsidRDefault="008672FA" w:rsidP="009C770A">
      <w:pPr>
        <w:spacing w:after="0" w:line="240" w:lineRule="auto"/>
        <w:ind w:left="567"/>
        <w:jc w:val="both"/>
        <w:rPr>
          <w:rFonts w:eastAsiaTheme="minorEastAsia" w:cstheme="minorHAnsi"/>
          <w:kern w:val="24"/>
        </w:rPr>
      </w:pPr>
      <w:r w:rsidRPr="00DE0BF4">
        <w:rPr>
          <w:rFonts w:eastAsiaTheme="minorEastAsia" w:cstheme="minorHAnsi"/>
          <w:kern w:val="24"/>
        </w:rPr>
        <w:t>Population growth, traffic congestion in conjunction with the magnitude of the freight task overlapping with inter-competing land-uses have collectively conspired to reduce the operational capacity and efficienc</w:t>
      </w:r>
      <w:r w:rsidR="0049037A">
        <w:rPr>
          <w:rFonts w:eastAsiaTheme="minorEastAsia" w:cstheme="minorHAnsi"/>
          <w:kern w:val="24"/>
        </w:rPr>
        <w:t xml:space="preserve">y of eastern Australia’s major </w:t>
      </w:r>
      <w:r w:rsidRPr="00DE0BF4">
        <w:rPr>
          <w:rFonts w:eastAsiaTheme="minorEastAsia" w:cstheme="minorHAnsi"/>
          <w:kern w:val="24"/>
        </w:rPr>
        <w:t xml:space="preserve">seaports. Additionally, at a national level, the lack of standardization in national rail gauges have resulted in fragmented operations due to the inability to rapidly and efficiently move rolling stock between networks, resulting in higher operating costs due to suboptimal utilisation and minimal investment in other interrelated infrastructure.     </w:t>
      </w:r>
    </w:p>
    <w:p w14:paraId="7A2734FB" w14:textId="77777777" w:rsidR="008672FA" w:rsidRPr="00DE0BF4" w:rsidRDefault="008672FA" w:rsidP="009C770A">
      <w:pPr>
        <w:spacing w:after="0" w:line="240" w:lineRule="auto"/>
        <w:ind w:left="567"/>
        <w:jc w:val="both"/>
        <w:rPr>
          <w:rFonts w:eastAsiaTheme="minorEastAsia" w:cstheme="minorHAnsi"/>
          <w:kern w:val="24"/>
        </w:rPr>
      </w:pPr>
      <w:r w:rsidRPr="00DE0BF4">
        <w:rPr>
          <w:rFonts w:eastAsiaTheme="minorEastAsia" w:cstheme="minorHAnsi"/>
          <w:kern w:val="24"/>
        </w:rPr>
        <w:t xml:space="preserve">  </w:t>
      </w:r>
    </w:p>
    <w:p w14:paraId="4D287B9E" w14:textId="77777777" w:rsidR="008672FA" w:rsidRPr="00DE0BF4" w:rsidRDefault="008672FA" w:rsidP="009C770A">
      <w:pPr>
        <w:spacing w:after="0" w:line="240" w:lineRule="auto"/>
        <w:ind w:left="567"/>
        <w:jc w:val="both"/>
        <w:rPr>
          <w:rFonts w:eastAsiaTheme="minorEastAsia" w:cstheme="minorHAnsi"/>
          <w:b/>
          <w:kern w:val="24"/>
        </w:rPr>
      </w:pPr>
      <w:bookmarkStart w:id="3" w:name="OLE_LINK2"/>
      <w:r w:rsidRPr="00DE0BF4">
        <w:rPr>
          <w:rFonts w:eastAsiaTheme="minorEastAsia" w:cstheme="minorHAnsi"/>
          <w:b/>
          <w:kern w:val="24"/>
        </w:rPr>
        <w:t xml:space="preserve">The importance of freight logistics infrastructure cannot be underestimated </w:t>
      </w:r>
    </w:p>
    <w:p w14:paraId="251B2EBF" w14:textId="77777777" w:rsidR="00902037" w:rsidRDefault="00902037" w:rsidP="009C770A">
      <w:pPr>
        <w:spacing w:after="0" w:line="240" w:lineRule="auto"/>
        <w:ind w:left="567"/>
        <w:jc w:val="both"/>
        <w:rPr>
          <w:rFonts w:cstheme="minorHAnsi"/>
          <w:lang w:val="en"/>
        </w:rPr>
      </w:pPr>
    </w:p>
    <w:bookmarkEnd w:id="3"/>
    <w:p w14:paraId="1EDD20C4" w14:textId="77777777" w:rsidR="008672FA" w:rsidRPr="00DE0BF4" w:rsidRDefault="008672FA" w:rsidP="009C770A">
      <w:pPr>
        <w:spacing w:after="0" w:line="240" w:lineRule="auto"/>
        <w:ind w:left="567"/>
        <w:jc w:val="both"/>
        <w:rPr>
          <w:rFonts w:cstheme="minorHAnsi"/>
          <w:lang w:val="en"/>
        </w:rPr>
      </w:pPr>
      <w:r w:rsidRPr="00DE0BF4">
        <w:rPr>
          <w:rFonts w:cstheme="minorHAnsi"/>
          <w:lang w:val="en"/>
        </w:rPr>
        <w:t>With some ninety percent of the world’s merchandise and commodity trade transported by ships, ports are vital to the health and wellbeing of the global economy. While this percentage has remained relatively constant throughout the 20th century, the past two decades have seen volumes increase rapidly with all forecasts pointing towards continuing growth.</w:t>
      </w:r>
    </w:p>
    <w:p w14:paraId="243ECEB4" w14:textId="77777777" w:rsidR="008672FA" w:rsidRPr="00DE0BF4" w:rsidRDefault="008672FA" w:rsidP="009C770A">
      <w:pPr>
        <w:spacing w:after="0" w:line="240" w:lineRule="auto"/>
        <w:ind w:left="567"/>
        <w:jc w:val="both"/>
        <w:rPr>
          <w:rFonts w:cstheme="minorHAnsi"/>
          <w:lang w:val="en"/>
        </w:rPr>
      </w:pPr>
    </w:p>
    <w:p w14:paraId="188C9E85" w14:textId="77777777" w:rsidR="008672FA" w:rsidRPr="00DE0BF4" w:rsidRDefault="008672FA" w:rsidP="009C770A">
      <w:pPr>
        <w:spacing w:after="225" w:line="240" w:lineRule="auto"/>
        <w:ind w:left="567"/>
        <w:jc w:val="both"/>
        <w:rPr>
          <w:rFonts w:eastAsia="Times New Roman" w:cstheme="minorHAnsi"/>
          <w:lang w:val="en"/>
        </w:rPr>
      </w:pPr>
      <w:r w:rsidRPr="00DE0BF4">
        <w:rPr>
          <w:rFonts w:eastAsia="Times New Roman" w:cstheme="minorHAnsi"/>
          <w:lang w:val="en"/>
        </w:rPr>
        <w:t xml:space="preserve">One of the most </w:t>
      </w:r>
      <w:r w:rsidR="00902037">
        <w:rPr>
          <w:rFonts w:eastAsia="Times New Roman" w:cstheme="minorHAnsi"/>
          <w:lang w:val="en"/>
        </w:rPr>
        <w:t xml:space="preserve">pressing </w:t>
      </w:r>
      <w:r w:rsidRPr="00DE0BF4">
        <w:rPr>
          <w:rFonts w:eastAsia="Times New Roman" w:cstheme="minorHAnsi"/>
          <w:lang w:val="en"/>
        </w:rPr>
        <w:t xml:space="preserve">issues facing Australia is how to deal with a substantial increase in port </w:t>
      </w:r>
      <w:r w:rsidR="00902037">
        <w:rPr>
          <w:rFonts w:eastAsia="Times New Roman" w:cstheme="minorHAnsi"/>
          <w:lang w:val="en"/>
        </w:rPr>
        <w:t xml:space="preserve">trade </w:t>
      </w:r>
      <w:r w:rsidRPr="00DE0BF4">
        <w:rPr>
          <w:rFonts w:eastAsia="Times New Roman" w:cstheme="minorHAnsi"/>
          <w:lang w:val="en"/>
        </w:rPr>
        <w:t xml:space="preserve">activities, not just today but well into the future. This brings to the forefront - how do we successfully handle trade growth whilst at the same time retain a competitive edge in light of high terms of trade and tightness in </w:t>
      </w:r>
      <w:proofErr w:type="spellStart"/>
      <w:r w:rsidRPr="00DE0BF4">
        <w:rPr>
          <w:rFonts w:eastAsia="Times New Roman" w:cstheme="minorHAnsi"/>
          <w:lang w:val="en"/>
        </w:rPr>
        <w:t>labour</w:t>
      </w:r>
      <w:proofErr w:type="spellEnd"/>
      <w:r w:rsidRPr="00DE0BF4">
        <w:rPr>
          <w:rFonts w:eastAsia="Times New Roman" w:cstheme="minorHAnsi"/>
          <w:lang w:val="en"/>
        </w:rPr>
        <w:t xml:space="preserve"> markets as well as infrastructure and regulatory constraints.</w:t>
      </w:r>
    </w:p>
    <w:p w14:paraId="65AA0099" w14:textId="77777777" w:rsidR="008672FA" w:rsidRPr="00DE0BF4" w:rsidRDefault="008672FA" w:rsidP="009C770A">
      <w:pPr>
        <w:spacing w:after="225" w:line="240" w:lineRule="auto"/>
        <w:ind w:left="567"/>
        <w:jc w:val="both"/>
        <w:rPr>
          <w:rFonts w:eastAsia="Times New Roman" w:cstheme="minorHAnsi"/>
          <w:lang w:val="en"/>
        </w:rPr>
      </w:pPr>
      <w:r w:rsidRPr="00DE0BF4">
        <w:rPr>
          <w:rFonts w:eastAsia="Times New Roman" w:cstheme="minorHAnsi"/>
          <w:lang w:val="en"/>
        </w:rPr>
        <w:t xml:space="preserve">With seven to nine percent growth in container volumes and similar numbers for commodities exports over the next decade, this level of growth is challenging, particularly in terms of increased pressure on our current ports and </w:t>
      </w:r>
      <w:r w:rsidR="00EE6DF3">
        <w:rPr>
          <w:rFonts w:eastAsia="Times New Roman" w:cstheme="minorHAnsi"/>
          <w:lang w:val="en"/>
        </w:rPr>
        <w:t xml:space="preserve">inadequate </w:t>
      </w:r>
      <w:r w:rsidRPr="00DE0BF4">
        <w:rPr>
          <w:rFonts w:eastAsia="Times New Roman" w:cstheme="minorHAnsi"/>
          <w:lang w:val="en"/>
        </w:rPr>
        <w:t>supply chain infrastructure.</w:t>
      </w:r>
    </w:p>
    <w:p w14:paraId="45E5D4D5" w14:textId="77777777" w:rsidR="00CE5EBE" w:rsidRPr="002623D5" w:rsidRDefault="002623D5" w:rsidP="009C770A">
      <w:pPr>
        <w:spacing w:line="240" w:lineRule="auto"/>
        <w:ind w:left="567"/>
        <w:jc w:val="both"/>
        <w:rPr>
          <w:rFonts w:cstheme="minorHAnsi"/>
          <w:b/>
        </w:rPr>
      </w:pPr>
      <w:bookmarkStart w:id="4" w:name="OLE_LINK3"/>
      <w:bookmarkStart w:id="5" w:name="OLE_LINK4"/>
      <w:r w:rsidRPr="002623D5">
        <w:rPr>
          <w:rFonts w:cstheme="minorHAnsi"/>
          <w:b/>
        </w:rPr>
        <w:t>Infrastructure r</w:t>
      </w:r>
      <w:r w:rsidR="00CE5EBE" w:rsidRPr="002623D5">
        <w:rPr>
          <w:rFonts w:cstheme="minorHAnsi"/>
          <w:b/>
        </w:rPr>
        <w:t>eports</w:t>
      </w:r>
      <w:r w:rsidRPr="002623D5">
        <w:rPr>
          <w:rFonts w:cstheme="minorHAnsi"/>
          <w:b/>
        </w:rPr>
        <w:t xml:space="preserve"> reinforce c</w:t>
      </w:r>
      <w:r w:rsidR="002E2866" w:rsidRPr="002623D5">
        <w:rPr>
          <w:rFonts w:cstheme="minorHAnsi"/>
          <w:b/>
        </w:rPr>
        <w:t>oncerns</w:t>
      </w:r>
      <w:bookmarkEnd w:id="4"/>
      <w:bookmarkEnd w:id="5"/>
      <w:r w:rsidR="00CE5EBE" w:rsidRPr="002623D5">
        <w:rPr>
          <w:rFonts w:cstheme="minorHAnsi"/>
          <w:b/>
        </w:rPr>
        <w:t xml:space="preserve">. </w:t>
      </w:r>
    </w:p>
    <w:p w14:paraId="1D22D4C2" w14:textId="77777777" w:rsidR="00CE5EBE" w:rsidRPr="00504F1B" w:rsidRDefault="00CE5EBE" w:rsidP="009C770A">
      <w:pPr>
        <w:ind w:left="567"/>
        <w:jc w:val="both"/>
        <w:rPr>
          <w:rFonts w:cstheme="minorHAnsi"/>
          <w:szCs w:val="20"/>
        </w:rPr>
      </w:pPr>
      <w:r w:rsidRPr="00504F1B">
        <w:rPr>
          <w:rFonts w:cstheme="minorHAnsi"/>
          <w:szCs w:val="20"/>
        </w:rPr>
        <w:t>Reports issued from the Bureau of Infrastructure, Transport and Regional Economics (BITRE), Infrastructure Australia (IA) and Engineers Australia reveal an infrastructure deficit of more than AUD$470 billion.</w:t>
      </w:r>
      <w:r>
        <w:rPr>
          <w:rFonts w:cstheme="minorHAnsi"/>
          <w:szCs w:val="20"/>
        </w:rPr>
        <w:t xml:space="preserve"> (2015)</w:t>
      </w:r>
      <w:r w:rsidRPr="00504F1B">
        <w:rPr>
          <w:rFonts w:cstheme="minorHAnsi"/>
          <w:szCs w:val="20"/>
        </w:rPr>
        <w:t xml:space="preserve"> Left unchecked, transport and freight logistics infrastructure will continue to constrain economic growth.   </w:t>
      </w:r>
    </w:p>
    <w:p w14:paraId="5C48E719" w14:textId="77777777" w:rsidR="00CE5EBE" w:rsidRPr="00504F1B" w:rsidRDefault="00CE5EBE" w:rsidP="009C770A">
      <w:pPr>
        <w:ind w:left="567"/>
        <w:jc w:val="both"/>
        <w:rPr>
          <w:rFonts w:cstheme="minorHAnsi"/>
          <w:szCs w:val="20"/>
        </w:rPr>
      </w:pPr>
      <w:r w:rsidRPr="00504F1B">
        <w:rPr>
          <w:rFonts w:cstheme="minorHAnsi"/>
          <w:szCs w:val="20"/>
        </w:rPr>
        <w:t>The major reported issues were:</w:t>
      </w:r>
    </w:p>
    <w:p w14:paraId="73D69500" w14:textId="77777777" w:rsidR="00CE5EBE" w:rsidRPr="00504F1B" w:rsidRDefault="00CE5EBE" w:rsidP="008B7BE0">
      <w:pPr>
        <w:pStyle w:val="ListParagraph"/>
        <w:numPr>
          <w:ilvl w:val="0"/>
          <w:numId w:val="1"/>
        </w:numPr>
        <w:ind w:left="1134" w:firstLine="0"/>
        <w:jc w:val="both"/>
        <w:rPr>
          <w:rFonts w:cstheme="minorHAnsi"/>
          <w:szCs w:val="20"/>
        </w:rPr>
      </w:pPr>
      <w:r w:rsidRPr="00504F1B">
        <w:rPr>
          <w:rFonts w:cstheme="minorHAnsi"/>
          <w:szCs w:val="20"/>
        </w:rPr>
        <w:t>Inadequate land-side efficiency at Port Botany and Port of Melbourne;</w:t>
      </w:r>
    </w:p>
    <w:p w14:paraId="0A1F28EC" w14:textId="77777777" w:rsidR="00DB230C" w:rsidRDefault="00CE5EBE" w:rsidP="00DB230C">
      <w:pPr>
        <w:pStyle w:val="ListParagraph"/>
        <w:numPr>
          <w:ilvl w:val="0"/>
          <w:numId w:val="1"/>
        </w:numPr>
        <w:ind w:left="1418" w:hanging="284"/>
        <w:jc w:val="both"/>
        <w:rPr>
          <w:rFonts w:cstheme="minorHAnsi"/>
          <w:szCs w:val="20"/>
        </w:rPr>
      </w:pPr>
      <w:r w:rsidRPr="00504F1B">
        <w:rPr>
          <w:rFonts w:cstheme="minorHAnsi"/>
          <w:szCs w:val="20"/>
        </w:rPr>
        <w:t>Population growth and land-use competition restricting land-side expansion</w:t>
      </w:r>
      <w:r>
        <w:rPr>
          <w:rFonts w:cstheme="minorHAnsi"/>
          <w:szCs w:val="20"/>
        </w:rPr>
        <w:t xml:space="preserve"> in Melbourne and </w:t>
      </w:r>
      <w:r w:rsidR="00DB230C">
        <w:rPr>
          <w:rFonts w:cstheme="minorHAnsi"/>
          <w:szCs w:val="20"/>
        </w:rPr>
        <w:t>Sydney;</w:t>
      </w:r>
      <w:r w:rsidR="008B7BE0">
        <w:rPr>
          <w:rFonts w:cstheme="minorHAnsi"/>
          <w:szCs w:val="20"/>
        </w:rPr>
        <w:t xml:space="preserve"> </w:t>
      </w:r>
    </w:p>
    <w:p w14:paraId="6871AC64" w14:textId="77777777" w:rsidR="0065671C" w:rsidRDefault="00EE6DF3" w:rsidP="008B7BE0">
      <w:pPr>
        <w:pStyle w:val="ListParagraph"/>
        <w:numPr>
          <w:ilvl w:val="0"/>
          <w:numId w:val="1"/>
        </w:numPr>
        <w:ind w:left="1134" w:firstLine="0"/>
        <w:jc w:val="both"/>
        <w:rPr>
          <w:rFonts w:cstheme="minorHAnsi"/>
          <w:szCs w:val="20"/>
        </w:rPr>
      </w:pPr>
      <w:r>
        <w:rPr>
          <w:rFonts w:cstheme="minorHAnsi"/>
          <w:szCs w:val="20"/>
        </w:rPr>
        <w:t xml:space="preserve">Absence </w:t>
      </w:r>
      <w:r w:rsidR="0065671C">
        <w:rPr>
          <w:rFonts w:cstheme="minorHAnsi"/>
          <w:szCs w:val="20"/>
        </w:rPr>
        <w:t>of dedicated land-side freight corridors (Melbourne, Sydney and Brisbane)</w:t>
      </w:r>
    </w:p>
    <w:p w14:paraId="6BEF5D2E" w14:textId="77777777" w:rsidR="006422AF" w:rsidRDefault="00EE6DF3" w:rsidP="008B7BE0">
      <w:pPr>
        <w:pStyle w:val="ListParagraph"/>
        <w:numPr>
          <w:ilvl w:val="0"/>
          <w:numId w:val="1"/>
        </w:numPr>
        <w:ind w:left="1134" w:firstLine="0"/>
        <w:jc w:val="both"/>
        <w:rPr>
          <w:rFonts w:cstheme="minorHAnsi"/>
          <w:szCs w:val="20"/>
        </w:rPr>
      </w:pPr>
      <w:r>
        <w:rPr>
          <w:rFonts w:cstheme="minorHAnsi"/>
          <w:szCs w:val="20"/>
        </w:rPr>
        <w:t>Mounting t</w:t>
      </w:r>
      <w:r w:rsidR="00CE5EBE" w:rsidRPr="00504F1B">
        <w:rPr>
          <w:rFonts w:cstheme="minorHAnsi"/>
          <w:szCs w:val="20"/>
        </w:rPr>
        <w:t>raffic congestion</w:t>
      </w:r>
      <w:r w:rsidR="006422AF">
        <w:rPr>
          <w:rFonts w:cstheme="minorHAnsi"/>
          <w:szCs w:val="20"/>
        </w:rPr>
        <w:t>;</w:t>
      </w:r>
    </w:p>
    <w:p w14:paraId="58D69A48" w14:textId="3641EAF0" w:rsidR="006422AF" w:rsidRDefault="006422AF" w:rsidP="008B7BE0">
      <w:pPr>
        <w:pStyle w:val="ListParagraph"/>
        <w:numPr>
          <w:ilvl w:val="0"/>
          <w:numId w:val="1"/>
        </w:numPr>
        <w:ind w:left="1134" w:firstLine="0"/>
        <w:jc w:val="both"/>
        <w:rPr>
          <w:rFonts w:cstheme="minorHAnsi"/>
          <w:szCs w:val="20"/>
        </w:rPr>
      </w:pPr>
      <w:r>
        <w:rPr>
          <w:rFonts w:cstheme="minorHAnsi"/>
          <w:szCs w:val="20"/>
        </w:rPr>
        <w:t>Land resumption costs</w:t>
      </w:r>
      <w:r w:rsidR="004E5009">
        <w:rPr>
          <w:rFonts w:cstheme="minorHAnsi"/>
          <w:szCs w:val="20"/>
        </w:rPr>
        <w:t>;</w:t>
      </w:r>
    </w:p>
    <w:p w14:paraId="3BE99DA3" w14:textId="11B1E37B" w:rsidR="00CE5EBE" w:rsidRPr="00504F1B" w:rsidRDefault="00726B0D" w:rsidP="008B7BE0">
      <w:pPr>
        <w:pStyle w:val="ListParagraph"/>
        <w:numPr>
          <w:ilvl w:val="0"/>
          <w:numId w:val="1"/>
        </w:numPr>
        <w:ind w:left="1134" w:firstLine="0"/>
        <w:jc w:val="both"/>
        <w:rPr>
          <w:rFonts w:cstheme="minorHAnsi"/>
          <w:szCs w:val="20"/>
        </w:rPr>
      </w:pPr>
      <w:r>
        <w:rPr>
          <w:rFonts w:cstheme="minorHAnsi"/>
          <w:szCs w:val="20"/>
        </w:rPr>
        <w:t>Infrastructure impacts – (social fabric and vice-versa)</w:t>
      </w:r>
      <w:r w:rsidR="004E5009">
        <w:rPr>
          <w:rFonts w:cstheme="minorHAnsi"/>
          <w:szCs w:val="20"/>
        </w:rPr>
        <w:t>;</w:t>
      </w:r>
      <w:r w:rsidR="006422AF">
        <w:rPr>
          <w:rFonts w:cstheme="minorHAnsi"/>
          <w:szCs w:val="20"/>
        </w:rPr>
        <w:t xml:space="preserve"> </w:t>
      </w:r>
      <w:r w:rsidR="00CE5EBE" w:rsidRPr="00504F1B">
        <w:rPr>
          <w:rFonts w:cstheme="minorHAnsi"/>
          <w:szCs w:val="20"/>
        </w:rPr>
        <w:t xml:space="preserve"> </w:t>
      </w:r>
    </w:p>
    <w:p w14:paraId="0C515C1F" w14:textId="77777777" w:rsidR="00CE5EBE" w:rsidRDefault="00CE5EBE" w:rsidP="008B7BE0">
      <w:pPr>
        <w:pStyle w:val="ListParagraph"/>
        <w:numPr>
          <w:ilvl w:val="0"/>
          <w:numId w:val="1"/>
        </w:numPr>
        <w:ind w:left="1134" w:firstLine="0"/>
        <w:jc w:val="both"/>
        <w:rPr>
          <w:rFonts w:cstheme="minorHAnsi"/>
          <w:szCs w:val="20"/>
        </w:rPr>
      </w:pPr>
      <w:r w:rsidRPr="00504F1B">
        <w:rPr>
          <w:rFonts w:cstheme="minorHAnsi"/>
          <w:szCs w:val="20"/>
        </w:rPr>
        <w:t>Container trade growth increasing by 200% by 2050.</w:t>
      </w:r>
    </w:p>
    <w:p w14:paraId="2847C5F0" w14:textId="77777777" w:rsidR="009548F0" w:rsidRDefault="009548F0" w:rsidP="009548F0">
      <w:pPr>
        <w:pStyle w:val="ListParagraph"/>
        <w:ind w:left="1134"/>
        <w:jc w:val="both"/>
        <w:rPr>
          <w:rFonts w:cstheme="minorHAnsi"/>
          <w:szCs w:val="20"/>
        </w:rPr>
      </w:pPr>
    </w:p>
    <w:p w14:paraId="64815643" w14:textId="77777777" w:rsidR="002D2155" w:rsidRPr="008279B2" w:rsidRDefault="00167AAA" w:rsidP="00F27924">
      <w:pPr>
        <w:pStyle w:val="ListParagraph"/>
        <w:ind w:left="567"/>
        <w:rPr>
          <w:rFonts w:cstheme="minorHAnsi"/>
          <w:b/>
          <w:szCs w:val="20"/>
        </w:rPr>
      </w:pPr>
      <w:bookmarkStart w:id="6" w:name="OLE_LINK5"/>
      <w:r w:rsidRPr="008279B2">
        <w:rPr>
          <w:rFonts w:cstheme="minorHAnsi"/>
          <w:b/>
          <w:szCs w:val="20"/>
        </w:rPr>
        <w:t>BITRE Forecasts</w:t>
      </w:r>
      <w:r w:rsidR="00F27924" w:rsidRPr="008279B2">
        <w:rPr>
          <w:rFonts w:cstheme="minorHAnsi"/>
          <w:b/>
          <w:szCs w:val="20"/>
        </w:rPr>
        <w:t>:</w:t>
      </w:r>
      <w:r w:rsidRPr="008279B2">
        <w:rPr>
          <w:rFonts w:cstheme="minorHAnsi"/>
          <w:b/>
          <w:szCs w:val="20"/>
        </w:rPr>
        <w:t xml:space="preserve"> Containerised </w:t>
      </w:r>
      <w:r w:rsidR="002623D5">
        <w:rPr>
          <w:rFonts w:cstheme="minorHAnsi"/>
          <w:b/>
          <w:szCs w:val="20"/>
        </w:rPr>
        <w:t>t</w:t>
      </w:r>
      <w:r w:rsidRPr="008279B2">
        <w:rPr>
          <w:rFonts w:cstheme="minorHAnsi"/>
          <w:b/>
          <w:szCs w:val="20"/>
        </w:rPr>
        <w:t xml:space="preserve">rade </w:t>
      </w:r>
      <w:r w:rsidR="002623D5">
        <w:rPr>
          <w:rFonts w:cstheme="minorHAnsi"/>
          <w:b/>
          <w:szCs w:val="20"/>
        </w:rPr>
        <w:t>g</w:t>
      </w:r>
      <w:r w:rsidR="00F27924" w:rsidRPr="008279B2">
        <w:rPr>
          <w:rFonts w:cstheme="minorHAnsi"/>
          <w:b/>
          <w:szCs w:val="20"/>
        </w:rPr>
        <w:t>rowth</w:t>
      </w:r>
      <w:r w:rsidRPr="008279B2">
        <w:rPr>
          <w:rFonts w:cstheme="minorHAnsi"/>
          <w:b/>
          <w:szCs w:val="20"/>
        </w:rPr>
        <w:t xml:space="preserve"> </w:t>
      </w:r>
    </w:p>
    <w:bookmarkEnd w:id="6"/>
    <w:p w14:paraId="50D72C85" w14:textId="77777777" w:rsidR="00273B6D" w:rsidRPr="008279B2" w:rsidRDefault="00167AAA" w:rsidP="00167AAA">
      <w:pPr>
        <w:pStyle w:val="ListParagraph"/>
        <w:ind w:left="567"/>
        <w:rPr>
          <w:rFonts w:cs="Arial"/>
          <w:b/>
          <w:color w:val="292929"/>
          <w:lang w:val="en"/>
        </w:rPr>
      </w:pPr>
      <w:r w:rsidRPr="008279B2">
        <w:rPr>
          <w:rFonts w:cs="Arial"/>
          <w:b/>
          <w:color w:val="292929"/>
          <w:lang w:val="en"/>
        </w:rPr>
        <w:t xml:space="preserve">Projected average annual growth rate: </w:t>
      </w:r>
      <w:r w:rsidR="00F27924" w:rsidRPr="008279B2">
        <w:rPr>
          <w:rFonts w:cs="Arial"/>
          <w:b/>
          <w:color w:val="292929"/>
          <w:lang w:val="en"/>
        </w:rPr>
        <w:t>5.8%</w:t>
      </w:r>
    </w:p>
    <w:p w14:paraId="69D3BE89" w14:textId="77777777" w:rsidR="00273B6D" w:rsidRPr="00167AAA" w:rsidRDefault="00167AAA" w:rsidP="00167AAA">
      <w:pPr>
        <w:pStyle w:val="ListParagraph"/>
        <w:ind w:left="567"/>
        <w:rPr>
          <w:rFonts w:cs="Arial"/>
          <w:color w:val="292929"/>
          <w:lang w:val="en"/>
        </w:rPr>
      </w:pPr>
      <w:r w:rsidRPr="00167AAA">
        <w:rPr>
          <w:rFonts w:cs="Arial"/>
          <w:color w:val="292929"/>
          <w:lang w:val="en"/>
        </w:rPr>
        <w:t xml:space="preserve">   </w:t>
      </w:r>
    </w:p>
    <w:tbl>
      <w:tblPr>
        <w:tblStyle w:val="TableGrid"/>
        <w:tblW w:w="9209" w:type="dxa"/>
        <w:tblInd w:w="567" w:type="dxa"/>
        <w:tblLook w:val="04A0" w:firstRow="1" w:lastRow="0" w:firstColumn="1" w:lastColumn="0" w:noHBand="0" w:noVBand="1"/>
      </w:tblPr>
      <w:tblGrid>
        <w:gridCol w:w="2122"/>
        <w:gridCol w:w="2976"/>
        <w:gridCol w:w="4111"/>
      </w:tblGrid>
      <w:tr w:rsidR="00F27924" w14:paraId="220A326C" w14:textId="77777777" w:rsidTr="00E66DA4">
        <w:tc>
          <w:tcPr>
            <w:tcW w:w="2122" w:type="dxa"/>
          </w:tcPr>
          <w:p w14:paraId="7B416DE6" w14:textId="77777777" w:rsidR="00F27924" w:rsidRDefault="00000655" w:rsidP="00D30B95">
            <w:pPr>
              <w:pStyle w:val="ListParagraph"/>
              <w:spacing w:after="0"/>
              <w:ind w:left="0"/>
              <w:rPr>
                <w:rFonts w:cs="Arial"/>
                <w:color w:val="292929"/>
                <w:lang w:val="en"/>
              </w:rPr>
            </w:pPr>
            <w:r>
              <w:rPr>
                <w:rFonts w:cs="Arial"/>
                <w:color w:val="292929"/>
                <w:lang w:val="en"/>
              </w:rPr>
              <w:t>Location</w:t>
            </w:r>
          </w:p>
        </w:tc>
        <w:tc>
          <w:tcPr>
            <w:tcW w:w="2976" w:type="dxa"/>
          </w:tcPr>
          <w:p w14:paraId="1822127C" w14:textId="77777777" w:rsidR="00F27924" w:rsidRDefault="00F27924" w:rsidP="00D30B95">
            <w:pPr>
              <w:pStyle w:val="ListParagraph"/>
              <w:spacing w:after="0"/>
              <w:ind w:left="0"/>
              <w:jc w:val="center"/>
              <w:rPr>
                <w:rFonts w:cs="Arial"/>
                <w:color w:val="292929"/>
                <w:lang w:val="en"/>
              </w:rPr>
            </w:pPr>
            <w:r>
              <w:rPr>
                <w:rFonts w:cs="Arial"/>
                <w:color w:val="292929"/>
                <w:lang w:val="en"/>
              </w:rPr>
              <w:t>2030-33 TEU’s</w:t>
            </w:r>
          </w:p>
        </w:tc>
        <w:tc>
          <w:tcPr>
            <w:tcW w:w="4111" w:type="dxa"/>
          </w:tcPr>
          <w:p w14:paraId="6E2BD152" w14:textId="77777777" w:rsidR="00F27924" w:rsidRDefault="00F27924" w:rsidP="00D30B95">
            <w:pPr>
              <w:pStyle w:val="ListParagraph"/>
              <w:spacing w:after="0"/>
              <w:ind w:left="0"/>
              <w:jc w:val="center"/>
              <w:rPr>
                <w:rFonts w:cs="Arial"/>
                <w:color w:val="292929"/>
                <w:lang w:val="en"/>
              </w:rPr>
            </w:pPr>
            <w:r>
              <w:rPr>
                <w:rFonts w:cs="Arial"/>
                <w:color w:val="292929"/>
                <w:lang w:val="en"/>
              </w:rPr>
              <w:t>Percentage Increase</w:t>
            </w:r>
          </w:p>
        </w:tc>
      </w:tr>
      <w:tr w:rsidR="00F27924" w14:paraId="27D674B4" w14:textId="77777777" w:rsidTr="00E66DA4">
        <w:tc>
          <w:tcPr>
            <w:tcW w:w="2122" w:type="dxa"/>
          </w:tcPr>
          <w:p w14:paraId="7C3D27FB" w14:textId="77777777" w:rsidR="00F27924" w:rsidRDefault="00F27924" w:rsidP="00D30B95">
            <w:pPr>
              <w:pStyle w:val="ListParagraph"/>
              <w:spacing w:after="0"/>
              <w:ind w:left="0"/>
              <w:rPr>
                <w:rFonts w:cs="Arial"/>
                <w:color w:val="292929"/>
                <w:lang w:val="en"/>
              </w:rPr>
            </w:pPr>
            <w:r>
              <w:rPr>
                <w:rFonts w:cs="Arial"/>
                <w:color w:val="292929"/>
                <w:lang w:val="en"/>
              </w:rPr>
              <w:t>Brisbane</w:t>
            </w:r>
          </w:p>
        </w:tc>
        <w:tc>
          <w:tcPr>
            <w:tcW w:w="2976" w:type="dxa"/>
          </w:tcPr>
          <w:p w14:paraId="5133C4B7" w14:textId="77777777" w:rsidR="00F27924" w:rsidRDefault="00F27924" w:rsidP="00D30B95">
            <w:pPr>
              <w:pStyle w:val="ListParagraph"/>
              <w:spacing w:after="0"/>
              <w:ind w:left="0"/>
              <w:jc w:val="center"/>
              <w:rPr>
                <w:rFonts w:cs="Arial"/>
                <w:color w:val="292929"/>
                <w:lang w:val="en"/>
              </w:rPr>
            </w:pPr>
            <w:r>
              <w:rPr>
                <w:rFonts w:cs="Arial"/>
                <w:color w:val="292929"/>
                <w:lang w:val="en"/>
              </w:rPr>
              <w:t>3.6m</w:t>
            </w:r>
          </w:p>
        </w:tc>
        <w:tc>
          <w:tcPr>
            <w:tcW w:w="4111" w:type="dxa"/>
          </w:tcPr>
          <w:p w14:paraId="4A0E7620" w14:textId="77777777" w:rsidR="00F27924" w:rsidRDefault="00F27924" w:rsidP="00D30B95">
            <w:pPr>
              <w:pStyle w:val="ListParagraph"/>
              <w:spacing w:after="0"/>
              <w:ind w:left="0"/>
              <w:jc w:val="center"/>
              <w:rPr>
                <w:rFonts w:cs="Arial"/>
                <w:color w:val="292929"/>
                <w:lang w:val="en"/>
              </w:rPr>
            </w:pPr>
            <w:r>
              <w:rPr>
                <w:rFonts w:cs="Arial"/>
                <w:color w:val="292929"/>
                <w:lang w:val="en"/>
              </w:rPr>
              <w:t>6.2%</w:t>
            </w:r>
          </w:p>
        </w:tc>
      </w:tr>
      <w:tr w:rsidR="00F27924" w14:paraId="2DF4C829" w14:textId="77777777" w:rsidTr="00E66DA4">
        <w:tc>
          <w:tcPr>
            <w:tcW w:w="2122" w:type="dxa"/>
          </w:tcPr>
          <w:p w14:paraId="6947F761" w14:textId="77777777" w:rsidR="00F27924" w:rsidRDefault="00F27924" w:rsidP="00D30B95">
            <w:pPr>
              <w:pStyle w:val="ListParagraph"/>
              <w:spacing w:after="0"/>
              <w:ind w:left="0"/>
              <w:rPr>
                <w:rFonts w:cs="Arial"/>
                <w:color w:val="292929"/>
                <w:lang w:val="en"/>
              </w:rPr>
            </w:pPr>
            <w:r>
              <w:rPr>
                <w:rFonts w:cs="Arial"/>
                <w:color w:val="292929"/>
                <w:lang w:val="en"/>
              </w:rPr>
              <w:t>Melbourne</w:t>
            </w:r>
          </w:p>
        </w:tc>
        <w:tc>
          <w:tcPr>
            <w:tcW w:w="2976" w:type="dxa"/>
          </w:tcPr>
          <w:p w14:paraId="08EA23DA" w14:textId="77777777" w:rsidR="00F27924" w:rsidRDefault="00F27924" w:rsidP="00D30B95">
            <w:pPr>
              <w:pStyle w:val="ListParagraph"/>
              <w:spacing w:after="0"/>
              <w:ind w:left="0"/>
              <w:jc w:val="center"/>
              <w:rPr>
                <w:rFonts w:cs="Arial"/>
                <w:color w:val="292929"/>
                <w:lang w:val="en"/>
              </w:rPr>
            </w:pPr>
            <w:r>
              <w:rPr>
                <w:rFonts w:cs="Arial"/>
                <w:color w:val="292929"/>
                <w:lang w:val="en"/>
              </w:rPr>
              <w:t>6.4m</w:t>
            </w:r>
          </w:p>
        </w:tc>
        <w:tc>
          <w:tcPr>
            <w:tcW w:w="4111" w:type="dxa"/>
          </w:tcPr>
          <w:p w14:paraId="196E0CFB" w14:textId="77777777" w:rsidR="00F27924" w:rsidRDefault="00F27924" w:rsidP="00D30B95">
            <w:pPr>
              <w:pStyle w:val="ListParagraph"/>
              <w:spacing w:after="0"/>
              <w:ind w:left="0"/>
              <w:jc w:val="center"/>
              <w:rPr>
                <w:rFonts w:cs="Arial"/>
                <w:color w:val="292929"/>
                <w:lang w:val="en"/>
              </w:rPr>
            </w:pPr>
            <w:r>
              <w:rPr>
                <w:rFonts w:cs="Arial"/>
                <w:color w:val="292929"/>
                <w:lang w:val="en"/>
              </w:rPr>
              <w:t>4.8%</w:t>
            </w:r>
          </w:p>
        </w:tc>
      </w:tr>
      <w:tr w:rsidR="00F27924" w14:paraId="58C20417" w14:textId="77777777" w:rsidTr="00E66DA4">
        <w:tc>
          <w:tcPr>
            <w:tcW w:w="2122" w:type="dxa"/>
          </w:tcPr>
          <w:p w14:paraId="22AF919B" w14:textId="77777777" w:rsidR="00F27924" w:rsidRDefault="00F27924" w:rsidP="00D30B95">
            <w:pPr>
              <w:pStyle w:val="ListParagraph"/>
              <w:spacing w:after="0"/>
              <w:ind w:left="0"/>
              <w:rPr>
                <w:rFonts w:cs="Arial"/>
                <w:color w:val="292929"/>
                <w:lang w:val="en"/>
              </w:rPr>
            </w:pPr>
            <w:r>
              <w:rPr>
                <w:rFonts w:cs="Arial"/>
                <w:color w:val="292929"/>
                <w:lang w:val="en"/>
              </w:rPr>
              <w:t>Sydney</w:t>
            </w:r>
          </w:p>
        </w:tc>
        <w:tc>
          <w:tcPr>
            <w:tcW w:w="2976" w:type="dxa"/>
          </w:tcPr>
          <w:p w14:paraId="4471B070" w14:textId="77777777" w:rsidR="00F27924" w:rsidRDefault="00F27924" w:rsidP="00D30B95">
            <w:pPr>
              <w:pStyle w:val="ListParagraph"/>
              <w:spacing w:after="0"/>
              <w:ind w:left="0"/>
              <w:jc w:val="center"/>
              <w:rPr>
                <w:rFonts w:cs="Arial"/>
                <w:color w:val="292929"/>
                <w:lang w:val="en"/>
              </w:rPr>
            </w:pPr>
            <w:r>
              <w:rPr>
                <w:rFonts w:cs="Arial"/>
                <w:color w:val="292929"/>
                <w:lang w:val="en"/>
              </w:rPr>
              <w:t>5.2m</w:t>
            </w:r>
          </w:p>
        </w:tc>
        <w:tc>
          <w:tcPr>
            <w:tcW w:w="4111" w:type="dxa"/>
          </w:tcPr>
          <w:p w14:paraId="588A9D51" w14:textId="77777777" w:rsidR="00F27924" w:rsidRDefault="00F27924" w:rsidP="00D30B95">
            <w:pPr>
              <w:pStyle w:val="ListParagraph"/>
              <w:spacing w:after="0"/>
              <w:ind w:left="0"/>
              <w:jc w:val="center"/>
              <w:rPr>
                <w:rFonts w:cs="Arial"/>
                <w:color w:val="292929"/>
                <w:lang w:val="en"/>
              </w:rPr>
            </w:pPr>
            <w:r>
              <w:rPr>
                <w:rFonts w:cs="Arial"/>
                <w:color w:val="292929"/>
                <w:lang w:val="en"/>
              </w:rPr>
              <w:t>4.5%</w:t>
            </w:r>
          </w:p>
        </w:tc>
      </w:tr>
      <w:tr w:rsidR="00F27924" w14:paraId="31886284" w14:textId="77777777" w:rsidTr="00E66DA4">
        <w:tc>
          <w:tcPr>
            <w:tcW w:w="2122" w:type="dxa"/>
          </w:tcPr>
          <w:p w14:paraId="2623D421" w14:textId="77777777" w:rsidR="00F27924" w:rsidRDefault="00F27924" w:rsidP="00D30B95">
            <w:pPr>
              <w:pStyle w:val="ListParagraph"/>
              <w:spacing w:after="0"/>
              <w:ind w:left="0"/>
              <w:rPr>
                <w:rFonts w:cs="Arial"/>
                <w:color w:val="292929"/>
                <w:lang w:val="en"/>
              </w:rPr>
            </w:pPr>
            <w:r>
              <w:rPr>
                <w:rFonts w:cs="Arial"/>
                <w:color w:val="292929"/>
                <w:lang w:val="en"/>
              </w:rPr>
              <w:t>Adelaide</w:t>
            </w:r>
          </w:p>
        </w:tc>
        <w:tc>
          <w:tcPr>
            <w:tcW w:w="2976" w:type="dxa"/>
          </w:tcPr>
          <w:p w14:paraId="478DAD6F" w14:textId="77777777" w:rsidR="00F27924" w:rsidRDefault="00F27924" w:rsidP="00D30B95">
            <w:pPr>
              <w:pStyle w:val="ListParagraph"/>
              <w:spacing w:after="0"/>
              <w:ind w:left="0"/>
              <w:jc w:val="center"/>
              <w:rPr>
                <w:rFonts w:cs="Arial"/>
                <w:color w:val="292929"/>
                <w:lang w:val="en"/>
              </w:rPr>
            </w:pPr>
            <w:r>
              <w:rPr>
                <w:rFonts w:cs="Arial"/>
                <w:color w:val="292929"/>
                <w:lang w:val="en"/>
              </w:rPr>
              <w:t>1.0m</w:t>
            </w:r>
          </w:p>
        </w:tc>
        <w:tc>
          <w:tcPr>
            <w:tcW w:w="4111" w:type="dxa"/>
          </w:tcPr>
          <w:p w14:paraId="2143650D" w14:textId="77777777" w:rsidR="00F27924" w:rsidRDefault="00F27924" w:rsidP="00D30B95">
            <w:pPr>
              <w:pStyle w:val="ListParagraph"/>
              <w:spacing w:after="0"/>
              <w:ind w:left="0"/>
              <w:jc w:val="center"/>
              <w:rPr>
                <w:rFonts w:cs="Arial"/>
                <w:color w:val="292929"/>
                <w:lang w:val="en"/>
              </w:rPr>
            </w:pPr>
            <w:r>
              <w:rPr>
                <w:rFonts w:cs="Arial"/>
                <w:color w:val="292929"/>
                <w:lang w:val="en"/>
              </w:rPr>
              <w:t>5.4%</w:t>
            </w:r>
          </w:p>
        </w:tc>
      </w:tr>
      <w:tr w:rsidR="00F27924" w14:paraId="1C780D21" w14:textId="77777777" w:rsidTr="00E66DA4">
        <w:tc>
          <w:tcPr>
            <w:tcW w:w="2122" w:type="dxa"/>
          </w:tcPr>
          <w:p w14:paraId="58381DAB" w14:textId="77777777" w:rsidR="00F27924" w:rsidRDefault="00F27924" w:rsidP="00D30B95">
            <w:pPr>
              <w:pStyle w:val="ListParagraph"/>
              <w:spacing w:after="0"/>
              <w:ind w:left="0"/>
              <w:rPr>
                <w:rFonts w:cs="Arial"/>
                <w:color w:val="292929"/>
                <w:lang w:val="en"/>
              </w:rPr>
            </w:pPr>
            <w:r>
              <w:rPr>
                <w:rFonts w:cs="Arial"/>
                <w:color w:val="292929"/>
                <w:lang w:val="en"/>
              </w:rPr>
              <w:t>Fremantle</w:t>
            </w:r>
          </w:p>
        </w:tc>
        <w:tc>
          <w:tcPr>
            <w:tcW w:w="2976" w:type="dxa"/>
          </w:tcPr>
          <w:p w14:paraId="7BD72067" w14:textId="77777777" w:rsidR="00F27924" w:rsidRDefault="00F27924" w:rsidP="00D30B95">
            <w:pPr>
              <w:pStyle w:val="ListParagraph"/>
              <w:spacing w:after="0"/>
              <w:ind w:left="0"/>
              <w:jc w:val="center"/>
              <w:rPr>
                <w:rFonts w:cs="Arial"/>
                <w:color w:val="292929"/>
                <w:lang w:val="en"/>
              </w:rPr>
            </w:pPr>
            <w:r>
              <w:rPr>
                <w:rFonts w:cs="Arial"/>
                <w:color w:val="292929"/>
                <w:lang w:val="en"/>
              </w:rPr>
              <w:t>2.1m</w:t>
            </w:r>
          </w:p>
        </w:tc>
        <w:tc>
          <w:tcPr>
            <w:tcW w:w="4111" w:type="dxa"/>
          </w:tcPr>
          <w:p w14:paraId="07031638" w14:textId="77777777" w:rsidR="00F27924" w:rsidRDefault="00F27924" w:rsidP="00D30B95">
            <w:pPr>
              <w:pStyle w:val="ListParagraph"/>
              <w:spacing w:after="0"/>
              <w:ind w:left="0"/>
              <w:jc w:val="center"/>
              <w:rPr>
                <w:rFonts w:cs="Arial"/>
                <w:color w:val="292929"/>
                <w:lang w:val="en"/>
              </w:rPr>
            </w:pPr>
            <w:r>
              <w:rPr>
                <w:rFonts w:cs="Arial"/>
                <w:color w:val="292929"/>
                <w:lang w:val="en"/>
              </w:rPr>
              <w:t>5.8%</w:t>
            </w:r>
          </w:p>
        </w:tc>
      </w:tr>
      <w:tr w:rsidR="00F27924" w14:paraId="01840658" w14:textId="77777777" w:rsidTr="00E66DA4">
        <w:tc>
          <w:tcPr>
            <w:tcW w:w="2122" w:type="dxa"/>
          </w:tcPr>
          <w:p w14:paraId="449C79F6" w14:textId="77777777" w:rsidR="00F27924" w:rsidRDefault="00F27924" w:rsidP="00D30B95">
            <w:pPr>
              <w:pStyle w:val="ListParagraph"/>
              <w:spacing w:after="0"/>
              <w:ind w:left="0"/>
              <w:rPr>
                <w:rFonts w:cs="Arial"/>
                <w:color w:val="292929"/>
                <w:lang w:val="en"/>
              </w:rPr>
            </w:pPr>
            <w:r>
              <w:rPr>
                <w:rFonts w:cs="Arial"/>
                <w:color w:val="292929"/>
                <w:lang w:val="en"/>
              </w:rPr>
              <w:t>Other ports</w:t>
            </w:r>
          </w:p>
        </w:tc>
        <w:tc>
          <w:tcPr>
            <w:tcW w:w="2976" w:type="dxa"/>
          </w:tcPr>
          <w:p w14:paraId="41FFBD71" w14:textId="77777777" w:rsidR="00F27924" w:rsidRDefault="00F27924" w:rsidP="00D30B95">
            <w:pPr>
              <w:pStyle w:val="ListParagraph"/>
              <w:spacing w:after="0"/>
              <w:ind w:left="0"/>
              <w:jc w:val="center"/>
              <w:rPr>
                <w:rFonts w:cs="Arial"/>
                <w:color w:val="292929"/>
                <w:lang w:val="en"/>
              </w:rPr>
            </w:pPr>
            <w:r>
              <w:rPr>
                <w:rFonts w:cs="Arial"/>
                <w:color w:val="292929"/>
                <w:lang w:val="en"/>
              </w:rPr>
              <w:t>1.2m</w:t>
            </w:r>
          </w:p>
        </w:tc>
        <w:tc>
          <w:tcPr>
            <w:tcW w:w="4111" w:type="dxa"/>
          </w:tcPr>
          <w:p w14:paraId="0B13612F" w14:textId="77777777" w:rsidR="00F27924" w:rsidRDefault="00F27924" w:rsidP="00D30B95">
            <w:pPr>
              <w:pStyle w:val="ListParagraph"/>
              <w:spacing w:after="0"/>
              <w:ind w:left="0"/>
              <w:jc w:val="center"/>
              <w:rPr>
                <w:rFonts w:cs="Arial"/>
                <w:color w:val="292929"/>
                <w:lang w:val="en"/>
              </w:rPr>
            </w:pPr>
            <w:r>
              <w:rPr>
                <w:rFonts w:cs="Arial"/>
                <w:color w:val="292929"/>
                <w:lang w:val="en"/>
              </w:rPr>
              <w:t>5.0%</w:t>
            </w:r>
          </w:p>
        </w:tc>
      </w:tr>
      <w:tr w:rsidR="00F27924" w14:paraId="239B593D" w14:textId="77777777" w:rsidTr="00E66DA4">
        <w:tc>
          <w:tcPr>
            <w:tcW w:w="2122" w:type="dxa"/>
          </w:tcPr>
          <w:p w14:paraId="40F40F46" w14:textId="77777777" w:rsidR="00F27924" w:rsidRDefault="00F27924" w:rsidP="00D30B95">
            <w:pPr>
              <w:pStyle w:val="ListParagraph"/>
              <w:spacing w:after="0"/>
              <w:ind w:left="0"/>
              <w:rPr>
                <w:rFonts w:cs="Arial"/>
                <w:color w:val="292929"/>
                <w:lang w:val="en"/>
              </w:rPr>
            </w:pPr>
            <w:r>
              <w:rPr>
                <w:rFonts w:cs="Arial"/>
                <w:color w:val="292929"/>
                <w:lang w:val="en"/>
              </w:rPr>
              <w:t>All Ports</w:t>
            </w:r>
          </w:p>
        </w:tc>
        <w:tc>
          <w:tcPr>
            <w:tcW w:w="2976" w:type="dxa"/>
          </w:tcPr>
          <w:p w14:paraId="6DFAB7D6" w14:textId="77777777" w:rsidR="00F27924" w:rsidRDefault="00F27924" w:rsidP="00D30B95">
            <w:pPr>
              <w:pStyle w:val="ListParagraph"/>
              <w:spacing w:after="0"/>
              <w:ind w:left="0"/>
              <w:jc w:val="center"/>
              <w:rPr>
                <w:rFonts w:cs="Arial"/>
                <w:color w:val="292929"/>
                <w:lang w:val="en"/>
              </w:rPr>
            </w:pPr>
            <w:r>
              <w:rPr>
                <w:rFonts w:cs="Arial"/>
                <w:color w:val="292929"/>
                <w:lang w:val="en"/>
              </w:rPr>
              <w:t>19.4m</w:t>
            </w:r>
          </w:p>
        </w:tc>
        <w:tc>
          <w:tcPr>
            <w:tcW w:w="4111" w:type="dxa"/>
          </w:tcPr>
          <w:p w14:paraId="466B7604" w14:textId="77777777" w:rsidR="00F27924" w:rsidRDefault="00F27924" w:rsidP="00D30B95">
            <w:pPr>
              <w:pStyle w:val="ListParagraph"/>
              <w:spacing w:after="0"/>
              <w:ind w:left="0"/>
              <w:jc w:val="center"/>
              <w:rPr>
                <w:rFonts w:cs="Arial"/>
                <w:color w:val="292929"/>
                <w:lang w:val="en"/>
              </w:rPr>
            </w:pPr>
            <w:r>
              <w:rPr>
                <w:rFonts w:cs="Arial"/>
                <w:color w:val="292929"/>
                <w:lang w:val="en"/>
              </w:rPr>
              <w:t>5.1%</w:t>
            </w:r>
          </w:p>
        </w:tc>
      </w:tr>
    </w:tbl>
    <w:p w14:paraId="19BB2E36" w14:textId="77777777" w:rsidR="00273B6D" w:rsidRDefault="00273B6D" w:rsidP="00167AAA">
      <w:pPr>
        <w:pStyle w:val="ListParagraph"/>
        <w:ind w:left="567"/>
        <w:rPr>
          <w:rFonts w:cs="Arial"/>
          <w:color w:val="292929"/>
          <w:lang w:val="en"/>
        </w:rPr>
      </w:pPr>
    </w:p>
    <w:p w14:paraId="3CE8982C" w14:textId="77777777" w:rsidR="00000655" w:rsidRPr="00E66DA4" w:rsidRDefault="00000655" w:rsidP="00000655">
      <w:pPr>
        <w:pStyle w:val="ListParagraph"/>
        <w:ind w:left="567"/>
        <w:jc w:val="both"/>
        <w:rPr>
          <w:rFonts w:cs="Arial"/>
          <w:b/>
          <w:color w:val="292929"/>
          <w:lang w:val="en"/>
        </w:rPr>
      </w:pPr>
      <w:bookmarkStart w:id="7" w:name="OLE_LINK6"/>
      <w:r w:rsidRPr="00E66DA4">
        <w:rPr>
          <w:rFonts w:cs="Arial"/>
          <w:b/>
          <w:color w:val="292929"/>
          <w:lang w:val="en"/>
        </w:rPr>
        <w:t>Sydney</w:t>
      </w:r>
      <w:r w:rsidR="00CD6431">
        <w:rPr>
          <w:rFonts w:cs="Arial"/>
          <w:b/>
          <w:color w:val="292929"/>
          <w:lang w:val="en"/>
        </w:rPr>
        <w:t>: Logistics challenge</w:t>
      </w:r>
    </w:p>
    <w:bookmarkEnd w:id="7"/>
    <w:p w14:paraId="42229F8F" w14:textId="77777777" w:rsidR="00000655" w:rsidRPr="00000655" w:rsidRDefault="00000655" w:rsidP="00000655">
      <w:pPr>
        <w:pStyle w:val="ListParagraph"/>
        <w:ind w:left="567"/>
        <w:jc w:val="both"/>
        <w:rPr>
          <w:rFonts w:cs="Arial"/>
          <w:color w:val="292929"/>
          <w:lang w:val="en"/>
        </w:rPr>
      </w:pPr>
      <w:r w:rsidRPr="00000655">
        <w:rPr>
          <w:rFonts w:cs="Arial"/>
          <w:color w:val="292929"/>
          <w:lang w:val="en"/>
        </w:rPr>
        <w:t>Approximately 85 per cent of Port Botany’s container freight is packed or unpacked within 40</w:t>
      </w:r>
      <w:r>
        <w:rPr>
          <w:rFonts w:cs="Arial"/>
          <w:color w:val="292929"/>
          <w:lang w:val="en"/>
        </w:rPr>
        <w:t>kms</w:t>
      </w:r>
      <w:r w:rsidRPr="00000655">
        <w:rPr>
          <w:rFonts w:cs="Arial"/>
          <w:color w:val="292929"/>
          <w:lang w:val="en"/>
        </w:rPr>
        <w:t xml:space="preserve"> of the port and transported via some of Sydney’s key arterial road networks, the shared rail network and the metropolitan freight network. With Sydney’s population </w:t>
      </w:r>
      <w:r w:rsidR="00CD6431">
        <w:rPr>
          <w:rFonts w:cs="Arial"/>
          <w:color w:val="292929"/>
          <w:lang w:val="en"/>
        </w:rPr>
        <w:t xml:space="preserve">forecast </w:t>
      </w:r>
      <w:r w:rsidRPr="00000655">
        <w:rPr>
          <w:rFonts w:cs="Arial"/>
          <w:color w:val="292929"/>
          <w:lang w:val="en"/>
        </w:rPr>
        <w:t>to grow from 4.1 million to 5.3 million by 2031, future freight demands on the shared passenger transport network add to an already significant logistics challenge</w:t>
      </w:r>
      <w:r w:rsidR="00CD6431">
        <w:rPr>
          <w:rFonts w:cs="Arial"/>
          <w:color w:val="292929"/>
          <w:lang w:val="en"/>
        </w:rPr>
        <w:t xml:space="preserve">. </w:t>
      </w:r>
      <w:r w:rsidRPr="00000655">
        <w:rPr>
          <w:rFonts w:cs="Arial"/>
          <w:color w:val="292929"/>
          <w:lang w:val="en"/>
        </w:rPr>
        <w:t xml:space="preserve">    </w:t>
      </w:r>
    </w:p>
    <w:p w14:paraId="4550070B" w14:textId="77777777" w:rsidR="00E66DA4" w:rsidRDefault="00E66DA4" w:rsidP="00000655">
      <w:pPr>
        <w:pStyle w:val="ListParagraph"/>
        <w:ind w:left="567"/>
        <w:jc w:val="both"/>
        <w:rPr>
          <w:rFonts w:cs="Arial"/>
          <w:color w:val="292929"/>
          <w:lang w:val="en"/>
        </w:rPr>
      </w:pPr>
    </w:p>
    <w:p w14:paraId="2A2AFF86" w14:textId="77777777" w:rsidR="00E66DA4" w:rsidRDefault="00E66DA4" w:rsidP="00000655">
      <w:pPr>
        <w:pStyle w:val="ListParagraph"/>
        <w:ind w:left="567"/>
        <w:jc w:val="both"/>
        <w:rPr>
          <w:rFonts w:cs="Arial"/>
          <w:b/>
          <w:color w:val="292929"/>
          <w:lang w:val="en"/>
        </w:rPr>
      </w:pPr>
      <w:bookmarkStart w:id="8" w:name="OLE_LINK7"/>
      <w:bookmarkStart w:id="9" w:name="OLE_LINK8"/>
      <w:r w:rsidRPr="00E66DA4">
        <w:rPr>
          <w:rFonts w:cs="Arial"/>
          <w:b/>
          <w:color w:val="292929"/>
          <w:lang w:val="en"/>
        </w:rPr>
        <w:t xml:space="preserve">Independent </w:t>
      </w:r>
      <w:r w:rsidR="002623D5">
        <w:rPr>
          <w:rFonts w:cs="Arial"/>
          <w:b/>
          <w:color w:val="292929"/>
          <w:lang w:val="en"/>
        </w:rPr>
        <w:t>traffic m</w:t>
      </w:r>
      <w:r>
        <w:rPr>
          <w:rFonts w:cs="Arial"/>
          <w:b/>
          <w:color w:val="292929"/>
          <w:lang w:val="en"/>
        </w:rPr>
        <w:t xml:space="preserve">odelling </w:t>
      </w:r>
      <w:r w:rsidR="002623D5">
        <w:rPr>
          <w:rFonts w:cs="Arial"/>
          <w:b/>
          <w:color w:val="292929"/>
          <w:lang w:val="en"/>
        </w:rPr>
        <w:t>r</w:t>
      </w:r>
      <w:r w:rsidRPr="00E66DA4">
        <w:rPr>
          <w:rFonts w:cs="Arial"/>
          <w:b/>
          <w:color w:val="292929"/>
          <w:lang w:val="en"/>
        </w:rPr>
        <w:t>eport</w:t>
      </w:r>
    </w:p>
    <w:bookmarkEnd w:id="8"/>
    <w:bookmarkEnd w:id="9"/>
    <w:p w14:paraId="4E9978F1" w14:textId="77777777" w:rsidR="00273B6D" w:rsidRPr="00E66DA4" w:rsidRDefault="002623D5" w:rsidP="00000655">
      <w:pPr>
        <w:pStyle w:val="ListParagraph"/>
        <w:ind w:left="567"/>
        <w:jc w:val="both"/>
        <w:rPr>
          <w:rFonts w:cs="Arial"/>
          <w:b/>
          <w:color w:val="292929"/>
          <w:lang w:val="en"/>
        </w:rPr>
      </w:pPr>
      <w:proofErr w:type="spellStart"/>
      <w:r>
        <w:rPr>
          <w:rFonts w:cs="Arial"/>
          <w:b/>
          <w:color w:val="292929"/>
          <w:lang w:val="en"/>
        </w:rPr>
        <w:t>Moorebank</w:t>
      </w:r>
      <w:proofErr w:type="spellEnd"/>
      <w:r>
        <w:rPr>
          <w:rFonts w:cs="Arial"/>
          <w:b/>
          <w:color w:val="292929"/>
          <w:lang w:val="en"/>
        </w:rPr>
        <w:t xml:space="preserve"> Intermodals – ‘Key assumptions require greater s</w:t>
      </w:r>
      <w:r w:rsidR="00E66DA4">
        <w:rPr>
          <w:rFonts w:cs="Arial"/>
          <w:b/>
          <w:color w:val="292929"/>
          <w:lang w:val="en"/>
        </w:rPr>
        <w:t>crutiny</w:t>
      </w:r>
      <w:r>
        <w:rPr>
          <w:rFonts w:cs="Arial"/>
          <w:b/>
          <w:color w:val="292929"/>
          <w:lang w:val="en"/>
        </w:rPr>
        <w:t>’</w:t>
      </w:r>
      <w:r w:rsidR="00E66DA4">
        <w:rPr>
          <w:rFonts w:cs="Arial"/>
          <w:b/>
          <w:color w:val="292929"/>
          <w:lang w:val="en"/>
        </w:rPr>
        <w:t xml:space="preserve"> </w:t>
      </w:r>
      <w:r w:rsidR="00000655" w:rsidRPr="00E66DA4">
        <w:rPr>
          <w:rFonts w:cs="Arial"/>
          <w:b/>
          <w:color w:val="292929"/>
          <w:lang w:val="en"/>
        </w:rPr>
        <w:t xml:space="preserve">    </w:t>
      </w:r>
    </w:p>
    <w:p w14:paraId="70C19768" w14:textId="77777777" w:rsidR="00167AAA" w:rsidRPr="00E66DA4" w:rsidRDefault="00167AAA" w:rsidP="00F27924">
      <w:pPr>
        <w:pStyle w:val="ListParagraph"/>
        <w:ind w:left="567"/>
        <w:rPr>
          <w:rFonts w:cs="Arial"/>
          <w:b/>
          <w:color w:val="292929"/>
          <w:lang w:val="en"/>
        </w:rPr>
      </w:pPr>
      <w:r w:rsidRPr="00E66DA4">
        <w:rPr>
          <w:rFonts w:cs="Arial"/>
          <w:b/>
          <w:color w:val="292929"/>
          <w:lang w:val="en"/>
        </w:rPr>
        <w:t xml:space="preserve"> </w:t>
      </w:r>
    </w:p>
    <w:p w14:paraId="4DDA5329" w14:textId="52188276" w:rsidR="00167AAA" w:rsidRPr="00080C5D" w:rsidRDefault="00B41B6A" w:rsidP="00726B0D">
      <w:pPr>
        <w:pStyle w:val="ListParagraph"/>
        <w:ind w:left="567"/>
        <w:rPr>
          <w:rFonts w:cs="Arial"/>
          <w:color w:val="292929"/>
          <w:sz w:val="24"/>
          <w:szCs w:val="24"/>
          <w:lang w:val="en"/>
        </w:rPr>
      </w:pPr>
      <w:hyperlink r:id="rId9" w:history="1">
        <w:r w:rsidR="00000655" w:rsidRPr="00080C5D">
          <w:rPr>
            <w:rStyle w:val="Hyperlink"/>
            <w:rFonts w:cstheme="minorHAnsi"/>
            <w:sz w:val="24"/>
            <w:szCs w:val="24"/>
          </w:rPr>
          <w:t>http://www.lcit.com.au/wp-content/uploads/2013/06/Intermodals_Book_Web_V19.pdf</w:t>
        </w:r>
      </w:hyperlink>
    </w:p>
    <w:p w14:paraId="4BB538C4" w14:textId="77777777" w:rsidR="00167AAA" w:rsidRDefault="00167AAA" w:rsidP="00726B0D">
      <w:pPr>
        <w:pStyle w:val="ListParagraph"/>
        <w:ind w:left="567"/>
        <w:rPr>
          <w:rFonts w:cs="Arial"/>
          <w:color w:val="292929"/>
          <w:lang w:val="en"/>
        </w:rPr>
      </w:pPr>
    </w:p>
    <w:p w14:paraId="024F8E20" w14:textId="77777777" w:rsidR="008279B2" w:rsidRPr="008279B2" w:rsidRDefault="0007078D" w:rsidP="00726B0D">
      <w:pPr>
        <w:pStyle w:val="ListParagraph"/>
        <w:ind w:left="567"/>
        <w:rPr>
          <w:rFonts w:cs="Arial"/>
          <w:b/>
          <w:color w:val="292929"/>
          <w:lang w:val="en"/>
        </w:rPr>
      </w:pPr>
      <w:r w:rsidRPr="008279B2">
        <w:rPr>
          <w:rFonts w:cs="Arial"/>
          <w:b/>
          <w:color w:val="292929"/>
          <w:lang w:val="en"/>
        </w:rPr>
        <w:t xml:space="preserve">Bureau of </w:t>
      </w:r>
      <w:r w:rsidR="0039377A" w:rsidRPr="008279B2">
        <w:rPr>
          <w:rFonts w:cs="Arial"/>
          <w:b/>
          <w:color w:val="292929"/>
          <w:lang w:val="en"/>
        </w:rPr>
        <w:t>Infrastructure Transport and Regional Economics (‘BITRE’)</w:t>
      </w:r>
      <w:r w:rsidR="00311CA2" w:rsidRPr="008279B2">
        <w:rPr>
          <w:rFonts w:cs="Arial"/>
          <w:b/>
          <w:color w:val="292929"/>
          <w:lang w:val="en"/>
        </w:rPr>
        <w:t xml:space="preserve"> </w:t>
      </w:r>
      <w:r w:rsidR="00671D86" w:rsidRPr="008279B2">
        <w:rPr>
          <w:rFonts w:cs="Arial"/>
          <w:b/>
          <w:color w:val="292929"/>
          <w:lang w:val="en"/>
        </w:rPr>
        <w:t>2015-2030</w:t>
      </w:r>
      <w:r w:rsidR="008279B2" w:rsidRPr="008279B2">
        <w:rPr>
          <w:rFonts w:cs="Arial"/>
          <w:b/>
          <w:color w:val="292929"/>
          <w:lang w:val="en"/>
        </w:rPr>
        <w:t xml:space="preserve"> </w:t>
      </w:r>
    </w:p>
    <w:p w14:paraId="410C09B6" w14:textId="77777777" w:rsidR="00311CA2" w:rsidRPr="008279B2" w:rsidRDefault="00311CA2" w:rsidP="00726B0D">
      <w:pPr>
        <w:pStyle w:val="ListParagraph"/>
        <w:ind w:left="567"/>
        <w:rPr>
          <w:rFonts w:cs="Arial"/>
          <w:b/>
          <w:color w:val="292929"/>
          <w:lang w:val="en"/>
        </w:rPr>
      </w:pPr>
      <w:bookmarkStart w:id="10" w:name="OLE_LINK9"/>
      <w:bookmarkStart w:id="11" w:name="OLE_LINK10"/>
      <w:r w:rsidRPr="008279B2">
        <w:rPr>
          <w:rFonts w:cs="Arial"/>
          <w:b/>
          <w:color w:val="292929"/>
          <w:lang w:val="en"/>
        </w:rPr>
        <w:t>Forecast</w:t>
      </w:r>
      <w:r w:rsidR="008279B2" w:rsidRPr="008279B2">
        <w:rPr>
          <w:rFonts w:cs="Arial"/>
          <w:b/>
          <w:color w:val="292929"/>
          <w:lang w:val="en"/>
        </w:rPr>
        <w:t xml:space="preserve"> </w:t>
      </w:r>
      <w:r w:rsidR="002623D5">
        <w:rPr>
          <w:rFonts w:cs="Arial"/>
          <w:b/>
          <w:color w:val="292929"/>
          <w:lang w:val="en"/>
        </w:rPr>
        <w:t>capital city congestion c</w:t>
      </w:r>
      <w:r w:rsidRPr="008279B2">
        <w:rPr>
          <w:rFonts w:cs="Arial"/>
          <w:b/>
          <w:color w:val="292929"/>
          <w:lang w:val="en"/>
        </w:rPr>
        <w:t>osts</w:t>
      </w:r>
    </w:p>
    <w:bookmarkEnd w:id="10"/>
    <w:bookmarkEnd w:id="11"/>
    <w:p w14:paraId="05DD6BC8" w14:textId="77777777" w:rsidR="00311CA2" w:rsidRDefault="00311CA2" w:rsidP="00726B0D">
      <w:pPr>
        <w:pStyle w:val="ListParagraph"/>
        <w:ind w:left="567"/>
        <w:rPr>
          <w:rFonts w:cs="Arial"/>
          <w:color w:val="292929"/>
          <w:lang w:val="en"/>
        </w:rPr>
      </w:pPr>
    </w:p>
    <w:tbl>
      <w:tblPr>
        <w:tblStyle w:val="TableGrid"/>
        <w:tblW w:w="9209" w:type="dxa"/>
        <w:tblInd w:w="567" w:type="dxa"/>
        <w:tblLook w:val="04A0" w:firstRow="1" w:lastRow="0" w:firstColumn="1" w:lastColumn="0" w:noHBand="0" w:noVBand="1"/>
      </w:tblPr>
      <w:tblGrid>
        <w:gridCol w:w="1885"/>
        <w:gridCol w:w="3780"/>
        <w:gridCol w:w="3544"/>
      </w:tblGrid>
      <w:tr w:rsidR="00E66DA4" w14:paraId="5E830A8B" w14:textId="77777777" w:rsidTr="00E66DA4">
        <w:tc>
          <w:tcPr>
            <w:tcW w:w="1885" w:type="dxa"/>
          </w:tcPr>
          <w:p w14:paraId="1A7C87EA" w14:textId="77777777" w:rsidR="00E66DA4" w:rsidRDefault="00E66DA4" w:rsidP="00D30B95">
            <w:pPr>
              <w:pStyle w:val="ListParagraph"/>
              <w:spacing w:after="0"/>
              <w:ind w:left="0"/>
              <w:jc w:val="center"/>
              <w:rPr>
                <w:rFonts w:cs="Arial"/>
                <w:color w:val="292929"/>
                <w:lang w:val="en"/>
              </w:rPr>
            </w:pPr>
            <w:r>
              <w:rPr>
                <w:rFonts w:cs="Arial"/>
                <w:color w:val="292929"/>
                <w:lang w:val="en"/>
              </w:rPr>
              <w:t>Location</w:t>
            </w:r>
          </w:p>
        </w:tc>
        <w:tc>
          <w:tcPr>
            <w:tcW w:w="3780" w:type="dxa"/>
          </w:tcPr>
          <w:p w14:paraId="3676CE96" w14:textId="77777777" w:rsidR="00E66DA4" w:rsidRDefault="00E66DA4" w:rsidP="00D30B95">
            <w:pPr>
              <w:pStyle w:val="ListParagraph"/>
              <w:spacing w:after="0"/>
              <w:ind w:left="0"/>
              <w:jc w:val="center"/>
              <w:rPr>
                <w:rFonts w:cs="Arial"/>
                <w:color w:val="292929"/>
                <w:lang w:val="en"/>
              </w:rPr>
            </w:pPr>
            <w:r>
              <w:rPr>
                <w:rFonts w:cs="Arial"/>
                <w:color w:val="292929"/>
                <w:lang w:val="en"/>
              </w:rPr>
              <w:t>2015</w:t>
            </w:r>
          </w:p>
        </w:tc>
        <w:tc>
          <w:tcPr>
            <w:tcW w:w="3544" w:type="dxa"/>
          </w:tcPr>
          <w:p w14:paraId="06E01B46" w14:textId="77777777" w:rsidR="00E66DA4" w:rsidRDefault="00E66DA4" w:rsidP="00D30B95">
            <w:pPr>
              <w:pStyle w:val="ListParagraph"/>
              <w:spacing w:after="0"/>
              <w:ind w:left="0"/>
              <w:jc w:val="center"/>
              <w:rPr>
                <w:rFonts w:cs="Arial"/>
                <w:color w:val="292929"/>
                <w:lang w:val="en"/>
              </w:rPr>
            </w:pPr>
            <w:r>
              <w:rPr>
                <w:rFonts w:cs="Arial"/>
                <w:color w:val="292929"/>
                <w:lang w:val="en"/>
              </w:rPr>
              <w:t>2030</w:t>
            </w:r>
          </w:p>
        </w:tc>
      </w:tr>
      <w:tr w:rsidR="00E66DA4" w14:paraId="5C750980" w14:textId="77777777" w:rsidTr="00E66DA4">
        <w:trPr>
          <w:trHeight w:val="385"/>
        </w:trPr>
        <w:tc>
          <w:tcPr>
            <w:tcW w:w="1885" w:type="dxa"/>
          </w:tcPr>
          <w:p w14:paraId="64386696"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Sydney</w:t>
            </w:r>
          </w:p>
        </w:tc>
        <w:tc>
          <w:tcPr>
            <w:tcW w:w="3780" w:type="dxa"/>
          </w:tcPr>
          <w:p w14:paraId="62C47E81"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$6.1b</w:t>
            </w:r>
          </w:p>
        </w:tc>
        <w:tc>
          <w:tcPr>
            <w:tcW w:w="3544" w:type="dxa"/>
          </w:tcPr>
          <w:p w14:paraId="2735F7ED"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$12.6b</w:t>
            </w:r>
          </w:p>
        </w:tc>
      </w:tr>
      <w:tr w:rsidR="00E66DA4" w14:paraId="7988ECC5" w14:textId="77777777" w:rsidTr="00E66DA4">
        <w:tc>
          <w:tcPr>
            <w:tcW w:w="1885" w:type="dxa"/>
          </w:tcPr>
          <w:p w14:paraId="10FA5B81"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Brisbane</w:t>
            </w:r>
          </w:p>
        </w:tc>
        <w:tc>
          <w:tcPr>
            <w:tcW w:w="3780" w:type="dxa"/>
          </w:tcPr>
          <w:p w14:paraId="6F951BD5"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$2.3b</w:t>
            </w:r>
          </w:p>
        </w:tc>
        <w:tc>
          <w:tcPr>
            <w:tcW w:w="3544" w:type="dxa"/>
          </w:tcPr>
          <w:p w14:paraId="4659AE85"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$5.9b</w:t>
            </w:r>
          </w:p>
        </w:tc>
      </w:tr>
      <w:tr w:rsidR="00E66DA4" w14:paraId="6B378B87" w14:textId="77777777" w:rsidTr="00E66DA4">
        <w:tc>
          <w:tcPr>
            <w:tcW w:w="1885" w:type="dxa"/>
          </w:tcPr>
          <w:p w14:paraId="14F03436"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Melbourne</w:t>
            </w:r>
          </w:p>
        </w:tc>
        <w:tc>
          <w:tcPr>
            <w:tcW w:w="3780" w:type="dxa"/>
          </w:tcPr>
          <w:p w14:paraId="5E0FABCB"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$4.6b</w:t>
            </w:r>
          </w:p>
        </w:tc>
        <w:tc>
          <w:tcPr>
            <w:tcW w:w="3544" w:type="dxa"/>
          </w:tcPr>
          <w:p w14:paraId="1A3E8315" w14:textId="77777777" w:rsidR="00E66DA4" w:rsidRDefault="00E66DA4" w:rsidP="00D30B95">
            <w:pPr>
              <w:pStyle w:val="ListParagraph"/>
              <w:spacing w:after="0" w:line="240" w:lineRule="auto"/>
              <w:ind w:left="0"/>
              <w:jc w:val="center"/>
              <w:rPr>
                <w:rFonts w:cs="Arial"/>
                <w:color w:val="292929"/>
                <w:lang w:val="en"/>
              </w:rPr>
            </w:pPr>
            <w:r>
              <w:rPr>
                <w:rFonts w:cs="Arial"/>
                <w:color w:val="292929"/>
                <w:lang w:val="en"/>
              </w:rPr>
              <w:t>$10.2b</w:t>
            </w:r>
          </w:p>
        </w:tc>
      </w:tr>
    </w:tbl>
    <w:p w14:paraId="4CF09E26" w14:textId="77777777" w:rsidR="0007078D" w:rsidRDefault="0007078D" w:rsidP="00311CA2">
      <w:pPr>
        <w:pStyle w:val="ListParagraph"/>
        <w:ind w:left="567"/>
        <w:jc w:val="center"/>
        <w:rPr>
          <w:rFonts w:cs="Arial"/>
          <w:color w:val="292929"/>
          <w:lang w:val="en"/>
        </w:rPr>
      </w:pPr>
    </w:p>
    <w:p w14:paraId="45EFE50E" w14:textId="77777777" w:rsidR="0007078D" w:rsidRPr="008F25A4" w:rsidRDefault="00663A33" w:rsidP="00726B0D">
      <w:pPr>
        <w:pStyle w:val="ListParagraph"/>
        <w:ind w:left="567"/>
        <w:rPr>
          <w:rFonts w:cs="Arial"/>
          <w:b/>
          <w:color w:val="292929"/>
          <w:lang w:val="en"/>
        </w:rPr>
      </w:pPr>
      <w:bookmarkStart w:id="12" w:name="OLE_LINK11"/>
      <w:bookmarkStart w:id="13" w:name="OLE_LINK12"/>
      <w:r w:rsidRPr="008F25A4">
        <w:rPr>
          <w:rFonts w:cs="Arial"/>
          <w:b/>
          <w:color w:val="292929"/>
          <w:lang w:val="en"/>
        </w:rPr>
        <w:t>Submission on Draft National Ports Strategy</w:t>
      </w:r>
      <w:bookmarkEnd w:id="12"/>
      <w:bookmarkEnd w:id="13"/>
      <w:r w:rsidRPr="008F25A4">
        <w:rPr>
          <w:rFonts w:cs="Arial"/>
          <w:b/>
          <w:color w:val="292929"/>
          <w:lang w:val="en"/>
        </w:rPr>
        <w:t xml:space="preserve"> to Infrastructure Australia and National Transport Commission 2010.</w:t>
      </w:r>
      <w:r w:rsidR="00F076BE" w:rsidRPr="008F25A4">
        <w:rPr>
          <w:rFonts w:cs="Arial"/>
          <w:b/>
          <w:color w:val="292929"/>
          <w:lang w:val="en"/>
        </w:rPr>
        <w:t xml:space="preserve"> </w:t>
      </w:r>
    </w:p>
    <w:p w14:paraId="1F332E58" w14:textId="77777777" w:rsidR="00311CA2" w:rsidRPr="00663A33" w:rsidRDefault="00311CA2" w:rsidP="00726B0D">
      <w:pPr>
        <w:pStyle w:val="ListParagraph"/>
        <w:ind w:left="567"/>
        <w:rPr>
          <w:rFonts w:cs="Arial"/>
          <w:b/>
          <w:color w:val="292929"/>
          <w:lang w:val="en"/>
        </w:rPr>
      </w:pPr>
    </w:p>
    <w:p w14:paraId="09859ACC" w14:textId="1151CA94" w:rsidR="008279B2" w:rsidRPr="00080C5D" w:rsidRDefault="00B41B6A" w:rsidP="00726B0D">
      <w:pPr>
        <w:pStyle w:val="ListParagraph"/>
        <w:ind w:left="567"/>
        <w:rPr>
          <w:rFonts w:cs="Arial"/>
          <w:color w:val="292929"/>
          <w:sz w:val="24"/>
          <w:szCs w:val="24"/>
          <w:lang w:val="en"/>
        </w:rPr>
      </w:pPr>
      <w:hyperlink r:id="rId10" w:history="1">
        <w:r w:rsidR="00663A33" w:rsidRPr="00080C5D">
          <w:rPr>
            <w:rStyle w:val="Hyperlink"/>
            <w:rFonts w:cs="Arial"/>
            <w:sz w:val="24"/>
            <w:szCs w:val="24"/>
            <w:lang w:val="en"/>
          </w:rPr>
          <w:t>http://infrastructureaustralia.gov.au/policy-publications/submissions/nps/files/10_027LyndaNewnam.pdf</w:t>
        </w:r>
      </w:hyperlink>
      <w:r w:rsidR="00663A33" w:rsidRPr="00080C5D">
        <w:rPr>
          <w:rFonts w:cs="Arial"/>
          <w:color w:val="292929"/>
          <w:sz w:val="24"/>
          <w:szCs w:val="24"/>
          <w:lang w:val="en"/>
        </w:rPr>
        <w:t xml:space="preserve"> </w:t>
      </w:r>
    </w:p>
    <w:p w14:paraId="659039C2" w14:textId="77777777" w:rsidR="00311CA2" w:rsidRPr="00080C5D" w:rsidRDefault="00311CA2" w:rsidP="00726B0D">
      <w:pPr>
        <w:pStyle w:val="ListParagraph"/>
        <w:ind w:left="567"/>
        <w:rPr>
          <w:rFonts w:cs="Arial"/>
          <w:color w:val="292929"/>
          <w:sz w:val="24"/>
          <w:szCs w:val="24"/>
          <w:lang w:val="en"/>
        </w:rPr>
      </w:pPr>
    </w:p>
    <w:p w14:paraId="6904A369" w14:textId="77777777" w:rsidR="00311CA2" w:rsidRDefault="00311CA2" w:rsidP="00726B0D">
      <w:pPr>
        <w:pStyle w:val="ListParagraph"/>
        <w:ind w:left="567"/>
        <w:rPr>
          <w:rFonts w:cs="Arial"/>
          <w:color w:val="292929"/>
          <w:lang w:val="en"/>
        </w:rPr>
      </w:pPr>
    </w:p>
    <w:p w14:paraId="71FDEE79" w14:textId="77777777" w:rsidR="00F4010D" w:rsidRDefault="00F4010D" w:rsidP="0039377A">
      <w:pPr>
        <w:pStyle w:val="ListParagraph"/>
        <w:ind w:left="567"/>
        <w:rPr>
          <w:rFonts w:cs="Arial"/>
          <w:color w:val="292929"/>
          <w:lang w:val="en"/>
        </w:rPr>
      </w:pPr>
    </w:p>
    <w:p w14:paraId="35B29769" w14:textId="77777777" w:rsidR="009548F0" w:rsidRPr="0039377A" w:rsidRDefault="009548F0" w:rsidP="009548F0">
      <w:pPr>
        <w:pStyle w:val="ListParagraph"/>
        <w:ind w:left="1134"/>
        <w:jc w:val="both"/>
        <w:rPr>
          <w:rFonts w:cstheme="minorHAnsi"/>
        </w:rPr>
      </w:pPr>
    </w:p>
    <w:p w14:paraId="1F676FF0" w14:textId="77777777" w:rsidR="009548F0" w:rsidRDefault="009548F0" w:rsidP="002D2155">
      <w:pPr>
        <w:pStyle w:val="ListParagraph"/>
        <w:ind w:left="567" w:firstLine="567"/>
        <w:jc w:val="center"/>
        <w:rPr>
          <w:rFonts w:cstheme="minorHAnsi"/>
          <w:szCs w:val="20"/>
        </w:rPr>
      </w:pPr>
    </w:p>
    <w:p w14:paraId="5E3E0707" w14:textId="4D636768" w:rsidR="00663A33" w:rsidRDefault="002B26A9" w:rsidP="009548F0">
      <w:pPr>
        <w:spacing w:after="0" w:line="240" w:lineRule="auto"/>
        <w:ind w:left="567"/>
        <w:jc w:val="both"/>
        <w:rPr>
          <w:rFonts w:eastAsiaTheme="minorEastAsia" w:cstheme="minorHAnsi"/>
          <w:kern w:val="24"/>
        </w:rPr>
      </w:pPr>
      <w:r>
        <w:rPr>
          <w:noProof/>
          <w:lang w:eastAsia="en-AU"/>
        </w:rPr>
        <mc:AlternateContent>
          <mc:Choice Requires="wps">
            <w:drawing>
              <wp:anchor distT="0" distB="0" distL="114300" distR="114300" simplePos="0" relativeHeight="251668480" behindDoc="0" locked="0" layoutInCell="1" allowOverlap="1" wp14:anchorId="0AB5B574" wp14:editId="6349913F">
                <wp:simplePos x="0" y="0"/>
                <wp:positionH relativeFrom="column">
                  <wp:posOffset>-657225</wp:posOffset>
                </wp:positionH>
                <wp:positionV relativeFrom="paragraph">
                  <wp:posOffset>3378200</wp:posOffset>
                </wp:positionV>
                <wp:extent cx="6962140" cy="151923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6962140" cy="1519238"/>
                        </a:xfrm>
                        <a:prstGeom prst="rect">
                          <a:avLst/>
                        </a:prstGeom>
                        <a:solidFill>
                          <a:sysClr val="window" lastClr="FFFFFF"/>
                        </a:solidFill>
                        <a:ln w="6350">
                          <a:noFill/>
                        </a:ln>
                      </wps:spPr>
                      <wps:txbx>
                        <w:txbxContent>
                          <w:p w14:paraId="31BB5E37" w14:textId="77777777" w:rsidR="00F234D8" w:rsidRPr="004C0E81" w:rsidRDefault="00F234D8" w:rsidP="004C0E81">
                            <w:pPr>
                              <w:jc w:val="center"/>
                              <w:rPr>
                                <w:color w:val="002060"/>
                                <w:sz w:val="32"/>
                                <w:szCs w:val="32"/>
                              </w:rPr>
                            </w:pPr>
                            <w:bookmarkStart w:id="14" w:name="OLE_LINK13"/>
                            <w:bookmarkStart w:id="15" w:name="OLE_LINK14"/>
                            <w:r w:rsidRPr="004C0E81">
                              <w:rPr>
                                <w:color w:val="002060"/>
                                <w:sz w:val="32"/>
                                <w:szCs w:val="32"/>
                              </w:rPr>
                              <w:t>I-PG MULTI-BILLION DOLLAR SDA PROJECT AND</w:t>
                            </w:r>
                          </w:p>
                          <w:bookmarkEnd w:id="14"/>
                          <w:bookmarkEnd w:id="15"/>
                          <w:p w14:paraId="7C1A4024" w14:textId="77777777" w:rsidR="00F234D8" w:rsidRPr="004C0E81" w:rsidRDefault="00F234D8" w:rsidP="004C0E81">
                            <w:pPr>
                              <w:jc w:val="center"/>
                              <w:rPr>
                                <w:color w:val="002060"/>
                                <w:sz w:val="32"/>
                                <w:szCs w:val="32"/>
                              </w:rPr>
                            </w:pPr>
                            <w:r w:rsidRPr="004C0E81">
                              <w:rPr>
                                <w:color w:val="002060"/>
                                <w:sz w:val="32"/>
                                <w:szCs w:val="32"/>
                              </w:rPr>
                              <w:t>EASTERN AUSTRALIAN RAIL STRATEGY</w:t>
                            </w:r>
                          </w:p>
                          <w:p w14:paraId="161B8EF4" w14:textId="77777777" w:rsidR="00F234D8" w:rsidRDefault="00F234D8" w:rsidP="004C0E81">
                            <w:pPr>
                              <w:jc w:val="center"/>
                              <w:rPr>
                                <w:color w:val="002060"/>
                                <w:sz w:val="32"/>
                                <w:szCs w:val="32"/>
                              </w:rPr>
                            </w:pPr>
                            <w:r w:rsidRPr="004C0E81">
                              <w:rPr>
                                <w:color w:val="002060"/>
                                <w:sz w:val="32"/>
                                <w:szCs w:val="32"/>
                              </w:rPr>
                              <w:t xml:space="preserve">POSITIONS GLADSTONE AS THE PREMIER HUB </w:t>
                            </w:r>
                          </w:p>
                          <w:p w14:paraId="3A47F371" w14:textId="77777777" w:rsidR="00F234D8" w:rsidRPr="004C0E81" w:rsidRDefault="00F234D8" w:rsidP="004C0E81">
                            <w:pPr>
                              <w:jc w:val="center"/>
                              <w:rPr>
                                <w:color w:val="002060"/>
                                <w:sz w:val="32"/>
                                <w:szCs w:val="32"/>
                              </w:rPr>
                            </w:pPr>
                            <w:r w:rsidRPr="004C0E81">
                              <w:rPr>
                                <w:color w:val="002060"/>
                                <w:sz w:val="32"/>
                                <w:szCs w:val="32"/>
                              </w:rPr>
                              <w:t xml:space="preserve">FOR GLOBAL TRADE EXCHANGE AND ECONOMIC INTEGRATION   </w:t>
                            </w:r>
                          </w:p>
                          <w:p w14:paraId="755316DB" w14:textId="77777777" w:rsidR="00F234D8" w:rsidRPr="00B274D1" w:rsidRDefault="00F234D8" w:rsidP="004C0E81">
                            <w:pPr>
                              <w:jc w:val="center"/>
                              <w:rPr>
                                <w:sz w:val="36"/>
                                <w:szCs w:val="36"/>
                              </w:rPr>
                            </w:pPr>
                            <w:r>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B5B574" id="_x0000_t202" coordsize="21600,21600" o:spt="202" path="m,l,21600r21600,l21600,xe">
                <v:stroke joinstyle="miter"/>
                <v:path gradientshapeok="t" o:connecttype="rect"/>
              </v:shapetype>
              <v:shape id="Text Box 8" o:spid="_x0000_s1029" type="#_x0000_t202" style="position:absolute;left:0;text-align:left;margin-left:-51.75pt;margin-top:266pt;width:548.2pt;height:1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ApTgIAAJIEAAAOAAAAZHJzL2Uyb0RvYy54bWysVE1vGjEQvVfqf7B8b5YFQhOUJaJEVJWi&#10;JBJUORuvN6zk9bi2YZf++j57gaRpT1U5mPHMeD7em9mb267RbK+cr8kUPL8YcKaMpLI2LwX/vl5+&#10;uuLMB2FKocmogh+U57ezjx9uWjtVQ9qSLpVjCGL8tLUF34Zgp1nm5VY1wl+QVQbGilwjAq7uJSud&#10;aBG90dlwMJhkLbnSOpLKe2jveiOfpfhVpWR4rCqvAtMFR20hnS6dm3hmsxsxfXHCbmt5LEP8QxWN&#10;qA2SnkPdiSDYztV/hGpq6chTFS4kNRlVVS1V6gHd5IN33ay2wqrUC8Dx9gyT/39h5cP+ybG6LDiI&#10;MqIBRWvVBfaFOnYV0Wmtn8JpZeEWOqjB8knvoYxNd5Vr4j/aYbAD58MZ2xhMQjm5ngzzMUwStvwy&#10;vx6OUvzs9bl1PnxV1LAoFNyBvISp2N/7gFLgenKJ2TzpulzWWqfLwS+0Y3sBnjEeJbWcaeEDlAVf&#10;pl+sGiF+e6YNa1Hb6HKQMhmK8Xo/beAeu++7jFLoNl3CanRCYEPlAcA46gfLW7msUfw9Mj8Jh0lC&#10;w9iO8Iij0oRcdJQ425L7+Td99AfBsHLWYjIL7n/shFNo6JsB9df5OOIY0mV8+XmIi3tr2by1mF2z&#10;IICSYw+tTGL0D/okVo6aZyzRPGaFSRiJ3AUPJ3ER+n3BEko1nycnDK8V4d6srIyhIwORmnX3LJw9&#10;8hdA/QOdZlhM39HY+8aXhua7QFWdOI4496ge4cfgJ96OSxo36+09eb1+Sma/AAAA//8DAFBLAwQU&#10;AAYACAAAACEA8C2eh+UAAAAMAQAADwAAAGRycy9kb3ducmV2LnhtbEyPy07DMBBF90j8gzVI7Frn&#10;odImxKkQAkGlRqUBia0bD0kgHkex24R+PWYFy9Ec3Xtutp50x0442NaQgHAeAEOqjGqpFvD2+jhb&#10;AbNOkpKdIRTwjRbW+eVFJlNlRtrjqXQ18yFkUymgca5PObdVg1rauemR/O/DDFo6fw41V4Mcfbju&#10;eBQEN1zLlnxDI3u8b7D6Ko9awPtYPg27zebzpX8uzrtzWWzxoRDi+mq6uwXmcHJ/MPzqe3XIvdPB&#10;HElZ1gmYhUG88KyARRz5VR5JkigBdhCwXIYx8Dzj/0fkPwAAAP//AwBQSwECLQAUAAYACAAAACEA&#10;toM4kv4AAADhAQAAEwAAAAAAAAAAAAAAAAAAAAAAW0NvbnRlbnRfVHlwZXNdLnhtbFBLAQItABQA&#10;BgAIAAAAIQA4/SH/1gAAAJQBAAALAAAAAAAAAAAAAAAAAC8BAABfcmVscy8ucmVsc1BLAQItABQA&#10;BgAIAAAAIQD8m6ApTgIAAJIEAAAOAAAAAAAAAAAAAAAAAC4CAABkcnMvZTJvRG9jLnhtbFBLAQIt&#10;ABQABgAIAAAAIQDwLZ6H5QAAAAwBAAAPAAAAAAAAAAAAAAAAAKgEAABkcnMvZG93bnJldi54bWxQ&#10;SwUGAAAAAAQABADzAAAAugUAAAAA&#10;" fillcolor="window" stroked="f" strokeweight=".5pt">
                <v:textbox>
                  <w:txbxContent>
                    <w:p w14:paraId="31BB5E37" w14:textId="77777777" w:rsidR="00F234D8" w:rsidRPr="004C0E81" w:rsidRDefault="00F234D8" w:rsidP="004C0E81">
                      <w:pPr>
                        <w:jc w:val="center"/>
                        <w:rPr>
                          <w:color w:val="002060"/>
                          <w:sz w:val="32"/>
                          <w:szCs w:val="32"/>
                        </w:rPr>
                      </w:pPr>
                      <w:bookmarkStart w:id="16" w:name="OLE_LINK13"/>
                      <w:bookmarkStart w:id="17" w:name="OLE_LINK14"/>
                      <w:r w:rsidRPr="004C0E81">
                        <w:rPr>
                          <w:color w:val="002060"/>
                          <w:sz w:val="32"/>
                          <w:szCs w:val="32"/>
                        </w:rPr>
                        <w:t>I-PG MULTI-BILLION DOLLAR SDA PROJECT AND</w:t>
                      </w:r>
                    </w:p>
                    <w:bookmarkEnd w:id="16"/>
                    <w:bookmarkEnd w:id="17"/>
                    <w:p w14:paraId="7C1A4024" w14:textId="77777777" w:rsidR="00F234D8" w:rsidRPr="004C0E81" w:rsidRDefault="00F234D8" w:rsidP="004C0E81">
                      <w:pPr>
                        <w:jc w:val="center"/>
                        <w:rPr>
                          <w:color w:val="002060"/>
                          <w:sz w:val="32"/>
                          <w:szCs w:val="32"/>
                        </w:rPr>
                      </w:pPr>
                      <w:r w:rsidRPr="004C0E81">
                        <w:rPr>
                          <w:color w:val="002060"/>
                          <w:sz w:val="32"/>
                          <w:szCs w:val="32"/>
                        </w:rPr>
                        <w:t>EASTERN AUSTRALIAN RAIL STRATEGY</w:t>
                      </w:r>
                    </w:p>
                    <w:p w14:paraId="161B8EF4" w14:textId="77777777" w:rsidR="00F234D8" w:rsidRDefault="00F234D8" w:rsidP="004C0E81">
                      <w:pPr>
                        <w:jc w:val="center"/>
                        <w:rPr>
                          <w:color w:val="002060"/>
                          <w:sz w:val="32"/>
                          <w:szCs w:val="32"/>
                        </w:rPr>
                      </w:pPr>
                      <w:r w:rsidRPr="004C0E81">
                        <w:rPr>
                          <w:color w:val="002060"/>
                          <w:sz w:val="32"/>
                          <w:szCs w:val="32"/>
                        </w:rPr>
                        <w:t xml:space="preserve">POSITIONS GLADSTONE AS THE PREMIER HUB </w:t>
                      </w:r>
                    </w:p>
                    <w:p w14:paraId="3A47F371" w14:textId="77777777" w:rsidR="00F234D8" w:rsidRPr="004C0E81" w:rsidRDefault="00F234D8" w:rsidP="004C0E81">
                      <w:pPr>
                        <w:jc w:val="center"/>
                        <w:rPr>
                          <w:color w:val="002060"/>
                          <w:sz w:val="32"/>
                          <w:szCs w:val="32"/>
                        </w:rPr>
                      </w:pPr>
                      <w:r w:rsidRPr="004C0E81">
                        <w:rPr>
                          <w:color w:val="002060"/>
                          <w:sz w:val="32"/>
                          <w:szCs w:val="32"/>
                        </w:rPr>
                        <w:t xml:space="preserve">FOR GLOBAL TRADE EXCHANGE AND ECONOMIC INTEGRATION   </w:t>
                      </w:r>
                    </w:p>
                    <w:p w14:paraId="755316DB" w14:textId="77777777" w:rsidR="00F234D8" w:rsidRPr="00B274D1" w:rsidRDefault="00F234D8" w:rsidP="004C0E81">
                      <w:pPr>
                        <w:jc w:val="center"/>
                        <w:rPr>
                          <w:sz w:val="36"/>
                          <w:szCs w:val="36"/>
                        </w:rPr>
                      </w:pPr>
                      <w:r>
                        <w:rPr>
                          <w:sz w:val="36"/>
                          <w:szCs w:val="36"/>
                        </w:rPr>
                        <w:t xml:space="preserve"> </w:t>
                      </w:r>
                    </w:p>
                  </w:txbxContent>
                </v:textbox>
              </v:shape>
            </w:pict>
          </mc:Fallback>
        </mc:AlternateContent>
      </w:r>
      <w:r>
        <w:rPr>
          <w:noProof/>
          <w:lang w:eastAsia="en-AU"/>
        </w:rPr>
        <w:drawing>
          <wp:anchor distT="0" distB="0" distL="114300" distR="114300" simplePos="0" relativeHeight="251663360" behindDoc="0" locked="0" layoutInCell="1" allowOverlap="1" wp14:anchorId="073154ED" wp14:editId="6AE42941">
            <wp:simplePos x="0" y="0"/>
            <wp:positionH relativeFrom="margin">
              <wp:posOffset>-238125</wp:posOffset>
            </wp:positionH>
            <wp:positionV relativeFrom="margin">
              <wp:posOffset>28575</wp:posOffset>
            </wp:positionV>
            <wp:extent cx="6195695" cy="31991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5695" cy="3199130"/>
                    </a:xfrm>
                    <a:prstGeom prst="rect">
                      <a:avLst/>
                    </a:prstGeom>
                  </pic:spPr>
                </pic:pic>
              </a:graphicData>
            </a:graphic>
            <wp14:sizeRelH relativeFrom="margin">
              <wp14:pctWidth>0</wp14:pctWidth>
            </wp14:sizeRelH>
            <wp14:sizeRelV relativeFrom="margin">
              <wp14:pctHeight>0</wp14:pctHeight>
            </wp14:sizeRelV>
          </wp:anchor>
        </w:drawing>
      </w:r>
    </w:p>
    <w:p w14:paraId="0CA08444" w14:textId="77777777" w:rsidR="00663A33" w:rsidRDefault="00663A33" w:rsidP="009548F0">
      <w:pPr>
        <w:spacing w:after="0" w:line="240" w:lineRule="auto"/>
        <w:ind w:left="567"/>
        <w:jc w:val="both"/>
        <w:rPr>
          <w:rFonts w:eastAsiaTheme="minorEastAsia" w:cstheme="minorHAnsi"/>
          <w:kern w:val="24"/>
        </w:rPr>
      </w:pPr>
    </w:p>
    <w:p w14:paraId="04FEEDB0" w14:textId="77777777" w:rsidR="00663A33" w:rsidRDefault="00663A33" w:rsidP="009548F0">
      <w:pPr>
        <w:spacing w:after="0" w:line="240" w:lineRule="auto"/>
        <w:ind w:left="567"/>
        <w:jc w:val="both"/>
        <w:rPr>
          <w:rFonts w:eastAsiaTheme="minorEastAsia" w:cstheme="minorHAnsi"/>
          <w:kern w:val="24"/>
        </w:rPr>
      </w:pPr>
    </w:p>
    <w:p w14:paraId="42F12944" w14:textId="77777777" w:rsidR="009545E7" w:rsidRDefault="009545E7" w:rsidP="009548F0">
      <w:pPr>
        <w:spacing w:after="0" w:line="240" w:lineRule="auto"/>
        <w:ind w:left="567"/>
        <w:jc w:val="both"/>
        <w:rPr>
          <w:rFonts w:asciiTheme="majorHAnsi" w:eastAsiaTheme="minorEastAsia" w:hAnsiTheme="majorHAnsi" w:cstheme="minorHAnsi"/>
          <w:kern w:val="24"/>
        </w:rPr>
      </w:pPr>
    </w:p>
    <w:p w14:paraId="38C8F59D"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10834EB2"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186EC128"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6BF4E1BD"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2C84F112"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0320F81D" w14:textId="77777777" w:rsidR="004C0E81" w:rsidRDefault="004C0E81" w:rsidP="009548F0">
      <w:pPr>
        <w:spacing w:after="0" w:line="240" w:lineRule="auto"/>
        <w:ind w:left="567"/>
        <w:jc w:val="both"/>
        <w:rPr>
          <w:rFonts w:asciiTheme="majorHAnsi" w:eastAsiaTheme="minorEastAsia" w:hAnsiTheme="majorHAnsi" w:cstheme="minorHAnsi"/>
          <w:kern w:val="24"/>
        </w:rPr>
      </w:pPr>
    </w:p>
    <w:p w14:paraId="22DB2955" w14:textId="77777777" w:rsidR="00205C6E" w:rsidRDefault="00EC2A51" w:rsidP="00F0697B">
      <w:pPr>
        <w:ind w:left="567"/>
        <w:jc w:val="both"/>
      </w:pPr>
      <w:r w:rsidRPr="00943B19">
        <w:t xml:space="preserve">As indicated in </w:t>
      </w:r>
      <w:r w:rsidR="000C386F">
        <w:t xml:space="preserve">the </w:t>
      </w:r>
      <w:r w:rsidRPr="00943B19">
        <w:t xml:space="preserve">initial meeting </w:t>
      </w:r>
      <w:r w:rsidR="008C59E4">
        <w:t xml:space="preserve">held </w:t>
      </w:r>
      <w:r>
        <w:t xml:space="preserve">between </w:t>
      </w:r>
      <w:r w:rsidR="00922618">
        <w:t xml:space="preserve">the CEO of Inter-Port Global, </w:t>
      </w:r>
      <w:r>
        <w:t>Mr. Des Euen and the Gladstone Regional Council on December 12-2016,</w:t>
      </w:r>
      <w:r w:rsidRPr="00943B19">
        <w:t xml:space="preserve"> the </w:t>
      </w:r>
      <w:r w:rsidR="008C59E4">
        <w:t xml:space="preserve">primary </w:t>
      </w:r>
      <w:r w:rsidRPr="00943B19">
        <w:t>aim of the envisioned Inter-Port Global development is to</w:t>
      </w:r>
      <w:r>
        <w:t xml:space="preserve"> position Gladstone as </w:t>
      </w:r>
      <w:r w:rsidR="00192B14">
        <w:t xml:space="preserve">eastern </w:t>
      </w:r>
      <w:r w:rsidR="004E0F1B">
        <w:t xml:space="preserve">Australia’s premier </w:t>
      </w:r>
      <w:r w:rsidR="008C59E4">
        <w:t xml:space="preserve">hub for global trade exchange and economic integration. </w:t>
      </w:r>
      <w:r w:rsidR="00192B14">
        <w:t xml:space="preserve">  </w:t>
      </w:r>
      <w:r w:rsidR="004E0F1B">
        <w:t xml:space="preserve">  </w:t>
      </w:r>
    </w:p>
    <w:p w14:paraId="4CCD6F95" w14:textId="77777777" w:rsidR="006F0BF7" w:rsidRDefault="004E0F1B" w:rsidP="00F0697B">
      <w:pPr>
        <w:ind w:left="567"/>
        <w:jc w:val="both"/>
        <w:rPr>
          <w:rFonts w:cstheme="minorHAnsi"/>
        </w:rPr>
      </w:pPr>
      <w:r>
        <w:rPr>
          <w:rFonts w:cstheme="minorHAnsi"/>
        </w:rPr>
        <w:t xml:space="preserve">The </w:t>
      </w:r>
      <w:r w:rsidR="00052806">
        <w:rPr>
          <w:rFonts w:cstheme="minorHAnsi"/>
        </w:rPr>
        <w:t>enterprise</w:t>
      </w:r>
      <w:r>
        <w:rPr>
          <w:rFonts w:cstheme="minorHAnsi"/>
        </w:rPr>
        <w:t xml:space="preserve"> provides a compelling case to develop the Gladstone State Development Area (“SDA”) as </w:t>
      </w:r>
      <w:r w:rsidR="00941A9A">
        <w:rPr>
          <w:rFonts w:cstheme="minorHAnsi"/>
        </w:rPr>
        <w:t>a</w:t>
      </w:r>
      <w:r>
        <w:rPr>
          <w:rFonts w:cstheme="minorHAnsi"/>
        </w:rPr>
        <w:t xml:space="preserve"> premier destination for </w:t>
      </w:r>
      <w:r w:rsidR="00941A9A">
        <w:rPr>
          <w:rFonts w:cstheme="minorHAnsi"/>
        </w:rPr>
        <w:t xml:space="preserve">high-end investment in all related sectors of the economy. </w:t>
      </w:r>
      <w:r w:rsidR="000A683D">
        <w:rPr>
          <w:rFonts w:cstheme="minorHAnsi"/>
        </w:rPr>
        <w:t xml:space="preserve">It is envisioned that substantial flow-on investment can be expected not only throughout the industrial sector, but also </w:t>
      </w:r>
      <w:r w:rsidR="00941A9A">
        <w:rPr>
          <w:rFonts w:cstheme="minorHAnsi"/>
        </w:rPr>
        <w:t>technolog</w:t>
      </w:r>
      <w:r w:rsidR="000A683D">
        <w:rPr>
          <w:rFonts w:cstheme="minorHAnsi"/>
        </w:rPr>
        <w:t>y a</w:t>
      </w:r>
      <w:r w:rsidR="00941A9A">
        <w:rPr>
          <w:rFonts w:cstheme="minorHAnsi"/>
        </w:rPr>
        <w:t xml:space="preserve">nd </w:t>
      </w:r>
      <w:r w:rsidR="000A683D">
        <w:rPr>
          <w:rFonts w:cstheme="minorHAnsi"/>
        </w:rPr>
        <w:t>a diverse range of support</w:t>
      </w:r>
      <w:r w:rsidR="008F25A4">
        <w:rPr>
          <w:rFonts w:cstheme="minorHAnsi"/>
        </w:rPr>
        <w:t xml:space="preserve">-based </w:t>
      </w:r>
      <w:r w:rsidR="000A683D">
        <w:rPr>
          <w:rFonts w:cstheme="minorHAnsi"/>
        </w:rPr>
        <w:t xml:space="preserve">business activities. </w:t>
      </w:r>
      <w:r w:rsidR="006F0BF7">
        <w:rPr>
          <w:rFonts w:cstheme="minorHAnsi"/>
        </w:rPr>
        <w:t xml:space="preserve">  </w:t>
      </w:r>
    </w:p>
    <w:p w14:paraId="003E7F79" w14:textId="77777777" w:rsidR="006F0BF7" w:rsidRDefault="004E0F1B" w:rsidP="00F0697B">
      <w:pPr>
        <w:ind w:left="567"/>
        <w:jc w:val="both"/>
        <w:rPr>
          <w:rFonts w:cstheme="minorHAnsi"/>
        </w:rPr>
      </w:pPr>
      <w:r>
        <w:rPr>
          <w:rFonts w:cstheme="minorHAnsi"/>
        </w:rPr>
        <w:t xml:space="preserve">With </w:t>
      </w:r>
      <w:r w:rsidR="006F0BF7">
        <w:rPr>
          <w:rFonts w:cstheme="minorHAnsi"/>
        </w:rPr>
        <w:t>some 27,</w:t>
      </w:r>
      <w:r>
        <w:rPr>
          <w:rFonts w:cstheme="minorHAnsi"/>
        </w:rPr>
        <w:t>000 hectares of potential development land</w:t>
      </w:r>
      <w:r w:rsidR="003461DB">
        <w:rPr>
          <w:rFonts w:cstheme="minorHAnsi"/>
        </w:rPr>
        <w:t>, the SDA</w:t>
      </w:r>
      <w:r>
        <w:rPr>
          <w:rFonts w:cstheme="minorHAnsi"/>
        </w:rPr>
        <w:t xml:space="preserve"> </w:t>
      </w:r>
      <w:r w:rsidR="003461DB">
        <w:rPr>
          <w:rFonts w:cstheme="minorHAnsi"/>
        </w:rPr>
        <w:t xml:space="preserve">provides </w:t>
      </w:r>
      <w:r>
        <w:rPr>
          <w:rFonts w:cstheme="minorHAnsi"/>
        </w:rPr>
        <w:t xml:space="preserve">adequate capacity for such a major project.  Additionally, the site’s accessibility to all major transport links – or its ready adaptation to the expansion of those links – adds a critical facet to the site’s suitability. </w:t>
      </w:r>
    </w:p>
    <w:p w14:paraId="78ACFE59" w14:textId="77777777" w:rsidR="00922618" w:rsidRPr="00451B15" w:rsidRDefault="00922618" w:rsidP="00922618">
      <w:pPr>
        <w:shd w:val="clear" w:color="auto" w:fill="FFFFFF"/>
        <w:spacing w:after="225" w:line="240" w:lineRule="auto"/>
        <w:ind w:left="567"/>
        <w:jc w:val="both"/>
        <w:rPr>
          <w:rFonts w:ascii="Calibri" w:eastAsia="Times New Roman" w:hAnsi="Calibri" w:cs="Calibri"/>
          <w:lang w:val="en"/>
        </w:rPr>
      </w:pPr>
      <w:proofErr w:type="gramStart"/>
      <w:r w:rsidRPr="00451B15">
        <w:rPr>
          <w:rFonts w:ascii="Calibri" w:eastAsia="Times New Roman" w:hAnsi="Calibri" w:cs="Calibri"/>
          <w:lang w:val="en"/>
        </w:rPr>
        <w:t>The I</w:t>
      </w:r>
      <w:proofErr w:type="gramEnd"/>
      <w:r w:rsidRPr="00451B15">
        <w:rPr>
          <w:rFonts w:ascii="Calibri" w:eastAsia="Times New Roman" w:hAnsi="Calibri" w:cs="Calibri"/>
          <w:lang w:val="en"/>
        </w:rPr>
        <w:t>-PG Gladstone-based SDA economic development program, is by far, one of the most ambitious and deliverable economic development programs released in Australia over the past two decades.  Ideally positioned on Australia’s primary trade shipping lane that carries upwards of 75% of nation’s import/export trade, the development will create Australia’s largest one-stop fully-integrated port and industrial precinct</w:t>
      </w:r>
      <w:r>
        <w:rPr>
          <w:rFonts w:ascii="Calibri" w:eastAsia="Times New Roman" w:hAnsi="Calibri" w:cs="Calibri"/>
          <w:lang w:val="en"/>
        </w:rPr>
        <w:t>.</w:t>
      </w:r>
      <w:r w:rsidRPr="00451B15">
        <w:rPr>
          <w:rFonts w:ascii="Calibri" w:eastAsia="Times New Roman" w:hAnsi="Calibri" w:cs="Calibri"/>
          <w:lang w:val="en"/>
        </w:rPr>
        <w:t xml:space="preserve"> </w:t>
      </w:r>
    </w:p>
    <w:p w14:paraId="1FA6A1C8" w14:textId="77777777" w:rsidR="00316C50" w:rsidRDefault="00922618" w:rsidP="00316C50">
      <w:pPr>
        <w:pStyle w:val="NormalWeb"/>
        <w:spacing w:after="0"/>
        <w:ind w:left="567"/>
        <w:jc w:val="both"/>
        <w:rPr>
          <w:rFonts w:asciiTheme="minorHAnsi" w:eastAsiaTheme="minorEastAsia" w:hAnsiTheme="minorHAnsi" w:cstheme="minorHAnsi"/>
          <w:kern w:val="24"/>
          <w:sz w:val="22"/>
          <w:szCs w:val="22"/>
        </w:rPr>
      </w:pPr>
      <w:r w:rsidRPr="00451B15">
        <w:rPr>
          <w:rFonts w:asciiTheme="minorHAnsi" w:eastAsiaTheme="minorEastAsia" w:hAnsiTheme="minorHAnsi" w:cstheme="minorHAnsi"/>
          <w:kern w:val="24"/>
          <w:sz w:val="22"/>
          <w:szCs w:val="22"/>
        </w:rPr>
        <w:t xml:space="preserve">The strategic plan, we believe, will add significant value to Gladstone’s position as a world-class industrial city through a range of innovative globally focused developments that are flexible and adaptable to changing economic conditions. </w:t>
      </w:r>
    </w:p>
    <w:p w14:paraId="56994AD9" w14:textId="77777777" w:rsidR="00316C50" w:rsidRDefault="00316C50" w:rsidP="00316C50">
      <w:pPr>
        <w:pStyle w:val="NormalWeb"/>
        <w:spacing w:after="0"/>
        <w:ind w:left="567"/>
        <w:jc w:val="both"/>
        <w:rPr>
          <w:rFonts w:asciiTheme="minorHAnsi" w:eastAsiaTheme="minorEastAsia" w:hAnsiTheme="minorHAnsi" w:cstheme="minorHAnsi"/>
          <w:kern w:val="24"/>
          <w:sz w:val="22"/>
          <w:szCs w:val="22"/>
        </w:rPr>
      </w:pPr>
    </w:p>
    <w:p w14:paraId="51D954D3" w14:textId="77777777" w:rsidR="00316C50" w:rsidRPr="00316C50" w:rsidRDefault="00316C50" w:rsidP="00316C50">
      <w:pPr>
        <w:pStyle w:val="NormalWeb"/>
        <w:spacing w:after="0"/>
        <w:ind w:left="567"/>
        <w:jc w:val="both"/>
        <w:rPr>
          <w:rFonts w:cstheme="minorHAnsi"/>
        </w:rPr>
      </w:pPr>
      <w:r w:rsidRPr="00316C50">
        <w:rPr>
          <w:rFonts w:asciiTheme="minorHAnsi" w:eastAsiaTheme="minorEastAsia" w:hAnsiTheme="minorHAnsi" w:cstheme="minorHAnsi"/>
          <w:kern w:val="24"/>
          <w:sz w:val="22"/>
          <w:szCs w:val="22"/>
        </w:rPr>
        <w:t>The proposed I-PG all-embracing SDA development plan is, we believe, consistent with the objectives of the Queensland Ports Strategy and the Gladstone Regional 10 Year Development Plan.</w:t>
      </w:r>
      <w:r w:rsidRPr="00316C50">
        <w:rPr>
          <w:rFonts w:eastAsiaTheme="minorEastAsia" w:cstheme="minorHAnsi"/>
          <w:kern w:val="24"/>
        </w:rPr>
        <w:t xml:space="preserve"> </w:t>
      </w:r>
    </w:p>
    <w:p w14:paraId="1998155F" w14:textId="77777777" w:rsidR="00F0697B" w:rsidRDefault="00F0697B" w:rsidP="00F0697B">
      <w:pPr>
        <w:ind w:left="567"/>
        <w:jc w:val="both"/>
        <w:rPr>
          <w:b/>
        </w:rPr>
      </w:pPr>
      <w:r>
        <w:rPr>
          <w:noProof/>
          <w:lang w:eastAsia="en-AU"/>
        </w:rPr>
        <w:drawing>
          <wp:inline distT="0" distB="0" distL="0" distR="0" wp14:anchorId="61D77954" wp14:editId="225681D4">
            <wp:extent cx="5810250" cy="507206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2"/>
                    <a:srcRect t="1471" b="1457"/>
                    <a:stretch/>
                  </pic:blipFill>
                  <pic:spPr>
                    <a:xfrm>
                      <a:off x="0" y="0"/>
                      <a:ext cx="5816108" cy="5077176"/>
                    </a:xfrm>
                    <a:prstGeom prst="rect">
                      <a:avLst/>
                    </a:prstGeom>
                  </pic:spPr>
                </pic:pic>
              </a:graphicData>
            </a:graphic>
          </wp:inline>
        </w:drawing>
      </w:r>
    </w:p>
    <w:p w14:paraId="7A789481" w14:textId="77777777" w:rsidR="00316C50" w:rsidRDefault="00316C50" w:rsidP="00F0697B">
      <w:pPr>
        <w:ind w:left="567"/>
        <w:jc w:val="both"/>
        <w:rPr>
          <w:b/>
        </w:rPr>
      </w:pPr>
    </w:p>
    <w:p w14:paraId="7EE62580" w14:textId="77777777" w:rsidR="00316C50" w:rsidRPr="00AF5ECC" w:rsidRDefault="00316C50" w:rsidP="00801F52">
      <w:pPr>
        <w:ind w:left="567"/>
        <w:jc w:val="center"/>
        <w:rPr>
          <w:rFonts w:cstheme="minorHAnsi"/>
          <w:color w:val="002060"/>
          <w:sz w:val="36"/>
          <w:szCs w:val="36"/>
        </w:rPr>
      </w:pPr>
      <w:bookmarkStart w:id="16" w:name="OLE_LINK15"/>
      <w:bookmarkStart w:id="17" w:name="OLE_LINK16"/>
      <w:r w:rsidRPr="00AF5ECC">
        <w:rPr>
          <w:rFonts w:cstheme="minorHAnsi"/>
          <w:color w:val="002060"/>
          <w:sz w:val="36"/>
          <w:szCs w:val="36"/>
        </w:rPr>
        <w:t xml:space="preserve">Gladstone -Toowoomba Railway </w:t>
      </w:r>
      <w:r w:rsidR="00AF5ECC">
        <w:rPr>
          <w:rFonts w:cstheme="minorHAnsi"/>
          <w:color w:val="002060"/>
          <w:sz w:val="36"/>
          <w:szCs w:val="36"/>
        </w:rPr>
        <w:t xml:space="preserve">Project </w:t>
      </w:r>
      <w:r w:rsidRPr="00AF5ECC">
        <w:rPr>
          <w:rFonts w:cstheme="minorHAnsi"/>
          <w:color w:val="002060"/>
          <w:sz w:val="36"/>
          <w:szCs w:val="36"/>
        </w:rPr>
        <w:t>Development</w:t>
      </w:r>
    </w:p>
    <w:bookmarkEnd w:id="16"/>
    <w:bookmarkEnd w:id="17"/>
    <w:p w14:paraId="5E399D74" w14:textId="77777777" w:rsidR="00316C50" w:rsidRPr="00451B15" w:rsidRDefault="00316C50" w:rsidP="00801F52">
      <w:pPr>
        <w:ind w:left="567"/>
        <w:jc w:val="both"/>
        <w:rPr>
          <w:rFonts w:cstheme="minorHAnsi"/>
        </w:rPr>
      </w:pPr>
      <w:r w:rsidRPr="00451B15">
        <w:rPr>
          <w:rFonts w:cstheme="minorHAnsi"/>
        </w:rPr>
        <w:t xml:space="preserve">This section of the I-PG plan entails the construction of a 497km dual gauge railway linking the Port of Gladstone with the planned </w:t>
      </w:r>
      <w:r w:rsidRPr="00451B15">
        <w:rPr>
          <w:rFonts w:cstheme="minorHAnsi"/>
          <w:i/>
        </w:rPr>
        <w:t>Australian Rail Track</w:t>
      </w:r>
      <w:r w:rsidRPr="00451B15">
        <w:rPr>
          <w:rFonts w:cstheme="minorHAnsi"/>
        </w:rPr>
        <w:t xml:space="preserve"> </w:t>
      </w:r>
      <w:r w:rsidRPr="00451B15">
        <w:rPr>
          <w:rFonts w:cstheme="minorHAnsi"/>
          <w:i/>
        </w:rPr>
        <w:t>Corporation (‘ARTC’)</w:t>
      </w:r>
      <w:r w:rsidRPr="00451B15">
        <w:rPr>
          <w:rFonts w:cstheme="minorHAnsi"/>
        </w:rPr>
        <w:t xml:space="preserve"> Melbourne - Brisbane inland rail route at Oakey in south western Queensland. The advent of a dedicated high-speed, dual gauge, double height container rail corridor linking eastern Australian economic growth regions to the Port of Gladstone will open a new chapter in the history of Australian freight logistics operations. </w:t>
      </w:r>
      <w:r w:rsidRPr="00451B15">
        <w:rPr>
          <w:rFonts w:cstheme="minorHAnsi"/>
          <w:i/>
          <w:u w:val="single"/>
        </w:rPr>
        <w:t>Providing a time advantage of 60.5%</w:t>
      </w:r>
      <w:r w:rsidRPr="00451B15">
        <w:rPr>
          <w:rFonts w:cstheme="minorHAnsi"/>
        </w:rPr>
        <w:t xml:space="preserve"> over the traditional method </w:t>
      </w:r>
      <w:r w:rsidRPr="00451B15">
        <w:rPr>
          <w:rFonts w:cstheme="minorHAnsi"/>
          <w:i/>
        </w:rPr>
        <w:t>‘multiple ports of call’</w:t>
      </w:r>
      <w:r w:rsidRPr="00451B15">
        <w:rPr>
          <w:rFonts w:cstheme="minorHAnsi"/>
        </w:rPr>
        <w:t xml:space="preserve"> for cargo exchange will realise unprecedented growth in both market share and profit.              </w:t>
      </w:r>
    </w:p>
    <w:p w14:paraId="635A5204" w14:textId="77777777" w:rsidR="00316C50" w:rsidRPr="00451B15" w:rsidRDefault="00316C50" w:rsidP="00801F52">
      <w:pPr>
        <w:ind w:left="567"/>
        <w:jc w:val="both"/>
        <w:rPr>
          <w:rFonts w:cstheme="minorHAnsi"/>
        </w:rPr>
      </w:pPr>
      <w:r w:rsidRPr="00451B15">
        <w:rPr>
          <w:rFonts w:cstheme="minorHAnsi"/>
        </w:rPr>
        <w:t xml:space="preserve">In today’s fast-moving world where time is of the essence, it is vital that export commodities reach their market destination in the shortest time possible.  </w:t>
      </w:r>
      <w:proofErr w:type="gramStart"/>
      <w:r w:rsidRPr="00451B15">
        <w:rPr>
          <w:rFonts w:cstheme="minorHAnsi"/>
        </w:rPr>
        <w:t>The I</w:t>
      </w:r>
      <w:proofErr w:type="gramEnd"/>
      <w:r w:rsidRPr="00451B15">
        <w:rPr>
          <w:rFonts w:cstheme="minorHAnsi"/>
        </w:rPr>
        <w:t xml:space="preserve">-PG logistics system has been systematically structured to achieve this result.     </w:t>
      </w:r>
    </w:p>
    <w:p w14:paraId="1B094C5B" w14:textId="77777777" w:rsidR="00801F52" w:rsidRDefault="00801F52" w:rsidP="00801F52">
      <w:pPr>
        <w:ind w:left="567"/>
        <w:jc w:val="both"/>
        <w:rPr>
          <w:rFonts w:eastAsiaTheme="minorEastAsia" w:hAnsi="Calibri"/>
          <w:b/>
          <w:bCs/>
          <w:kern w:val="24"/>
          <w:lang w:val="en-US"/>
        </w:rPr>
      </w:pPr>
    </w:p>
    <w:p w14:paraId="4EC2FDEC" w14:textId="77777777" w:rsidR="00801F52" w:rsidRDefault="00801F52" w:rsidP="00316C50">
      <w:pPr>
        <w:jc w:val="both"/>
        <w:rPr>
          <w:rFonts w:eastAsiaTheme="minorEastAsia" w:hAnsi="Calibri"/>
          <w:b/>
          <w:bCs/>
          <w:kern w:val="24"/>
          <w:lang w:val="en-US"/>
        </w:rPr>
      </w:pPr>
    </w:p>
    <w:p w14:paraId="3A314FA2" w14:textId="786487E9" w:rsidR="00316C50" w:rsidRPr="00451B15" w:rsidRDefault="0008794B" w:rsidP="00801F52">
      <w:pPr>
        <w:ind w:left="567"/>
        <w:jc w:val="both"/>
        <w:rPr>
          <w:rFonts w:ascii="Times New Roman" w:eastAsia="Times New Roman" w:hAnsi="Times New Roman" w:cs="Times New Roman"/>
          <w:lang w:val="en-US"/>
        </w:rPr>
      </w:pPr>
      <w:bookmarkStart w:id="18" w:name="OLE_LINK17"/>
      <w:r>
        <w:rPr>
          <w:rFonts w:eastAsiaTheme="minorEastAsia" w:hAnsi="Calibri"/>
          <w:b/>
          <w:bCs/>
          <w:kern w:val="24"/>
          <w:lang w:val="en-US"/>
        </w:rPr>
        <w:t>Global b</w:t>
      </w:r>
      <w:r w:rsidR="006408B9">
        <w:rPr>
          <w:rFonts w:eastAsiaTheme="minorEastAsia" w:hAnsi="Calibri"/>
          <w:b/>
          <w:bCs/>
          <w:kern w:val="24"/>
          <w:lang w:val="en-US"/>
        </w:rPr>
        <w:t xml:space="preserve">enefits for Australian import/export </w:t>
      </w:r>
      <w:r w:rsidR="002B26A9">
        <w:rPr>
          <w:rFonts w:eastAsiaTheme="minorEastAsia" w:hAnsi="Calibri"/>
          <w:b/>
          <w:bCs/>
          <w:kern w:val="24"/>
          <w:lang w:val="en-US"/>
        </w:rPr>
        <w:t>o</w:t>
      </w:r>
      <w:r w:rsidR="002B26A9" w:rsidRPr="00451B15">
        <w:rPr>
          <w:rFonts w:eastAsiaTheme="minorEastAsia" w:hAnsi="Calibri"/>
          <w:b/>
          <w:bCs/>
          <w:kern w:val="24"/>
          <w:lang w:val="en-US"/>
        </w:rPr>
        <w:t>rganizations</w:t>
      </w:r>
      <w:r w:rsidR="00316C50" w:rsidRPr="00451B15">
        <w:rPr>
          <w:rFonts w:eastAsiaTheme="minorEastAsia" w:hAnsi="Calibri"/>
          <w:b/>
          <w:bCs/>
          <w:kern w:val="24"/>
          <w:lang w:val="en-US"/>
        </w:rPr>
        <w:t xml:space="preserve"> </w:t>
      </w:r>
    </w:p>
    <w:bookmarkEnd w:id="18"/>
    <w:p w14:paraId="10C8D3B2" w14:textId="77777777" w:rsidR="00801F52" w:rsidRDefault="00316C50" w:rsidP="00801F52">
      <w:pPr>
        <w:spacing w:after="0" w:line="240" w:lineRule="auto"/>
        <w:ind w:left="567"/>
        <w:jc w:val="both"/>
        <w:rPr>
          <w:rFonts w:eastAsiaTheme="minorEastAsia" w:hAnsi="Calibri"/>
          <w:kern w:val="24"/>
          <w:lang w:val="en-US"/>
        </w:rPr>
      </w:pPr>
      <w:r w:rsidRPr="00451B15">
        <w:rPr>
          <w:rFonts w:eastAsiaTheme="minorEastAsia" w:hAnsi="Calibri" w:cs="Times New Roman"/>
          <w:noProof/>
          <w:kern w:val="24"/>
          <w:lang w:eastAsia="en-AU"/>
        </w:rPr>
        <mc:AlternateContent>
          <mc:Choice Requires="wps">
            <w:drawing>
              <wp:anchor distT="0" distB="0" distL="114300" distR="114300" simplePos="0" relativeHeight="251665408" behindDoc="0" locked="0" layoutInCell="1" allowOverlap="1" wp14:anchorId="6BBF7496" wp14:editId="2AE87EC7">
                <wp:simplePos x="0" y="0"/>
                <wp:positionH relativeFrom="column">
                  <wp:posOffset>5582675</wp:posOffset>
                </wp:positionH>
                <wp:positionV relativeFrom="paragraph">
                  <wp:posOffset>136085</wp:posOffset>
                </wp:positionV>
                <wp:extent cx="785611" cy="238259"/>
                <wp:effectExtent l="0" t="0" r="0" b="0"/>
                <wp:wrapNone/>
                <wp:docPr id="89" name="Text Box 89"/>
                <wp:cNvGraphicFramePr/>
                <a:graphic xmlns:a="http://schemas.openxmlformats.org/drawingml/2006/main">
                  <a:graphicData uri="http://schemas.microsoft.com/office/word/2010/wordprocessingShape">
                    <wps:wsp>
                      <wps:cNvSpPr txBox="1"/>
                      <wps:spPr>
                        <a:xfrm>
                          <a:off x="0" y="0"/>
                          <a:ext cx="785611" cy="238259"/>
                        </a:xfrm>
                        <a:prstGeom prst="rect">
                          <a:avLst/>
                        </a:prstGeom>
                        <a:noFill/>
                        <a:ln w="6350">
                          <a:noFill/>
                        </a:ln>
                      </wps:spPr>
                      <wps:txbx>
                        <w:txbxContent>
                          <w:p w14:paraId="2577D2CC" w14:textId="77777777" w:rsidR="00F234D8" w:rsidRPr="00060222" w:rsidRDefault="00F234D8" w:rsidP="00316C50">
                            <w:pPr>
                              <w:rPr>
                                <w:b/>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BF7496" id="Text Box 89" o:spid="_x0000_s1030" type="#_x0000_t202" style="position:absolute;left:0;text-align:left;margin-left:439.6pt;margin-top:10.7pt;width:61.8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F2MQIAAFkEAAAOAAAAZHJzL2Uyb0RvYy54bWysVFFv2jAQfp+0/2D5fQQoUIoIFWvFNKlq&#10;K8HUZ+M4JFLi82xDwn79PjtAUbenaS/O+e58vu/7zpnft3XFDsq6knTKB70+Z0pLykq9S/mPzerL&#10;lDPnhc5ERVql/Kgcv198/jRvzEwNqaAqU5ahiHazxqS88N7MksTJQtXC9cgojWBOthYeW7tLMisa&#10;VK+rZNjvT5KGbGYsSeUcvI9dkC9i/TxX0r/kuVOeVSlHbz6uNq7bsCaLuZjtrDBFKU9tiH/oohal&#10;xqWXUo/CC7a35R+l6lJacpT7nqQ6oTwvpYoYgGbQ/4BmXQijIhaQ48yFJvf/ysrnw6tlZZby6R1n&#10;WtTQaKNaz75Sy+ACP41xM6StDRJ9Cz90PvsdnAF2m9s6fAGIIQ6mjxd2QzUJ5+10PBkMOJMIDW+m&#10;w3GsnrwfNtb5b4pqFoyUW4gXORWHJ+fRCFLPKeEuTauyqqKAlWZNyic34348cIngRKVxMEDoWg2W&#10;b7dthDw6w9hSdgQ6S918OCNXJXp4Es6/CouBACAMuX/BkleEu+hkcVaQ/fU3f8iHTohy1mDAUu5+&#10;7oVVnFXfNRS8G4xGYSLjZjS+HWJjryPb64je1w+EGQZ/6C6aId9XZzO3VL/hLSzDrQgJLXF3yv3Z&#10;fPDd2OMtSbVcxiTMoBH+Sa+NDKUDq4HhTfsmrDnJ4KHfM51HUcw+qNHldnos957yMkoVeO5YPdGP&#10;+Y0Knt5aeCDX+5j1/kdY/AYAAP//AwBQSwMEFAAGAAgAAAAhAFE0LTHhAAAACgEAAA8AAABkcnMv&#10;ZG93bnJldi54bWxMj8FOwzAQRO9I/IO1lbhRuxaFJMSpqkgVEoJDSy/cNrGbRI3XIXbbwNfjnuC4&#10;mqeZt/lqsj07m9F3jhQs5gKYodrpjhoF+4/NfQLMBySNvSOj4Nt4WBW3Nzlm2l1oa8670LBYQj5D&#10;BW0IQ8a5r1tj0c/dYChmBzdaDPEcG65HvMRy23MpxCO32FFcaHEwZWvq4+5kFbyWm3fcVtImP335&#10;8nZYD1/7z6VSd7Np/QwsmCn8wXDVj+pQRKfKnUh71itInlIZUQVy8QDsCgghU2CVgmWSAi9y/v+F&#10;4hcAAP//AwBQSwECLQAUAAYACAAAACEAtoM4kv4AAADhAQAAEwAAAAAAAAAAAAAAAAAAAAAAW0Nv&#10;bnRlbnRfVHlwZXNdLnhtbFBLAQItABQABgAIAAAAIQA4/SH/1gAAAJQBAAALAAAAAAAAAAAAAAAA&#10;AC8BAABfcmVscy8ucmVsc1BLAQItABQABgAIAAAAIQCaWEF2MQIAAFkEAAAOAAAAAAAAAAAAAAAA&#10;AC4CAABkcnMvZTJvRG9jLnhtbFBLAQItABQABgAIAAAAIQBRNC0x4QAAAAoBAAAPAAAAAAAAAAAA&#10;AAAAAIsEAABkcnMvZG93bnJldi54bWxQSwUGAAAAAAQABADzAAAAmQUAAAAA&#10;" filled="f" stroked="f" strokeweight=".5pt">
                <v:textbox>
                  <w:txbxContent>
                    <w:p w14:paraId="2577D2CC" w14:textId="77777777" w:rsidR="00F234D8" w:rsidRPr="00060222" w:rsidRDefault="00F234D8" w:rsidP="00316C50">
                      <w:pPr>
                        <w:rPr>
                          <w:b/>
                          <w:sz w:val="16"/>
                          <w:szCs w:val="16"/>
                          <w:lang w:val="en-US"/>
                        </w:rPr>
                      </w:pPr>
                    </w:p>
                  </w:txbxContent>
                </v:textbox>
              </v:shape>
            </w:pict>
          </mc:Fallback>
        </mc:AlternateContent>
      </w:r>
      <w:r w:rsidRPr="00451B15">
        <w:rPr>
          <w:rFonts w:eastAsiaTheme="minorEastAsia" w:hAnsi="Calibri"/>
          <w:kern w:val="24"/>
          <w:lang w:val="en-US"/>
        </w:rPr>
        <w:t xml:space="preserve">The consolidation of these three-major nation building projects </w:t>
      </w:r>
      <w:r w:rsidRPr="00451B15">
        <w:rPr>
          <w:rFonts w:eastAsiaTheme="minorEastAsia" w:hAnsi="Calibri"/>
          <w:i/>
          <w:kern w:val="24"/>
          <w:lang w:val="en-US"/>
        </w:rPr>
        <w:t>‘Mid-western Inland Rail – Toowoomba-Gladstone Rail Link and Port of Gladstone Expansion Program’</w:t>
      </w:r>
      <w:r w:rsidRPr="00451B15">
        <w:rPr>
          <w:rFonts w:eastAsiaTheme="minorEastAsia" w:hAnsi="Calibri"/>
          <w:kern w:val="24"/>
          <w:lang w:val="en-US"/>
        </w:rPr>
        <w:t xml:space="preserve"> collectively provide the required infrastructure demanded in a world geared to the requirements for time efficiency. The expansion of the Gladstone Port and environs to form a globally significant freight logistics hub will have far-reaching economic benefits. </w:t>
      </w:r>
    </w:p>
    <w:p w14:paraId="036DFEFA" w14:textId="77777777" w:rsidR="00801F52" w:rsidRDefault="00801F52" w:rsidP="00801F52">
      <w:pPr>
        <w:spacing w:after="0" w:line="240" w:lineRule="auto"/>
        <w:ind w:left="567"/>
        <w:jc w:val="both"/>
        <w:rPr>
          <w:rFonts w:eastAsiaTheme="minorEastAsia" w:hAnsi="Calibri"/>
          <w:kern w:val="24"/>
          <w:lang w:val="en-US"/>
        </w:rPr>
      </w:pPr>
    </w:p>
    <w:p w14:paraId="2DDB6FD9" w14:textId="77777777" w:rsidR="00316C50" w:rsidRPr="00451B15" w:rsidRDefault="00316C50" w:rsidP="00801F52">
      <w:pPr>
        <w:spacing w:after="0" w:line="240" w:lineRule="auto"/>
        <w:ind w:left="567"/>
        <w:jc w:val="both"/>
        <w:rPr>
          <w:rFonts w:eastAsiaTheme="minorEastAsia" w:hAnsi="Calibri"/>
          <w:kern w:val="24"/>
          <w:lang w:val="en-US"/>
        </w:rPr>
      </w:pPr>
      <w:r w:rsidRPr="00451B15">
        <w:rPr>
          <w:rFonts w:eastAsiaTheme="minorEastAsia" w:hAnsi="Calibri"/>
          <w:kern w:val="24"/>
          <w:lang w:val="en-US"/>
        </w:rPr>
        <w:t xml:space="preserve">The result of this highly-coordinated operation, will ensure unparalleled cost savings based upon increases in reliability, efficiency and capacity throughout the entire system. The increases in profitability will be directly underpinned by the resulting increases in productivity.  </w:t>
      </w:r>
    </w:p>
    <w:p w14:paraId="565EA60E" w14:textId="77777777" w:rsidR="00801F52" w:rsidRDefault="00801F52" w:rsidP="00801F52">
      <w:pPr>
        <w:spacing w:after="0" w:line="240" w:lineRule="auto"/>
        <w:ind w:left="567"/>
        <w:jc w:val="both"/>
        <w:rPr>
          <w:rFonts w:eastAsiaTheme="minorEastAsia" w:hAnsi="Calibri"/>
          <w:kern w:val="24"/>
          <w:lang w:val="en-US"/>
        </w:rPr>
      </w:pPr>
    </w:p>
    <w:p w14:paraId="08155935" w14:textId="77777777" w:rsidR="00316C50" w:rsidRPr="00451B15" w:rsidRDefault="00316C50" w:rsidP="00801F52">
      <w:pPr>
        <w:spacing w:after="0" w:line="240" w:lineRule="auto"/>
        <w:ind w:left="567"/>
        <w:jc w:val="both"/>
        <w:rPr>
          <w:rFonts w:ascii="Times New Roman" w:eastAsia="Times New Roman" w:hAnsi="Times New Roman" w:cs="Times New Roman"/>
          <w:lang w:val="en-US"/>
        </w:rPr>
      </w:pPr>
      <w:r w:rsidRPr="00451B15">
        <w:rPr>
          <w:rFonts w:eastAsiaTheme="minorEastAsia" w:hAnsi="Calibri"/>
          <w:kern w:val="24"/>
          <w:lang w:val="en-US"/>
        </w:rPr>
        <w:t xml:space="preserve">Overall, the I-PG system will ensure a </w:t>
      </w:r>
      <w:r w:rsidRPr="00451B15">
        <w:rPr>
          <w:rFonts w:eastAsiaTheme="minorEastAsia" w:hAnsi="Calibri"/>
          <w:kern w:val="24"/>
        </w:rPr>
        <w:t>quantum leap in national and global supply chain logistics efficiency.</w:t>
      </w:r>
    </w:p>
    <w:p w14:paraId="360BEBDE" w14:textId="77777777" w:rsidR="00316C50" w:rsidRDefault="00316C50" w:rsidP="00F0697B">
      <w:pPr>
        <w:ind w:left="567"/>
        <w:jc w:val="both"/>
        <w:rPr>
          <w:b/>
        </w:rPr>
      </w:pPr>
    </w:p>
    <w:p w14:paraId="02648489" w14:textId="77777777" w:rsidR="00801F52" w:rsidRPr="00801F52" w:rsidRDefault="006408B9" w:rsidP="00801F52">
      <w:pPr>
        <w:spacing w:after="0" w:line="240" w:lineRule="auto"/>
        <w:ind w:left="567"/>
        <w:jc w:val="both"/>
        <w:rPr>
          <w:rFonts w:eastAsiaTheme="minorEastAsia" w:hAnsi="Calibri"/>
          <w:b/>
          <w:kern w:val="24"/>
        </w:rPr>
      </w:pPr>
      <w:bookmarkStart w:id="19" w:name="OLE_LINK18"/>
      <w:bookmarkStart w:id="20" w:name="OLE_LINK19"/>
      <w:r>
        <w:rPr>
          <w:rFonts w:eastAsiaTheme="minorEastAsia" w:hAnsi="Calibri"/>
          <w:b/>
          <w:kern w:val="24"/>
        </w:rPr>
        <w:t>E</w:t>
      </w:r>
      <w:r w:rsidR="00801F52" w:rsidRPr="00801F52">
        <w:rPr>
          <w:rFonts w:eastAsiaTheme="minorEastAsia" w:hAnsi="Calibri"/>
          <w:b/>
          <w:kern w:val="24"/>
        </w:rPr>
        <w:t>conomic strengths and enduring benefits</w:t>
      </w:r>
      <w:bookmarkEnd w:id="19"/>
      <w:bookmarkEnd w:id="20"/>
    </w:p>
    <w:p w14:paraId="653D29EC" w14:textId="77777777" w:rsidR="00801F52" w:rsidRPr="00801F52" w:rsidRDefault="00801F52" w:rsidP="00801F52">
      <w:pPr>
        <w:spacing w:after="0" w:line="240" w:lineRule="auto"/>
        <w:ind w:left="567"/>
        <w:jc w:val="both"/>
        <w:rPr>
          <w:rFonts w:eastAsiaTheme="minorEastAsia" w:hAnsi="Calibri"/>
          <w:b/>
          <w:kern w:val="24"/>
        </w:rPr>
      </w:pPr>
    </w:p>
    <w:p w14:paraId="767E3EBD" w14:textId="77777777" w:rsidR="00801F52" w:rsidRPr="00801F52" w:rsidRDefault="00801F52" w:rsidP="00801F52">
      <w:pPr>
        <w:pStyle w:val="ListParagraph"/>
        <w:numPr>
          <w:ilvl w:val="0"/>
          <w:numId w:val="9"/>
        </w:numPr>
        <w:tabs>
          <w:tab w:val="clear" w:pos="720"/>
          <w:tab w:val="num" w:pos="1080"/>
        </w:tabs>
        <w:spacing w:after="0" w:line="240" w:lineRule="auto"/>
        <w:ind w:left="1134"/>
        <w:jc w:val="both"/>
        <w:rPr>
          <w:rFonts w:ascii="Times New Roman" w:eastAsia="Times New Roman" w:hAnsi="Times New Roman" w:cs="Times New Roman"/>
          <w:lang w:val="en-US"/>
        </w:rPr>
      </w:pPr>
      <w:r w:rsidRPr="00801F52">
        <w:rPr>
          <w:rFonts w:eastAsiaTheme="minorEastAsia" w:hAnsi="Calibri"/>
          <w:kern w:val="24"/>
        </w:rPr>
        <w:t xml:space="preserve">60.48%-time reduction for import/export cargo exchange          </w:t>
      </w:r>
    </w:p>
    <w:p w14:paraId="6439E11A" w14:textId="77777777" w:rsidR="00801F52" w:rsidRPr="00801F52" w:rsidRDefault="00801F52" w:rsidP="00801F52">
      <w:pPr>
        <w:pStyle w:val="ListParagraph"/>
        <w:spacing w:after="0" w:line="240" w:lineRule="auto"/>
        <w:ind w:left="1134"/>
        <w:jc w:val="both"/>
        <w:rPr>
          <w:rFonts w:ascii="Times New Roman" w:eastAsia="Times New Roman" w:hAnsi="Times New Roman" w:cs="Times New Roman"/>
          <w:lang w:val="en-US"/>
        </w:rPr>
      </w:pPr>
      <w:r w:rsidRPr="00801F52">
        <w:rPr>
          <w:rFonts w:eastAsiaTheme="minorEastAsia" w:hAnsi="Calibri"/>
          <w:kern w:val="24"/>
        </w:rPr>
        <w:t xml:space="preserve">      </w:t>
      </w:r>
    </w:p>
    <w:p w14:paraId="1B7D99CF" w14:textId="77777777" w:rsidR="00801F52" w:rsidRPr="00801F52" w:rsidRDefault="00801F52" w:rsidP="00801F52">
      <w:pPr>
        <w:numPr>
          <w:ilvl w:val="0"/>
          <w:numId w:val="9"/>
        </w:numPr>
        <w:spacing w:after="0" w:line="240" w:lineRule="auto"/>
        <w:ind w:left="1134"/>
        <w:contextualSpacing/>
        <w:jc w:val="both"/>
        <w:rPr>
          <w:rFonts w:ascii="Times New Roman" w:eastAsia="Times New Roman" w:hAnsi="Times New Roman" w:cs="Times New Roman"/>
          <w:lang w:val="en-US"/>
        </w:rPr>
      </w:pPr>
      <w:r w:rsidRPr="00801F52">
        <w:rPr>
          <w:rFonts w:eastAsiaTheme="minorEastAsia" w:hAnsi="Calibri" w:cs="Times New Roman"/>
          <w:kern w:val="24"/>
          <w:lang w:val="en-US"/>
        </w:rPr>
        <w:t xml:space="preserve">Increased market access through an average of a 45% </w:t>
      </w:r>
      <w:r w:rsidRPr="00801F52">
        <w:rPr>
          <w:rFonts w:eastAsiaTheme="minorEastAsia" w:hAnsi="Calibri"/>
          <w:kern w:val="24"/>
          <w:lang w:val="en-US"/>
        </w:rPr>
        <w:t>reduction in shipping cargo time and cost between Australasia - Greater Asia - China -India and UAE trade destinations;</w:t>
      </w:r>
      <w:r w:rsidRPr="00801F52">
        <w:rPr>
          <w:noProof/>
          <w:lang w:val="en-US"/>
        </w:rPr>
        <w:t xml:space="preserve"> </w:t>
      </w:r>
    </w:p>
    <w:p w14:paraId="3C825B3D" w14:textId="77777777" w:rsidR="00801F52" w:rsidRPr="00801F52" w:rsidRDefault="00801F52" w:rsidP="00801F52">
      <w:pPr>
        <w:spacing w:after="0" w:line="240" w:lineRule="auto"/>
        <w:ind w:left="1134"/>
        <w:contextualSpacing/>
        <w:jc w:val="both"/>
        <w:rPr>
          <w:rFonts w:ascii="Times New Roman" w:eastAsia="Times New Roman" w:hAnsi="Times New Roman" w:cs="Times New Roman"/>
          <w:lang w:val="en-US"/>
        </w:rPr>
      </w:pPr>
      <w:r w:rsidRPr="00801F52">
        <w:rPr>
          <w:rFonts w:eastAsiaTheme="minorEastAsia" w:hAnsi="Calibri"/>
          <w:kern w:val="24"/>
          <w:lang w:val="en-US"/>
        </w:rPr>
        <w:t xml:space="preserve"> </w:t>
      </w:r>
    </w:p>
    <w:p w14:paraId="6FF3001C" w14:textId="77777777" w:rsidR="00801F52" w:rsidRPr="00801F52" w:rsidRDefault="00801F52" w:rsidP="00801F52">
      <w:pPr>
        <w:numPr>
          <w:ilvl w:val="0"/>
          <w:numId w:val="9"/>
        </w:numPr>
        <w:spacing w:after="0" w:line="240" w:lineRule="auto"/>
        <w:ind w:left="1134"/>
        <w:contextualSpacing/>
        <w:jc w:val="both"/>
        <w:rPr>
          <w:rFonts w:ascii="Times New Roman" w:eastAsia="Times New Roman" w:hAnsi="Times New Roman" w:cs="Times New Roman"/>
          <w:lang w:val="en-US"/>
        </w:rPr>
      </w:pPr>
      <w:r w:rsidRPr="00801F52">
        <w:rPr>
          <w:rFonts w:eastAsiaTheme="minorEastAsia" w:hAnsi="Calibri"/>
          <w:kern w:val="24"/>
        </w:rPr>
        <w:t>Increased trading opportunities as a result of derived benefits;</w:t>
      </w:r>
    </w:p>
    <w:p w14:paraId="585820EA" w14:textId="77777777" w:rsidR="00801F52" w:rsidRPr="00801F52" w:rsidRDefault="00801F52" w:rsidP="00801F52">
      <w:pPr>
        <w:spacing w:after="0" w:line="240" w:lineRule="auto"/>
        <w:ind w:left="1134"/>
        <w:contextualSpacing/>
        <w:jc w:val="both"/>
        <w:rPr>
          <w:rFonts w:ascii="Times New Roman" w:eastAsia="Times New Roman" w:hAnsi="Times New Roman" w:cs="Times New Roman"/>
          <w:lang w:val="en-US"/>
        </w:rPr>
      </w:pPr>
    </w:p>
    <w:p w14:paraId="47F39CD4" w14:textId="77777777" w:rsidR="00801F52" w:rsidRPr="00801F52" w:rsidRDefault="00801F52" w:rsidP="00801F52">
      <w:pPr>
        <w:numPr>
          <w:ilvl w:val="0"/>
          <w:numId w:val="9"/>
        </w:numPr>
        <w:spacing w:after="0" w:line="240" w:lineRule="auto"/>
        <w:ind w:left="1134"/>
        <w:contextualSpacing/>
        <w:jc w:val="both"/>
        <w:rPr>
          <w:rFonts w:ascii="Times New Roman" w:eastAsia="Times New Roman" w:hAnsi="Times New Roman" w:cs="Times New Roman"/>
          <w:lang w:val="en-US"/>
        </w:rPr>
      </w:pPr>
      <w:r w:rsidRPr="00801F52">
        <w:rPr>
          <w:rFonts w:eastAsiaTheme="minorEastAsia" w:hAnsi="Calibri"/>
          <w:kern w:val="24"/>
        </w:rPr>
        <w:t>New trade opportunities derived from broader access to commodities through increased trade participation and its resulting economies of scale cost savings.</w:t>
      </w:r>
    </w:p>
    <w:p w14:paraId="67D45977" w14:textId="77777777" w:rsidR="00316C50" w:rsidRDefault="00316C50" w:rsidP="00801F52">
      <w:pPr>
        <w:ind w:left="567"/>
        <w:jc w:val="both"/>
        <w:rPr>
          <w:b/>
        </w:rPr>
      </w:pPr>
    </w:p>
    <w:p w14:paraId="58790C03" w14:textId="77777777" w:rsidR="0042462E" w:rsidRDefault="00801F52" w:rsidP="00801F52">
      <w:pPr>
        <w:spacing w:after="0" w:line="240" w:lineRule="auto"/>
        <w:ind w:left="567"/>
        <w:jc w:val="both"/>
        <w:rPr>
          <w:rFonts w:cstheme="minorHAnsi"/>
        </w:rPr>
      </w:pPr>
      <w:r w:rsidRPr="00451B15">
        <w:rPr>
          <w:rFonts w:cstheme="minorHAnsi"/>
        </w:rPr>
        <w:t xml:space="preserve">Equally important is the Toowoomba - Gladstone line’s capacity to drive unprecedented business, employment and socio- economic growth along the length and breadth of the corridor. Traversing through one of Queensland’s largest mining and agricultural regions, the integrated railway system, made possible through the construction of the Toowoomba-Gladstone line, will drive unprecedented industry, employment and socio-economic growth along the entire length and breadth of the corridor. One of the stand-out areas for economic growth is the Surat Basin. </w:t>
      </w:r>
    </w:p>
    <w:p w14:paraId="36CEAA81" w14:textId="77777777" w:rsidR="0042462E" w:rsidRDefault="0042462E" w:rsidP="00801F52">
      <w:pPr>
        <w:spacing w:after="0" w:line="240" w:lineRule="auto"/>
        <w:ind w:left="567"/>
        <w:jc w:val="both"/>
        <w:rPr>
          <w:rFonts w:cstheme="minorHAnsi"/>
        </w:rPr>
      </w:pPr>
    </w:p>
    <w:p w14:paraId="316FE16B" w14:textId="77777777" w:rsidR="00801F52" w:rsidRDefault="00801F52" w:rsidP="00801F52">
      <w:pPr>
        <w:spacing w:after="0" w:line="240" w:lineRule="auto"/>
        <w:ind w:left="567"/>
        <w:jc w:val="both"/>
        <w:rPr>
          <w:rFonts w:cstheme="minorHAnsi"/>
        </w:rPr>
      </w:pPr>
      <w:r w:rsidRPr="00451B15">
        <w:rPr>
          <w:rFonts w:cstheme="minorHAnsi"/>
        </w:rPr>
        <w:t xml:space="preserve">Home to large quantities of untapped thermal coal reserves, CSG and other resources, the integrated rail network will prove an invaluable asset in the securitisation of these resources and facilitate directly related economic expansion across multiple sectors. The integration of regional economic expansion in resource extraction with direct access to the Port of Gladstone not only enhances the viability of the Surat Basin, but will drive growth in presently disparate sectors of the economy – for example agricultural, industrial, services and tourism sectors. </w:t>
      </w:r>
    </w:p>
    <w:p w14:paraId="2C279572" w14:textId="77777777" w:rsidR="00801F52" w:rsidRPr="00451B15" w:rsidRDefault="00801F52" w:rsidP="00801F52">
      <w:pPr>
        <w:spacing w:after="0" w:line="240" w:lineRule="auto"/>
        <w:ind w:left="567"/>
        <w:jc w:val="both"/>
        <w:rPr>
          <w:rFonts w:cstheme="minorHAnsi"/>
        </w:rPr>
      </w:pPr>
      <w:r w:rsidRPr="00451B15">
        <w:rPr>
          <w:rFonts w:cstheme="minorHAnsi"/>
        </w:rPr>
        <w:t xml:space="preserve">                </w:t>
      </w:r>
    </w:p>
    <w:p w14:paraId="059D0C83" w14:textId="77777777" w:rsidR="00801F52" w:rsidRPr="00451B15" w:rsidRDefault="00801F52" w:rsidP="00801F52">
      <w:pPr>
        <w:ind w:left="567"/>
        <w:jc w:val="both"/>
        <w:rPr>
          <w:rFonts w:cstheme="minorHAnsi"/>
        </w:rPr>
      </w:pPr>
      <w:r w:rsidRPr="00451B15">
        <w:rPr>
          <w:rFonts w:eastAsia="Times New Roman" w:cstheme="minorHAnsi"/>
          <w:lang w:val="en-US"/>
        </w:rPr>
        <w:t>With an estimated Gross Regional Product (GRP) of “AU$7.813 billion, Toowoomba represents 63.71 per cent of Surat Basin's GRP of $12.263 billion and 2.75 per cent of Queensland's GRP of AU$283.604 billion”.</w:t>
      </w:r>
      <w:r w:rsidRPr="00451B15">
        <w:rPr>
          <w:rFonts w:cstheme="minorHAnsi"/>
        </w:rPr>
        <w:t xml:space="preserve"> It is not unreasonable to forecast a major increase in regional GRP made possible through the development of the Toowoomba-Gladstone railway and its integration with the south-western Queensland railway system.                                                                                                                                                                                                                                                    </w:t>
      </w:r>
    </w:p>
    <w:p w14:paraId="192AB6DC" w14:textId="77777777" w:rsidR="002B26A9" w:rsidRDefault="002B26A9" w:rsidP="00F0697B">
      <w:pPr>
        <w:ind w:left="567"/>
        <w:jc w:val="both"/>
        <w:rPr>
          <w:b/>
        </w:rPr>
      </w:pPr>
      <w:bookmarkStart w:id="21" w:name="OLE_LINK20"/>
    </w:p>
    <w:p w14:paraId="17F0EAF6" w14:textId="77777777" w:rsidR="002B26A9" w:rsidRDefault="002B26A9" w:rsidP="00F0697B">
      <w:pPr>
        <w:ind w:left="567"/>
        <w:jc w:val="both"/>
        <w:rPr>
          <w:b/>
        </w:rPr>
      </w:pPr>
    </w:p>
    <w:p w14:paraId="2D0AB426" w14:textId="77777777" w:rsidR="002B26A9" w:rsidRDefault="002B26A9" w:rsidP="00F0697B">
      <w:pPr>
        <w:ind w:left="567"/>
        <w:jc w:val="both"/>
        <w:rPr>
          <w:b/>
        </w:rPr>
      </w:pPr>
    </w:p>
    <w:p w14:paraId="3F2F15E6" w14:textId="73555E2C" w:rsidR="00316C50" w:rsidRDefault="00363E1C" w:rsidP="00F0697B">
      <w:pPr>
        <w:ind w:left="567"/>
        <w:jc w:val="both"/>
        <w:rPr>
          <w:b/>
        </w:rPr>
      </w:pPr>
      <w:r>
        <w:rPr>
          <w:b/>
        </w:rPr>
        <w:t>Summary of s</w:t>
      </w:r>
      <w:r w:rsidR="006408B9">
        <w:rPr>
          <w:b/>
        </w:rPr>
        <w:t>alient features</w:t>
      </w:r>
    </w:p>
    <w:p w14:paraId="0C67F6D1" w14:textId="77777777" w:rsidR="00CE5EBE" w:rsidRPr="00EC6EF5" w:rsidRDefault="00EC6EF5" w:rsidP="00BC4F6A">
      <w:pPr>
        <w:ind w:left="567"/>
        <w:jc w:val="both"/>
        <w:rPr>
          <w:rFonts w:cstheme="minorHAnsi"/>
          <w:b/>
          <w:szCs w:val="20"/>
        </w:rPr>
      </w:pPr>
      <w:r>
        <w:rPr>
          <w:rFonts w:cstheme="minorHAnsi"/>
          <w:szCs w:val="20"/>
        </w:rPr>
        <w:t xml:space="preserve"> </w:t>
      </w:r>
      <w:r w:rsidR="00CE5EBE" w:rsidRPr="00EC6EF5">
        <w:rPr>
          <w:rFonts w:cstheme="minorHAnsi"/>
          <w:b/>
          <w:szCs w:val="20"/>
        </w:rPr>
        <w:t xml:space="preserve"> </w:t>
      </w:r>
    </w:p>
    <w:bookmarkEnd w:id="21"/>
    <w:p w14:paraId="0B7476BD" w14:textId="77777777" w:rsidR="00CE5EBE" w:rsidRPr="0065671C" w:rsidRDefault="00CE5EBE" w:rsidP="008B7BE0">
      <w:pPr>
        <w:pStyle w:val="ListParagraph"/>
        <w:numPr>
          <w:ilvl w:val="0"/>
          <w:numId w:val="3"/>
        </w:numPr>
        <w:ind w:left="1134" w:firstLine="0"/>
        <w:jc w:val="both"/>
        <w:rPr>
          <w:rFonts w:cstheme="minorHAnsi"/>
          <w:szCs w:val="20"/>
        </w:rPr>
      </w:pPr>
      <w:r w:rsidRPr="0065671C">
        <w:rPr>
          <w:rFonts w:cstheme="minorHAnsi"/>
          <w:szCs w:val="20"/>
        </w:rPr>
        <w:t xml:space="preserve">Skilled </w:t>
      </w:r>
      <w:r w:rsidR="001B2103">
        <w:rPr>
          <w:rFonts w:cstheme="minorHAnsi"/>
          <w:szCs w:val="20"/>
        </w:rPr>
        <w:t>labour, b</w:t>
      </w:r>
      <w:r w:rsidRPr="0065671C">
        <w:rPr>
          <w:rFonts w:cstheme="minorHAnsi"/>
          <w:szCs w:val="20"/>
        </w:rPr>
        <w:t xml:space="preserve">usiness </w:t>
      </w:r>
      <w:r w:rsidR="00AA38EA">
        <w:rPr>
          <w:rFonts w:cstheme="minorHAnsi"/>
          <w:szCs w:val="20"/>
        </w:rPr>
        <w:t>and</w:t>
      </w:r>
      <w:r w:rsidRPr="0065671C">
        <w:rPr>
          <w:rFonts w:cstheme="minorHAnsi"/>
          <w:szCs w:val="20"/>
        </w:rPr>
        <w:t xml:space="preserve"> </w:t>
      </w:r>
      <w:r w:rsidR="001B2103">
        <w:rPr>
          <w:rFonts w:cstheme="minorHAnsi"/>
          <w:szCs w:val="20"/>
        </w:rPr>
        <w:t>investor m</w:t>
      </w:r>
      <w:r w:rsidRPr="0065671C">
        <w:rPr>
          <w:rFonts w:cstheme="minorHAnsi"/>
          <w:szCs w:val="20"/>
        </w:rPr>
        <w:t xml:space="preserve">igration;  </w:t>
      </w:r>
    </w:p>
    <w:p w14:paraId="0DFBD6BA" w14:textId="77777777" w:rsidR="00CE5EBE" w:rsidRPr="00504F1B" w:rsidRDefault="00CE5EBE" w:rsidP="008B7BE0">
      <w:pPr>
        <w:pStyle w:val="ListParagraph"/>
        <w:numPr>
          <w:ilvl w:val="0"/>
          <w:numId w:val="3"/>
        </w:numPr>
        <w:ind w:left="1134" w:firstLine="0"/>
        <w:jc w:val="both"/>
        <w:rPr>
          <w:rFonts w:cstheme="minorHAnsi"/>
          <w:szCs w:val="20"/>
        </w:rPr>
      </w:pPr>
      <w:r w:rsidRPr="00504F1B">
        <w:rPr>
          <w:rFonts w:cstheme="minorHAnsi"/>
          <w:szCs w:val="20"/>
        </w:rPr>
        <w:t>Education</w:t>
      </w:r>
      <w:r w:rsidR="00AA38EA">
        <w:rPr>
          <w:rFonts w:cstheme="minorHAnsi"/>
          <w:szCs w:val="20"/>
        </w:rPr>
        <w:t xml:space="preserve"> and training</w:t>
      </w:r>
      <w:r w:rsidRPr="00504F1B">
        <w:rPr>
          <w:rFonts w:cstheme="minorHAnsi"/>
          <w:szCs w:val="20"/>
        </w:rPr>
        <w:t>;</w:t>
      </w:r>
    </w:p>
    <w:p w14:paraId="11695B8A" w14:textId="77777777" w:rsidR="00CE5EBE" w:rsidRDefault="00CE5EBE" w:rsidP="008B7BE0">
      <w:pPr>
        <w:pStyle w:val="ListParagraph"/>
        <w:numPr>
          <w:ilvl w:val="0"/>
          <w:numId w:val="2"/>
        </w:numPr>
        <w:ind w:left="1134" w:firstLine="0"/>
        <w:jc w:val="both"/>
        <w:rPr>
          <w:rFonts w:cstheme="minorHAnsi"/>
          <w:szCs w:val="20"/>
        </w:rPr>
      </w:pPr>
      <w:r w:rsidRPr="00504F1B">
        <w:rPr>
          <w:rFonts w:cstheme="minorHAnsi"/>
          <w:szCs w:val="20"/>
        </w:rPr>
        <w:t xml:space="preserve">Support </w:t>
      </w:r>
      <w:r w:rsidR="001B2103">
        <w:rPr>
          <w:rFonts w:cstheme="minorHAnsi"/>
          <w:szCs w:val="20"/>
        </w:rPr>
        <w:t>for regional economic growth</w:t>
      </w:r>
      <w:r w:rsidRPr="00504F1B">
        <w:rPr>
          <w:rFonts w:cstheme="minorHAnsi"/>
          <w:szCs w:val="20"/>
        </w:rPr>
        <w:t>;</w:t>
      </w:r>
    </w:p>
    <w:p w14:paraId="11E978EE" w14:textId="77777777" w:rsidR="001B2103" w:rsidRPr="00504F1B" w:rsidRDefault="001B2103" w:rsidP="008B7BE0">
      <w:pPr>
        <w:pStyle w:val="ListParagraph"/>
        <w:numPr>
          <w:ilvl w:val="0"/>
          <w:numId w:val="2"/>
        </w:numPr>
        <w:ind w:left="1134" w:firstLine="0"/>
        <w:jc w:val="both"/>
        <w:rPr>
          <w:rFonts w:cstheme="minorHAnsi"/>
          <w:szCs w:val="20"/>
        </w:rPr>
      </w:pPr>
      <w:r>
        <w:rPr>
          <w:rFonts w:cstheme="minorHAnsi"/>
          <w:szCs w:val="20"/>
        </w:rPr>
        <w:t>Strengthen decentralisation policy and planning</w:t>
      </w:r>
      <w:r w:rsidR="009707D8">
        <w:rPr>
          <w:rFonts w:cstheme="minorHAnsi"/>
          <w:szCs w:val="20"/>
        </w:rPr>
        <w:t>;</w:t>
      </w:r>
    </w:p>
    <w:p w14:paraId="44D0F3FD" w14:textId="77777777" w:rsidR="008B7BE0" w:rsidRDefault="00CE5EBE" w:rsidP="008B7BE0">
      <w:pPr>
        <w:pStyle w:val="ListParagraph"/>
        <w:numPr>
          <w:ilvl w:val="0"/>
          <w:numId w:val="4"/>
        </w:numPr>
        <w:ind w:left="1134" w:firstLine="0"/>
        <w:jc w:val="both"/>
        <w:rPr>
          <w:rFonts w:cstheme="minorHAnsi"/>
        </w:rPr>
      </w:pPr>
      <w:r w:rsidRPr="00504F1B">
        <w:rPr>
          <w:rFonts w:cstheme="minorHAnsi"/>
        </w:rPr>
        <w:t xml:space="preserve">The provision of regional </w:t>
      </w:r>
      <w:r w:rsidR="009707D8">
        <w:rPr>
          <w:rFonts w:cstheme="minorHAnsi"/>
        </w:rPr>
        <w:t xml:space="preserve">employment </w:t>
      </w:r>
      <w:r w:rsidRPr="00504F1B">
        <w:rPr>
          <w:rFonts w:cstheme="minorHAnsi"/>
        </w:rPr>
        <w:t xml:space="preserve">initiatives as per Federal and State Government </w:t>
      </w:r>
      <w:r w:rsidR="009707D8">
        <w:rPr>
          <w:rFonts w:cstheme="minorHAnsi"/>
        </w:rPr>
        <w:t xml:space="preserve">policy </w:t>
      </w:r>
    </w:p>
    <w:p w14:paraId="1F2D0D39" w14:textId="77777777" w:rsidR="00CE5EBE" w:rsidRPr="00504F1B" w:rsidRDefault="008B7BE0" w:rsidP="008B7BE0">
      <w:pPr>
        <w:pStyle w:val="ListParagraph"/>
        <w:ind w:left="1134"/>
        <w:jc w:val="both"/>
        <w:rPr>
          <w:rFonts w:cstheme="minorHAnsi"/>
        </w:rPr>
      </w:pPr>
      <w:r>
        <w:rPr>
          <w:rFonts w:cstheme="minorHAnsi"/>
        </w:rPr>
        <w:t xml:space="preserve">      </w:t>
      </w:r>
      <w:proofErr w:type="gramStart"/>
      <w:r w:rsidR="009707D8">
        <w:rPr>
          <w:rFonts w:cstheme="minorHAnsi"/>
        </w:rPr>
        <w:t>and</w:t>
      </w:r>
      <w:proofErr w:type="gramEnd"/>
      <w:r w:rsidR="009707D8">
        <w:rPr>
          <w:rFonts w:cstheme="minorHAnsi"/>
        </w:rPr>
        <w:t xml:space="preserve"> </w:t>
      </w:r>
      <w:r w:rsidR="00CE5EBE" w:rsidRPr="00504F1B">
        <w:rPr>
          <w:rFonts w:cstheme="minorHAnsi"/>
        </w:rPr>
        <w:t xml:space="preserve">objectives; </w:t>
      </w:r>
    </w:p>
    <w:p w14:paraId="1E611528" w14:textId="77777777" w:rsidR="009707D8" w:rsidRDefault="009707D8" w:rsidP="008B7BE0">
      <w:pPr>
        <w:pStyle w:val="ListParagraph"/>
        <w:numPr>
          <w:ilvl w:val="0"/>
          <w:numId w:val="4"/>
        </w:numPr>
        <w:ind w:left="1134" w:firstLine="0"/>
        <w:jc w:val="both"/>
        <w:rPr>
          <w:rFonts w:cstheme="minorHAnsi"/>
        </w:rPr>
      </w:pPr>
      <w:r>
        <w:rPr>
          <w:rFonts w:cstheme="minorHAnsi"/>
        </w:rPr>
        <w:t>Ecologically sustainable development including management for climate change imperatives;</w:t>
      </w:r>
    </w:p>
    <w:p w14:paraId="0D756405" w14:textId="77777777" w:rsidR="00CE5EBE" w:rsidRPr="00504F1B" w:rsidRDefault="009707D8" w:rsidP="008B7BE0">
      <w:pPr>
        <w:pStyle w:val="ListParagraph"/>
        <w:numPr>
          <w:ilvl w:val="0"/>
          <w:numId w:val="4"/>
        </w:numPr>
        <w:ind w:left="1134" w:firstLine="0"/>
        <w:jc w:val="both"/>
        <w:rPr>
          <w:rFonts w:cstheme="minorHAnsi"/>
        </w:rPr>
      </w:pPr>
      <w:r>
        <w:rPr>
          <w:rFonts w:cstheme="minorHAnsi"/>
        </w:rPr>
        <w:t>I</w:t>
      </w:r>
      <w:r w:rsidR="00CE5EBE" w:rsidRPr="00504F1B">
        <w:rPr>
          <w:rFonts w:cstheme="minorHAnsi"/>
        </w:rPr>
        <w:t xml:space="preserve">ndigenous </w:t>
      </w:r>
      <w:r>
        <w:rPr>
          <w:rFonts w:cstheme="minorHAnsi"/>
        </w:rPr>
        <w:t>economic engagement and opportunities</w:t>
      </w:r>
      <w:r w:rsidR="00CE5EBE" w:rsidRPr="00504F1B">
        <w:rPr>
          <w:rFonts w:cstheme="minorHAnsi"/>
        </w:rPr>
        <w:t>;</w:t>
      </w:r>
    </w:p>
    <w:p w14:paraId="6B8AC80A" w14:textId="77777777" w:rsidR="00CE5EBE" w:rsidRPr="00504F1B" w:rsidRDefault="00CE5EBE" w:rsidP="008B7BE0">
      <w:pPr>
        <w:pStyle w:val="ListParagraph"/>
        <w:numPr>
          <w:ilvl w:val="0"/>
          <w:numId w:val="4"/>
        </w:numPr>
        <w:ind w:left="1134" w:firstLine="0"/>
        <w:jc w:val="both"/>
        <w:rPr>
          <w:rFonts w:cstheme="minorHAnsi"/>
        </w:rPr>
      </w:pPr>
      <w:r w:rsidRPr="00504F1B">
        <w:rPr>
          <w:rFonts w:cstheme="minorHAnsi"/>
        </w:rPr>
        <w:t xml:space="preserve">The use of </w:t>
      </w:r>
      <w:r w:rsidR="009707D8">
        <w:rPr>
          <w:rFonts w:cstheme="minorHAnsi"/>
        </w:rPr>
        <w:t xml:space="preserve">advanced </w:t>
      </w:r>
      <w:r w:rsidRPr="00504F1B">
        <w:rPr>
          <w:rFonts w:cstheme="minorHAnsi"/>
        </w:rPr>
        <w:t>technology, and</w:t>
      </w:r>
    </w:p>
    <w:p w14:paraId="462918A0" w14:textId="77777777" w:rsidR="00CE5EBE" w:rsidRPr="00EC6EF5" w:rsidRDefault="00CE5EBE" w:rsidP="009C770A">
      <w:pPr>
        <w:ind w:left="567"/>
        <w:jc w:val="both"/>
        <w:rPr>
          <w:rFonts w:cstheme="minorHAnsi"/>
          <w:b/>
        </w:rPr>
      </w:pPr>
      <w:bookmarkStart w:id="22" w:name="OLE_LINK21"/>
      <w:bookmarkStart w:id="23" w:name="OLE_LINK22"/>
      <w:proofErr w:type="gramStart"/>
      <w:r w:rsidRPr="00EC6EF5">
        <w:rPr>
          <w:rFonts w:cstheme="minorHAnsi"/>
          <w:b/>
        </w:rPr>
        <w:t>The I</w:t>
      </w:r>
      <w:proofErr w:type="gramEnd"/>
      <w:r w:rsidRPr="00EC6EF5">
        <w:rPr>
          <w:rFonts w:cstheme="minorHAnsi"/>
          <w:b/>
        </w:rPr>
        <w:t xml:space="preserve">-PG </w:t>
      </w:r>
      <w:r w:rsidR="00CE6AC1">
        <w:rPr>
          <w:rFonts w:cstheme="minorHAnsi"/>
          <w:b/>
        </w:rPr>
        <w:t xml:space="preserve">plan </w:t>
      </w:r>
      <w:r w:rsidRPr="00EC6EF5">
        <w:rPr>
          <w:rFonts w:cstheme="minorHAnsi"/>
          <w:b/>
        </w:rPr>
        <w:t xml:space="preserve">is </w:t>
      </w:r>
      <w:r w:rsidR="009707D8" w:rsidRPr="00EC6EF5">
        <w:rPr>
          <w:rFonts w:cstheme="minorHAnsi"/>
          <w:b/>
        </w:rPr>
        <w:t xml:space="preserve">structured </w:t>
      </w:r>
      <w:r w:rsidRPr="00EC6EF5">
        <w:rPr>
          <w:rFonts w:cstheme="minorHAnsi"/>
          <w:b/>
        </w:rPr>
        <w:t>to add</w:t>
      </w:r>
      <w:r w:rsidR="00B120BC" w:rsidRPr="00EC6EF5">
        <w:rPr>
          <w:rFonts w:cstheme="minorHAnsi"/>
          <w:b/>
        </w:rPr>
        <w:t>ress the following operational objectives</w:t>
      </w:r>
      <w:bookmarkEnd w:id="22"/>
      <w:bookmarkEnd w:id="23"/>
      <w:r w:rsidRPr="00EC6EF5">
        <w:rPr>
          <w:rFonts w:cstheme="minorHAnsi"/>
          <w:b/>
        </w:rPr>
        <w:t>:</w:t>
      </w:r>
    </w:p>
    <w:p w14:paraId="31A288AB" w14:textId="77777777" w:rsidR="008B7BE0" w:rsidRDefault="009707D8" w:rsidP="008B7BE0">
      <w:pPr>
        <w:pStyle w:val="ListParagraph"/>
        <w:numPr>
          <w:ilvl w:val="0"/>
          <w:numId w:val="5"/>
        </w:numPr>
        <w:ind w:left="1134" w:firstLine="0"/>
        <w:jc w:val="both"/>
        <w:rPr>
          <w:rFonts w:cstheme="minorHAnsi"/>
        </w:rPr>
      </w:pPr>
      <w:r>
        <w:rPr>
          <w:rFonts w:cstheme="minorHAnsi"/>
        </w:rPr>
        <w:t xml:space="preserve">Reduce </w:t>
      </w:r>
      <w:r w:rsidR="00CE5EBE" w:rsidRPr="00504F1B">
        <w:rPr>
          <w:rFonts w:cstheme="minorHAnsi"/>
        </w:rPr>
        <w:t>infrastructure gaps and operational constraints</w:t>
      </w:r>
      <w:r w:rsidR="00B120BC">
        <w:rPr>
          <w:rFonts w:cstheme="minorHAnsi"/>
        </w:rPr>
        <w:t xml:space="preserve"> via increases in productivity, capacity </w:t>
      </w:r>
    </w:p>
    <w:p w14:paraId="4361DA18" w14:textId="77777777" w:rsidR="00CE5EBE" w:rsidRPr="00504F1B" w:rsidRDefault="008B7BE0" w:rsidP="008B7BE0">
      <w:pPr>
        <w:pStyle w:val="ListParagraph"/>
        <w:ind w:left="1134"/>
        <w:jc w:val="both"/>
        <w:rPr>
          <w:rFonts w:cstheme="minorHAnsi"/>
        </w:rPr>
      </w:pPr>
      <w:r>
        <w:rPr>
          <w:rFonts w:cstheme="minorHAnsi"/>
        </w:rPr>
        <w:t xml:space="preserve">      </w:t>
      </w:r>
      <w:proofErr w:type="gramStart"/>
      <w:r w:rsidR="00B120BC">
        <w:rPr>
          <w:rFonts w:cstheme="minorHAnsi"/>
        </w:rPr>
        <w:t>and</w:t>
      </w:r>
      <w:proofErr w:type="gramEnd"/>
      <w:r w:rsidR="00B120BC">
        <w:rPr>
          <w:rFonts w:cstheme="minorHAnsi"/>
        </w:rPr>
        <w:t xml:space="preserve"> efficiency throughout the logistics chain;</w:t>
      </w:r>
    </w:p>
    <w:p w14:paraId="1BF8999F" w14:textId="77777777" w:rsidR="00CE5EBE" w:rsidRPr="00504F1B" w:rsidRDefault="00B120BC" w:rsidP="008B7BE0">
      <w:pPr>
        <w:pStyle w:val="ListParagraph"/>
        <w:numPr>
          <w:ilvl w:val="0"/>
          <w:numId w:val="8"/>
        </w:numPr>
        <w:ind w:left="1134" w:firstLine="0"/>
        <w:jc w:val="both"/>
        <w:rPr>
          <w:rFonts w:cstheme="minorHAnsi"/>
          <w:szCs w:val="20"/>
        </w:rPr>
      </w:pPr>
      <w:r>
        <w:rPr>
          <w:rFonts w:cstheme="minorHAnsi"/>
          <w:szCs w:val="20"/>
        </w:rPr>
        <w:t xml:space="preserve">Provide unconstrained interconnection of port, rail, road networks;  </w:t>
      </w:r>
      <w:r w:rsidR="00CE5EBE" w:rsidRPr="00504F1B">
        <w:rPr>
          <w:rFonts w:cstheme="minorHAnsi"/>
          <w:szCs w:val="20"/>
        </w:rPr>
        <w:t xml:space="preserve"> </w:t>
      </w:r>
    </w:p>
    <w:p w14:paraId="2B2A2681" w14:textId="77777777" w:rsidR="00CE5EBE" w:rsidRPr="00504F1B" w:rsidRDefault="00B120BC" w:rsidP="008B7BE0">
      <w:pPr>
        <w:pStyle w:val="ListParagraph"/>
        <w:numPr>
          <w:ilvl w:val="0"/>
          <w:numId w:val="8"/>
        </w:numPr>
        <w:ind w:left="1134" w:firstLine="0"/>
        <w:jc w:val="both"/>
        <w:rPr>
          <w:rFonts w:cstheme="minorHAnsi"/>
          <w:szCs w:val="20"/>
        </w:rPr>
      </w:pPr>
      <w:r>
        <w:rPr>
          <w:rFonts w:cstheme="minorHAnsi"/>
          <w:szCs w:val="20"/>
        </w:rPr>
        <w:t>Strengthen and expand where necessary critical freight hubs</w:t>
      </w:r>
      <w:r w:rsidR="00A46660">
        <w:rPr>
          <w:rFonts w:cstheme="minorHAnsi"/>
          <w:szCs w:val="20"/>
        </w:rPr>
        <w:t>;</w:t>
      </w:r>
    </w:p>
    <w:p w14:paraId="0B13F01E" w14:textId="77777777" w:rsidR="00CE5EBE" w:rsidRPr="00504F1B" w:rsidRDefault="00CE5EBE" w:rsidP="008B7BE0">
      <w:pPr>
        <w:pStyle w:val="ListParagraph"/>
        <w:numPr>
          <w:ilvl w:val="0"/>
          <w:numId w:val="5"/>
        </w:numPr>
        <w:ind w:left="1134" w:firstLine="0"/>
        <w:jc w:val="both"/>
        <w:rPr>
          <w:rFonts w:cstheme="minorHAnsi"/>
        </w:rPr>
      </w:pPr>
      <w:r w:rsidRPr="00504F1B">
        <w:rPr>
          <w:rFonts w:cstheme="minorHAnsi"/>
        </w:rPr>
        <w:t>Increa</w:t>
      </w:r>
      <w:r w:rsidR="00A46660">
        <w:rPr>
          <w:rFonts w:cstheme="minorHAnsi"/>
        </w:rPr>
        <w:t xml:space="preserve">se rail’s share of inter-modal freight </w:t>
      </w:r>
      <w:r w:rsidRPr="00504F1B">
        <w:rPr>
          <w:rFonts w:cstheme="minorHAnsi"/>
        </w:rPr>
        <w:t>by upwards of 70%, and</w:t>
      </w:r>
    </w:p>
    <w:p w14:paraId="16EF6CCB" w14:textId="77777777" w:rsidR="00CE5EBE" w:rsidRPr="00504F1B" w:rsidRDefault="00CE5EBE" w:rsidP="008B7BE0">
      <w:pPr>
        <w:pStyle w:val="ListParagraph"/>
        <w:numPr>
          <w:ilvl w:val="0"/>
          <w:numId w:val="5"/>
        </w:numPr>
        <w:ind w:left="1134" w:firstLine="0"/>
        <w:jc w:val="both"/>
        <w:rPr>
          <w:rFonts w:cstheme="minorHAnsi"/>
        </w:rPr>
      </w:pPr>
      <w:r w:rsidRPr="00504F1B">
        <w:rPr>
          <w:rFonts w:cstheme="minorHAnsi"/>
        </w:rPr>
        <w:t>Provide a much-needed seamless connection between shipping, port, rail, road and end users.</w:t>
      </w:r>
    </w:p>
    <w:p w14:paraId="3945290D" w14:textId="77777777" w:rsidR="00AA38EA" w:rsidRPr="00D806DB" w:rsidRDefault="00AA38EA" w:rsidP="009C770A">
      <w:pPr>
        <w:ind w:left="567"/>
        <w:jc w:val="both"/>
        <w:rPr>
          <w:rFonts w:cstheme="minorHAnsi"/>
          <w:b/>
          <w:szCs w:val="20"/>
        </w:rPr>
      </w:pPr>
      <w:bookmarkStart w:id="24" w:name="OLE_LINK23"/>
      <w:bookmarkStart w:id="25" w:name="OLE_LINK24"/>
      <w:bookmarkStart w:id="26" w:name="OLE_LINK25"/>
      <w:r w:rsidRPr="00D806DB">
        <w:rPr>
          <w:rFonts w:cstheme="minorHAnsi"/>
          <w:b/>
          <w:szCs w:val="20"/>
        </w:rPr>
        <w:t xml:space="preserve">The economic significance of the </w:t>
      </w:r>
      <w:r w:rsidR="008B7BE0" w:rsidRPr="00D806DB">
        <w:rPr>
          <w:rFonts w:cstheme="minorHAnsi"/>
          <w:b/>
          <w:szCs w:val="20"/>
        </w:rPr>
        <w:t xml:space="preserve">I-PG </w:t>
      </w:r>
      <w:r w:rsidRPr="00D806DB">
        <w:rPr>
          <w:rFonts w:cstheme="minorHAnsi"/>
          <w:b/>
          <w:szCs w:val="20"/>
        </w:rPr>
        <w:t>project can be summarised as follows</w:t>
      </w:r>
      <w:bookmarkEnd w:id="24"/>
      <w:bookmarkEnd w:id="25"/>
      <w:bookmarkEnd w:id="26"/>
      <w:r w:rsidRPr="00D806DB">
        <w:rPr>
          <w:rFonts w:cstheme="minorHAnsi"/>
          <w:b/>
          <w:szCs w:val="20"/>
        </w:rPr>
        <w:t>:</w:t>
      </w:r>
    </w:p>
    <w:p w14:paraId="2D44B3A9" w14:textId="77777777" w:rsidR="00AA38EA" w:rsidRPr="00504F1B" w:rsidRDefault="00AA38EA" w:rsidP="009C770A">
      <w:pPr>
        <w:pStyle w:val="ListParagraph"/>
        <w:ind w:left="567"/>
        <w:jc w:val="both"/>
        <w:rPr>
          <w:rFonts w:cstheme="minorHAnsi"/>
          <w:szCs w:val="20"/>
        </w:rPr>
      </w:pPr>
      <w:r w:rsidRPr="00504F1B">
        <w:rPr>
          <w:rFonts w:cstheme="minorHAnsi"/>
          <w:szCs w:val="20"/>
        </w:rPr>
        <w:t>Gladstone Port significantly reduces the shipping days from overseas hub ports. This has a twofold effect:</w:t>
      </w:r>
    </w:p>
    <w:p w14:paraId="3FAD2F5D" w14:textId="77777777" w:rsidR="00AA38EA" w:rsidRPr="00504F1B" w:rsidRDefault="00AA38EA" w:rsidP="008B7BE0">
      <w:pPr>
        <w:pStyle w:val="ListParagraph"/>
        <w:numPr>
          <w:ilvl w:val="1"/>
          <w:numId w:val="7"/>
        </w:numPr>
        <w:ind w:left="1134" w:firstLine="284"/>
        <w:jc w:val="both"/>
        <w:rPr>
          <w:rFonts w:cstheme="minorHAnsi"/>
          <w:szCs w:val="20"/>
        </w:rPr>
      </w:pPr>
      <w:r w:rsidRPr="00504F1B">
        <w:rPr>
          <w:rFonts w:cstheme="minorHAnsi"/>
          <w:szCs w:val="20"/>
          <w:u w:val="thick"/>
        </w:rPr>
        <w:t>Reduced cost</w:t>
      </w:r>
      <w:r w:rsidRPr="00504F1B">
        <w:rPr>
          <w:rFonts w:cstheme="minorHAnsi"/>
          <w:szCs w:val="20"/>
        </w:rPr>
        <w:t xml:space="preserve"> for overseas carriers servicing Australia, and </w:t>
      </w:r>
    </w:p>
    <w:p w14:paraId="71FEDBDF" w14:textId="77777777" w:rsidR="00D806DB" w:rsidRDefault="00AA38EA" w:rsidP="00922618">
      <w:pPr>
        <w:pStyle w:val="ListParagraph"/>
        <w:numPr>
          <w:ilvl w:val="1"/>
          <w:numId w:val="7"/>
        </w:numPr>
        <w:ind w:left="1134" w:firstLine="284"/>
        <w:jc w:val="both"/>
        <w:rPr>
          <w:rFonts w:cstheme="minorHAnsi"/>
          <w:szCs w:val="20"/>
        </w:rPr>
      </w:pPr>
      <w:r w:rsidRPr="00D806DB">
        <w:rPr>
          <w:rFonts w:cstheme="minorHAnsi"/>
          <w:szCs w:val="20"/>
          <w:u w:val="thick"/>
        </w:rPr>
        <w:t>Increased revenue</w:t>
      </w:r>
      <w:r w:rsidRPr="00D806DB">
        <w:rPr>
          <w:rFonts w:cstheme="minorHAnsi"/>
          <w:szCs w:val="20"/>
        </w:rPr>
        <w:t xml:space="preserve"> for overseas carriers through the redeployment of vessels on additional </w:t>
      </w:r>
      <w:r w:rsidR="00D806DB">
        <w:rPr>
          <w:rFonts w:cstheme="minorHAnsi"/>
          <w:szCs w:val="20"/>
        </w:rPr>
        <w:t xml:space="preserve">     </w:t>
      </w:r>
    </w:p>
    <w:p w14:paraId="5945F917" w14:textId="77777777" w:rsidR="00AA38EA" w:rsidRPr="00D806DB" w:rsidRDefault="00D806DB" w:rsidP="00D806DB">
      <w:pPr>
        <w:pStyle w:val="ListParagraph"/>
        <w:ind w:left="1418"/>
        <w:jc w:val="both"/>
        <w:rPr>
          <w:rFonts w:cstheme="minorHAnsi"/>
          <w:szCs w:val="20"/>
        </w:rPr>
      </w:pPr>
      <w:proofErr w:type="gramStart"/>
      <w:r>
        <w:rPr>
          <w:rFonts w:cstheme="minorHAnsi"/>
          <w:szCs w:val="20"/>
        </w:rPr>
        <w:t>t</w:t>
      </w:r>
      <w:r w:rsidR="00AA38EA" w:rsidRPr="00D806DB">
        <w:rPr>
          <w:rFonts w:cstheme="minorHAnsi"/>
          <w:szCs w:val="20"/>
        </w:rPr>
        <w:t>rade</w:t>
      </w:r>
      <w:proofErr w:type="gramEnd"/>
      <w:r w:rsidR="00AA38EA" w:rsidRPr="00D806DB">
        <w:rPr>
          <w:rFonts w:cstheme="minorHAnsi"/>
          <w:szCs w:val="20"/>
        </w:rPr>
        <w:t xml:space="preserve"> routes.</w:t>
      </w:r>
    </w:p>
    <w:p w14:paraId="6C71C397" w14:textId="77777777" w:rsidR="00AA38EA" w:rsidRPr="00504F1B" w:rsidRDefault="00AA38EA" w:rsidP="008B7BE0">
      <w:pPr>
        <w:pStyle w:val="ListParagraph"/>
        <w:numPr>
          <w:ilvl w:val="0"/>
          <w:numId w:val="7"/>
        </w:numPr>
        <w:ind w:left="1134" w:hanging="283"/>
        <w:jc w:val="both"/>
        <w:rPr>
          <w:rFonts w:cstheme="minorHAnsi"/>
          <w:szCs w:val="20"/>
        </w:rPr>
      </w:pPr>
      <w:r w:rsidRPr="00504F1B">
        <w:rPr>
          <w:rFonts w:cstheme="minorHAnsi"/>
          <w:szCs w:val="20"/>
        </w:rPr>
        <w:t xml:space="preserve">Reduces the operational cost associated with multiple ports of call. </w:t>
      </w:r>
    </w:p>
    <w:p w14:paraId="636968B2" w14:textId="77777777" w:rsidR="00AA38EA" w:rsidRPr="00504F1B" w:rsidRDefault="00AA38EA" w:rsidP="00D806DB">
      <w:pPr>
        <w:pStyle w:val="ListParagraph"/>
        <w:numPr>
          <w:ilvl w:val="0"/>
          <w:numId w:val="7"/>
        </w:numPr>
        <w:ind w:left="1134" w:hanging="283"/>
        <w:jc w:val="both"/>
        <w:rPr>
          <w:rFonts w:cstheme="minorHAnsi"/>
          <w:szCs w:val="20"/>
        </w:rPr>
      </w:pPr>
      <w:r w:rsidRPr="00504F1B">
        <w:rPr>
          <w:rFonts w:cstheme="minorHAnsi"/>
          <w:szCs w:val="20"/>
        </w:rPr>
        <w:t xml:space="preserve">Manufacture &amp; Agricultural Exports </w:t>
      </w:r>
    </w:p>
    <w:p w14:paraId="5DE263C8" w14:textId="77777777" w:rsidR="00AA38EA" w:rsidRPr="00504F1B" w:rsidRDefault="00AA38EA" w:rsidP="008B7BE0">
      <w:pPr>
        <w:pStyle w:val="ListParagraph"/>
        <w:numPr>
          <w:ilvl w:val="1"/>
          <w:numId w:val="7"/>
        </w:numPr>
        <w:ind w:left="1134" w:firstLine="284"/>
        <w:jc w:val="both"/>
        <w:rPr>
          <w:rFonts w:cstheme="minorHAnsi"/>
          <w:szCs w:val="20"/>
        </w:rPr>
      </w:pPr>
      <w:r w:rsidRPr="00504F1B">
        <w:rPr>
          <w:rFonts w:cstheme="minorHAnsi"/>
          <w:szCs w:val="20"/>
        </w:rPr>
        <w:t xml:space="preserve">Reduced lead-in time to international markets,  </w:t>
      </w:r>
    </w:p>
    <w:p w14:paraId="511AD7CE" w14:textId="77777777" w:rsidR="00AA38EA" w:rsidRDefault="00AA38EA" w:rsidP="008B7BE0">
      <w:pPr>
        <w:pStyle w:val="ListParagraph"/>
        <w:numPr>
          <w:ilvl w:val="1"/>
          <w:numId w:val="7"/>
        </w:numPr>
        <w:ind w:left="1134" w:firstLine="284"/>
        <w:jc w:val="both"/>
        <w:rPr>
          <w:rFonts w:cstheme="minorHAnsi"/>
          <w:szCs w:val="20"/>
        </w:rPr>
      </w:pPr>
      <w:r w:rsidRPr="00504F1B">
        <w:rPr>
          <w:rFonts w:cstheme="minorHAnsi"/>
          <w:szCs w:val="20"/>
        </w:rPr>
        <w:t xml:space="preserve">Combination of a), b), and c) would enable a reduced cost base and delivery of a fresher product to the end market and consumer. </w:t>
      </w:r>
    </w:p>
    <w:p w14:paraId="0DD5E61C" w14:textId="77777777" w:rsidR="008B7BE0" w:rsidRPr="00504F1B" w:rsidRDefault="008B7BE0" w:rsidP="008B7BE0">
      <w:pPr>
        <w:pStyle w:val="ListParagraph"/>
        <w:ind w:left="1560"/>
        <w:jc w:val="both"/>
        <w:rPr>
          <w:rFonts w:cstheme="minorHAnsi"/>
          <w:szCs w:val="20"/>
        </w:rPr>
      </w:pPr>
    </w:p>
    <w:p w14:paraId="61E985B4" w14:textId="77777777" w:rsidR="00AA38EA" w:rsidRPr="00504F1B" w:rsidRDefault="00AA38EA" w:rsidP="00DE0BF4">
      <w:pPr>
        <w:pStyle w:val="ListParagraph"/>
        <w:numPr>
          <w:ilvl w:val="0"/>
          <w:numId w:val="7"/>
        </w:numPr>
        <w:ind w:left="1134"/>
        <w:jc w:val="both"/>
        <w:rPr>
          <w:rFonts w:cstheme="minorHAnsi"/>
          <w:szCs w:val="20"/>
        </w:rPr>
      </w:pPr>
      <w:r w:rsidRPr="00504F1B">
        <w:rPr>
          <w:rFonts w:cstheme="minorHAnsi"/>
          <w:szCs w:val="20"/>
        </w:rPr>
        <w:t xml:space="preserve">Support of the following government policies and initiatives: </w:t>
      </w:r>
    </w:p>
    <w:p w14:paraId="56BB39CF" w14:textId="77777777" w:rsidR="00AA38EA" w:rsidRPr="00504F1B" w:rsidRDefault="00D806DB" w:rsidP="008B7BE0">
      <w:pPr>
        <w:pStyle w:val="ListParagraph"/>
        <w:numPr>
          <w:ilvl w:val="1"/>
          <w:numId w:val="7"/>
        </w:numPr>
        <w:ind w:left="1134" w:firstLine="142"/>
        <w:jc w:val="both"/>
        <w:rPr>
          <w:rFonts w:cstheme="minorHAnsi"/>
          <w:szCs w:val="20"/>
        </w:rPr>
      </w:pPr>
      <w:r>
        <w:rPr>
          <w:rFonts w:cstheme="minorHAnsi"/>
          <w:szCs w:val="20"/>
        </w:rPr>
        <w:t>Existing and future Fre</w:t>
      </w:r>
      <w:r w:rsidR="00AA38EA" w:rsidRPr="00504F1B">
        <w:rPr>
          <w:rFonts w:cstheme="minorHAnsi"/>
          <w:szCs w:val="20"/>
        </w:rPr>
        <w:t>e Trade Agreement</w:t>
      </w:r>
      <w:r>
        <w:rPr>
          <w:rFonts w:cstheme="minorHAnsi"/>
          <w:szCs w:val="20"/>
        </w:rPr>
        <w:t>s</w:t>
      </w:r>
      <w:r w:rsidR="00AA38EA" w:rsidRPr="00504F1B">
        <w:rPr>
          <w:rFonts w:cstheme="minorHAnsi"/>
          <w:szCs w:val="20"/>
        </w:rPr>
        <w:t xml:space="preserve"> (FTA</w:t>
      </w:r>
      <w:r>
        <w:rPr>
          <w:rFonts w:cstheme="minorHAnsi"/>
          <w:szCs w:val="20"/>
        </w:rPr>
        <w:t>’s</w:t>
      </w:r>
      <w:r w:rsidR="00AA38EA" w:rsidRPr="00504F1B">
        <w:rPr>
          <w:rFonts w:cstheme="minorHAnsi"/>
          <w:szCs w:val="20"/>
        </w:rPr>
        <w:t>);</w:t>
      </w:r>
    </w:p>
    <w:p w14:paraId="67A597DC" w14:textId="77777777" w:rsidR="00AA38EA" w:rsidRPr="00504F1B" w:rsidRDefault="00AA38EA" w:rsidP="008B7BE0">
      <w:pPr>
        <w:pStyle w:val="ListParagraph"/>
        <w:numPr>
          <w:ilvl w:val="1"/>
          <w:numId w:val="7"/>
        </w:numPr>
        <w:ind w:left="1134" w:firstLine="142"/>
        <w:jc w:val="both"/>
        <w:rPr>
          <w:rFonts w:cstheme="minorHAnsi"/>
          <w:szCs w:val="20"/>
        </w:rPr>
      </w:pPr>
      <w:r w:rsidRPr="00504F1B">
        <w:rPr>
          <w:rFonts w:cstheme="minorHAnsi"/>
          <w:szCs w:val="20"/>
        </w:rPr>
        <w:t xml:space="preserve">Decentralisation; </w:t>
      </w:r>
    </w:p>
    <w:p w14:paraId="56BFAEB5" w14:textId="77777777" w:rsidR="00AA38EA" w:rsidRPr="00504F1B" w:rsidRDefault="00AA38EA" w:rsidP="008B7BE0">
      <w:pPr>
        <w:pStyle w:val="ListParagraph"/>
        <w:numPr>
          <w:ilvl w:val="1"/>
          <w:numId w:val="7"/>
        </w:numPr>
        <w:ind w:left="1134" w:firstLine="142"/>
        <w:jc w:val="both"/>
        <w:rPr>
          <w:rFonts w:cstheme="minorHAnsi"/>
          <w:szCs w:val="20"/>
        </w:rPr>
      </w:pPr>
      <w:r w:rsidRPr="00504F1B">
        <w:rPr>
          <w:rFonts w:cstheme="minorHAnsi"/>
          <w:szCs w:val="20"/>
        </w:rPr>
        <w:t xml:space="preserve">Increased </w:t>
      </w:r>
      <w:r w:rsidR="00D806DB">
        <w:rPr>
          <w:rFonts w:cstheme="minorHAnsi"/>
          <w:szCs w:val="20"/>
        </w:rPr>
        <w:t xml:space="preserve">regional </w:t>
      </w:r>
      <w:r w:rsidRPr="00504F1B">
        <w:rPr>
          <w:rFonts w:cstheme="minorHAnsi"/>
          <w:szCs w:val="20"/>
        </w:rPr>
        <w:t>employment opportunities, and</w:t>
      </w:r>
    </w:p>
    <w:p w14:paraId="129E4327" w14:textId="77777777" w:rsidR="00AA38EA" w:rsidRDefault="00AA38EA" w:rsidP="008B7BE0">
      <w:pPr>
        <w:pStyle w:val="ListParagraph"/>
        <w:numPr>
          <w:ilvl w:val="1"/>
          <w:numId w:val="7"/>
        </w:numPr>
        <w:autoSpaceDE w:val="0"/>
        <w:autoSpaceDN w:val="0"/>
        <w:adjustRightInd w:val="0"/>
        <w:ind w:left="1134" w:firstLine="142"/>
        <w:rPr>
          <w:rFonts w:cstheme="minorHAnsi"/>
          <w:szCs w:val="20"/>
        </w:rPr>
      </w:pPr>
      <w:r w:rsidRPr="00504F1B">
        <w:rPr>
          <w:rFonts w:cstheme="minorHAnsi"/>
          <w:szCs w:val="20"/>
        </w:rPr>
        <w:t>Increased skilled migration.</w:t>
      </w:r>
    </w:p>
    <w:p w14:paraId="5C82EA23" w14:textId="77777777" w:rsidR="00356A57" w:rsidRDefault="00356A57" w:rsidP="00C76E29">
      <w:pPr>
        <w:spacing w:after="0" w:line="240" w:lineRule="auto"/>
        <w:ind w:left="567"/>
        <w:jc w:val="both"/>
        <w:rPr>
          <w:rFonts w:cstheme="minorHAnsi"/>
        </w:rPr>
      </w:pPr>
    </w:p>
    <w:p w14:paraId="255D18AF" w14:textId="77777777" w:rsidR="00C76E29" w:rsidRPr="00DE0BF4" w:rsidRDefault="00C76E29" w:rsidP="00C76E29">
      <w:pPr>
        <w:spacing w:after="0" w:line="240" w:lineRule="auto"/>
        <w:ind w:left="567"/>
        <w:jc w:val="both"/>
        <w:rPr>
          <w:rFonts w:cstheme="minorHAnsi"/>
        </w:rPr>
      </w:pPr>
      <w:r w:rsidRPr="00DE0BF4">
        <w:rPr>
          <w:rFonts w:cstheme="minorHAnsi"/>
        </w:rPr>
        <w:t xml:space="preserve">It is, we believe, a clear pathway towards improving the reliability, capacity and efficiency of Australia’s national transportation system, in this generation and beyond. </w:t>
      </w:r>
    </w:p>
    <w:p w14:paraId="5C9549CE" w14:textId="77777777" w:rsidR="008E2CE1" w:rsidRDefault="001E5242" w:rsidP="00356A57">
      <w:pPr>
        <w:pStyle w:val="ListParagraph"/>
        <w:ind w:left="567"/>
        <w:jc w:val="both"/>
        <w:rPr>
          <w:rFonts w:cstheme="minorHAnsi"/>
          <w:b/>
          <w:szCs w:val="20"/>
        </w:rPr>
      </w:pPr>
      <w:r w:rsidRPr="001E5242">
        <w:rPr>
          <w:rFonts w:cstheme="minorHAnsi"/>
          <w:b/>
          <w:szCs w:val="20"/>
        </w:rPr>
        <w:t xml:space="preserve">Project </w:t>
      </w:r>
      <w:r>
        <w:rPr>
          <w:rFonts w:cstheme="minorHAnsi"/>
          <w:b/>
          <w:szCs w:val="20"/>
        </w:rPr>
        <w:t>Funding</w:t>
      </w:r>
      <w:r w:rsidR="008E2CE1">
        <w:rPr>
          <w:rFonts w:cstheme="minorHAnsi"/>
          <w:b/>
          <w:szCs w:val="20"/>
        </w:rPr>
        <w:t>:</w:t>
      </w:r>
    </w:p>
    <w:p w14:paraId="663D3C40" w14:textId="77777777" w:rsidR="008E2CE1" w:rsidRDefault="008E2CE1" w:rsidP="00356A57">
      <w:pPr>
        <w:pStyle w:val="ListParagraph"/>
        <w:ind w:left="567"/>
        <w:jc w:val="both"/>
        <w:rPr>
          <w:rFonts w:cstheme="minorHAnsi"/>
          <w:b/>
          <w:szCs w:val="20"/>
        </w:rPr>
      </w:pPr>
    </w:p>
    <w:p w14:paraId="1835DED1" w14:textId="77777777" w:rsidR="002B26A9" w:rsidRDefault="009133DD" w:rsidP="00356A57">
      <w:pPr>
        <w:pStyle w:val="ListParagraph"/>
        <w:ind w:left="567"/>
        <w:jc w:val="both"/>
        <w:rPr>
          <w:rFonts w:cstheme="minorHAnsi"/>
          <w:szCs w:val="20"/>
        </w:rPr>
      </w:pPr>
      <w:proofErr w:type="gramStart"/>
      <w:r w:rsidRPr="009133DD">
        <w:rPr>
          <w:rFonts w:cstheme="minorHAnsi"/>
          <w:szCs w:val="20"/>
        </w:rPr>
        <w:t>The I</w:t>
      </w:r>
      <w:proofErr w:type="gramEnd"/>
      <w:r w:rsidRPr="009133DD">
        <w:rPr>
          <w:rFonts w:cstheme="minorHAnsi"/>
          <w:szCs w:val="20"/>
        </w:rPr>
        <w:t xml:space="preserve">-PG portfolio of sequential projects will be delivered </w:t>
      </w:r>
      <w:r>
        <w:rPr>
          <w:rFonts w:cstheme="minorHAnsi"/>
          <w:szCs w:val="20"/>
        </w:rPr>
        <w:t>through private equity funding that has been sourced by the company executives and to which a contract of funding has been supplied. This initial funding will enable several stages of the project to be completed. Simultaneously</w:t>
      </w:r>
      <w:r w:rsidR="00F234D8">
        <w:rPr>
          <w:rFonts w:cstheme="minorHAnsi"/>
          <w:szCs w:val="20"/>
        </w:rPr>
        <w:t xml:space="preserve">, the Directors have been engaged in further negotiations with other sources of private equity funding to complete the outstanding stages of the project. </w:t>
      </w:r>
    </w:p>
    <w:p w14:paraId="563D49FA" w14:textId="7C34FF5F" w:rsidR="00F234D8" w:rsidRDefault="00F234D8" w:rsidP="00356A57">
      <w:pPr>
        <w:pStyle w:val="ListParagraph"/>
        <w:ind w:left="567"/>
        <w:jc w:val="both"/>
        <w:rPr>
          <w:rFonts w:cstheme="minorHAnsi"/>
          <w:szCs w:val="20"/>
        </w:rPr>
      </w:pPr>
      <w:r>
        <w:rPr>
          <w:rFonts w:cstheme="minorHAnsi"/>
          <w:szCs w:val="20"/>
        </w:rPr>
        <w:t xml:space="preserve">Copies of any correspondence in this regard </w:t>
      </w:r>
      <w:r w:rsidR="002B26A9">
        <w:rPr>
          <w:rFonts w:cstheme="minorHAnsi"/>
          <w:szCs w:val="20"/>
        </w:rPr>
        <w:t xml:space="preserve">can </w:t>
      </w:r>
      <w:r>
        <w:rPr>
          <w:rFonts w:cstheme="minorHAnsi"/>
          <w:szCs w:val="20"/>
        </w:rPr>
        <w:t>be made available upon request.</w:t>
      </w:r>
      <w:r w:rsidR="009133DD">
        <w:rPr>
          <w:rFonts w:cstheme="minorHAnsi"/>
          <w:szCs w:val="20"/>
        </w:rPr>
        <w:t xml:space="preserve">  </w:t>
      </w:r>
    </w:p>
    <w:p w14:paraId="084BD6C9" w14:textId="77777777" w:rsidR="00F234D8" w:rsidRDefault="00F234D8" w:rsidP="00356A57">
      <w:pPr>
        <w:pStyle w:val="ListParagraph"/>
        <w:ind w:left="567"/>
        <w:jc w:val="both"/>
        <w:rPr>
          <w:rFonts w:cstheme="minorHAnsi"/>
          <w:szCs w:val="20"/>
        </w:rPr>
      </w:pPr>
    </w:p>
    <w:p w14:paraId="636BF8D9" w14:textId="4C9BF58D" w:rsidR="008672FA" w:rsidRDefault="009133DD" w:rsidP="002B26A9">
      <w:pPr>
        <w:pStyle w:val="ListParagraph"/>
        <w:ind w:left="567"/>
        <w:jc w:val="both"/>
      </w:pPr>
      <w:r>
        <w:rPr>
          <w:rFonts w:cstheme="minorHAnsi"/>
          <w:szCs w:val="20"/>
        </w:rPr>
        <w:t xml:space="preserve"> </w:t>
      </w:r>
    </w:p>
    <w:sectPr w:rsidR="008672FA" w:rsidSect="008672FA">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959B" w14:textId="77777777" w:rsidR="00134132" w:rsidRDefault="00134132" w:rsidP="008279B2">
      <w:pPr>
        <w:spacing w:after="0" w:line="240" w:lineRule="auto"/>
      </w:pPr>
      <w:r>
        <w:separator/>
      </w:r>
    </w:p>
  </w:endnote>
  <w:endnote w:type="continuationSeparator" w:id="0">
    <w:p w14:paraId="6A051DAD" w14:textId="77777777" w:rsidR="00134132" w:rsidRDefault="00134132" w:rsidP="0082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07787"/>
      <w:docPartObj>
        <w:docPartGallery w:val="Page Numbers (Bottom of Page)"/>
        <w:docPartUnique/>
      </w:docPartObj>
    </w:sdtPr>
    <w:sdtEndPr>
      <w:rPr>
        <w:noProof/>
        <w:sz w:val="16"/>
        <w:szCs w:val="16"/>
      </w:rPr>
    </w:sdtEndPr>
    <w:sdtContent>
      <w:p w14:paraId="32EFD39A" w14:textId="60795D25" w:rsidR="00F234D8" w:rsidRPr="00497171" w:rsidRDefault="00F234D8" w:rsidP="00560157">
        <w:pPr>
          <w:pStyle w:val="Footer"/>
          <w:jc w:val="center"/>
          <w:rPr>
            <w:sz w:val="16"/>
            <w:szCs w:val="16"/>
          </w:rPr>
        </w:pPr>
        <w:r>
          <w:t xml:space="preserve">  </w:t>
        </w:r>
        <w:r>
          <w:fldChar w:fldCharType="begin"/>
        </w:r>
        <w:r>
          <w:instrText xml:space="preserve"> PAGE   \* MERGEFORMAT </w:instrText>
        </w:r>
        <w:r>
          <w:fldChar w:fldCharType="separate"/>
        </w:r>
        <w:r w:rsidR="00B41B6A">
          <w:rPr>
            <w:noProof/>
          </w:rPr>
          <w:t>9</w:t>
        </w:r>
        <w:r>
          <w:rPr>
            <w:noProof/>
          </w:rPr>
          <w:fldChar w:fldCharType="end"/>
        </w:r>
        <w:r w:rsidRPr="008279B2">
          <w:t xml:space="preserve"> </w:t>
        </w:r>
        <w:r>
          <w:t xml:space="preserve">                                                </w:t>
        </w:r>
        <w:r w:rsidRPr="00497171">
          <w:rPr>
            <w:sz w:val="16"/>
            <w:szCs w:val="16"/>
          </w:rPr>
          <w:t>Inter-Port Global – Gladstone SDA development project paper May 2017</w:t>
        </w:r>
      </w:p>
    </w:sdtContent>
  </w:sdt>
  <w:p w14:paraId="35958D84" w14:textId="77777777" w:rsidR="00F234D8" w:rsidRDefault="00F23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9ED0" w14:textId="77777777" w:rsidR="00134132" w:rsidRDefault="00134132" w:rsidP="008279B2">
      <w:pPr>
        <w:spacing w:after="0" w:line="240" w:lineRule="auto"/>
      </w:pPr>
      <w:r>
        <w:separator/>
      </w:r>
    </w:p>
  </w:footnote>
  <w:footnote w:type="continuationSeparator" w:id="0">
    <w:p w14:paraId="27E5F189" w14:textId="77777777" w:rsidR="00134132" w:rsidRDefault="00134132" w:rsidP="0082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E6F"/>
    <w:multiLevelType w:val="hybridMultilevel"/>
    <w:tmpl w:val="AC585794"/>
    <w:lvl w:ilvl="0" w:tplc="F5766B22">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E74FE"/>
    <w:multiLevelType w:val="hybridMultilevel"/>
    <w:tmpl w:val="F40E88A0"/>
    <w:lvl w:ilvl="0" w:tplc="791A42B4">
      <w:start w:val="1"/>
      <w:numFmt w:val="bullet"/>
      <w:lvlText w:val=""/>
      <w:lvlJc w:val="left"/>
      <w:pPr>
        <w:ind w:left="1429" w:hanging="360"/>
      </w:pPr>
      <w:rPr>
        <w:rFonts w:ascii="Symbol" w:hAnsi="Symbol" w:hint="default"/>
        <w:color w:val="auto"/>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1EEC0D4B"/>
    <w:multiLevelType w:val="hybridMultilevel"/>
    <w:tmpl w:val="B378A7A2"/>
    <w:lvl w:ilvl="0" w:tplc="791A42B4">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994D7B"/>
    <w:multiLevelType w:val="hybridMultilevel"/>
    <w:tmpl w:val="42F4182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D56373"/>
    <w:multiLevelType w:val="hybridMultilevel"/>
    <w:tmpl w:val="0AE2DE90"/>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 w15:restartNumberingAfterBreak="0">
    <w:nsid w:val="3A952E8D"/>
    <w:multiLevelType w:val="hybridMultilevel"/>
    <w:tmpl w:val="E002673C"/>
    <w:lvl w:ilvl="0" w:tplc="267CA8EA">
      <w:start w:val="1"/>
      <w:numFmt w:val="bullet"/>
      <w:lvlText w:val="•"/>
      <w:lvlJc w:val="left"/>
      <w:pPr>
        <w:tabs>
          <w:tab w:val="num" w:pos="720"/>
        </w:tabs>
        <w:ind w:left="720" w:hanging="360"/>
      </w:pPr>
      <w:rPr>
        <w:rFonts w:ascii="Arial" w:hAnsi="Arial" w:hint="default"/>
      </w:rPr>
    </w:lvl>
    <w:lvl w:ilvl="1" w:tplc="BBE6E330" w:tentative="1">
      <w:start w:val="1"/>
      <w:numFmt w:val="bullet"/>
      <w:lvlText w:val="•"/>
      <w:lvlJc w:val="left"/>
      <w:pPr>
        <w:tabs>
          <w:tab w:val="num" w:pos="1440"/>
        </w:tabs>
        <w:ind w:left="1440" w:hanging="360"/>
      </w:pPr>
      <w:rPr>
        <w:rFonts w:ascii="Arial" w:hAnsi="Arial" w:hint="default"/>
      </w:rPr>
    </w:lvl>
    <w:lvl w:ilvl="2" w:tplc="632875F4" w:tentative="1">
      <w:start w:val="1"/>
      <w:numFmt w:val="bullet"/>
      <w:lvlText w:val="•"/>
      <w:lvlJc w:val="left"/>
      <w:pPr>
        <w:tabs>
          <w:tab w:val="num" w:pos="2160"/>
        </w:tabs>
        <w:ind w:left="2160" w:hanging="360"/>
      </w:pPr>
      <w:rPr>
        <w:rFonts w:ascii="Arial" w:hAnsi="Arial" w:hint="default"/>
      </w:rPr>
    </w:lvl>
    <w:lvl w:ilvl="3" w:tplc="8E607284" w:tentative="1">
      <w:start w:val="1"/>
      <w:numFmt w:val="bullet"/>
      <w:lvlText w:val="•"/>
      <w:lvlJc w:val="left"/>
      <w:pPr>
        <w:tabs>
          <w:tab w:val="num" w:pos="2880"/>
        </w:tabs>
        <w:ind w:left="2880" w:hanging="360"/>
      </w:pPr>
      <w:rPr>
        <w:rFonts w:ascii="Arial" w:hAnsi="Arial" w:hint="default"/>
      </w:rPr>
    </w:lvl>
    <w:lvl w:ilvl="4" w:tplc="C78CDAB6" w:tentative="1">
      <w:start w:val="1"/>
      <w:numFmt w:val="bullet"/>
      <w:lvlText w:val="•"/>
      <w:lvlJc w:val="left"/>
      <w:pPr>
        <w:tabs>
          <w:tab w:val="num" w:pos="3600"/>
        </w:tabs>
        <w:ind w:left="3600" w:hanging="360"/>
      </w:pPr>
      <w:rPr>
        <w:rFonts w:ascii="Arial" w:hAnsi="Arial" w:hint="default"/>
      </w:rPr>
    </w:lvl>
    <w:lvl w:ilvl="5" w:tplc="0F50BDC0" w:tentative="1">
      <w:start w:val="1"/>
      <w:numFmt w:val="bullet"/>
      <w:lvlText w:val="•"/>
      <w:lvlJc w:val="left"/>
      <w:pPr>
        <w:tabs>
          <w:tab w:val="num" w:pos="4320"/>
        </w:tabs>
        <w:ind w:left="4320" w:hanging="360"/>
      </w:pPr>
      <w:rPr>
        <w:rFonts w:ascii="Arial" w:hAnsi="Arial" w:hint="default"/>
      </w:rPr>
    </w:lvl>
    <w:lvl w:ilvl="6" w:tplc="E14221CE" w:tentative="1">
      <w:start w:val="1"/>
      <w:numFmt w:val="bullet"/>
      <w:lvlText w:val="•"/>
      <w:lvlJc w:val="left"/>
      <w:pPr>
        <w:tabs>
          <w:tab w:val="num" w:pos="5040"/>
        </w:tabs>
        <w:ind w:left="5040" w:hanging="360"/>
      </w:pPr>
      <w:rPr>
        <w:rFonts w:ascii="Arial" w:hAnsi="Arial" w:hint="default"/>
      </w:rPr>
    </w:lvl>
    <w:lvl w:ilvl="7" w:tplc="44A6F6AC" w:tentative="1">
      <w:start w:val="1"/>
      <w:numFmt w:val="bullet"/>
      <w:lvlText w:val="•"/>
      <w:lvlJc w:val="left"/>
      <w:pPr>
        <w:tabs>
          <w:tab w:val="num" w:pos="5760"/>
        </w:tabs>
        <w:ind w:left="5760" w:hanging="360"/>
      </w:pPr>
      <w:rPr>
        <w:rFonts w:ascii="Arial" w:hAnsi="Arial" w:hint="default"/>
      </w:rPr>
    </w:lvl>
    <w:lvl w:ilvl="8" w:tplc="EEC0CB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D52607"/>
    <w:multiLevelType w:val="hybridMultilevel"/>
    <w:tmpl w:val="4DA2C84A"/>
    <w:lvl w:ilvl="0" w:tplc="0C090017">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 w15:restartNumberingAfterBreak="0">
    <w:nsid w:val="70AD7486"/>
    <w:multiLevelType w:val="hybridMultilevel"/>
    <w:tmpl w:val="24760A82"/>
    <w:lvl w:ilvl="0" w:tplc="6D4ED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366E0"/>
    <w:multiLevelType w:val="hybridMultilevel"/>
    <w:tmpl w:val="F2FE7BFE"/>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2"/>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AC"/>
    <w:rsid w:val="00000655"/>
    <w:rsid w:val="00032D72"/>
    <w:rsid w:val="000366DC"/>
    <w:rsid w:val="00052806"/>
    <w:rsid w:val="0007078D"/>
    <w:rsid w:val="0007321F"/>
    <w:rsid w:val="00080C5D"/>
    <w:rsid w:val="00081BDE"/>
    <w:rsid w:val="0008794B"/>
    <w:rsid w:val="000A683D"/>
    <w:rsid w:val="000A6E43"/>
    <w:rsid w:val="000B2666"/>
    <w:rsid w:val="000C386F"/>
    <w:rsid w:val="00126743"/>
    <w:rsid w:val="00130C2E"/>
    <w:rsid w:val="00134132"/>
    <w:rsid w:val="00167AAA"/>
    <w:rsid w:val="001751AF"/>
    <w:rsid w:val="00192237"/>
    <w:rsid w:val="00192B14"/>
    <w:rsid w:val="00193FB4"/>
    <w:rsid w:val="001A35F8"/>
    <w:rsid w:val="001B2103"/>
    <w:rsid w:val="001C3B64"/>
    <w:rsid w:val="001E0A7F"/>
    <w:rsid w:val="001E5242"/>
    <w:rsid w:val="00205C6E"/>
    <w:rsid w:val="00226FBB"/>
    <w:rsid w:val="00236956"/>
    <w:rsid w:val="002623D5"/>
    <w:rsid w:val="0026372A"/>
    <w:rsid w:val="00270BA1"/>
    <w:rsid w:val="00273B6D"/>
    <w:rsid w:val="002B26A9"/>
    <w:rsid w:val="002B41AD"/>
    <w:rsid w:val="002D2155"/>
    <w:rsid w:val="002E2589"/>
    <w:rsid w:val="002E2866"/>
    <w:rsid w:val="00311CA2"/>
    <w:rsid w:val="00316C50"/>
    <w:rsid w:val="00321453"/>
    <w:rsid w:val="003461DB"/>
    <w:rsid w:val="00356A57"/>
    <w:rsid w:val="00363E1C"/>
    <w:rsid w:val="00385C36"/>
    <w:rsid w:val="0039377A"/>
    <w:rsid w:val="003A06A1"/>
    <w:rsid w:val="003A2196"/>
    <w:rsid w:val="003E7649"/>
    <w:rsid w:val="00411F90"/>
    <w:rsid w:val="0041496F"/>
    <w:rsid w:val="0042462E"/>
    <w:rsid w:val="00452230"/>
    <w:rsid w:val="00452342"/>
    <w:rsid w:val="00466E0C"/>
    <w:rsid w:val="00482ADE"/>
    <w:rsid w:val="0049037A"/>
    <w:rsid w:val="00497171"/>
    <w:rsid w:val="00497D1F"/>
    <w:rsid w:val="004C0E81"/>
    <w:rsid w:val="004E0F1B"/>
    <w:rsid w:val="004E5009"/>
    <w:rsid w:val="00511D4C"/>
    <w:rsid w:val="0052199A"/>
    <w:rsid w:val="0052733A"/>
    <w:rsid w:val="00540DD9"/>
    <w:rsid w:val="0054202D"/>
    <w:rsid w:val="0055782C"/>
    <w:rsid w:val="00560157"/>
    <w:rsid w:val="0056662C"/>
    <w:rsid w:val="005831E4"/>
    <w:rsid w:val="0059616A"/>
    <w:rsid w:val="005C63A3"/>
    <w:rsid w:val="005F6886"/>
    <w:rsid w:val="00605AC7"/>
    <w:rsid w:val="00635A30"/>
    <w:rsid w:val="006408B9"/>
    <w:rsid w:val="006418DF"/>
    <w:rsid w:val="006422AF"/>
    <w:rsid w:val="0065671C"/>
    <w:rsid w:val="00663A33"/>
    <w:rsid w:val="0066636E"/>
    <w:rsid w:val="00667A0A"/>
    <w:rsid w:val="00671D86"/>
    <w:rsid w:val="00696546"/>
    <w:rsid w:val="006B1DB7"/>
    <w:rsid w:val="006B2F73"/>
    <w:rsid w:val="006D0FA8"/>
    <w:rsid w:val="006D7587"/>
    <w:rsid w:val="006E1245"/>
    <w:rsid w:val="006F0BF7"/>
    <w:rsid w:val="00726B0D"/>
    <w:rsid w:val="007772D3"/>
    <w:rsid w:val="007959DA"/>
    <w:rsid w:val="007A69A9"/>
    <w:rsid w:val="007D7DC0"/>
    <w:rsid w:val="00801F52"/>
    <w:rsid w:val="00810CD5"/>
    <w:rsid w:val="008119EB"/>
    <w:rsid w:val="0081398A"/>
    <w:rsid w:val="00825E4F"/>
    <w:rsid w:val="008279B2"/>
    <w:rsid w:val="00854177"/>
    <w:rsid w:val="008672FA"/>
    <w:rsid w:val="008B7BE0"/>
    <w:rsid w:val="008C11AC"/>
    <w:rsid w:val="008C59E4"/>
    <w:rsid w:val="008D297D"/>
    <w:rsid w:val="008E2CE1"/>
    <w:rsid w:val="008F25A4"/>
    <w:rsid w:val="00902037"/>
    <w:rsid w:val="009133DD"/>
    <w:rsid w:val="00922168"/>
    <w:rsid w:val="00922618"/>
    <w:rsid w:val="00941A9A"/>
    <w:rsid w:val="00953855"/>
    <w:rsid w:val="009545E7"/>
    <w:rsid w:val="009548F0"/>
    <w:rsid w:val="009702FF"/>
    <w:rsid w:val="009707D8"/>
    <w:rsid w:val="009739AD"/>
    <w:rsid w:val="009A6A7F"/>
    <w:rsid w:val="009B2AE8"/>
    <w:rsid w:val="009B2CA5"/>
    <w:rsid w:val="009C770A"/>
    <w:rsid w:val="009D57E8"/>
    <w:rsid w:val="009F2E2A"/>
    <w:rsid w:val="00A31A4E"/>
    <w:rsid w:val="00A44A73"/>
    <w:rsid w:val="00A46660"/>
    <w:rsid w:val="00A51B33"/>
    <w:rsid w:val="00A80BC5"/>
    <w:rsid w:val="00AA38EA"/>
    <w:rsid w:val="00AA6ED6"/>
    <w:rsid w:val="00AF1316"/>
    <w:rsid w:val="00AF5ECC"/>
    <w:rsid w:val="00B01880"/>
    <w:rsid w:val="00B120BC"/>
    <w:rsid w:val="00B274D1"/>
    <w:rsid w:val="00B3796E"/>
    <w:rsid w:val="00B41B6A"/>
    <w:rsid w:val="00B76FAA"/>
    <w:rsid w:val="00BA1A6C"/>
    <w:rsid w:val="00BC4F6A"/>
    <w:rsid w:val="00C404CE"/>
    <w:rsid w:val="00C76E29"/>
    <w:rsid w:val="00CC2159"/>
    <w:rsid w:val="00CC72D6"/>
    <w:rsid w:val="00CC78ED"/>
    <w:rsid w:val="00CD6431"/>
    <w:rsid w:val="00CE5EBE"/>
    <w:rsid w:val="00CE6AC1"/>
    <w:rsid w:val="00CF5B1F"/>
    <w:rsid w:val="00D02092"/>
    <w:rsid w:val="00D21379"/>
    <w:rsid w:val="00D21567"/>
    <w:rsid w:val="00D23D85"/>
    <w:rsid w:val="00D30B95"/>
    <w:rsid w:val="00D537B3"/>
    <w:rsid w:val="00D806DB"/>
    <w:rsid w:val="00DA366A"/>
    <w:rsid w:val="00DA5A6F"/>
    <w:rsid w:val="00DB230C"/>
    <w:rsid w:val="00DB6159"/>
    <w:rsid w:val="00DC2130"/>
    <w:rsid w:val="00DD62D5"/>
    <w:rsid w:val="00DD668D"/>
    <w:rsid w:val="00DE0BF4"/>
    <w:rsid w:val="00DE1D64"/>
    <w:rsid w:val="00DF0906"/>
    <w:rsid w:val="00E06D03"/>
    <w:rsid w:val="00E11F19"/>
    <w:rsid w:val="00E25871"/>
    <w:rsid w:val="00E53490"/>
    <w:rsid w:val="00E66DA4"/>
    <w:rsid w:val="00E678BE"/>
    <w:rsid w:val="00EC2A51"/>
    <w:rsid w:val="00EC6EF5"/>
    <w:rsid w:val="00ED080B"/>
    <w:rsid w:val="00EE6DF3"/>
    <w:rsid w:val="00F0697B"/>
    <w:rsid w:val="00F076BE"/>
    <w:rsid w:val="00F234D8"/>
    <w:rsid w:val="00F24ED1"/>
    <w:rsid w:val="00F27924"/>
    <w:rsid w:val="00F343A4"/>
    <w:rsid w:val="00F4010D"/>
    <w:rsid w:val="00F51A13"/>
    <w:rsid w:val="00FA45E3"/>
    <w:rsid w:val="00FB136A"/>
    <w:rsid w:val="00FC26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7786C9"/>
  <w15:docId w15:val="{5B6F984F-D0F3-47CF-AAF9-8732497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57"/>
  </w:style>
  <w:style w:type="paragraph" w:styleId="Heading1">
    <w:name w:val="heading 1"/>
    <w:basedOn w:val="Normal"/>
    <w:next w:val="Normal"/>
    <w:link w:val="Heading1Char"/>
    <w:uiPriority w:val="9"/>
    <w:qFormat/>
    <w:rsid w:val="00E06D0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BE"/>
    <w:pPr>
      <w:spacing w:after="200" w:line="276" w:lineRule="auto"/>
      <w:ind w:left="720"/>
      <w:contextualSpacing/>
    </w:pPr>
  </w:style>
  <w:style w:type="paragraph" w:styleId="BalloonText">
    <w:name w:val="Balloon Text"/>
    <w:basedOn w:val="Normal"/>
    <w:link w:val="BalloonTextChar"/>
    <w:uiPriority w:val="99"/>
    <w:semiHidden/>
    <w:unhideWhenUsed/>
    <w:rsid w:val="00954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F0"/>
    <w:rPr>
      <w:rFonts w:ascii="Segoe UI" w:hAnsi="Segoe UI" w:cs="Segoe UI"/>
      <w:sz w:val="18"/>
      <w:szCs w:val="18"/>
    </w:rPr>
  </w:style>
  <w:style w:type="character" w:styleId="Hyperlink">
    <w:name w:val="Hyperlink"/>
    <w:basedOn w:val="DefaultParagraphFont"/>
    <w:uiPriority w:val="99"/>
    <w:unhideWhenUsed/>
    <w:rsid w:val="002D2155"/>
    <w:rPr>
      <w:color w:val="0563C1" w:themeColor="hyperlink"/>
      <w:u w:val="single"/>
    </w:rPr>
  </w:style>
  <w:style w:type="character" w:customStyle="1" w:styleId="Mention1">
    <w:name w:val="Mention1"/>
    <w:basedOn w:val="DefaultParagraphFont"/>
    <w:uiPriority w:val="99"/>
    <w:semiHidden/>
    <w:unhideWhenUsed/>
    <w:rsid w:val="002D2155"/>
    <w:rPr>
      <w:color w:val="2B579A"/>
      <w:shd w:val="clear" w:color="auto" w:fill="E6E6E6"/>
    </w:rPr>
  </w:style>
  <w:style w:type="character" w:styleId="FollowedHyperlink">
    <w:name w:val="FollowedHyperlink"/>
    <w:basedOn w:val="DefaultParagraphFont"/>
    <w:uiPriority w:val="99"/>
    <w:semiHidden/>
    <w:unhideWhenUsed/>
    <w:rsid w:val="002D2155"/>
    <w:rPr>
      <w:color w:val="954F72" w:themeColor="followedHyperlink"/>
      <w:u w:val="single"/>
    </w:rPr>
  </w:style>
  <w:style w:type="table" w:styleId="TableGrid">
    <w:name w:val="Table Grid"/>
    <w:basedOn w:val="TableNormal"/>
    <w:uiPriority w:val="39"/>
    <w:rsid w:val="0031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B2"/>
  </w:style>
  <w:style w:type="paragraph" w:styleId="Footer">
    <w:name w:val="footer"/>
    <w:basedOn w:val="Normal"/>
    <w:link w:val="FooterChar"/>
    <w:uiPriority w:val="99"/>
    <w:unhideWhenUsed/>
    <w:rsid w:val="00827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B2"/>
  </w:style>
  <w:style w:type="paragraph" w:styleId="NormalWeb">
    <w:name w:val="Normal (Web)"/>
    <w:basedOn w:val="Normal"/>
    <w:uiPriority w:val="99"/>
    <w:unhideWhenUsed/>
    <w:rsid w:val="00854177"/>
    <w:pPr>
      <w:spacing w:after="24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06D03"/>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E06D03"/>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13536">
      <w:bodyDiv w:val="1"/>
      <w:marLeft w:val="0"/>
      <w:marRight w:val="0"/>
      <w:marTop w:val="0"/>
      <w:marBottom w:val="0"/>
      <w:divBdr>
        <w:top w:val="none" w:sz="0" w:space="0" w:color="auto"/>
        <w:left w:val="none" w:sz="0" w:space="0" w:color="auto"/>
        <w:bottom w:val="none" w:sz="0" w:space="0" w:color="auto"/>
        <w:right w:val="none" w:sz="0" w:space="0" w:color="auto"/>
      </w:divBdr>
      <w:divsChild>
        <w:div w:id="209389361">
          <w:marLeft w:val="0"/>
          <w:marRight w:val="0"/>
          <w:marTop w:val="0"/>
          <w:marBottom w:val="0"/>
          <w:divBdr>
            <w:top w:val="none" w:sz="0" w:space="0" w:color="auto"/>
            <w:left w:val="none" w:sz="0" w:space="0" w:color="auto"/>
            <w:bottom w:val="none" w:sz="0" w:space="0" w:color="auto"/>
            <w:right w:val="none" w:sz="0" w:space="0" w:color="auto"/>
          </w:divBdr>
          <w:divsChild>
            <w:div w:id="2082943240">
              <w:marLeft w:val="0"/>
              <w:marRight w:val="0"/>
              <w:marTop w:val="0"/>
              <w:marBottom w:val="0"/>
              <w:divBdr>
                <w:top w:val="none" w:sz="0" w:space="0" w:color="auto"/>
                <w:left w:val="none" w:sz="0" w:space="0" w:color="auto"/>
                <w:bottom w:val="none" w:sz="0" w:space="0" w:color="auto"/>
                <w:right w:val="none" w:sz="0" w:space="0" w:color="auto"/>
              </w:divBdr>
              <w:divsChild>
                <w:div w:id="817067493">
                  <w:marLeft w:val="0"/>
                  <w:marRight w:val="0"/>
                  <w:marTop w:val="0"/>
                  <w:marBottom w:val="0"/>
                  <w:divBdr>
                    <w:top w:val="none" w:sz="0" w:space="0" w:color="auto"/>
                    <w:left w:val="none" w:sz="0" w:space="0" w:color="auto"/>
                    <w:bottom w:val="none" w:sz="0" w:space="0" w:color="auto"/>
                    <w:right w:val="none" w:sz="0" w:space="0" w:color="auto"/>
                  </w:divBdr>
                  <w:divsChild>
                    <w:div w:id="955913959">
                      <w:marLeft w:val="0"/>
                      <w:marRight w:val="0"/>
                      <w:marTop w:val="0"/>
                      <w:marBottom w:val="0"/>
                      <w:divBdr>
                        <w:top w:val="none" w:sz="0" w:space="0" w:color="auto"/>
                        <w:left w:val="none" w:sz="0" w:space="0" w:color="auto"/>
                        <w:bottom w:val="none" w:sz="0" w:space="0" w:color="auto"/>
                        <w:right w:val="none" w:sz="0" w:space="0" w:color="auto"/>
                      </w:divBdr>
                      <w:divsChild>
                        <w:div w:id="5936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rastructureaustralia.gov.au/policy-publications/submissions/nps/files/10_027LyndaNewnam.pdf" TargetMode="External"/><Relationship Id="rId4" Type="http://schemas.openxmlformats.org/officeDocument/2006/relationships/settings" Target="settings.xml"/><Relationship Id="rId9" Type="http://schemas.openxmlformats.org/officeDocument/2006/relationships/hyperlink" Target="http://www.lcit.com.au/wp-content/uploads/2013/06/Intermodals_Book_Web_V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AED8-F25D-4140-8BBF-307FAE26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 Euen</dc:creator>
  <cp:lastModifiedBy>LEVETT Susan</cp:lastModifiedBy>
  <cp:revision>3</cp:revision>
  <cp:lastPrinted>2017-08-11T06:16:00Z</cp:lastPrinted>
  <dcterms:created xsi:type="dcterms:W3CDTF">2017-08-11T00:53:00Z</dcterms:created>
  <dcterms:modified xsi:type="dcterms:W3CDTF">2017-08-11T06:17:00Z</dcterms:modified>
</cp:coreProperties>
</file>