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B8052" w14:textId="77777777" w:rsidR="00853676" w:rsidRDefault="00853676" w:rsidP="00853676">
      <w:pPr>
        <w:widowControl w:val="0"/>
        <w:autoSpaceDE w:val="0"/>
        <w:autoSpaceDN w:val="0"/>
        <w:adjustRightInd w:val="0"/>
        <w:jc w:val="both"/>
        <w:rPr>
          <w:rFonts w:ascii="Arial" w:hAnsi="Arial" w:cs="Arial"/>
          <w:bCs/>
          <w:sz w:val="20"/>
          <w:szCs w:val="20"/>
          <w:lang w:val="en-US"/>
        </w:rPr>
      </w:pPr>
      <w:bookmarkStart w:id="0" w:name="_GoBack"/>
      <w:bookmarkEnd w:id="0"/>
      <w:r>
        <w:rPr>
          <w:noProof/>
          <w:lang w:eastAsia="en-AU"/>
        </w:rPr>
        <w:drawing>
          <wp:anchor distT="0" distB="0" distL="114300" distR="114300" simplePos="0" relativeHeight="251659264" behindDoc="1" locked="0" layoutInCell="1" allowOverlap="1" wp14:anchorId="499C0A7F" wp14:editId="024B7E6F">
            <wp:simplePos x="0" y="0"/>
            <wp:positionH relativeFrom="column">
              <wp:posOffset>600389</wp:posOffset>
            </wp:positionH>
            <wp:positionV relativeFrom="paragraph">
              <wp:posOffset>-427056</wp:posOffset>
            </wp:positionV>
            <wp:extent cx="4690979" cy="2944167"/>
            <wp:effectExtent l="0" t="0" r="0" b="8890"/>
            <wp:wrapNone/>
            <wp:docPr id="2" name="Picture 2" descr="Description: G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PAlogo"/>
                    <pic:cNvPicPr>
                      <a:picLocks noChangeAspect="1" noChangeArrowheads="1"/>
                    </pic:cNvPicPr>
                  </pic:nvPicPr>
                  <pic:blipFill>
                    <a:blip r:embed="rId7" cstate="print">
                      <a:extLst>
                        <a:ext uri="{28A0092B-C50C-407E-A947-70E740481C1C}">
                          <a14:useLocalDpi xmlns:a14="http://schemas.microsoft.com/office/drawing/2010/main" val="0"/>
                        </a:ext>
                      </a:extLst>
                    </a:blip>
                    <a:srcRect t="10750" b="14923"/>
                    <a:stretch>
                      <a:fillRect/>
                    </a:stretch>
                  </pic:blipFill>
                  <pic:spPr bwMode="auto">
                    <a:xfrm>
                      <a:off x="0" y="0"/>
                      <a:ext cx="4692123" cy="2944885"/>
                    </a:xfrm>
                    <a:prstGeom prst="rect">
                      <a:avLst/>
                    </a:prstGeom>
                    <a:noFill/>
                  </pic:spPr>
                </pic:pic>
              </a:graphicData>
            </a:graphic>
          </wp:anchor>
        </w:drawing>
      </w:r>
    </w:p>
    <w:p w14:paraId="29D6A760" w14:textId="77777777" w:rsidR="00853676" w:rsidRPr="00833421" w:rsidRDefault="00853676" w:rsidP="00853676"/>
    <w:p w14:paraId="2ADFE2B2" w14:textId="77777777" w:rsidR="00853676" w:rsidRPr="00833421" w:rsidRDefault="00853676" w:rsidP="00853676"/>
    <w:p w14:paraId="6A0891D1" w14:textId="77777777" w:rsidR="00853676" w:rsidRPr="00833421" w:rsidRDefault="00853676" w:rsidP="00853676"/>
    <w:p w14:paraId="65CEDFE2" w14:textId="77777777" w:rsidR="00853676" w:rsidRPr="00833421" w:rsidRDefault="00853676" w:rsidP="00853676"/>
    <w:p w14:paraId="4C6FBC97" w14:textId="77777777" w:rsidR="00853676" w:rsidRPr="00833421" w:rsidRDefault="00853676" w:rsidP="00853676"/>
    <w:p w14:paraId="75A2BE60" w14:textId="77777777" w:rsidR="00853676" w:rsidRPr="00833421" w:rsidRDefault="00853676" w:rsidP="00853676"/>
    <w:p w14:paraId="7F6E5AB0" w14:textId="77777777" w:rsidR="00853676" w:rsidRPr="00833421" w:rsidRDefault="00853676" w:rsidP="00853676"/>
    <w:p w14:paraId="479A0ED8" w14:textId="77777777" w:rsidR="00853676" w:rsidRPr="00833421" w:rsidRDefault="00853676" w:rsidP="00853676"/>
    <w:p w14:paraId="7C384683" w14:textId="77777777" w:rsidR="00853676" w:rsidRPr="00833421" w:rsidRDefault="00853676" w:rsidP="00853676"/>
    <w:p w14:paraId="15F60BD3" w14:textId="77777777" w:rsidR="00853676" w:rsidRPr="00833421" w:rsidRDefault="00853676" w:rsidP="00853676"/>
    <w:p w14:paraId="1B30576D" w14:textId="77777777" w:rsidR="00853676" w:rsidRPr="00833421" w:rsidRDefault="00853676" w:rsidP="00853676"/>
    <w:p w14:paraId="2896A5CC" w14:textId="77777777" w:rsidR="00853676" w:rsidRPr="00833421" w:rsidRDefault="00853676" w:rsidP="00853676"/>
    <w:p w14:paraId="36635B9A" w14:textId="77777777" w:rsidR="00853676" w:rsidRDefault="00853676" w:rsidP="00853676">
      <w:pPr>
        <w:spacing w:line="480" w:lineRule="auto"/>
        <w:jc w:val="center"/>
        <w:rPr>
          <w:rFonts w:cs="Calibri"/>
          <w:b/>
          <w:sz w:val="28"/>
          <w:szCs w:val="28"/>
        </w:rPr>
      </w:pPr>
    </w:p>
    <w:p w14:paraId="1CBDEA48" w14:textId="77777777" w:rsidR="00853676" w:rsidRPr="002D2C10" w:rsidRDefault="00853676" w:rsidP="00853676">
      <w:pPr>
        <w:spacing w:line="480" w:lineRule="auto"/>
        <w:jc w:val="center"/>
        <w:rPr>
          <w:rFonts w:cs="Calibri"/>
          <w:b/>
        </w:rPr>
      </w:pPr>
    </w:p>
    <w:p w14:paraId="3CD17CA3" w14:textId="77777777" w:rsidR="00853676" w:rsidRPr="00F4135A" w:rsidRDefault="00853676" w:rsidP="00853676">
      <w:pPr>
        <w:spacing w:line="480" w:lineRule="auto"/>
        <w:jc w:val="center"/>
        <w:rPr>
          <w:rFonts w:ascii="Georgia" w:hAnsi="Georgia" w:cs="Calibri"/>
          <w:b/>
        </w:rPr>
      </w:pPr>
      <w:r w:rsidRPr="00F4135A">
        <w:rPr>
          <w:rFonts w:ascii="Georgia" w:hAnsi="Georgia" w:cs="Calibri"/>
          <w:b/>
        </w:rPr>
        <w:t xml:space="preserve">SUBMISSION </w:t>
      </w:r>
    </w:p>
    <w:p w14:paraId="5A39CA7D" w14:textId="77777777" w:rsidR="00996BD4" w:rsidRDefault="00996BD4" w:rsidP="00853676">
      <w:pPr>
        <w:spacing w:line="480" w:lineRule="auto"/>
        <w:jc w:val="center"/>
        <w:rPr>
          <w:rFonts w:cs="Calibri"/>
          <w:b/>
        </w:rPr>
      </w:pPr>
    </w:p>
    <w:p w14:paraId="6CBB4C17" w14:textId="68630D48" w:rsidR="00A80158" w:rsidRPr="002B1B97" w:rsidRDefault="00A80158" w:rsidP="00A80158">
      <w:pPr>
        <w:jc w:val="center"/>
        <w:rPr>
          <w:rFonts w:ascii="Georgia" w:hAnsi="Georgia"/>
          <w:b/>
        </w:rPr>
      </w:pPr>
      <w:r w:rsidRPr="005C4F30">
        <w:rPr>
          <w:rFonts w:ascii="Georgia" w:hAnsi="Georgia"/>
          <w:b/>
        </w:rPr>
        <w:t xml:space="preserve">Inquiry into </w:t>
      </w:r>
      <w:r w:rsidRPr="002B1B97">
        <w:rPr>
          <w:rFonts w:ascii="Georgia" w:hAnsi="Georgia"/>
          <w:b/>
        </w:rPr>
        <w:t xml:space="preserve">National Freight and Supply Chain </w:t>
      </w:r>
      <w:r>
        <w:rPr>
          <w:rFonts w:ascii="Georgia" w:hAnsi="Georgia"/>
          <w:b/>
        </w:rPr>
        <w:t>Priorities</w:t>
      </w:r>
    </w:p>
    <w:p w14:paraId="65C90B17" w14:textId="77777777" w:rsidR="00A80158" w:rsidRDefault="00A80158" w:rsidP="00853676">
      <w:pPr>
        <w:spacing w:line="480" w:lineRule="auto"/>
        <w:jc w:val="center"/>
        <w:rPr>
          <w:rFonts w:cs="Calibri"/>
          <w:b/>
        </w:rPr>
      </w:pPr>
    </w:p>
    <w:p w14:paraId="28A79004" w14:textId="7C15B223" w:rsidR="00A80158" w:rsidRPr="00A80158" w:rsidRDefault="00A80158" w:rsidP="00853676">
      <w:pPr>
        <w:spacing w:line="480" w:lineRule="auto"/>
        <w:jc w:val="center"/>
        <w:rPr>
          <w:rFonts w:ascii="Georgia" w:hAnsi="Georgia" w:cs="Calibri"/>
          <w:b/>
        </w:rPr>
      </w:pPr>
      <w:bookmarkStart w:id="1" w:name="_Hlk489473829"/>
      <w:r w:rsidRPr="00A80158">
        <w:rPr>
          <w:rFonts w:ascii="Georgia" w:hAnsi="Georgia" w:cs="Calibri"/>
          <w:b/>
        </w:rPr>
        <w:t>National Freight and Supply Chain Strategy</w:t>
      </w:r>
      <w:bookmarkEnd w:id="1"/>
    </w:p>
    <w:p w14:paraId="7894C1A7" w14:textId="77777777" w:rsidR="00853676" w:rsidRPr="002D2C10" w:rsidRDefault="00853676" w:rsidP="00853676">
      <w:pPr>
        <w:widowControl w:val="0"/>
        <w:autoSpaceDE w:val="0"/>
        <w:autoSpaceDN w:val="0"/>
        <w:adjustRightInd w:val="0"/>
        <w:jc w:val="both"/>
        <w:rPr>
          <w:rFonts w:ascii="Arial" w:hAnsi="Arial" w:cs="Arial"/>
          <w:b/>
          <w:bCs/>
          <w:lang w:val="en-US"/>
        </w:rPr>
      </w:pPr>
    </w:p>
    <w:p w14:paraId="7DD60931" w14:textId="77777777" w:rsidR="00853676" w:rsidRPr="002D2C10" w:rsidRDefault="00853676" w:rsidP="00853676">
      <w:pPr>
        <w:widowControl w:val="0"/>
        <w:autoSpaceDE w:val="0"/>
        <w:autoSpaceDN w:val="0"/>
        <w:adjustRightInd w:val="0"/>
        <w:jc w:val="both"/>
        <w:rPr>
          <w:rFonts w:ascii="Arial" w:hAnsi="Arial" w:cs="Arial"/>
          <w:b/>
          <w:bCs/>
          <w:lang w:val="en-US"/>
        </w:rPr>
      </w:pPr>
    </w:p>
    <w:p w14:paraId="172BA1CD" w14:textId="77777777" w:rsidR="00853676" w:rsidRPr="002D2C10" w:rsidRDefault="00853676" w:rsidP="00853676">
      <w:pPr>
        <w:jc w:val="center"/>
      </w:pPr>
    </w:p>
    <w:p w14:paraId="7FEAF8D4" w14:textId="77777777" w:rsidR="00853676" w:rsidRPr="002D2C10" w:rsidRDefault="00853676" w:rsidP="00853676"/>
    <w:p w14:paraId="7458E887" w14:textId="77777777" w:rsidR="00853676" w:rsidRPr="002D2C10" w:rsidRDefault="00853676" w:rsidP="00853676"/>
    <w:tbl>
      <w:tblPr>
        <w:tblW w:w="0" w:type="auto"/>
        <w:tblLook w:val="00A0" w:firstRow="1" w:lastRow="0" w:firstColumn="1" w:lastColumn="0" w:noHBand="0" w:noVBand="0"/>
      </w:tblPr>
      <w:tblGrid>
        <w:gridCol w:w="2802"/>
        <w:gridCol w:w="5439"/>
      </w:tblGrid>
      <w:tr w:rsidR="00853676" w:rsidRPr="002D2C10" w14:paraId="4C784FF7" w14:textId="77777777" w:rsidTr="00D21FD0">
        <w:trPr>
          <w:trHeight w:val="263"/>
        </w:trPr>
        <w:tc>
          <w:tcPr>
            <w:tcW w:w="2802" w:type="dxa"/>
          </w:tcPr>
          <w:p w14:paraId="11DD8BA4" w14:textId="77777777" w:rsidR="00853676" w:rsidRPr="002D2C10" w:rsidRDefault="00853676" w:rsidP="00776081"/>
        </w:tc>
        <w:tc>
          <w:tcPr>
            <w:tcW w:w="5439" w:type="dxa"/>
          </w:tcPr>
          <w:p w14:paraId="7B42CB25" w14:textId="77777777" w:rsidR="00853676" w:rsidRPr="002D2C10" w:rsidRDefault="00853676" w:rsidP="00776081"/>
        </w:tc>
      </w:tr>
      <w:tr w:rsidR="00853676" w:rsidRPr="002D2C10" w14:paraId="00F34776" w14:textId="77777777" w:rsidTr="00D21FD0">
        <w:trPr>
          <w:trHeight w:val="1764"/>
        </w:trPr>
        <w:tc>
          <w:tcPr>
            <w:tcW w:w="2802" w:type="dxa"/>
          </w:tcPr>
          <w:p w14:paraId="3EA08495" w14:textId="77777777" w:rsidR="00853676" w:rsidRPr="002D2C10" w:rsidRDefault="00853676" w:rsidP="00776081"/>
          <w:p w14:paraId="2F0B1768" w14:textId="77777777" w:rsidR="00853676" w:rsidRPr="002D2C10" w:rsidRDefault="00853676" w:rsidP="00776081"/>
          <w:p w14:paraId="578DAB00" w14:textId="77777777" w:rsidR="00853676" w:rsidRPr="002D2C10" w:rsidRDefault="00853676" w:rsidP="00776081"/>
          <w:p w14:paraId="70E5FE02" w14:textId="77777777" w:rsidR="00853676" w:rsidRPr="002D2C10" w:rsidRDefault="00853676" w:rsidP="00776081"/>
          <w:p w14:paraId="424E78DB" w14:textId="77777777" w:rsidR="00853676" w:rsidRPr="002D2C10" w:rsidRDefault="00853676" w:rsidP="00776081"/>
          <w:p w14:paraId="577F3336" w14:textId="103FF520" w:rsidR="00853676" w:rsidRPr="002D2C10" w:rsidRDefault="00D21FD0" w:rsidP="00D21FD0">
            <w:r>
              <w:t>2</w:t>
            </w:r>
            <w:r w:rsidRPr="00D21FD0">
              <w:rPr>
                <w:vertAlign w:val="superscript"/>
              </w:rPr>
              <w:t>nd</w:t>
            </w:r>
            <w:r>
              <w:t xml:space="preserve"> August 2017</w:t>
            </w:r>
          </w:p>
        </w:tc>
        <w:tc>
          <w:tcPr>
            <w:tcW w:w="5439" w:type="dxa"/>
          </w:tcPr>
          <w:p w14:paraId="45DC8DA9" w14:textId="77777777" w:rsidR="00853676" w:rsidRPr="002D2C10" w:rsidRDefault="00853676" w:rsidP="00776081"/>
          <w:p w14:paraId="39336D94" w14:textId="77777777" w:rsidR="00853676" w:rsidRPr="002D2C10" w:rsidRDefault="00853676" w:rsidP="00776081"/>
          <w:p w14:paraId="04FF90CC" w14:textId="77777777" w:rsidR="00853676" w:rsidRPr="002D2C10" w:rsidRDefault="00853676" w:rsidP="00776081"/>
          <w:p w14:paraId="5B62A744" w14:textId="77777777" w:rsidR="00853676" w:rsidRPr="002D2C10" w:rsidRDefault="00853676" w:rsidP="00776081"/>
          <w:p w14:paraId="107F5BD9" w14:textId="43BED4A1" w:rsidR="00853676" w:rsidRPr="002D2C10" w:rsidRDefault="00853676" w:rsidP="002819BF"/>
        </w:tc>
      </w:tr>
    </w:tbl>
    <w:p w14:paraId="2A59BD75" w14:textId="56AD3FAA" w:rsidR="00853676" w:rsidRPr="00D21FD0" w:rsidRDefault="002819BF" w:rsidP="00853676">
      <w:pPr>
        <w:rPr>
          <w:b/>
        </w:rPr>
      </w:pPr>
      <w:r w:rsidRPr="002D2C10">
        <w:rPr>
          <w:rFonts w:ascii="Arial" w:hAnsi="Arial"/>
          <w:noProof/>
          <w:lang w:eastAsia="en-AU"/>
        </w:rPr>
        <mc:AlternateContent>
          <mc:Choice Requires="wps">
            <w:drawing>
              <wp:anchor distT="0" distB="0" distL="114300" distR="114300" simplePos="0" relativeHeight="251661312" behindDoc="0" locked="0" layoutInCell="1" allowOverlap="1" wp14:anchorId="036215AE" wp14:editId="38F1A85E">
                <wp:simplePos x="0" y="0"/>
                <wp:positionH relativeFrom="column">
                  <wp:posOffset>-466090</wp:posOffset>
                </wp:positionH>
                <wp:positionV relativeFrom="paragraph">
                  <wp:posOffset>332740</wp:posOffset>
                </wp:positionV>
                <wp:extent cx="1371600" cy="397510"/>
                <wp:effectExtent l="0" t="0" r="0" b="0"/>
                <wp:wrapTight wrapText="bothSides">
                  <wp:wrapPolygon edited="0">
                    <wp:start x="600" y="3105"/>
                    <wp:lineTo x="600" y="18633"/>
                    <wp:lineTo x="20700" y="18633"/>
                    <wp:lineTo x="20700" y="3105"/>
                    <wp:lineTo x="600" y="3105"/>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75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F55D317" w14:textId="36A5EF8A" w:rsidR="00357560" w:rsidRDefault="00357560" w:rsidP="008536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6215AE" id="_x0000_t202" coordsize="21600,21600" o:spt="202" path="m,l,21600r21600,l21600,xe">
                <v:stroke joinstyle="miter"/>
                <v:path gradientshapeok="t" o:connecttype="rect"/>
              </v:shapetype>
              <v:shape id="Text Box 1" o:spid="_x0000_s1026" type="#_x0000_t202" style="position:absolute;margin-left:-36.7pt;margin-top:26.2pt;width:108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" filled="f" stroked="f">
                <v:textbox inset=",7.2pt,,7.2pt">
                  <w:txbxContent>
                    <w:p w14:paraId="1F55D317" w14:textId="36A5EF8A" w:rsidR="00357560" w:rsidRDefault="00357560" w:rsidP="00853676"/>
                  </w:txbxContent>
                </v:textbox>
                <w10:wrap type="tight"/>
              </v:shape>
            </w:pict>
          </mc:Fallback>
        </mc:AlternateContent>
      </w:r>
      <w:r w:rsidR="00853676" w:rsidRPr="002D2C10">
        <w:rPr>
          <w:b/>
        </w:rPr>
        <w:br w:type="page"/>
      </w:r>
    </w:p>
    <w:p w14:paraId="085B49B8" w14:textId="4E98EBFB" w:rsidR="006D00B0" w:rsidRPr="002D2C10" w:rsidRDefault="006D00B0" w:rsidP="009B1C73">
      <w:pPr>
        <w:pStyle w:val="ListParagraph"/>
        <w:ind w:left="0"/>
        <w:rPr>
          <w:rFonts w:ascii="Georgia" w:hAnsi="Georgia"/>
          <w:b/>
          <w:bCs/>
        </w:rPr>
      </w:pPr>
    </w:p>
    <w:p w14:paraId="066CDED2" w14:textId="0A1C75FA" w:rsidR="00853676" w:rsidRPr="00F742BC" w:rsidRDefault="00C96EEC" w:rsidP="00465A4E">
      <w:pPr>
        <w:pStyle w:val="ListParagraph"/>
        <w:spacing w:after="120"/>
        <w:ind w:left="0"/>
        <w:rPr>
          <w:rFonts w:ascii="Calibri" w:hAnsi="Calibri" w:cs="Calibri"/>
          <w:b/>
          <w:bCs/>
        </w:rPr>
      </w:pPr>
      <w:r w:rsidRPr="00F742BC">
        <w:rPr>
          <w:rFonts w:ascii="Calibri" w:hAnsi="Calibri" w:cs="Calibri"/>
          <w:b/>
          <w:bCs/>
        </w:rPr>
        <w:t>Grain Producers Australia</w:t>
      </w:r>
    </w:p>
    <w:p w14:paraId="4172EF63" w14:textId="77777777" w:rsidR="00F742BC" w:rsidRPr="00F742BC" w:rsidRDefault="00785A66" w:rsidP="00465A4E">
      <w:pPr>
        <w:spacing w:after="120"/>
        <w:rPr>
          <w:rFonts w:ascii="Calibri" w:eastAsiaTheme="minorHAnsi" w:hAnsi="Calibri" w:cs="Calibri"/>
          <w:bCs/>
          <w:lang w:val="en-US"/>
        </w:rPr>
      </w:pPr>
      <w:r w:rsidRPr="00F742BC">
        <w:rPr>
          <w:rFonts w:ascii="Calibri" w:eastAsiaTheme="minorHAnsi" w:hAnsi="Calibri" w:cs="Calibri"/>
          <w:bCs/>
          <w:lang w:val="en-US"/>
        </w:rPr>
        <w:t xml:space="preserve">Grain Producers Australia (GPA) represents Australia's broadacre, grain, pulse and oilseed producers at the national level. </w:t>
      </w:r>
    </w:p>
    <w:p w14:paraId="20F2F2D8" w14:textId="77777777" w:rsidR="00F742BC" w:rsidRPr="00F742BC" w:rsidRDefault="00785A66" w:rsidP="00465A4E">
      <w:pPr>
        <w:spacing w:after="120"/>
        <w:rPr>
          <w:rFonts w:ascii="Calibri" w:eastAsiaTheme="minorHAnsi" w:hAnsi="Calibri" w:cs="Calibri"/>
          <w:bCs/>
          <w:lang w:val="en-US"/>
        </w:rPr>
      </w:pPr>
      <w:r w:rsidRPr="00F742BC">
        <w:rPr>
          <w:rFonts w:ascii="Calibri" w:eastAsiaTheme="minorHAnsi" w:hAnsi="Calibri" w:cs="Calibri"/>
          <w:bCs/>
          <w:lang w:val="en-US"/>
        </w:rPr>
        <w:t xml:space="preserve">GPA was created to foster a strong, innovative, profitable, globally competitive and environmentally sustainable grains industry in Australia.  </w:t>
      </w:r>
    </w:p>
    <w:p w14:paraId="7668EE99" w14:textId="77777777" w:rsidR="00F742BC" w:rsidRPr="00F742BC" w:rsidRDefault="00785A66" w:rsidP="00465A4E">
      <w:pPr>
        <w:spacing w:after="120"/>
        <w:rPr>
          <w:rFonts w:ascii="Calibri" w:eastAsiaTheme="minorHAnsi" w:hAnsi="Calibri" w:cs="Calibri"/>
          <w:bCs/>
          <w:lang w:val="en-US"/>
        </w:rPr>
      </w:pPr>
      <w:r w:rsidRPr="00F742BC">
        <w:rPr>
          <w:rFonts w:ascii="Calibri" w:eastAsiaTheme="minorHAnsi" w:hAnsi="Calibri" w:cs="Calibri"/>
          <w:bCs/>
          <w:lang w:val="en-US"/>
        </w:rPr>
        <w:t xml:space="preserve">The objectives of GPA are to establish a strong independent national advocate for grain producers based on a rigorous and transparent policy development process; engage all sectors of the Australian grains industry to ensure operation of the most efficient and profitable grain supply chain; and facilitate a strategic approach to Research, Development and Extension intended to deliver sound commercial outcomes from industry research. </w:t>
      </w:r>
    </w:p>
    <w:p w14:paraId="0368958A" w14:textId="77777777" w:rsidR="00465A4E" w:rsidRDefault="00785A66" w:rsidP="00465A4E">
      <w:pPr>
        <w:spacing w:after="120"/>
        <w:rPr>
          <w:rFonts w:ascii="Calibri" w:eastAsiaTheme="minorHAnsi" w:hAnsi="Calibri" w:cs="Calibri"/>
          <w:bCs/>
          <w:lang w:val="en-US"/>
        </w:rPr>
      </w:pPr>
      <w:r w:rsidRPr="00F742BC">
        <w:rPr>
          <w:rFonts w:ascii="Calibri" w:eastAsiaTheme="minorHAnsi" w:hAnsi="Calibri" w:cs="Calibri"/>
          <w:bCs/>
          <w:lang w:val="en-US"/>
        </w:rPr>
        <w:t xml:space="preserve">GPA has an industry leading policy council which is supported by the following members from VFF Grains Group, NSW Farmers Association, Agforce Grains, Grain Producers SA, TFGA, WAFF, WAGG along with 3 elected growers from the North, South &amp; Western region of Australia. </w:t>
      </w:r>
    </w:p>
    <w:p w14:paraId="30C8931C" w14:textId="19C05AD0" w:rsidR="00465A4E" w:rsidRDefault="00465A4E" w:rsidP="00465A4E">
      <w:pPr>
        <w:spacing w:after="120"/>
        <w:rPr>
          <w:rFonts w:ascii="Calibri" w:hAnsi="Calibri" w:cs="Calibri"/>
        </w:rPr>
      </w:pPr>
      <w:r>
        <w:rPr>
          <w:rFonts w:ascii="Calibri" w:hAnsi="Calibri" w:cs="Calibri"/>
        </w:rPr>
        <w:t xml:space="preserve">This submission is provided in general support </w:t>
      </w:r>
      <w:r w:rsidRPr="00F742BC">
        <w:rPr>
          <w:rFonts w:ascii="Calibri" w:hAnsi="Calibri" w:cs="Calibri"/>
        </w:rPr>
        <w:t>the submission made by Grain Trade Australia</w:t>
      </w:r>
      <w:r>
        <w:rPr>
          <w:rFonts w:ascii="Calibri" w:hAnsi="Calibri" w:cs="Calibri"/>
        </w:rPr>
        <w:t xml:space="preserve"> (GTA).  </w:t>
      </w:r>
    </w:p>
    <w:p w14:paraId="344859E4" w14:textId="287FA4DD" w:rsidR="00D21FD0" w:rsidRPr="00F742BC" w:rsidRDefault="001E0E3C" w:rsidP="00465A4E">
      <w:pPr>
        <w:spacing w:after="120"/>
        <w:rPr>
          <w:rFonts w:ascii="Calibri" w:hAnsi="Calibri" w:cs="Calibri"/>
          <w:b/>
          <w:bCs/>
        </w:rPr>
      </w:pPr>
      <w:r w:rsidRPr="00F742BC">
        <w:rPr>
          <w:rFonts w:ascii="Calibri" w:hAnsi="Calibri" w:cs="Calibri"/>
          <w:b/>
          <w:bCs/>
        </w:rPr>
        <w:t>Introduction</w:t>
      </w:r>
    </w:p>
    <w:p w14:paraId="48ED0E72" w14:textId="02E70935" w:rsidR="00F742BC" w:rsidRDefault="00F742BC" w:rsidP="00465A4E">
      <w:pPr>
        <w:spacing w:after="120"/>
        <w:rPr>
          <w:rFonts w:ascii="Calibri" w:hAnsi="Calibri" w:cs="Calibri"/>
        </w:rPr>
      </w:pPr>
      <w:r>
        <w:rPr>
          <w:rFonts w:ascii="Calibri" w:hAnsi="Calibri" w:cs="Calibri"/>
        </w:rPr>
        <w:t>GPA</w:t>
      </w:r>
      <w:r w:rsidR="008922AE" w:rsidRPr="00F742BC">
        <w:rPr>
          <w:rFonts w:ascii="Calibri" w:hAnsi="Calibri" w:cs="Calibri"/>
        </w:rPr>
        <w:t xml:space="preserve"> support</w:t>
      </w:r>
      <w:r w:rsidRPr="00F742BC">
        <w:rPr>
          <w:rFonts w:ascii="Calibri" w:hAnsi="Calibri" w:cs="Calibri"/>
        </w:rPr>
        <w:t>s</w:t>
      </w:r>
      <w:r w:rsidR="008922AE" w:rsidRPr="00F742BC">
        <w:rPr>
          <w:rFonts w:ascii="Calibri" w:hAnsi="Calibri" w:cs="Calibri"/>
        </w:rPr>
        <w:t xml:space="preserve"> and commend</w:t>
      </w:r>
      <w:r w:rsidRPr="00F742BC">
        <w:rPr>
          <w:rFonts w:ascii="Calibri" w:hAnsi="Calibri" w:cs="Calibri"/>
        </w:rPr>
        <w:t>s</w:t>
      </w:r>
      <w:r w:rsidR="008922AE" w:rsidRPr="00F742BC">
        <w:rPr>
          <w:rFonts w:ascii="Calibri" w:hAnsi="Calibri" w:cs="Calibri"/>
        </w:rPr>
        <w:t xml:space="preserve"> the background information and historical analysis relating to the grains industry outlined </w:t>
      </w:r>
      <w:r w:rsidR="000C071B" w:rsidRPr="00F742BC">
        <w:rPr>
          <w:rFonts w:ascii="Calibri" w:hAnsi="Calibri" w:cs="Calibri"/>
        </w:rPr>
        <w:t>in sections 3 and 4</w:t>
      </w:r>
      <w:r w:rsidR="008922AE" w:rsidRPr="00F742BC">
        <w:rPr>
          <w:rFonts w:ascii="Calibri" w:hAnsi="Calibri" w:cs="Calibri"/>
        </w:rPr>
        <w:t xml:space="preserve"> </w:t>
      </w:r>
      <w:r w:rsidR="000C071B" w:rsidRPr="00F742BC">
        <w:rPr>
          <w:rFonts w:ascii="Calibri" w:hAnsi="Calibri" w:cs="Calibri"/>
        </w:rPr>
        <w:t>of</w:t>
      </w:r>
      <w:r>
        <w:rPr>
          <w:rFonts w:ascii="Calibri" w:hAnsi="Calibri" w:cs="Calibri"/>
        </w:rPr>
        <w:t xml:space="preserve"> the GTA submission</w:t>
      </w:r>
      <w:r w:rsidR="00A000BE">
        <w:rPr>
          <w:rFonts w:ascii="Calibri" w:hAnsi="Calibri" w:cs="Calibri"/>
        </w:rPr>
        <w:t xml:space="preserve"> inserted here:</w:t>
      </w:r>
    </w:p>
    <w:p w14:paraId="3D0AD3A4" w14:textId="3C69EAB0" w:rsidR="00F742BC" w:rsidRPr="00307B1D" w:rsidRDefault="00F742BC" w:rsidP="00A000BE">
      <w:pPr>
        <w:pStyle w:val="Heading1"/>
        <w:autoSpaceDE w:val="0"/>
        <w:autoSpaceDN w:val="0"/>
        <w:adjustRightInd w:val="0"/>
        <w:spacing w:before="0" w:after="120"/>
        <w:ind w:left="720"/>
        <w:rPr>
          <w:b/>
          <w:i/>
          <w:color w:val="auto"/>
          <w:sz w:val="24"/>
          <w:szCs w:val="24"/>
        </w:rPr>
      </w:pPr>
      <w:bookmarkStart w:id="2" w:name="_Toc488748646"/>
      <w:bookmarkStart w:id="3" w:name="_Toc487466303"/>
      <w:r w:rsidRPr="00307B1D">
        <w:rPr>
          <w:b/>
          <w:i/>
          <w:color w:val="auto"/>
          <w:sz w:val="24"/>
          <w:szCs w:val="24"/>
        </w:rPr>
        <w:t>3.0 Grain Industry Sector</w:t>
      </w:r>
      <w:bookmarkEnd w:id="2"/>
      <w:bookmarkEnd w:id="3"/>
      <w:r w:rsidRPr="00307B1D">
        <w:rPr>
          <w:b/>
          <w:i/>
          <w:color w:val="auto"/>
          <w:sz w:val="24"/>
          <w:szCs w:val="24"/>
        </w:rPr>
        <w:t xml:space="preserve"> </w:t>
      </w:r>
    </w:p>
    <w:p w14:paraId="63660AAD" w14:textId="465D327C" w:rsidR="00F742BC" w:rsidRPr="00555EA9" w:rsidRDefault="00F742BC" w:rsidP="00A000BE">
      <w:pPr>
        <w:spacing w:after="120"/>
        <w:ind w:left="720"/>
        <w:rPr>
          <w:rFonts w:ascii="Georgia" w:hAnsi="Georgia" w:cs="Arial"/>
          <w:i/>
          <w:sz w:val="20"/>
          <w:szCs w:val="20"/>
        </w:rPr>
      </w:pPr>
      <w:r w:rsidRPr="00555EA9">
        <w:rPr>
          <w:rFonts w:ascii="Georgia" w:hAnsi="Georgia" w:cs="Arial"/>
          <w:i/>
          <w:sz w:val="20"/>
          <w:szCs w:val="20"/>
        </w:rPr>
        <w:t xml:space="preserve">The Australian grains sector has been a consistent provider of productivity to the Australian economy with the Australian Bureau of Agricultural Research and Economics (ABARES) stating that in 2016–17, the gross value of crop production is set to increase to $28.6 billion.  With 60% of production exported the industry is a major driver of export revenue and is a substantial employer of people from farm gate through to port.   </w:t>
      </w:r>
    </w:p>
    <w:p w14:paraId="5CB46F5B" w14:textId="77777777" w:rsidR="00F742BC" w:rsidRPr="00555EA9" w:rsidRDefault="00F742BC" w:rsidP="00A000BE">
      <w:pPr>
        <w:spacing w:after="120"/>
        <w:ind w:left="720"/>
        <w:rPr>
          <w:rFonts w:ascii="Georgia" w:hAnsi="Georgia" w:cs="Arial"/>
          <w:i/>
          <w:sz w:val="20"/>
          <w:szCs w:val="20"/>
        </w:rPr>
      </w:pPr>
      <w:r w:rsidRPr="00555EA9">
        <w:rPr>
          <w:rFonts w:ascii="Georgia" w:hAnsi="Georgia" w:cs="Arial"/>
          <w:i/>
          <w:sz w:val="20"/>
          <w:szCs w:val="20"/>
        </w:rPr>
        <w:t xml:space="preserve">The grain industry supply chain is geographically diverse and is spread across 18 ports in the 5 major producing states of the nation.  </w:t>
      </w:r>
    </w:p>
    <w:p w14:paraId="1120CE1A" w14:textId="77777777" w:rsidR="00F742BC" w:rsidRPr="00555EA9" w:rsidRDefault="00F742BC" w:rsidP="00A000BE">
      <w:pPr>
        <w:spacing w:after="120"/>
        <w:ind w:left="720"/>
        <w:rPr>
          <w:rFonts w:ascii="Georgia" w:hAnsi="Georgia" w:cs="Arial"/>
          <w:i/>
          <w:sz w:val="20"/>
          <w:szCs w:val="20"/>
        </w:rPr>
      </w:pPr>
      <w:r w:rsidRPr="00555EA9">
        <w:rPr>
          <w:rFonts w:ascii="Georgia" w:hAnsi="Georgia" w:cs="Arial"/>
          <w:i/>
          <w:sz w:val="20"/>
          <w:szCs w:val="20"/>
        </w:rPr>
        <w:t>Producing on average 45mmt tonnes from approximately 21,000 farms production units</w:t>
      </w:r>
      <w:r w:rsidRPr="00555EA9">
        <w:rPr>
          <w:rStyle w:val="FootnoteReference"/>
          <w:rFonts w:ascii="Georgia" w:hAnsi="Georgia" w:cs="Arial"/>
          <w:i/>
          <w:sz w:val="20"/>
          <w:szCs w:val="20"/>
        </w:rPr>
        <w:footnoteReference w:id="1"/>
      </w:r>
      <w:r w:rsidRPr="00555EA9">
        <w:rPr>
          <w:rFonts w:ascii="Georgia" w:hAnsi="Georgia" w:cs="Arial"/>
          <w:i/>
          <w:sz w:val="20"/>
          <w:szCs w:val="20"/>
        </w:rPr>
        <w:t xml:space="preserve"> the grain industry has an inordinately heavy reliance on the nation’s road and rail networks including rural branch lines and the many non-sealed farm access and rural roads.  </w:t>
      </w:r>
    </w:p>
    <w:p w14:paraId="328F7F55" w14:textId="77777777" w:rsidR="00F742BC" w:rsidRPr="00555EA9" w:rsidRDefault="00F742BC" w:rsidP="00A000BE">
      <w:pPr>
        <w:spacing w:after="120"/>
        <w:ind w:left="720"/>
        <w:rPr>
          <w:rFonts w:ascii="Georgia" w:hAnsi="Georgia" w:cs="Arial"/>
          <w:i/>
          <w:sz w:val="20"/>
          <w:szCs w:val="20"/>
        </w:rPr>
      </w:pPr>
      <w:r w:rsidRPr="00555EA9">
        <w:rPr>
          <w:rFonts w:ascii="Georgia" w:hAnsi="Georgia" w:cs="Arial"/>
          <w:i/>
          <w:sz w:val="20"/>
          <w:szCs w:val="20"/>
        </w:rPr>
        <w:t xml:space="preserve">The grains industry utilises all 5 road categories under the Heavy Vehicle Road Reform (HVRR) categorisation model. </w:t>
      </w:r>
    </w:p>
    <w:p w14:paraId="306F629E" w14:textId="77777777" w:rsidR="00F742BC" w:rsidRPr="00555EA9" w:rsidRDefault="00F742BC" w:rsidP="00A000BE">
      <w:pPr>
        <w:spacing w:after="120"/>
        <w:ind w:left="720"/>
        <w:rPr>
          <w:rFonts w:ascii="Georgia" w:hAnsi="Georgia" w:cs="Arial"/>
          <w:i/>
          <w:sz w:val="20"/>
          <w:szCs w:val="20"/>
        </w:rPr>
      </w:pPr>
      <w:r w:rsidRPr="00555EA9">
        <w:rPr>
          <w:rFonts w:ascii="Georgia" w:hAnsi="Georgia" w:cs="Arial"/>
          <w:i/>
          <w:sz w:val="20"/>
          <w:szCs w:val="20"/>
        </w:rPr>
        <w:t>Table 1.  HVRR Road Categorisation Model</w:t>
      </w:r>
    </w:p>
    <w:tbl>
      <w:tblPr>
        <w:tblStyle w:val="LightShading-Accent1"/>
        <w:tblW w:w="9026" w:type="dxa"/>
        <w:tblInd w:w="720" w:type="dxa"/>
        <w:tblLook w:val="04A0" w:firstRow="1" w:lastRow="0" w:firstColumn="1" w:lastColumn="0" w:noHBand="0" w:noVBand="1"/>
      </w:tblPr>
      <w:tblGrid>
        <w:gridCol w:w="1536"/>
        <w:gridCol w:w="7490"/>
      </w:tblGrid>
      <w:tr w:rsidR="00555EA9" w:rsidRPr="00555EA9" w14:paraId="2150FF1F" w14:textId="77777777" w:rsidTr="00F742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6" w:type="dxa"/>
            <w:hideMark/>
          </w:tcPr>
          <w:p w14:paraId="3C270F2E" w14:textId="77777777" w:rsidR="00F742BC" w:rsidRPr="00555EA9" w:rsidRDefault="00F742BC" w:rsidP="00A000BE">
            <w:pPr>
              <w:spacing w:after="120"/>
              <w:jc w:val="center"/>
              <w:rPr>
                <w:rFonts w:ascii="Georgia" w:hAnsi="Georgia" w:cs="Arial"/>
                <w:i/>
                <w:color w:val="auto"/>
                <w:sz w:val="20"/>
                <w:szCs w:val="20"/>
              </w:rPr>
            </w:pPr>
            <w:r w:rsidRPr="00555EA9">
              <w:rPr>
                <w:rFonts w:ascii="Georgia" w:hAnsi="Georgia" w:cs="Arial"/>
                <w:i/>
                <w:color w:val="auto"/>
                <w:sz w:val="20"/>
                <w:szCs w:val="20"/>
              </w:rPr>
              <w:t>Road Category</w:t>
            </w:r>
          </w:p>
        </w:tc>
        <w:tc>
          <w:tcPr>
            <w:tcW w:w="7490" w:type="dxa"/>
            <w:hideMark/>
          </w:tcPr>
          <w:p w14:paraId="417E3200" w14:textId="77777777" w:rsidR="00F742BC" w:rsidRPr="00555EA9" w:rsidRDefault="00F742BC" w:rsidP="00A000BE">
            <w:pPr>
              <w:spacing w:after="120"/>
              <w:cnfStyle w:val="100000000000" w:firstRow="1" w:lastRow="0" w:firstColumn="0" w:lastColumn="0" w:oddVBand="0" w:evenVBand="0" w:oddHBand="0" w:evenHBand="0" w:firstRowFirstColumn="0" w:firstRowLastColumn="0" w:lastRowFirstColumn="0" w:lastRowLastColumn="0"/>
              <w:rPr>
                <w:rFonts w:ascii="Georgia" w:hAnsi="Georgia" w:cs="Arial"/>
                <w:i/>
                <w:color w:val="auto"/>
                <w:sz w:val="20"/>
                <w:szCs w:val="20"/>
              </w:rPr>
            </w:pPr>
            <w:r w:rsidRPr="00555EA9">
              <w:rPr>
                <w:rFonts w:ascii="Georgia" w:hAnsi="Georgia" w:cs="Arial"/>
                <w:i/>
                <w:color w:val="auto"/>
                <w:sz w:val="20"/>
                <w:szCs w:val="20"/>
              </w:rPr>
              <w:t xml:space="preserve">Description </w:t>
            </w:r>
          </w:p>
        </w:tc>
      </w:tr>
      <w:tr w:rsidR="00555EA9" w:rsidRPr="00555EA9" w14:paraId="1625EFF2" w14:textId="77777777" w:rsidTr="00F74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top w:val="nil"/>
              <w:bottom w:val="nil"/>
            </w:tcBorders>
          </w:tcPr>
          <w:p w14:paraId="3B5808ED" w14:textId="77777777" w:rsidR="00F742BC" w:rsidRPr="00555EA9" w:rsidRDefault="00F742BC" w:rsidP="00A000BE">
            <w:pPr>
              <w:spacing w:after="120"/>
              <w:jc w:val="center"/>
              <w:rPr>
                <w:rFonts w:ascii="Georgia" w:hAnsi="Georgia" w:cs="Arial"/>
                <w:i/>
                <w:color w:val="auto"/>
                <w:sz w:val="20"/>
                <w:szCs w:val="20"/>
              </w:rPr>
            </w:pPr>
          </w:p>
          <w:p w14:paraId="3B5B3C92" w14:textId="77777777" w:rsidR="00F742BC" w:rsidRPr="00555EA9" w:rsidRDefault="00F742BC" w:rsidP="00A000BE">
            <w:pPr>
              <w:spacing w:after="120"/>
              <w:jc w:val="center"/>
              <w:rPr>
                <w:rFonts w:ascii="Georgia" w:hAnsi="Georgia" w:cs="Arial"/>
                <w:i/>
                <w:color w:val="auto"/>
                <w:sz w:val="20"/>
                <w:szCs w:val="20"/>
              </w:rPr>
            </w:pPr>
          </w:p>
          <w:p w14:paraId="362F8A07" w14:textId="77777777" w:rsidR="00F742BC" w:rsidRPr="00555EA9" w:rsidRDefault="00F742BC" w:rsidP="00A000BE">
            <w:pPr>
              <w:spacing w:after="120"/>
              <w:jc w:val="center"/>
              <w:rPr>
                <w:rFonts w:ascii="Georgia" w:hAnsi="Georgia" w:cs="Arial"/>
                <w:i/>
                <w:color w:val="auto"/>
                <w:sz w:val="20"/>
                <w:szCs w:val="20"/>
              </w:rPr>
            </w:pPr>
            <w:r w:rsidRPr="00555EA9">
              <w:rPr>
                <w:rFonts w:ascii="Georgia" w:hAnsi="Georgia" w:cs="Arial"/>
                <w:i/>
                <w:color w:val="auto"/>
                <w:sz w:val="20"/>
                <w:szCs w:val="20"/>
              </w:rPr>
              <w:t>R1</w:t>
            </w:r>
          </w:p>
        </w:tc>
        <w:tc>
          <w:tcPr>
            <w:tcW w:w="7490" w:type="dxa"/>
            <w:tcBorders>
              <w:top w:val="nil"/>
              <w:bottom w:val="nil"/>
            </w:tcBorders>
            <w:hideMark/>
          </w:tcPr>
          <w:p w14:paraId="58CEF1FA" w14:textId="77777777" w:rsidR="00F742BC" w:rsidRPr="00555EA9" w:rsidRDefault="00F742BC" w:rsidP="00A000BE">
            <w:pPr>
              <w:spacing w:after="120"/>
              <w:cnfStyle w:val="000000100000" w:firstRow="0" w:lastRow="0" w:firstColumn="0" w:lastColumn="0" w:oddVBand="0" w:evenVBand="0" w:oddHBand="1" w:evenHBand="0" w:firstRowFirstColumn="0" w:firstRowLastColumn="0" w:lastRowFirstColumn="0" w:lastRowLastColumn="0"/>
              <w:rPr>
                <w:rFonts w:ascii="Georgia" w:hAnsi="Georgia" w:cs="Arial"/>
                <w:i/>
                <w:color w:val="auto"/>
                <w:sz w:val="20"/>
                <w:szCs w:val="20"/>
              </w:rPr>
            </w:pPr>
            <w:r w:rsidRPr="00555EA9">
              <w:rPr>
                <w:rFonts w:ascii="Georgia" w:hAnsi="Georgia"/>
                <w:i/>
                <w:color w:val="auto"/>
                <w:sz w:val="20"/>
                <w:szCs w:val="20"/>
              </w:rPr>
              <w:t>R1 roads are freeways, motorways, and tollways that have divided carriageways with two or more lanes in each direction and sealed shoulders on both sides of each carriageway. These roads form major urban and interurban traffic movement routes.</w:t>
            </w:r>
            <w:r w:rsidRPr="00555EA9">
              <w:rPr>
                <w:i/>
                <w:color w:val="auto"/>
              </w:rPr>
              <w:t xml:space="preserve"> </w:t>
            </w:r>
          </w:p>
        </w:tc>
      </w:tr>
      <w:tr w:rsidR="00555EA9" w:rsidRPr="00555EA9" w14:paraId="245A8AB5" w14:textId="77777777" w:rsidTr="00F742BC">
        <w:tc>
          <w:tcPr>
            <w:cnfStyle w:val="001000000000" w:firstRow="0" w:lastRow="0" w:firstColumn="1" w:lastColumn="0" w:oddVBand="0" w:evenVBand="0" w:oddHBand="0" w:evenHBand="0" w:firstRowFirstColumn="0" w:firstRowLastColumn="0" w:lastRowFirstColumn="0" w:lastRowLastColumn="0"/>
            <w:tcW w:w="1536" w:type="dxa"/>
            <w:tcBorders>
              <w:top w:val="nil"/>
              <w:left w:val="nil"/>
              <w:bottom w:val="nil"/>
              <w:right w:val="nil"/>
            </w:tcBorders>
          </w:tcPr>
          <w:p w14:paraId="4872CE83" w14:textId="77777777" w:rsidR="00F742BC" w:rsidRPr="00555EA9" w:rsidRDefault="00F742BC" w:rsidP="00A000BE">
            <w:pPr>
              <w:spacing w:after="120"/>
              <w:jc w:val="center"/>
              <w:rPr>
                <w:rFonts w:ascii="Georgia" w:hAnsi="Georgia" w:cs="Arial"/>
                <w:i/>
                <w:color w:val="auto"/>
                <w:sz w:val="20"/>
                <w:szCs w:val="20"/>
              </w:rPr>
            </w:pPr>
          </w:p>
          <w:p w14:paraId="776948E2" w14:textId="77777777" w:rsidR="00F742BC" w:rsidRPr="00555EA9" w:rsidRDefault="00F742BC" w:rsidP="00A000BE">
            <w:pPr>
              <w:spacing w:after="120"/>
              <w:jc w:val="center"/>
              <w:rPr>
                <w:rFonts w:ascii="Georgia" w:hAnsi="Georgia" w:cs="Arial"/>
                <w:i/>
                <w:color w:val="auto"/>
                <w:sz w:val="20"/>
                <w:szCs w:val="20"/>
              </w:rPr>
            </w:pPr>
            <w:r w:rsidRPr="00555EA9">
              <w:rPr>
                <w:rFonts w:ascii="Georgia" w:hAnsi="Georgia" w:cs="Arial"/>
                <w:i/>
                <w:color w:val="auto"/>
                <w:sz w:val="20"/>
                <w:szCs w:val="20"/>
              </w:rPr>
              <w:t>R2</w:t>
            </w:r>
          </w:p>
        </w:tc>
        <w:tc>
          <w:tcPr>
            <w:tcW w:w="7490" w:type="dxa"/>
            <w:tcBorders>
              <w:top w:val="nil"/>
              <w:left w:val="nil"/>
              <w:bottom w:val="nil"/>
              <w:right w:val="nil"/>
            </w:tcBorders>
            <w:hideMark/>
          </w:tcPr>
          <w:p w14:paraId="1D1E0961" w14:textId="77777777" w:rsidR="00F742BC" w:rsidRPr="00555EA9" w:rsidRDefault="00F742BC" w:rsidP="00A000BE">
            <w:pPr>
              <w:spacing w:after="120"/>
              <w:cnfStyle w:val="000000000000" w:firstRow="0" w:lastRow="0" w:firstColumn="0" w:lastColumn="0" w:oddVBand="0" w:evenVBand="0" w:oddHBand="0" w:evenHBand="0" w:firstRowFirstColumn="0" w:firstRowLastColumn="0" w:lastRowFirstColumn="0" w:lastRowLastColumn="0"/>
              <w:rPr>
                <w:rFonts w:ascii="Georgia" w:hAnsi="Georgia" w:cs="Arial"/>
                <w:i/>
                <w:color w:val="auto"/>
                <w:sz w:val="20"/>
                <w:szCs w:val="20"/>
              </w:rPr>
            </w:pPr>
            <w:r w:rsidRPr="00555EA9">
              <w:rPr>
                <w:rFonts w:ascii="Georgia" w:hAnsi="Georgia"/>
                <w:i/>
                <w:color w:val="auto"/>
                <w:sz w:val="20"/>
                <w:szCs w:val="20"/>
              </w:rPr>
              <w:t>R2 roads are urban highways or major roads that are not a freeway but may have divided carriageways and two or more lanes in each direction. These roads always have sealed shoulders.</w:t>
            </w:r>
          </w:p>
        </w:tc>
      </w:tr>
      <w:tr w:rsidR="00555EA9" w:rsidRPr="00555EA9" w14:paraId="0E2DCA62" w14:textId="77777777" w:rsidTr="00F74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top w:val="nil"/>
              <w:bottom w:val="nil"/>
            </w:tcBorders>
          </w:tcPr>
          <w:p w14:paraId="40880BA2" w14:textId="77777777" w:rsidR="00F742BC" w:rsidRPr="00555EA9" w:rsidRDefault="00F742BC" w:rsidP="00A000BE">
            <w:pPr>
              <w:spacing w:after="120"/>
              <w:jc w:val="center"/>
              <w:rPr>
                <w:rFonts w:ascii="Georgia" w:hAnsi="Georgia" w:cs="Arial"/>
                <w:i/>
                <w:color w:val="auto"/>
                <w:sz w:val="20"/>
                <w:szCs w:val="20"/>
              </w:rPr>
            </w:pPr>
          </w:p>
          <w:p w14:paraId="3E332370" w14:textId="77777777" w:rsidR="00F742BC" w:rsidRPr="00555EA9" w:rsidRDefault="00F742BC" w:rsidP="00A000BE">
            <w:pPr>
              <w:spacing w:after="120"/>
              <w:jc w:val="center"/>
              <w:rPr>
                <w:rFonts w:ascii="Georgia" w:hAnsi="Georgia" w:cs="Arial"/>
                <w:i/>
                <w:color w:val="auto"/>
                <w:sz w:val="20"/>
                <w:szCs w:val="20"/>
              </w:rPr>
            </w:pPr>
            <w:r w:rsidRPr="00555EA9">
              <w:rPr>
                <w:rFonts w:ascii="Georgia" w:hAnsi="Georgia" w:cs="Arial"/>
                <w:i/>
                <w:color w:val="auto"/>
                <w:sz w:val="20"/>
                <w:szCs w:val="20"/>
              </w:rPr>
              <w:t>R3</w:t>
            </w:r>
          </w:p>
        </w:tc>
        <w:tc>
          <w:tcPr>
            <w:tcW w:w="7490" w:type="dxa"/>
            <w:tcBorders>
              <w:top w:val="nil"/>
              <w:bottom w:val="nil"/>
            </w:tcBorders>
            <w:hideMark/>
          </w:tcPr>
          <w:p w14:paraId="4AE35482" w14:textId="77777777" w:rsidR="00F742BC" w:rsidRPr="00555EA9" w:rsidRDefault="00F742BC" w:rsidP="00A000BE">
            <w:pPr>
              <w:spacing w:after="120"/>
              <w:cnfStyle w:val="000000100000" w:firstRow="0" w:lastRow="0" w:firstColumn="0" w:lastColumn="0" w:oddVBand="0" w:evenVBand="0" w:oddHBand="1" w:evenHBand="0" w:firstRowFirstColumn="0" w:firstRowLastColumn="0" w:lastRowFirstColumn="0" w:lastRowLastColumn="0"/>
              <w:rPr>
                <w:rFonts w:ascii="Georgia" w:hAnsi="Georgia" w:cs="Arial"/>
                <w:i/>
                <w:color w:val="auto"/>
                <w:sz w:val="20"/>
                <w:szCs w:val="20"/>
              </w:rPr>
            </w:pPr>
            <w:r w:rsidRPr="00555EA9">
              <w:rPr>
                <w:rFonts w:ascii="Georgia" w:hAnsi="Georgia"/>
                <w:i/>
                <w:color w:val="auto"/>
                <w:sz w:val="20"/>
                <w:szCs w:val="20"/>
              </w:rPr>
              <w:t>R3 roads are urban arterials and rural highways that have single carriageway with one lane in each direction. These roads may have sealed or unsealed shoulders.</w:t>
            </w:r>
          </w:p>
        </w:tc>
      </w:tr>
      <w:tr w:rsidR="00555EA9" w:rsidRPr="00555EA9" w14:paraId="55937841" w14:textId="77777777" w:rsidTr="00F742BC">
        <w:tc>
          <w:tcPr>
            <w:cnfStyle w:val="001000000000" w:firstRow="0" w:lastRow="0" w:firstColumn="1" w:lastColumn="0" w:oddVBand="0" w:evenVBand="0" w:oddHBand="0" w:evenHBand="0" w:firstRowFirstColumn="0" w:firstRowLastColumn="0" w:lastRowFirstColumn="0" w:lastRowLastColumn="0"/>
            <w:tcW w:w="1536" w:type="dxa"/>
            <w:tcBorders>
              <w:top w:val="nil"/>
              <w:left w:val="nil"/>
              <w:bottom w:val="nil"/>
              <w:right w:val="nil"/>
            </w:tcBorders>
          </w:tcPr>
          <w:p w14:paraId="0DB9CC33" w14:textId="77777777" w:rsidR="00F742BC" w:rsidRPr="00555EA9" w:rsidRDefault="00F742BC" w:rsidP="00A000BE">
            <w:pPr>
              <w:spacing w:after="120"/>
              <w:jc w:val="center"/>
              <w:rPr>
                <w:rFonts w:ascii="Georgia" w:hAnsi="Georgia" w:cs="Arial"/>
                <w:i/>
                <w:color w:val="auto"/>
                <w:sz w:val="20"/>
                <w:szCs w:val="20"/>
              </w:rPr>
            </w:pPr>
          </w:p>
          <w:p w14:paraId="2BDB75A7" w14:textId="77777777" w:rsidR="00F742BC" w:rsidRPr="00555EA9" w:rsidRDefault="00F742BC" w:rsidP="00A000BE">
            <w:pPr>
              <w:spacing w:after="120"/>
              <w:jc w:val="center"/>
              <w:rPr>
                <w:rFonts w:ascii="Georgia" w:hAnsi="Georgia" w:cs="Arial"/>
                <w:i/>
                <w:color w:val="auto"/>
                <w:sz w:val="20"/>
                <w:szCs w:val="20"/>
              </w:rPr>
            </w:pPr>
            <w:r w:rsidRPr="00555EA9">
              <w:rPr>
                <w:rFonts w:ascii="Georgia" w:hAnsi="Georgia" w:cs="Arial"/>
                <w:i/>
                <w:color w:val="auto"/>
                <w:sz w:val="20"/>
                <w:szCs w:val="20"/>
              </w:rPr>
              <w:t>R4</w:t>
            </w:r>
          </w:p>
        </w:tc>
        <w:tc>
          <w:tcPr>
            <w:tcW w:w="7490" w:type="dxa"/>
            <w:tcBorders>
              <w:top w:val="nil"/>
              <w:left w:val="nil"/>
              <w:bottom w:val="nil"/>
              <w:right w:val="nil"/>
            </w:tcBorders>
            <w:hideMark/>
          </w:tcPr>
          <w:p w14:paraId="1D3D5931" w14:textId="77777777" w:rsidR="00F742BC" w:rsidRPr="00555EA9" w:rsidRDefault="00F742BC" w:rsidP="00A000BE">
            <w:pPr>
              <w:spacing w:after="120"/>
              <w:cnfStyle w:val="000000000000" w:firstRow="0" w:lastRow="0" w:firstColumn="0" w:lastColumn="0" w:oddVBand="0" w:evenVBand="0" w:oddHBand="0" w:evenHBand="0" w:firstRowFirstColumn="0" w:firstRowLastColumn="0" w:lastRowFirstColumn="0" w:lastRowLastColumn="0"/>
              <w:rPr>
                <w:rFonts w:ascii="Georgia" w:hAnsi="Georgia" w:cs="Arial"/>
                <w:i/>
                <w:color w:val="auto"/>
                <w:sz w:val="20"/>
                <w:szCs w:val="20"/>
              </w:rPr>
            </w:pPr>
            <w:r w:rsidRPr="00555EA9">
              <w:rPr>
                <w:rFonts w:ascii="Georgia" w:hAnsi="Georgia"/>
                <w:i/>
                <w:color w:val="auto"/>
                <w:sz w:val="20"/>
                <w:szCs w:val="20"/>
              </w:rPr>
              <w:t>R4 roads are collector or distributor roads. These are roads with no requirements for shoulders.</w:t>
            </w:r>
          </w:p>
        </w:tc>
      </w:tr>
      <w:tr w:rsidR="00555EA9" w:rsidRPr="00555EA9" w14:paraId="4895DCDF" w14:textId="77777777" w:rsidTr="00F74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6" w:type="dxa"/>
            <w:tcBorders>
              <w:top w:val="nil"/>
              <w:bottom w:val="nil"/>
            </w:tcBorders>
          </w:tcPr>
          <w:p w14:paraId="15792C15" w14:textId="77777777" w:rsidR="00F742BC" w:rsidRPr="00555EA9" w:rsidRDefault="00F742BC" w:rsidP="00A000BE">
            <w:pPr>
              <w:spacing w:after="120"/>
              <w:jc w:val="center"/>
              <w:rPr>
                <w:rFonts w:ascii="Georgia" w:hAnsi="Georgia" w:cs="Arial"/>
                <w:i/>
                <w:color w:val="auto"/>
                <w:sz w:val="20"/>
                <w:szCs w:val="20"/>
              </w:rPr>
            </w:pPr>
          </w:p>
          <w:p w14:paraId="649CECA1" w14:textId="77777777" w:rsidR="00F742BC" w:rsidRPr="00555EA9" w:rsidRDefault="00F742BC" w:rsidP="00A000BE">
            <w:pPr>
              <w:spacing w:after="120"/>
              <w:jc w:val="center"/>
              <w:rPr>
                <w:rFonts w:ascii="Georgia" w:hAnsi="Georgia" w:cs="Arial"/>
                <w:i/>
                <w:color w:val="auto"/>
                <w:sz w:val="20"/>
                <w:szCs w:val="20"/>
              </w:rPr>
            </w:pPr>
            <w:r w:rsidRPr="00555EA9">
              <w:rPr>
                <w:rFonts w:ascii="Georgia" w:hAnsi="Georgia" w:cs="Arial"/>
                <w:i/>
                <w:color w:val="auto"/>
                <w:sz w:val="20"/>
                <w:szCs w:val="20"/>
              </w:rPr>
              <w:t>R5</w:t>
            </w:r>
          </w:p>
        </w:tc>
        <w:tc>
          <w:tcPr>
            <w:tcW w:w="7490" w:type="dxa"/>
            <w:tcBorders>
              <w:top w:val="nil"/>
              <w:bottom w:val="nil"/>
            </w:tcBorders>
          </w:tcPr>
          <w:p w14:paraId="732ED5DF" w14:textId="77777777" w:rsidR="00F742BC" w:rsidRPr="00555EA9" w:rsidRDefault="00F742BC" w:rsidP="00A000BE">
            <w:pPr>
              <w:spacing w:after="120"/>
              <w:cnfStyle w:val="000000100000" w:firstRow="0" w:lastRow="0" w:firstColumn="0" w:lastColumn="0" w:oddVBand="0" w:evenVBand="0" w:oddHBand="1" w:evenHBand="0" w:firstRowFirstColumn="0" w:firstRowLastColumn="0" w:lastRowFirstColumn="0" w:lastRowLastColumn="0"/>
              <w:rPr>
                <w:rFonts w:ascii="Georgia" w:hAnsi="Georgia"/>
                <w:i/>
                <w:color w:val="auto"/>
                <w:sz w:val="20"/>
                <w:szCs w:val="20"/>
              </w:rPr>
            </w:pPr>
            <w:r w:rsidRPr="00555EA9">
              <w:rPr>
                <w:rFonts w:ascii="Georgia" w:hAnsi="Georgia"/>
                <w:i/>
                <w:color w:val="auto"/>
                <w:sz w:val="20"/>
                <w:szCs w:val="20"/>
              </w:rPr>
              <w:t>R5 roads are local or access roads which provide property access.</w:t>
            </w:r>
          </w:p>
          <w:p w14:paraId="66CFAFBD" w14:textId="77777777" w:rsidR="00F742BC" w:rsidRPr="00555EA9" w:rsidRDefault="00F742BC" w:rsidP="00A000BE">
            <w:pPr>
              <w:spacing w:after="120"/>
              <w:cnfStyle w:val="000000100000" w:firstRow="0" w:lastRow="0" w:firstColumn="0" w:lastColumn="0" w:oddVBand="0" w:evenVBand="0" w:oddHBand="1" w:evenHBand="0" w:firstRowFirstColumn="0" w:firstRowLastColumn="0" w:lastRowFirstColumn="0" w:lastRowLastColumn="0"/>
              <w:rPr>
                <w:rFonts w:ascii="Georgia" w:hAnsi="Georgia"/>
                <w:i/>
                <w:color w:val="auto"/>
                <w:sz w:val="20"/>
                <w:szCs w:val="20"/>
              </w:rPr>
            </w:pPr>
          </w:p>
        </w:tc>
      </w:tr>
      <w:tr w:rsidR="00555EA9" w:rsidRPr="00555EA9" w14:paraId="2210C896" w14:textId="77777777" w:rsidTr="00F742BC">
        <w:tc>
          <w:tcPr>
            <w:cnfStyle w:val="001000000000" w:firstRow="0" w:lastRow="0" w:firstColumn="1" w:lastColumn="0" w:oddVBand="0" w:evenVBand="0" w:oddHBand="0" w:evenHBand="0" w:firstRowFirstColumn="0" w:firstRowLastColumn="0" w:lastRowFirstColumn="0" w:lastRowLastColumn="0"/>
            <w:tcW w:w="1536" w:type="dxa"/>
            <w:tcBorders>
              <w:top w:val="nil"/>
              <w:left w:val="nil"/>
              <w:bottom w:val="single" w:sz="8" w:space="0" w:color="4F81BD" w:themeColor="accent1"/>
              <w:right w:val="nil"/>
            </w:tcBorders>
          </w:tcPr>
          <w:p w14:paraId="3847307A" w14:textId="77777777" w:rsidR="00F742BC" w:rsidRPr="00555EA9" w:rsidRDefault="00F742BC" w:rsidP="00A000BE">
            <w:pPr>
              <w:spacing w:after="120"/>
              <w:jc w:val="center"/>
              <w:rPr>
                <w:rFonts w:ascii="Georgia" w:hAnsi="Georgia" w:cs="Arial"/>
                <w:i/>
                <w:color w:val="auto"/>
                <w:sz w:val="20"/>
                <w:szCs w:val="20"/>
              </w:rPr>
            </w:pPr>
          </w:p>
        </w:tc>
        <w:tc>
          <w:tcPr>
            <w:tcW w:w="7490" w:type="dxa"/>
            <w:tcBorders>
              <w:top w:val="nil"/>
              <w:left w:val="nil"/>
              <w:bottom w:val="single" w:sz="8" w:space="0" w:color="4F81BD" w:themeColor="accent1"/>
              <w:right w:val="nil"/>
            </w:tcBorders>
          </w:tcPr>
          <w:p w14:paraId="1E1B8D84" w14:textId="77777777" w:rsidR="00F742BC" w:rsidRPr="00555EA9" w:rsidRDefault="00F742BC" w:rsidP="00A000BE">
            <w:pPr>
              <w:spacing w:after="120"/>
              <w:cnfStyle w:val="000000000000" w:firstRow="0" w:lastRow="0" w:firstColumn="0" w:lastColumn="0" w:oddVBand="0" w:evenVBand="0" w:oddHBand="0" w:evenHBand="0" w:firstRowFirstColumn="0" w:firstRowLastColumn="0" w:lastRowFirstColumn="0" w:lastRowLastColumn="0"/>
              <w:rPr>
                <w:rFonts w:ascii="Georgia" w:hAnsi="Georgia" w:cs="Arial"/>
                <w:i/>
                <w:color w:val="auto"/>
                <w:sz w:val="20"/>
                <w:szCs w:val="20"/>
              </w:rPr>
            </w:pPr>
          </w:p>
        </w:tc>
      </w:tr>
    </w:tbl>
    <w:p w14:paraId="78EBEED7" w14:textId="77777777" w:rsidR="00F742BC" w:rsidRPr="00555EA9" w:rsidRDefault="00F742BC" w:rsidP="00A000BE">
      <w:pPr>
        <w:spacing w:after="120"/>
        <w:ind w:left="2880"/>
        <w:rPr>
          <w:rFonts w:ascii="Georgia" w:hAnsi="Georgia" w:cs="Arial"/>
          <w:i/>
          <w:sz w:val="20"/>
          <w:szCs w:val="20"/>
        </w:rPr>
      </w:pPr>
    </w:p>
    <w:p w14:paraId="0E36B1D5" w14:textId="77777777" w:rsidR="00F742BC" w:rsidRPr="00555EA9" w:rsidRDefault="00F742BC" w:rsidP="00A000BE">
      <w:pPr>
        <w:spacing w:after="120"/>
        <w:ind w:left="720"/>
        <w:rPr>
          <w:rFonts w:ascii="Georgia" w:hAnsi="Georgia" w:cs="Arial"/>
          <w:i/>
          <w:sz w:val="20"/>
          <w:szCs w:val="20"/>
        </w:rPr>
      </w:pPr>
      <w:r w:rsidRPr="00555EA9">
        <w:rPr>
          <w:rFonts w:ascii="Georgia" w:hAnsi="Georgia" w:cs="Arial"/>
          <w:i/>
          <w:sz w:val="20"/>
          <w:szCs w:val="20"/>
        </w:rPr>
        <w:t>Historically, the Australian grain supply chain operated under a simple aggregation system with farmers delivering their produce approximately 10-30kms at harvest time to local collection points from where the grain would, over time be delivered to domestic and export destinations.  This model has now changed with the industry increasingly moving to a disaggregated market with:</w:t>
      </w:r>
    </w:p>
    <w:p w14:paraId="6350F871" w14:textId="77777777" w:rsidR="00F742BC" w:rsidRPr="00555EA9" w:rsidRDefault="00F742BC" w:rsidP="00A000BE">
      <w:pPr>
        <w:pStyle w:val="ListParagraph"/>
        <w:numPr>
          <w:ilvl w:val="0"/>
          <w:numId w:val="8"/>
        </w:numPr>
        <w:spacing w:after="120"/>
        <w:ind w:left="1434" w:hanging="357"/>
        <w:contextualSpacing/>
        <w:rPr>
          <w:rFonts w:ascii="Georgia" w:hAnsi="Georgia" w:cs="Arial"/>
          <w:i/>
          <w:sz w:val="20"/>
          <w:szCs w:val="20"/>
        </w:rPr>
      </w:pPr>
      <w:r w:rsidRPr="00555EA9">
        <w:rPr>
          <w:rFonts w:cs="Arial"/>
          <w:i/>
          <w:szCs w:val="20"/>
        </w:rPr>
        <w:t>Increased use of farm storage, with the Australian Bureau of Statistics reporting approximately 15mmt of farm storage available to the industry in the 2008-2009 Agricultural Survey and currently is likely to be significantly higher.</w:t>
      </w:r>
    </w:p>
    <w:p w14:paraId="3457EC81" w14:textId="77777777" w:rsidR="00F742BC" w:rsidRPr="00555EA9" w:rsidRDefault="00F742BC" w:rsidP="00A000BE">
      <w:pPr>
        <w:pStyle w:val="ListParagraph"/>
        <w:numPr>
          <w:ilvl w:val="0"/>
          <w:numId w:val="8"/>
        </w:numPr>
        <w:spacing w:after="120"/>
        <w:ind w:left="1434" w:hanging="357"/>
        <w:contextualSpacing/>
        <w:rPr>
          <w:rFonts w:cs="Arial"/>
          <w:i/>
          <w:szCs w:val="20"/>
        </w:rPr>
      </w:pPr>
      <w:r w:rsidRPr="00555EA9">
        <w:rPr>
          <w:rFonts w:cs="Arial"/>
          <w:i/>
          <w:szCs w:val="20"/>
        </w:rPr>
        <w:t xml:space="preserve">Rationalisation of bulk handler receival sites and service arrangements. </w:t>
      </w:r>
    </w:p>
    <w:p w14:paraId="2C18E875" w14:textId="77777777" w:rsidR="00F742BC" w:rsidRPr="00555EA9" w:rsidRDefault="00F742BC" w:rsidP="00A000BE">
      <w:pPr>
        <w:pStyle w:val="ListParagraph"/>
        <w:numPr>
          <w:ilvl w:val="0"/>
          <w:numId w:val="8"/>
        </w:numPr>
        <w:spacing w:after="120"/>
        <w:ind w:left="1434" w:hanging="357"/>
        <w:contextualSpacing/>
        <w:rPr>
          <w:rFonts w:cs="Arial"/>
          <w:i/>
          <w:szCs w:val="20"/>
        </w:rPr>
      </w:pPr>
      <w:r w:rsidRPr="00555EA9">
        <w:rPr>
          <w:rFonts w:cs="Arial"/>
          <w:i/>
          <w:szCs w:val="20"/>
        </w:rPr>
        <w:t>Privatisation of the above rail operating companies and their rolling stock assets and some of the below rail track networks.  Removal of government ownership and in some states Community Service Obligations (CSOs) for rail leading to a transport modal shift from rail to road.</w:t>
      </w:r>
    </w:p>
    <w:p w14:paraId="529A90F1" w14:textId="77777777" w:rsidR="00F742BC" w:rsidRPr="00555EA9" w:rsidRDefault="00F742BC" w:rsidP="00A000BE">
      <w:pPr>
        <w:pStyle w:val="ListParagraph"/>
        <w:numPr>
          <w:ilvl w:val="0"/>
          <w:numId w:val="8"/>
        </w:numPr>
        <w:spacing w:after="120"/>
        <w:ind w:left="1434" w:hanging="357"/>
        <w:contextualSpacing/>
        <w:rPr>
          <w:rFonts w:cs="Arial"/>
          <w:i/>
          <w:szCs w:val="20"/>
        </w:rPr>
      </w:pPr>
      <w:r w:rsidRPr="00555EA9">
        <w:rPr>
          <w:rFonts w:cs="Arial"/>
          <w:i/>
          <w:szCs w:val="20"/>
        </w:rPr>
        <w:t xml:space="preserve">Increased use of containers for export tonnage due to favourable back freight opportunities combined with international markets preferences in delivery and order size. </w:t>
      </w:r>
    </w:p>
    <w:p w14:paraId="0EB74F7C" w14:textId="77777777" w:rsidR="00F742BC" w:rsidRPr="00555EA9" w:rsidRDefault="00F742BC" w:rsidP="00A000BE">
      <w:pPr>
        <w:pStyle w:val="ListParagraph"/>
        <w:numPr>
          <w:ilvl w:val="0"/>
          <w:numId w:val="8"/>
        </w:numPr>
        <w:spacing w:after="120"/>
        <w:ind w:left="1434" w:hanging="357"/>
        <w:contextualSpacing/>
        <w:rPr>
          <w:rFonts w:cs="Arial"/>
          <w:i/>
          <w:szCs w:val="20"/>
        </w:rPr>
      </w:pPr>
      <w:r w:rsidRPr="00555EA9">
        <w:rPr>
          <w:rFonts w:cs="Arial"/>
          <w:i/>
          <w:szCs w:val="20"/>
        </w:rPr>
        <w:t xml:space="preserve">Increased commodity trading activity with multiple aggregators for most sales contracts and a dramatic increase in supply chain participants resulting in competing demand for common use infrastructure.   </w:t>
      </w:r>
    </w:p>
    <w:p w14:paraId="70C11A94" w14:textId="77777777" w:rsidR="00F742BC" w:rsidRPr="00555EA9" w:rsidRDefault="00F742BC" w:rsidP="00A000BE">
      <w:pPr>
        <w:spacing w:after="120"/>
        <w:ind w:left="720"/>
        <w:rPr>
          <w:rFonts w:ascii="Georgia" w:hAnsi="Georgia" w:cs="Arial"/>
          <w:i/>
          <w:sz w:val="20"/>
          <w:szCs w:val="20"/>
        </w:rPr>
      </w:pPr>
      <w:r w:rsidRPr="00555EA9">
        <w:rPr>
          <w:rFonts w:ascii="Georgia" w:hAnsi="Georgia" w:cs="Arial"/>
          <w:i/>
          <w:sz w:val="20"/>
          <w:szCs w:val="20"/>
        </w:rPr>
        <w:t>The increased complexity in the grain supply chain has created challenges and constraints in peak periods.  This evolving model and its complexity need to be understood and factored into the governments supply chain planning frameworks.</w:t>
      </w:r>
    </w:p>
    <w:p w14:paraId="3B259674" w14:textId="4CBB685C" w:rsidR="00F742BC" w:rsidRPr="00307B1D" w:rsidRDefault="00F742BC" w:rsidP="00A000BE">
      <w:pPr>
        <w:pStyle w:val="Heading1"/>
        <w:spacing w:before="0" w:after="120"/>
        <w:ind w:left="720"/>
        <w:rPr>
          <w:rFonts w:ascii="Georgia" w:hAnsi="Georgia"/>
          <w:b/>
          <w:i/>
          <w:color w:val="auto"/>
          <w:sz w:val="24"/>
          <w:szCs w:val="24"/>
        </w:rPr>
      </w:pPr>
      <w:bookmarkStart w:id="4" w:name="_Toc488748647"/>
      <w:bookmarkStart w:id="5" w:name="_Toc487466304"/>
      <w:r w:rsidRPr="00307B1D">
        <w:rPr>
          <w:b/>
          <w:i/>
          <w:color w:val="auto"/>
          <w:sz w:val="24"/>
          <w:szCs w:val="24"/>
        </w:rPr>
        <w:t>4.0 Grain Industry Capability and Competi</w:t>
      </w:r>
      <w:r w:rsidR="00555EA9" w:rsidRPr="00307B1D">
        <w:rPr>
          <w:b/>
          <w:i/>
          <w:color w:val="auto"/>
          <w:sz w:val="24"/>
          <w:szCs w:val="24"/>
        </w:rPr>
        <w:t>ti</w:t>
      </w:r>
      <w:r w:rsidRPr="00307B1D">
        <w:rPr>
          <w:b/>
          <w:i/>
          <w:color w:val="auto"/>
          <w:sz w:val="24"/>
          <w:szCs w:val="24"/>
        </w:rPr>
        <w:t>veness</w:t>
      </w:r>
      <w:bookmarkEnd w:id="4"/>
      <w:bookmarkEnd w:id="5"/>
    </w:p>
    <w:p w14:paraId="0A92B67B" w14:textId="77777777" w:rsidR="00F742BC" w:rsidRPr="00555EA9" w:rsidRDefault="00F742BC" w:rsidP="00A000BE">
      <w:pPr>
        <w:spacing w:after="120"/>
        <w:ind w:left="720"/>
        <w:rPr>
          <w:rFonts w:ascii="Georgia" w:hAnsi="Georgia" w:cs="Arial"/>
          <w:i/>
          <w:sz w:val="20"/>
          <w:szCs w:val="20"/>
        </w:rPr>
      </w:pPr>
      <w:r w:rsidRPr="00555EA9">
        <w:rPr>
          <w:rFonts w:ascii="Georgia" w:hAnsi="Georgia" w:cs="Arial"/>
          <w:i/>
          <w:sz w:val="20"/>
          <w:szCs w:val="20"/>
        </w:rPr>
        <w:t xml:space="preserve">Increasingly sophisticated global markets dictate the fortunes of the Australian grain industry.  Australia does have some inherent advantages in the global market on account of our reputation for producing a clean quality product and the sea freight advantage accorded by our proximity to key south East Asian markets. </w:t>
      </w:r>
    </w:p>
    <w:p w14:paraId="396F51B1" w14:textId="77777777" w:rsidR="00F742BC" w:rsidRPr="00555EA9" w:rsidRDefault="00F742BC" w:rsidP="00A000BE">
      <w:pPr>
        <w:spacing w:after="120"/>
        <w:ind w:left="720"/>
        <w:rPr>
          <w:rFonts w:ascii="Georgia" w:hAnsi="Georgia" w:cs="Calibri"/>
          <w:i/>
          <w:sz w:val="20"/>
          <w:szCs w:val="20"/>
        </w:rPr>
      </w:pPr>
      <w:r w:rsidRPr="00555EA9">
        <w:rPr>
          <w:rFonts w:ascii="Georgia" w:hAnsi="Georgia" w:cs="Arial"/>
          <w:i/>
          <w:sz w:val="20"/>
          <w:szCs w:val="20"/>
        </w:rPr>
        <w:t>However, current depressed sea freight rates and increasing competition from the Black Sea region has dramatically reduced the inherent competitive advantage afforded to Australian grain.</w:t>
      </w:r>
      <w:r w:rsidRPr="00555EA9">
        <w:rPr>
          <w:rFonts w:ascii="Georgia" w:hAnsi="Georgia" w:cs="Calibri"/>
          <w:i/>
          <w:sz w:val="20"/>
          <w:szCs w:val="20"/>
        </w:rPr>
        <w:t xml:space="preserve">  </w:t>
      </w:r>
    </w:p>
    <w:p w14:paraId="479FEB63" w14:textId="77777777" w:rsidR="00F742BC" w:rsidRPr="00F742BC" w:rsidRDefault="00F742BC" w:rsidP="00A000BE">
      <w:pPr>
        <w:autoSpaceDE w:val="0"/>
        <w:autoSpaceDN w:val="0"/>
        <w:adjustRightInd w:val="0"/>
        <w:spacing w:after="120"/>
        <w:ind w:left="720"/>
        <w:rPr>
          <w:rFonts w:ascii="Georgia" w:hAnsi="Georgia" w:cs="Calibri"/>
          <w:i/>
          <w:sz w:val="20"/>
          <w:szCs w:val="20"/>
        </w:rPr>
      </w:pPr>
      <w:r w:rsidRPr="00555EA9">
        <w:rPr>
          <w:rFonts w:ascii="Georgia" w:hAnsi="Georgia" w:cs="Calibri"/>
          <w:i/>
          <w:sz w:val="20"/>
          <w:szCs w:val="20"/>
        </w:rPr>
        <w:t xml:space="preserve">Supply chain related innovation is essential, and requires leadership, planning and capital investment to ensure an efficient globally competitive grain industry for Australia.   Critical to the value proposition for Australian grain in the export market, is the ability for market participants to “front-end” (i.e. heavily concentrate the shipping program in the immediate six months following harvest) their sales and shipping programs prior to new season northern hemisphere grain being available to compete.  This peak demand requirement has resulted in the grain supply chain demanding overcapacity with resultant cost implications.   </w:t>
      </w:r>
      <w:r w:rsidRPr="00F742BC">
        <w:rPr>
          <w:rFonts w:ascii="Georgia" w:hAnsi="Georgia" w:cs="Calibri"/>
          <w:i/>
          <w:sz w:val="20"/>
          <w:szCs w:val="20"/>
        </w:rPr>
        <w:t xml:space="preserve"> </w:t>
      </w:r>
    </w:p>
    <w:p w14:paraId="5225C109" w14:textId="77777777" w:rsidR="00A000BE" w:rsidRDefault="00EF3067" w:rsidP="00465A4E">
      <w:pPr>
        <w:spacing w:after="120"/>
        <w:rPr>
          <w:rFonts w:ascii="Calibri" w:hAnsi="Calibri" w:cs="Calibri"/>
        </w:rPr>
      </w:pPr>
      <w:r w:rsidRPr="00F742BC">
        <w:rPr>
          <w:rFonts w:ascii="Calibri" w:hAnsi="Calibri" w:cs="Calibri"/>
        </w:rPr>
        <w:t xml:space="preserve">GPA </w:t>
      </w:r>
      <w:r w:rsidR="00A000BE">
        <w:rPr>
          <w:rFonts w:ascii="Calibri" w:hAnsi="Calibri" w:cs="Calibri"/>
        </w:rPr>
        <w:t xml:space="preserve">specifically </w:t>
      </w:r>
      <w:r w:rsidRPr="00F742BC">
        <w:rPr>
          <w:rFonts w:ascii="Calibri" w:hAnsi="Calibri" w:cs="Calibri"/>
        </w:rPr>
        <w:t>support</w:t>
      </w:r>
      <w:r w:rsidR="00A000BE">
        <w:rPr>
          <w:rFonts w:ascii="Calibri" w:hAnsi="Calibri" w:cs="Calibri"/>
        </w:rPr>
        <w:t>s</w:t>
      </w:r>
      <w:r w:rsidRPr="00F742BC">
        <w:rPr>
          <w:rFonts w:ascii="Calibri" w:hAnsi="Calibri" w:cs="Calibri"/>
        </w:rPr>
        <w:t xml:space="preserve"> the follo</w:t>
      </w:r>
      <w:r w:rsidR="00A000BE">
        <w:rPr>
          <w:rFonts w:ascii="Calibri" w:hAnsi="Calibri" w:cs="Calibri"/>
        </w:rPr>
        <w:t>wing recommendations:</w:t>
      </w:r>
    </w:p>
    <w:p w14:paraId="1D83EC0D" w14:textId="0D6B6458" w:rsidR="00EF3067" w:rsidRPr="00A000BE" w:rsidRDefault="00EF3067" w:rsidP="00465A4E">
      <w:pPr>
        <w:pStyle w:val="ListParagraph"/>
        <w:numPr>
          <w:ilvl w:val="0"/>
          <w:numId w:val="10"/>
        </w:numPr>
        <w:ind w:left="714" w:hanging="357"/>
        <w:rPr>
          <w:rFonts w:ascii="Calibri" w:hAnsi="Calibri" w:cs="Calibri"/>
          <w:szCs w:val="20"/>
        </w:rPr>
      </w:pPr>
      <w:r w:rsidRPr="00A000BE">
        <w:rPr>
          <w:rFonts w:ascii="Calibri" w:hAnsi="Calibri" w:cs="Calibri"/>
          <w:szCs w:val="20"/>
        </w:rPr>
        <w:t>The Inquiry is resourced adequately to include extensive industry engagement, and the analysis and review of past industry reports.</w:t>
      </w:r>
    </w:p>
    <w:p w14:paraId="6903669E" w14:textId="77777777" w:rsidR="00EF3067" w:rsidRPr="00F742BC" w:rsidRDefault="00EF3067" w:rsidP="00465A4E">
      <w:pPr>
        <w:pStyle w:val="ListParagraph"/>
        <w:numPr>
          <w:ilvl w:val="0"/>
          <w:numId w:val="7"/>
        </w:numPr>
        <w:ind w:left="714" w:hanging="357"/>
        <w:contextualSpacing/>
        <w:rPr>
          <w:rFonts w:ascii="Calibri" w:hAnsi="Calibri" w:cs="Calibri"/>
          <w:szCs w:val="20"/>
        </w:rPr>
      </w:pPr>
      <w:r w:rsidRPr="00F742BC">
        <w:rPr>
          <w:rFonts w:ascii="Calibri" w:hAnsi="Calibri" w:cs="Calibri"/>
          <w:szCs w:val="20"/>
        </w:rPr>
        <w:t>Supply Chain Funding is prioritised on economic value principles.</w:t>
      </w:r>
    </w:p>
    <w:p w14:paraId="4284A892" w14:textId="77777777" w:rsidR="00EF3067" w:rsidRPr="00F742BC" w:rsidRDefault="00EF3067" w:rsidP="00465A4E">
      <w:pPr>
        <w:pStyle w:val="ListParagraph"/>
        <w:numPr>
          <w:ilvl w:val="0"/>
          <w:numId w:val="7"/>
        </w:numPr>
        <w:ind w:left="714" w:hanging="357"/>
        <w:contextualSpacing/>
        <w:rPr>
          <w:rFonts w:ascii="Calibri" w:hAnsi="Calibri" w:cs="Calibri"/>
          <w:szCs w:val="20"/>
        </w:rPr>
      </w:pPr>
      <w:r w:rsidRPr="00F742BC">
        <w:rPr>
          <w:rFonts w:ascii="Calibri" w:hAnsi="Calibri" w:cs="Calibri"/>
          <w:szCs w:val="20"/>
        </w:rPr>
        <w:t>Ensure a standard investment methodology.</w:t>
      </w:r>
    </w:p>
    <w:p w14:paraId="7643B577" w14:textId="77777777" w:rsidR="00EF3067" w:rsidRPr="00F742BC" w:rsidRDefault="00EF3067" w:rsidP="00465A4E">
      <w:pPr>
        <w:pStyle w:val="ListParagraph"/>
        <w:numPr>
          <w:ilvl w:val="0"/>
          <w:numId w:val="7"/>
        </w:numPr>
        <w:ind w:left="714" w:hanging="357"/>
        <w:contextualSpacing/>
        <w:rPr>
          <w:rFonts w:ascii="Calibri" w:hAnsi="Calibri" w:cs="Calibri"/>
          <w:szCs w:val="20"/>
        </w:rPr>
      </w:pPr>
      <w:r w:rsidRPr="00F742BC">
        <w:rPr>
          <w:rFonts w:ascii="Calibri" w:hAnsi="Calibri" w:cs="Calibri"/>
          <w:szCs w:val="20"/>
        </w:rPr>
        <w:t xml:space="preserve">Engage further with industry to forecast, plan and prepare for change. </w:t>
      </w:r>
    </w:p>
    <w:p w14:paraId="34DDB8CD" w14:textId="2E134558" w:rsidR="00EF3067" w:rsidRPr="00F742BC" w:rsidRDefault="00EF3067" w:rsidP="00465A4E">
      <w:pPr>
        <w:pStyle w:val="ListParagraph"/>
        <w:numPr>
          <w:ilvl w:val="0"/>
          <w:numId w:val="7"/>
        </w:numPr>
        <w:ind w:left="714" w:hanging="357"/>
        <w:contextualSpacing/>
        <w:rPr>
          <w:rFonts w:ascii="Calibri" w:hAnsi="Calibri" w:cs="Calibri"/>
          <w:szCs w:val="20"/>
        </w:rPr>
      </w:pPr>
      <w:r w:rsidRPr="00F742BC">
        <w:rPr>
          <w:rFonts w:ascii="Calibri" w:hAnsi="Calibri" w:cs="Calibri"/>
          <w:szCs w:val="20"/>
        </w:rPr>
        <w:t xml:space="preserve">Ensure the consideration of value uplift when scoping projects to consider expansionary value.  </w:t>
      </w:r>
    </w:p>
    <w:p w14:paraId="0B9D6424" w14:textId="4D3865CE" w:rsidR="00EF3067" w:rsidRPr="00F742BC" w:rsidRDefault="00EF3067" w:rsidP="00465A4E">
      <w:pPr>
        <w:pStyle w:val="ListParagraph"/>
        <w:numPr>
          <w:ilvl w:val="0"/>
          <w:numId w:val="7"/>
        </w:numPr>
        <w:spacing w:after="120"/>
        <w:ind w:left="714" w:hanging="357"/>
        <w:contextualSpacing/>
        <w:rPr>
          <w:rFonts w:ascii="Calibri" w:hAnsi="Calibri" w:cs="Calibri"/>
        </w:rPr>
      </w:pPr>
      <w:r w:rsidRPr="00F742BC">
        <w:rPr>
          <w:rFonts w:ascii="Calibri" w:hAnsi="Calibri" w:cs="Calibri"/>
          <w:szCs w:val="20"/>
        </w:rPr>
        <w:t xml:space="preserve">Continued use of independent agencies and structural reform of the different government sectors within the supply change is required.  </w:t>
      </w:r>
    </w:p>
    <w:p w14:paraId="6DA71D84" w14:textId="1560A980" w:rsidR="008922AE" w:rsidRPr="00F742BC" w:rsidRDefault="00A000BE" w:rsidP="00465A4E">
      <w:pPr>
        <w:spacing w:after="120"/>
        <w:rPr>
          <w:rFonts w:ascii="Calibri" w:hAnsi="Calibri" w:cs="Calibri"/>
        </w:rPr>
      </w:pPr>
      <w:r>
        <w:rPr>
          <w:rFonts w:ascii="Calibri" w:hAnsi="Calibri" w:cs="Calibri"/>
        </w:rPr>
        <w:t>While GPA is broadly supportive of the GTA submission and recommendations, it is important that there is capacity for ongoing representation and consideration of the issues in the context of their impact and relevance specifically to the production sector.</w:t>
      </w:r>
    </w:p>
    <w:p w14:paraId="48FA47FF" w14:textId="5A3C439B" w:rsidR="000C071B" w:rsidRPr="00F742BC" w:rsidRDefault="000C071B" w:rsidP="00465A4E">
      <w:pPr>
        <w:spacing w:after="120"/>
        <w:rPr>
          <w:rFonts w:ascii="Calibri" w:hAnsi="Calibri" w:cs="Calibri"/>
          <w:b/>
          <w:bCs/>
        </w:rPr>
      </w:pPr>
      <w:r w:rsidRPr="00F742BC">
        <w:rPr>
          <w:rFonts w:ascii="Calibri" w:hAnsi="Calibri" w:cs="Calibri"/>
          <w:b/>
          <w:bCs/>
        </w:rPr>
        <w:t>Regulatory consistency</w:t>
      </w:r>
    </w:p>
    <w:p w14:paraId="28628701" w14:textId="69CA9B48" w:rsidR="00D21FD0" w:rsidRPr="00F742BC" w:rsidRDefault="001E0E3C" w:rsidP="00465A4E">
      <w:pPr>
        <w:spacing w:after="120"/>
        <w:rPr>
          <w:rFonts w:ascii="Calibri" w:hAnsi="Calibri" w:cs="Calibri"/>
        </w:rPr>
      </w:pPr>
      <w:r w:rsidRPr="00F742BC">
        <w:rPr>
          <w:rFonts w:ascii="Calibri" w:hAnsi="Calibri" w:cs="Calibri"/>
        </w:rPr>
        <w:t>GPA s</w:t>
      </w:r>
      <w:r w:rsidR="00D21FD0" w:rsidRPr="00F742BC">
        <w:rPr>
          <w:rFonts w:ascii="Calibri" w:hAnsi="Calibri" w:cs="Calibri"/>
        </w:rPr>
        <w:t>upport</w:t>
      </w:r>
      <w:r w:rsidRPr="00F742BC">
        <w:rPr>
          <w:rFonts w:ascii="Calibri" w:hAnsi="Calibri" w:cs="Calibri"/>
        </w:rPr>
        <w:t>s</w:t>
      </w:r>
      <w:r w:rsidR="00D21FD0" w:rsidRPr="00F742BC">
        <w:rPr>
          <w:rFonts w:ascii="Calibri" w:hAnsi="Calibri" w:cs="Calibri"/>
        </w:rPr>
        <w:t xml:space="preserve"> </w:t>
      </w:r>
      <w:r w:rsidRPr="00F742BC">
        <w:rPr>
          <w:rFonts w:ascii="Calibri" w:hAnsi="Calibri" w:cs="Calibri"/>
        </w:rPr>
        <w:t>the work to achieve</w:t>
      </w:r>
      <w:r w:rsidR="00D21FD0" w:rsidRPr="00F742BC">
        <w:rPr>
          <w:rFonts w:ascii="Calibri" w:hAnsi="Calibri" w:cs="Calibri"/>
        </w:rPr>
        <w:t xml:space="preserve"> </w:t>
      </w:r>
      <w:r w:rsidRPr="00F742BC">
        <w:rPr>
          <w:rFonts w:ascii="Calibri" w:hAnsi="Calibri" w:cs="Calibri"/>
        </w:rPr>
        <w:t xml:space="preserve">regulatory </w:t>
      </w:r>
      <w:r w:rsidR="00D21FD0" w:rsidRPr="00F742BC">
        <w:rPr>
          <w:rFonts w:ascii="Calibri" w:hAnsi="Calibri" w:cs="Calibri"/>
        </w:rPr>
        <w:t xml:space="preserve">consistency </w:t>
      </w:r>
      <w:r w:rsidRPr="00F742BC">
        <w:rPr>
          <w:rFonts w:ascii="Calibri" w:hAnsi="Calibri" w:cs="Calibri"/>
        </w:rPr>
        <w:t>across all States that have signed up to</w:t>
      </w:r>
      <w:r w:rsidR="00D21FD0" w:rsidRPr="00F742BC">
        <w:rPr>
          <w:rFonts w:ascii="Calibri" w:hAnsi="Calibri" w:cs="Calibri"/>
        </w:rPr>
        <w:t xml:space="preserve"> the N</w:t>
      </w:r>
      <w:r w:rsidRPr="00F742BC">
        <w:rPr>
          <w:rFonts w:ascii="Calibri" w:hAnsi="Calibri" w:cs="Calibri"/>
        </w:rPr>
        <w:t xml:space="preserve">ational </w:t>
      </w:r>
      <w:r w:rsidR="00D21FD0" w:rsidRPr="00F742BC">
        <w:rPr>
          <w:rFonts w:ascii="Calibri" w:hAnsi="Calibri" w:cs="Calibri"/>
        </w:rPr>
        <w:t>H</w:t>
      </w:r>
      <w:r w:rsidRPr="00F742BC">
        <w:rPr>
          <w:rFonts w:ascii="Calibri" w:hAnsi="Calibri" w:cs="Calibri"/>
        </w:rPr>
        <w:t xml:space="preserve">eavy </w:t>
      </w:r>
      <w:r w:rsidR="00D21FD0" w:rsidRPr="00F742BC">
        <w:rPr>
          <w:rFonts w:ascii="Calibri" w:hAnsi="Calibri" w:cs="Calibri"/>
        </w:rPr>
        <w:t>V</w:t>
      </w:r>
      <w:r w:rsidRPr="00F742BC">
        <w:rPr>
          <w:rFonts w:ascii="Calibri" w:hAnsi="Calibri" w:cs="Calibri"/>
        </w:rPr>
        <w:t>ehicle</w:t>
      </w:r>
      <w:r w:rsidR="00D21FD0" w:rsidRPr="00F742BC">
        <w:rPr>
          <w:rFonts w:ascii="Calibri" w:hAnsi="Calibri" w:cs="Calibri"/>
        </w:rPr>
        <w:t xml:space="preserve"> system</w:t>
      </w:r>
      <w:r w:rsidRPr="00F742BC">
        <w:rPr>
          <w:rFonts w:ascii="Calibri" w:hAnsi="Calibri" w:cs="Calibri"/>
        </w:rPr>
        <w:t>,</w:t>
      </w:r>
      <w:r w:rsidR="00D21FD0" w:rsidRPr="00F742BC">
        <w:rPr>
          <w:rFonts w:ascii="Calibri" w:hAnsi="Calibri" w:cs="Calibri"/>
        </w:rPr>
        <w:t xml:space="preserve"> where it does not disadvantage growers who currently have access to </w:t>
      </w:r>
      <w:r w:rsidRPr="00F742BC">
        <w:rPr>
          <w:rFonts w:ascii="Calibri" w:hAnsi="Calibri" w:cs="Calibri"/>
        </w:rPr>
        <w:t xml:space="preserve">and the benefit of </w:t>
      </w:r>
      <w:r w:rsidR="00D21FD0" w:rsidRPr="00F742BC">
        <w:rPr>
          <w:rFonts w:ascii="Calibri" w:hAnsi="Calibri" w:cs="Calibri"/>
        </w:rPr>
        <w:t>exemptions that provide greater benefit than the proposals under the NHVR.</w:t>
      </w:r>
    </w:p>
    <w:p w14:paraId="16A42C09" w14:textId="54FA7C4E" w:rsidR="000C071B" w:rsidRPr="00F742BC" w:rsidRDefault="000C071B" w:rsidP="00465A4E">
      <w:pPr>
        <w:spacing w:after="120"/>
        <w:rPr>
          <w:rFonts w:ascii="Calibri" w:hAnsi="Calibri" w:cs="Calibri"/>
          <w:b/>
          <w:bCs/>
        </w:rPr>
      </w:pPr>
      <w:r w:rsidRPr="00F742BC">
        <w:rPr>
          <w:rFonts w:ascii="Calibri" w:hAnsi="Calibri" w:cs="Calibri"/>
          <w:b/>
          <w:bCs/>
        </w:rPr>
        <w:t>Flexibility and risk based regulation</w:t>
      </w:r>
    </w:p>
    <w:p w14:paraId="08983E48" w14:textId="47F098F3" w:rsidR="00D21FD0" w:rsidRPr="00F742BC" w:rsidRDefault="00D21FD0" w:rsidP="00465A4E">
      <w:pPr>
        <w:spacing w:after="120"/>
        <w:rPr>
          <w:rFonts w:ascii="Calibri" w:hAnsi="Calibri" w:cs="Calibri"/>
        </w:rPr>
      </w:pPr>
      <w:r w:rsidRPr="00F742BC">
        <w:rPr>
          <w:rFonts w:ascii="Calibri" w:hAnsi="Calibri" w:cs="Calibri"/>
        </w:rPr>
        <w:t xml:space="preserve">GPA </w:t>
      </w:r>
      <w:r w:rsidR="00DF05AD" w:rsidRPr="00F742BC">
        <w:rPr>
          <w:rFonts w:ascii="Calibri" w:hAnsi="Calibri" w:cs="Calibri"/>
        </w:rPr>
        <w:t>supports</w:t>
      </w:r>
      <w:r w:rsidRPr="00F742BC">
        <w:rPr>
          <w:rFonts w:ascii="Calibri" w:hAnsi="Calibri" w:cs="Calibri"/>
        </w:rPr>
        <w:t xml:space="preserve"> the development of harvest mass management systems subject to the support and involvement of S</w:t>
      </w:r>
      <w:r w:rsidR="00DF05AD" w:rsidRPr="00F742BC">
        <w:rPr>
          <w:rFonts w:ascii="Calibri" w:hAnsi="Calibri" w:cs="Calibri"/>
        </w:rPr>
        <w:t xml:space="preserve">tate </w:t>
      </w:r>
      <w:r w:rsidRPr="00F742BC">
        <w:rPr>
          <w:rFonts w:ascii="Calibri" w:hAnsi="Calibri" w:cs="Calibri"/>
        </w:rPr>
        <w:t>F</w:t>
      </w:r>
      <w:r w:rsidR="00DF05AD" w:rsidRPr="00F742BC">
        <w:rPr>
          <w:rFonts w:ascii="Calibri" w:hAnsi="Calibri" w:cs="Calibri"/>
        </w:rPr>
        <w:t xml:space="preserve">arming </w:t>
      </w:r>
      <w:r w:rsidRPr="00F742BC">
        <w:rPr>
          <w:rFonts w:ascii="Calibri" w:hAnsi="Calibri" w:cs="Calibri"/>
        </w:rPr>
        <w:t>O</w:t>
      </w:r>
      <w:r w:rsidR="00DF05AD" w:rsidRPr="00F742BC">
        <w:rPr>
          <w:rFonts w:ascii="Calibri" w:hAnsi="Calibri" w:cs="Calibri"/>
        </w:rPr>
        <w:t>rganisation</w:t>
      </w:r>
      <w:r w:rsidRPr="00F742BC">
        <w:rPr>
          <w:rFonts w:ascii="Calibri" w:hAnsi="Calibri" w:cs="Calibri"/>
        </w:rPr>
        <w:t>s in each state.</w:t>
      </w:r>
    </w:p>
    <w:p w14:paraId="3118F97C" w14:textId="43E474AC" w:rsidR="000C071B" w:rsidRPr="00F742BC" w:rsidRDefault="000C071B" w:rsidP="00465A4E">
      <w:pPr>
        <w:spacing w:after="120"/>
        <w:rPr>
          <w:rFonts w:ascii="Calibri" w:hAnsi="Calibri" w:cs="Calibri"/>
          <w:b/>
          <w:bCs/>
        </w:rPr>
      </w:pPr>
      <w:r w:rsidRPr="00F742BC">
        <w:rPr>
          <w:rFonts w:ascii="Calibri" w:hAnsi="Calibri" w:cs="Calibri"/>
          <w:b/>
          <w:bCs/>
        </w:rPr>
        <w:t>Improving efficiency</w:t>
      </w:r>
    </w:p>
    <w:p w14:paraId="0DCF7476" w14:textId="3A61DF63" w:rsidR="00DF05AD" w:rsidRPr="00F742BC" w:rsidRDefault="00D21FD0" w:rsidP="00465A4E">
      <w:pPr>
        <w:spacing w:after="120"/>
        <w:rPr>
          <w:rFonts w:ascii="Calibri" w:hAnsi="Calibri" w:cs="Calibri"/>
        </w:rPr>
      </w:pPr>
      <w:r w:rsidRPr="00F742BC">
        <w:rPr>
          <w:rFonts w:ascii="Calibri" w:hAnsi="Calibri" w:cs="Calibri"/>
        </w:rPr>
        <w:t xml:space="preserve">The aim </w:t>
      </w:r>
      <w:r w:rsidR="00DF05AD" w:rsidRPr="00F742BC">
        <w:rPr>
          <w:rFonts w:ascii="Calibri" w:hAnsi="Calibri" w:cs="Calibri"/>
        </w:rPr>
        <w:t>of an infrastructure review should be</w:t>
      </w:r>
      <w:r w:rsidRPr="00F742BC">
        <w:rPr>
          <w:rFonts w:ascii="Calibri" w:hAnsi="Calibri" w:cs="Calibri"/>
        </w:rPr>
        <w:t xml:space="preserve"> to improve the efficiency of freight movement. </w:t>
      </w:r>
      <w:r w:rsidR="00DF05AD" w:rsidRPr="00F742BC">
        <w:rPr>
          <w:rFonts w:ascii="Calibri" w:hAnsi="Calibri" w:cs="Calibri"/>
        </w:rPr>
        <w:t xml:space="preserve">The ultimate goal must be </w:t>
      </w:r>
      <w:r w:rsidR="00A36661">
        <w:rPr>
          <w:rFonts w:ascii="Calibri" w:hAnsi="Calibri" w:cs="Calibri"/>
        </w:rPr>
        <w:t>to</w:t>
      </w:r>
      <w:r w:rsidR="00DF05AD" w:rsidRPr="00F742BC">
        <w:rPr>
          <w:rFonts w:ascii="Calibri" w:hAnsi="Calibri" w:cs="Calibri"/>
        </w:rPr>
        <w:t xml:space="preserve"> improve the competi</w:t>
      </w:r>
      <w:r w:rsidR="00A36661">
        <w:rPr>
          <w:rFonts w:ascii="Calibri" w:hAnsi="Calibri" w:cs="Calibri"/>
        </w:rPr>
        <w:t>ti</w:t>
      </w:r>
      <w:r w:rsidR="00DF05AD" w:rsidRPr="00F742BC">
        <w:rPr>
          <w:rFonts w:ascii="Calibri" w:hAnsi="Calibri" w:cs="Calibri"/>
        </w:rPr>
        <w:t>veness and profitability of the Australian grains industry within the global market.</w:t>
      </w:r>
    </w:p>
    <w:p w14:paraId="5CB15AA0" w14:textId="2E5CC1C7" w:rsidR="00DF05AD" w:rsidRPr="00F742BC" w:rsidRDefault="00DF05AD" w:rsidP="00465A4E">
      <w:pPr>
        <w:spacing w:after="120"/>
        <w:rPr>
          <w:rFonts w:ascii="Calibri" w:hAnsi="Calibri" w:cs="Calibri"/>
          <w:b/>
          <w:bCs/>
        </w:rPr>
      </w:pPr>
      <w:r w:rsidRPr="00F742BC">
        <w:rPr>
          <w:rFonts w:ascii="Calibri" w:hAnsi="Calibri" w:cs="Calibri"/>
          <w:b/>
          <w:bCs/>
        </w:rPr>
        <w:t xml:space="preserve">Road Funding </w:t>
      </w:r>
    </w:p>
    <w:p w14:paraId="43B0A259" w14:textId="6852B40B" w:rsidR="00EF3067" w:rsidRPr="00F742BC" w:rsidRDefault="00EF3067" w:rsidP="00465A4E">
      <w:pPr>
        <w:spacing w:after="120"/>
        <w:rPr>
          <w:rFonts w:ascii="Calibri" w:hAnsi="Calibri" w:cs="Calibri"/>
        </w:rPr>
      </w:pPr>
      <w:r w:rsidRPr="00F742BC">
        <w:rPr>
          <w:rFonts w:ascii="Calibri" w:eastAsiaTheme="minorHAnsi" w:hAnsi="Calibri" w:cs="Calibri"/>
          <w:bCs/>
        </w:rPr>
        <w:t>G</w:t>
      </w:r>
      <w:r w:rsidRPr="00F742BC">
        <w:rPr>
          <w:rFonts w:ascii="Calibri" w:eastAsiaTheme="minorHAnsi" w:hAnsi="Calibri" w:cs="Calibri"/>
        </w:rPr>
        <w:t>overnment have on a number of occasions expressed a view that the current process of raising road related funding through a crude fuel excise tax should be changed to a more measured and economically sustainable revenue raising process, such as a user-</w:t>
      </w:r>
      <w:r w:rsidRPr="00F742BC">
        <w:rPr>
          <w:rFonts w:ascii="Calibri" w:eastAsiaTheme="minorHAnsi" w:hAnsi="Calibri" w:cs="Calibri"/>
          <w:bCs/>
        </w:rPr>
        <w:t>pay system.</w:t>
      </w:r>
      <w:r w:rsidRPr="00F742BC">
        <w:rPr>
          <w:rFonts w:ascii="Calibri" w:hAnsi="Calibri" w:cs="Calibri"/>
        </w:rPr>
        <w:t xml:space="preserve"> This methodology has been under review and discussion for some time within government and industry bodies.</w:t>
      </w:r>
      <w:r w:rsidR="007479EA" w:rsidRPr="00F742BC">
        <w:rPr>
          <w:rFonts w:ascii="Calibri" w:hAnsi="Calibri" w:cs="Calibri"/>
        </w:rPr>
        <w:t xml:space="preserve"> </w:t>
      </w:r>
    </w:p>
    <w:p w14:paraId="47D1EB07" w14:textId="4545F23F" w:rsidR="007479EA" w:rsidRPr="00F742BC" w:rsidRDefault="007479EA" w:rsidP="00465A4E">
      <w:pPr>
        <w:spacing w:after="120"/>
        <w:rPr>
          <w:rFonts w:ascii="Calibri" w:hAnsi="Calibri" w:cs="Calibri"/>
        </w:rPr>
      </w:pPr>
      <w:r w:rsidRPr="00F742BC">
        <w:rPr>
          <w:rFonts w:ascii="Calibri" w:hAnsi="Calibri" w:cs="Calibri"/>
        </w:rPr>
        <w:t>No funding model will work unless the funds raised are hypothecated and reserved solely for investment in roads and improving related infrastructure.</w:t>
      </w:r>
    </w:p>
    <w:p w14:paraId="0A19B5BA" w14:textId="77777777" w:rsidR="00A36661" w:rsidRDefault="00D21FD0" w:rsidP="00465A4E">
      <w:pPr>
        <w:spacing w:after="120"/>
        <w:rPr>
          <w:rFonts w:ascii="Calibri" w:hAnsi="Calibri" w:cs="Calibri"/>
        </w:rPr>
      </w:pPr>
      <w:r w:rsidRPr="00F742BC">
        <w:rPr>
          <w:rFonts w:ascii="Calibri" w:hAnsi="Calibri" w:cs="Calibri"/>
        </w:rPr>
        <w:t xml:space="preserve">There is a need to </w:t>
      </w:r>
      <w:r w:rsidR="004F5863" w:rsidRPr="00F742BC">
        <w:rPr>
          <w:rFonts w:ascii="Calibri" w:hAnsi="Calibri" w:cs="Calibri"/>
        </w:rPr>
        <w:t xml:space="preserve">ensure </w:t>
      </w:r>
      <w:r w:rsidR="002C2B82" w:rsidRPr="00F742BC">
        <w:rPr>
          <w:rFonts w:ascii="Calibri" w:hAnsi="Calibri" w:cs="Calibri"/>
        </w:rPr>
        <w:t xml:space="preserve">the design of the funding model </w:t>
      </w:r>
      <w:r w:rsidRPr="00F742BC">
        <w:rPr>
          <w:rFonts w:ascii="Calibri" w:hAnsi="Calibri" w:cs="Calibri"/>
        </w:rPr>
        <w:t>provide</w:t>
      </w:r>
      <w:r w:rsidR="002C2B82" w:rsidRPr="00F742BC">
        <w:rPr>
          <w:rFonts w:ascii="Calibri" w:hAnsi="Calibri" w:cs="Calibri"/>
        </w:rPr>
        <w:t xml:space="preserve">s funds to </w:t>
      </w:r>
      <w:r w:rsidRPr="00F742BC">
        <w:rPr>
          <w:rFonts w:ascii="Calibri" w:hAnsi="Calibri" w:cs="Calibri"/>
        </w:rPr>
        <w:t xml:space="preserve">local government to undertake assessment and improvement of </w:t>
      </w:r>
      <w:r w:rsidR="002C2B82" w:rsidRPr="00F742BC">
        <w:rPr>
          <w:rFonts w:ascii="Calibri" w:hAnsi="Calibri" w:cs="Calibri"/>
        </w:rPr>
        <w:t xml:space="preserve">local roads, </w:t>
      </w:r>
      <w:r w:rsidRPr="00F742BC">
        <w:rPr>
          <w:rFonts w:ascii="Calibri" w:hAnsi="Calibri" w:cs="Calibri"/>
        </w:rPr>
        <w:t xml:space="preserve">bridges and other key infrastructure. </w:t>
      </w:r>
    </w:p>
    <w:p w14:paraId="1F34185C" w14:textId="4F2AECB2" w:rsidR="002C2B82" w:rsidRPr="00F742BC" w:rsidRDefault="00D21FD0" w:rsidP="00465A4E">
      <w:pPr>
        <w:spacing w:after="120"/>
        <w:rPr>
          <w:rFonts w:ascii="Calibri" w:hAnsi="Calibri" w:cs="Calibri"/>
        </w:rPr>
      </w:pPr>
      <w:r w:rsidRPr="00F742BC">
        <w:rPr>
          <w:rFonts w:ascii="Calibri" w:hAnsi="Calibri" w:cs="Calibri"/>
        </w:rPr>
        <w:t xml:space="preserve">There are </w:t>
      </w:r>
      <w:r w:rsidR="002C2B82" w:rsidRPr="00F742BC">
        <w:rPr>
          <w:rFonts w:ascii="Calibri" w:hAnsi="Calibri" w:cs="Calibri"/>
        </w:rPr>
        <w:t xml:space="preserve">currently </w:t>
      </w:r>
      <w:r w:rsidRPr="00F742BC">
        <w:rPr>
          <w:rFonts w:ascii="Calibri" w:hAnsi="Calibri" w:cs="Calibri"/>
        </w:rPr>
        <w:t xml:space="preserve">insufficient funds being made available to local government to </w:t>
      </w:r>
      <w:r w:rsidR="002C2B82" w:rsidRPr="00F742BC">
        <w:rPr>
          <w:rFonts w:ascii="Calibri" w:hAnsi="Calibri" w:cs="Calibri"/>
        </w:rPr>
        <w:t xml:space="preserve">allow them to </w:t>
      </w:r>
      <w:r w:rsidRPr="00F742BC">
        <w:rPr>
          <w:rFonts w:ascii="Calibri" w:hAnsi="Calibri" w:cs="Calibri"/>
        </w:rPr>
        <w:t>make long-term investment in key infrastructure.</w:t>
      </w:r>
      <w:r w:rsidR="002C2B82" w:rsidRPr="00F742BC">
        <w:rPr>
          <w:rFonts w:ascii="Calibri" w:hAnsi="Calibri" w:cs="Calibri"/>
        </w:rPr>
        <w:t xml:space="preserve"> A </w:t>
      </w:r>
      <w:r w:rsidR="00A36661">
        <w:rPr>
          <w:rFonts w:ascii="Calibri" w:hAnsi="Calibri" w:cs="Calibri"/>
        </w:rPr>
        <w:t>“</w:t>
      </w:r>
      <w:r w:rsidR="002C2B82" w:rsidRPr="00F742BC">
        <w:rPr>
          <w:rFonts w:ascii="Calibri" w:hAnsi="Calibri" w:cs="Calibri"/>
        </w:rPr>
        <w:t>patch it and keep your fingers crossed</w:t>
      </w:r>
      <w:r w:rsidR="00A36661">
        <w:rPr>
          <w:rFonts w:ascii="Calibri" w:hAnsi="Calibri" w:cs="Calibri"/>
        </w:rPr>
        <w:t>”</w:t>
      </w:r>
      <w:r w:rsidR="002C2B82" w:rsidRPr="00F742BC">
        <w:rPr>
          <w:rFonts w:ascii="Calibri" w:hAnsi="Calibri" w:cs="Calibri"/>
        </w:rPr>
        <w:t xml:space="preserve"> culture has developed which is leading to serious deterioration of Australia’s </w:t>
      </w:r>
      <w:r w:rsidR="00555EA9">
        <w:rPr>
          <w:rFonts w:ascii="Calibri" w:hAnsi="Calibri" w:cs="Calibri"/>
        </w:rPr>
        <w:t>rural road network</w:t>
      </w:r>
      <w:r w:rsidR="002C2B82" w:rsidRPr="00F742BC">
        <w:rPr>
          <w:rFonts w:ascii="Calibri" w:hAnsi="Calibri" w:cs="Calibri"/>
        </w:rPr>
        <w:t xml:space="preserve"> to the detriment of freight movements and general safety of road users.</w:t>
      </w:r>
    </w:p>
    <w:p w14:paraId="5F9E642C" w14:textId="1C6AA84D" w:rsidR="00971E02" w:rsidRPr="00F742BC" w:rsidRDefault="00357560" w:rsidP="00465A4E">
      <w:pPr>
        <w:spacing w:after="120"/>
        <w:rPr>
          <w:rFonts w:ascii="Calibri" w:hAnsi="Calibri" w:cs="Calibri"/>
        </w:rPr>
      </w:pPr>
      <w:r w:rsidRPr="00F742BC">
        <w:rPr>
          <w:rFonts w:ascii="Calibri" w:hAnsi="Calibri" w:cs="Calibri"/>
        </w:rPr>
        <w:t xml:space="preserve">The </w:t>
      </w:r>
      <w:r w:rsidR="00A36661">
        <w:rPr>
          <w:rFonts w:ascii="Calibri" w:hAnsi="Calibri" w:cs="Calibri"/>
        </w:rPr>
        <w:t>distribution of capital for</w:t>
      </w:r>
      <w:r w:rsidRPr="00F742BC">
        <w:rPr>
          <w:rFonts w:ascii="Calibri" w:hAnsi="Calibri" w:cs="Calibri"/>
        </w:rPr>
        <w:t xml:space="preserve"> road investments should be assessed </w:t>
      </w:r>
      <w:r w:rsidR="00A36661">
        <w:rPr>
          <w:rFonts w:ascii="Calibri" w:hAnsi="Calibri" w:cs="Calibri"/>
        </w:rPr>
        <w:t>and prioritised based on the comparative economic value of the infrastructure</w:t>
      </w:r>
      <w:r w:rsidRPr="00F742BC">
        <w:rPr>
          <w:rFonts w:ascii="Calibri" w:hAnsi="Calibri" w:cs="Calibri"/>
        </w:rPr>
        <w:t xml:space="preserve"> </w:t>
      </w:r>
      <w:r w:rsidR="00A36661">
        <w:rPr>
          <w:rFonts w:ascii="Calibri" w:hAnsi="Calibri" w:cs="Calibri"/>
        </w:rPr>
        <w:t>rather than a simplistic measure of</w:t>
      </w:r>
      <w:r w:rsidRPr="00F742BC">
        <w:rPr>
          <w:rFonts w:ascii="Calibri" w:hAnsi="Calibri" w:cs="Calibri"/>
        </w:rPr>
        <w:t xml:space="preserve"> population.</w:t>
      </w:r>
    </w:p>
    <w:p w14:paraId="0BB01AD7" w14:textId="796CB8A8" w:rsidR="00357560" w:rsidRPr="00F742BC" w:rsidRDefault="00357560" w:rsidP="00465A4E">
      <w:pPr>
        <w:spacing w:after="120"/>
        <w:rPr>
          <w:rFonts w:ascii="Calibri" w:hAnsi="Calibri" w:cs="Calibri"/>
        </w:rPr>
      </w:pPr>
      <w:r w:rsidRPr="00F742BC">
        <w:rPr>
          <w:rFonts w:ascii="Calibri" w:hAnsi="Calibri" w:cs="Calibri"/>
        </w:rPr>
        <w:t>GPA has considerable concerns regarding the increasing cost of registr</w:t>
      </w:r>
      <w:r w:rsidR="00A36661">
        <w:rPr>
          <w:rFonts w:ascii="Calibri" w:hAnsi="Calibri" w:cs="Calibri"/>
        </w:rPr>
        <w:t>ation and associated road costs.  It is of particular concern that monies</w:t>
      </w:r>
      <w:r w:rsidR="00E106F9" w:rsidRPr="00F742BC">
        <w:rPr>
          <w:rFonts w:ascii="Calibri" w:hAnsi="Calibri" w:cs="Calibri"/>
        </w:rPr>
        <w:t xml:space="preserve"> raised</w:t>
      </w:r>
      <w:r w:rsidR="00A36661">
        <w:rPr>
          <w:rFonts w:ascii="Calibri" w:hAnsi="Calibri" w:cs="Calibri"/>
        </w:rPr>
        <w:t xml:space="preserve"> do</w:t>
      </w:r>
      <w:r w:rsidRPr="00F742BC">
        <w:rPr>
          <w:rFonts w:ascii="Calibri" w:hAnsi="Calibri" w:cs="Calibri"/>
        </w:rPr>
        <w:t xml:space="preserve"> not go </w:t>
      </w:r>
      <w:r w:rsidR="00E106F9" w:rsidRPr="00F742BC">
        <w:rPr>
          <w:rFonts w:ascii="Calibri" w:hAnsi="Calibri" w:cs="Calibri"/>
        </w:rPr>
        <w:t xml:space="preserve">solely </w:t>
      </w:r>
      <w:r w:rsidRPr="00F742BC">
        <w:rPr>
          <w:rFonts w:ascii="Calibri" w:hAnsi="Calibri" w:cs="Calibri"/>
        </w:rPr>
        <w:t>back into road</w:t>
      </w:r>
      <w:r w:rsidR="00A36661">
        <w:rPr>
          <w:rFonts w:ascii="Calibri" w:hAnsi="Calibri" w:cs="Calibri"/>
        </w:rPr>
        <w:t>s</w:t>
      </w:r>
      <w:r w:rsidRPr="00F742BC">
        <w:rPr>
          <w:rFonts w:ascii="Calibri" w:hAnsi="Calibri" w:cs="Calibri"/>
        </w:rPr>
        <w:t xml:space="preserve"> and associated infrastructure.</w:t>
      </w:r>
    </w:p>
    <w:p w14:paraId="31D1BDAE" w14:textId="3782BA39" w:rsidR="00971E02" w:rsidRPr="00F742BC" w:rsidRDefault="00971E02" w:rsidP="00465A4E">
      <w:pPr>
        <w:spacing w:after="120"/>
        <w:rPr>
          <w:rFonts w:ascii="Calibri" w:hAnsi="Calibri" w:cs="Calibri"/>
          <w:b/>
          <w:bCs/>
        </w:rPr>
      </w:pPr>
      <w:r w:rsidRPr="00F742BC">
        <w:rPr>
          <w:rFonts w:ascii="Calibri" w:hAnsi="Calibri" w:cs="Calibri"/>
          <w:b/>
          <w:bCs/>
        </w:rPr>
        <w:t xml:space="preserve">Coordination of Road and Rail </w:t>
      </w:r>
    </w:p>
    <w:p w14:paraId="2658E716" w14:textId="0F62BE09" w:rsidR="00D21FD0" w:rsidRDefault="00027902" w:rsidP="00465A4E">
      <w:pPr>
        <w:spacing w:after="120"/>
        <w:rPr>
          <w:rFonts w:ascii="Calibri" w:hAnsi="Calibri" w:cs="Calibri"/>
        </w:rPr>
      </w:pPr>
      <w:r w:rsidRPr="00F742BC">
        <w:rPr>
          <w:rFonts w:ascii="Calibri" w:hAnsi="Calibri" w:cs="Calibri"/>
        </w:rPr>
        <w:t xml:space="preserve">Cost benefit assessment </w:t>
      </w:r>
      <w:r w:rsidR="00A36661">
        <w:rPr>
          <w:rFonts w:ascii="Calibri" w:hAnsi="Calibri" w:cs="Calibri"/>
        </w:rPr>
        <w:t xml:space="preserve">to determine </w:t>
      </w:r>
      <w:r w:rsidR="009B1C73">
        <w:rPr>
          <w:rFonts w:ascii="Calibri" w:hAnsi="Calibri" w:cs="Calibri"/>
        </w:rPr>
        <w:t xml:space="preserve">retention or cessation of </w:t>
      </w:r>
      <w:r w:rsidR="00A36661">
        <w:rPr>
          <w:rFonts w:ascii="Calibri" w:hAnsi="Calibri" w:cs="Calibri"/>
        </w:rPr>
        <w:t xml:space="preserve">rail service and infrastructure must genuinely reflect the </w:t>
      </w:r>
      <w:r w:rsidR="00357560" w:rsidRPr="00F742BC">
        <w:rPr>
          <w:rFonts w:ascii="Calibri" w:hAnsi="Calibri" w:cs="Calibri"/>
        </w:rPr>
        <w:t xml:space="preserve">associated </w:t>
      </w:r>
      <w:r w:rsidR="00A36661">
        <w:rPr>
          <w:rFonts w:ascii="Calibri" w:hAnsi="Calibri" w:cs="Calibri"/>
        </w:rPr>
        <w:t xml:space="preserve">road </w:t>
      </w:r>
      <w:r w:rsidR="00D21FD0" w:rsidRPr="00F742BC">
        <w:rPr>
          <w:rFonts w:ascii="Calibri" w:hAnsi="Calibri" w:cs="Calibri"/>
        </w:rPr>
        <w:t>infrastructure upgrades</w:t>
      </w:r>
      <w:r w:rsidR="00A36661">
        <w:rPr>
          <w:rFonts w:ascii="Calibri" w:hAnsi="Calibri" w:cs="Calibri"/>
        </w:rPr>
        <w:t xml:space="preserve"> borne by all levels of government, particularly local government</w:t>
      </w:r>
      <w:r w:rsidR="00D21FD0" w:rsidRPr="00F742BC">
        <w:rPr>
          <w:rFonts w:ascii="Calibri" w:hAnsi="Calibri" w:cs="Calibri"/>
        </w:rPr>
        <w:t>.</w:t>
      </w:r>
    </w:p>
    <w:p w14:paraId="5A212613" w14:textId="356D1B8D" w:rsidR="009B1C73" w:rsidRPr="00F742BC" w:rsidRDefault="009B1C73" w:rsidP="00465A4E">
      <w:pPr>
        <w:spacing w:after="120"/>
        <w:rPr>
          <w:rFonts w:ascii="Calibri" w:hAnsi="Calibri" w:cs="Calibri"/>
        </w:rPr>
      </w:pPr>
      <w:r>
        <w:rPr>
          <w:rFonts w:ascii="Calibri" w:hAnsi="Calibri" w:cs="Calibri"/>
        </w:rPr>
        <w:t>Anecdotal evidence and local experience suggest that reducing rail freight options often result in disproportionate increases in road maintenance costs or significant unmitigated road damage.</w:t>
      </w:r>
    </w:p>
    <w:p w14:paraId="1B4C9023" w14:textId="2D2EE8C3" w:rsidR="00357560" w:rsidRPr="00F742BC" w:rsidRDefault="00357560" w:rsidP="00465A4E">
      <w:pPr>
        <w:spacing w:after="120"/>
        <w:rPr>
          <w:rFonts w:ascii="Calibri" w:hAnsi="Calibri" w:cs="Calibri"/>
        </w:rPr>
      </w:pPr>
      <w:r w:rsidRPr="00F742BC">
        <w:rPr>
          <w:rFonts w:ascii="Calibri" w:hAnsi="Calibri" w:cs="Calibri"/>
          <w:b/>
          <w:bCs/>
        </w:rPr>
        <w:t>Freight Flow</w:t>
      </w:r>
    </w:p>
    <w:p w14:paraId="68432234" w14:textId="20632025" w:rsidR="00D21FD0" w:rsidRPr="00F742BC" w:rsidRDefault="009B1C73" w:rsidP="00465A4E">
      <w:pPr>
        <w:spacing w:after="120"/>
        <w:rPr>
          <w:rFonts w:ascii="Calibri" w:hAnsi="Calibri" w:cs="Calibri"/>
        </w:rPr>
      </w:pPr>
      <w:r>
        <w:rPr>
          <w:rFonts w:ascii="Calibri" w:hAnsi="Calibri" w:cs="Calibri"/>
        </w:rPr>
        <w:t>Investment needs</w:t>
      </w:r>
      <w:r w:rsidR="00D21FD0" w:rsidRPr="00F742BC">
        <w:rPr>
          <w:rFonts w:ascii="Calibri" w:hAnsi="Calibri" w:cs="Calibri"/>
        </w:rPr>
        <w:t xml:space="preserve"> to ensure successful flow of container freight through urban areas and out through the port. This improves markets access and reduces costs to the growers and the industry. Innovation cannot be achieved without complimentary infrastructure planning and investment.</w:t>
      </w:r>
    </w:p>
    <w:p w14:paraId="54116B85" w14:textId="385C2A4C" w:rsidR="00D21FD0" w:rsidRPr="00F742BC" w:rsidRDefault="00D21FD0" w:rsidP="00465A4E">
      <w:pPr>
        <w:spacing w:after="120"/>
        <w:rPr>
          <w:rFonts w:ascii="Calibri" w:hAnsi="Calibri" w:cs="Calibri"/>
        </w:rPr>
      </w:pPr>
      <w:r w:rsidRPr="00F742BC">
        <w:rPr>
          <w:rFonts w:ascii="Calibri" w:hAnsi="Calibri" w:cs="Calibri"/>
        </w:rPr>
        <w:t>Rail connectivity, standardisation supports and enables competition between ports. Better coordination of investment in rail hubs</w:t>
      </w:r>
      <w:r w:rsidR="00E106F9" w:rsidRPr="00F742BC">
        <w:rPr>
          <w:rFonts w:ascii="Calibri" w:hAnsi="Calibri" w:cs="Calibri"/>
        </w:rPr>
        <w:t xml:space="preserve"> between state and federal governments can help achieve real time efficiency</w:t>
      </w:r>
      <w:r w:rsidRPr="00F742BC">
        <w:rPr>
          <w:rFonts w:ascii="Calibri" w:hAnsi="Calibri" w:cs="Calibri"/>
        </w:rPr>
        <w:t>.</w:t>
      </w:r>
    </w:p>
    <w:p w14:paraId="4DF9C76A" w14:textId="77777777" w:rsidR="009B1C73" w:rsidRDefault="00D21FD0" w:rsidP="00465A4E">
      <w:pPr>
        <w:spacing w:after="120"/>
        <w:rPr>
          <w:rFonts w:ascii="Calibri" w:hAnsi="Calibri" w:cs="Calibri"/>
        </w:rPr>
      </w:pPr>
      <w:r w:rsidRPr="00F742BC">
        <w:rPr>
          <w:rFonts w:ascii="Calibri" w:hAnsi="Calibri" w:cs="Calibri"/>
        </w:rPr>
        <w:t xml:space="preserve">The costs and </w:t>
      </w:r>
      <w:r w:rsidR="008C79E3" w:rsidRPr="00F742BC">
        <w:rPr>
          <w:rFonts w:ascii="Calibri" w:hAnsi="Calibri" w:cs="Calibri"/>
        </w:rPr>
        <w:t>difficulty of grain movement</w:t>
      </w:r>
      <w:r w:rsidRPr="00F742BC">
        <w:rPr>
          <w:rFonts w:ascii="Calibri" w:hAnsi="Calibri" w:cs="Calibri"/>
        </w:rPr>
        <w:t xml:space="preserve"> to port is </w:t>
      </w:r>
      <w:r w:rsidR="009B1C73">
        <w:rPr>
          <w:rFonts w:ascii="Calibri" w:hAnsi="Calibri" w:cs="Calibri"/>
        </w:rPr>
        <w:t xml:space="preserve">impacting Australia </w:t>
      </w:r>
      <w:r w:rsidRPr="00F742BC">
        <w:rPr>
          <w:rFonts w:ascii="Calibri" w:hAnsi="Calibri" w:cs="Calibri"/>
        </w:rPr>
        <w:t>competitive</w:t>
      </w:r>
      <w:r w:rsidR="009B1C73">
        <w:rPr>
          <w:rFonts w:ascii="Calibri" w:hAnsi="Calibri" w:cs="Calibri"/>
        </w:rPr>
        <w:t>ness i</w:t>
      </w:r>
      <w:r w:rsidRPr="00F742BC">
        <w:rPr>
          <w:rFonts w:ascii="Calibri" w:hAnsi="Calibri" w:cs="Calibri"/>
        </w:rPr>
        <w:t xml:space="preserve">n the global market. </w:t>
      </w:r>
    </w:p>
    <w:p w14:paraId="0662FAB1" w14:textId="1829C72D" w:rsidR="00D21FD0" w:rsidRDefault="004D0FFE" w:rsidP="00465A4E">
      <w:pPr>
        <w:spacing w:after="120"/>
        <w:rPr>
          <w:rFonts w:ascii="Calibri" w:hAnsi="Calibri" w:cs="Calibri"/>
        </w:rPr>
      </w:pPr>
      <w:r w:rsidRPr="00F742BC">
        <w:rPr>
          <w:rFonts w:ascii="Calibri" w:hAnsi="Calibri" w:cs="Calibri"/>
        </w:rPr>
        <w:t xml:space="preserve">Government </w:t>
      </w:r>
      <w:r w:rsidR="009B1C73">
        <w:rPr>
          <w:rFonts w:ascii="Calibri" w:hAnsi="Calibri" w:cs="Calibri"/>
        </w:rPr>
        <w:t>must</w:t>
      </w:r>
      <w:r w:rsidR="00D21FD0" w:rsidRPr="00F742BC">
        <w:rPr>
          <w:rFonts w:ascii="Calibri" w:hAnsi="Calibri" w:cs="Calibri"/>
        </w:rPr>
        <w:t xml:space="preserve"> </w:t>
      </w:r>
      <w:r w:rsidRPr="00F742BC">
        <w:rPr>
          <w:rFonts w:ascii="Calibri" w:hAnsi="Calibri" w:cs="Calibri"/>
        </w:rPr>
        <w:t>provide early</w:t>
      </w:r>
      <w:r w:rsidR="009B1C73">
        <w:rPr>
          <w:rFonts w:ascii="Calibri" w:hAnsi="Calibri" w:cs="Calibri"/>
        </w:rPr>
        <w:t xml:space="preserve"> access to technology, including a</w:t>
      </w:r>
      <w:r w:rsidR="00D21FD0" w:rsidRPr="00F742BC">
        <w:rPr>
          <w:rFonts w:ascii="Calibri" w:hAnsi="Calibri" w:cs="Calibri"/>
        </w:rPr>
        <w:t>utomated facilities and transpor</w:t>
      </w:r>
      <w:r w:rsidR="008C79E3" w:rsidRPr="00F742BC">
        <w:rPr>
          <w:rFonts w:ascii="Calibri" w:hAnsi="Calibri" w:cs="Calibri"/>
        </w:rPr>
        <w:t xml:space="preserve">t options which include larger configurations and higher total mass limits. Higher configuration mass units will </w:t>
      </w:r>
      <w:r w:rsidR="009C1F98">
        <w:rPr>
          <w:rFonts w:ascii="Calibri" w:hAnsi="Calibri" w:cs="Calibri"/>
        </w:rPr>
        <w:t xml:space="preserve">reduce </w:t>
      </w:r>
      <w:r w:rsidR="008C79E3" w:rsidRPr="00F742BC">
        <w:rPr>
          <w:rFonts w:ascii="Calibri" w:hAnsi="Calibri" w:cs="Calibri"/>
        </w:rPr>
        <w:t>overall truck movements</w:t>
      </w:r>
      <w:r w:rsidR="009C1F98">
        <w:rPr>
          <w:rFonts w:ascii="Calibri" w:hAnsi="Calibri" w:cs="Calibri"/>
        </w:rPr>
        <w:t>, improving safety</w:t>
      </w:r>
      <w:r w:rsidR="00555EA9">
        <w:rPr>
          <w:rFonts w:ascii="Calibri" w:hAnsi="Calibri" w:cs="Calibri"/>
        </w:rPr>
        <w:t xml:space="preserve"> and congestion outcomes while improving efficiency</w:t>
      </w:r>
      <w:r w:rsidR="008C79E3" w:rsidRPr="00F742BC">
        <w:rPr>
          <w:rFonts w:ascii="Calibri" w:hAnsi="Calibri" w:cs="Calibri"/>
        </w:rPr>
        <w:t>.</w:t>
      </w:r>
      <w:r w:rsidR="00555EA9" w:rsidRPr="00555EA9">
        <w:rPr>
          <w:rFonts w:ascii="Calibri" w:hAnsi="Calibri" w:cs="Calibri"/>
        </w:rPr>
        <w:t xml:space="preserve"> </w:t>
      </w:r>
    </w:p>
    <w:p w14:paraId="15CAD9E6" w14:textId="7E34C404" w:rsidR="00465A4E" w:rsidRPr="00465A4E" w:rsidRDefault="00465A4E" w:rsidP="00465A4E">
      <w:pPr>
        <w:spacing w:after="120"/>
        <w:rPr>
          <w:rFonts w:ascii="Calibri" w:hAnsi="Calibri" w:cs="Calibri"/>
          <w:b/>
        </w:rPr>
      </w:pPr>
      <w:r w:rsidRPr="00465A4E">
        <w:rPr>
          <w:rFonts w:ascii="Calibri" w:hAnsi="Calibri" w:cs="Calibri"/>
          <w:b/>
        </w:rPr>
        <w:t>Closing Comments</w:t>
      </w:r>
    </w:p>
    <w:p w14:paraId="4E37E458" w14:textId="02F864AF" w:rsidR="004D0FFE" w:rsidRPr="00F742BC" w:rsidRDefault="004D0FFE" w:rsidP="00465A4E">
      <w:pPr>
        <w:spacing w:after="120"/>
        <w:rPr>
          <w:rFonts w:ascii="Calibri" w:hAnsi="Calibri" w:cs="Calibri"/>
        </w:rPr>
      </w:pPr>
      <w:r w:rsidRPr="00F742BC">
        <w:rPr>
          <w:rFonts w:ascii="Calibri" w:hAnsi="Calibri" w:cs="Calibri"/>
        </w:rPr>
        <w:t>Flexibility is key to an efficient grain supply chain.</w:t>
      </w:r>
      <w:r w:rsidR="00D21FD0" w:rsidRPr="00F742BC">
        <w:rPr>
          <w:rFonts w:ascii="Calibri" w:hAnsi="Calibri" w:cs="Calibri"/>
        </w:rPr>
        <w:t xml:space="preserve"> </w:t>
      </w:r>
      <w:r w:rsidR="008C79E3" w:rsidRPr="00F742BC">
        <w:rPr>
          <w:rFonts w:ascii="Calibri" w:hAnsi="Calibri" w:cs="Calibri"/>
        </w:rPr>
        <w:t>Unfortunately,</w:t>
      </w:r>
      <w:r w:rsidRPr="00F742BC">
        <w:rPr>
          <w:rFonts w:ascii="Calibri" w:hAnsi="Calibri" w:cs="Calibri"/>
        </w:rPr>
        <w:t xml:space="preserve"> there are many examples of significant costs imposed on the industry, particularly demurrage, through delays imposed purely as an exercise in </w:t>
      </w:r>
      <w:r w:rsidR="00D21FD0" w:rsidRPr="00F742BC">
        <w:rPr>
          <w:rFonts w:ascii="Calibri" w:hAnsi="Calibri" w:cs="Calibri"/>
        </w:rPr>
        <w:t xml:space="preserve">union power </w:t>
      </w:r>
      <w:r w:rsidRPr="00F742BC">
        <w:rPr>
          <w:rFonts w:ascii="Calibri" w:hAnsi="Calibri" w:cs="Calibri"/>
        </w:rPr>
        <w:t>with no ability for the industry to enforce</w:t>
      </w:r>
      <w:r w:rsidR="00D21FD0" w:rsidRPr="00F742BC">
        <w:rPr>
          <w:rFonts w:ascii="Calibri" w:hAnsi="Calibri" w:cs="Calibri"/>
        </w:rPr>
        <w:t xml:space="preserve"> accountability </w:t>
      </w:r>
      <w:r w:rsidRPr="00F742BC">
        <w:rPr>
          <w:rFonts w:ascii="Calibri" w:hAnsi="Calibri" w:cs="Calibri"/>
        </w:rPr>
        <w:t>back onto the unions for costs they incur.</w:t>
      </w:r>
    </w:p>
    <w:p w14:paraId="649F0031" w14:textId="1346D90B" w:rsidR="00D21FD0" w:rsidRPr="00F742BC" w:rsidRDefault="004D0FFE" w:rsidP="00465A4E">
      <w:pPr>
        <w:spacing w:after="120"/>
        <w:rPr>
          <w:rFonts w:ascii="Calibri" w:hAnsi="Calibri" w:cs="Calibri"/>
        </w:rPr>
      </w:pPr>
      <w:r w:rsidRPr="00F742BC">
        <w:rPr>
          <w:rFonts w:ascii="Calibri" w:hAnsi="Calibri" w:cs="Calibri"/>
        </w:rPr>
        <w:t>Burdensome, non-risk based, and impractical regulatory</w:t>
      </w:r>
      <w:r w:rsidR="00D21FD0" w:rsidRPr="00F742BC">
        <w:rPr>
          <w:rFonts w:ascii="Calibri" w:hAnsi="Calibri" w:cs="Calibri"/>
        </w:rPr>
        <w:t xml:space="preserve"> </w:t>
      </w:r>
      <w:r w:rsidRPr="00F742BC">
        <w:rPr>
          <w:rFonts w:ascii="Calibri" w:hAnsi="Calibri" w:cs="Calibri"/>
        </w:rPr>
        <w:t xml:space="preserve">impositions such as </w:t>
      </w:r>
      <w:r w:rsidR="00D21FD0" w:rsidRPr="00F742BC">
        <w:rPr>
          <w:rFonts w:ascii="Calibri" w:hAnsi="Calibri" w:cs="Calibri"/>
        </w:rPr>
        <w:t xml:space="preserve">chain of responsibility requirements and </w:t>
      </w:r>
      <w:r w:rsidRPr="00F742BC">
        <w:rPr>
          <w:rFonts w:ascii="Calibri" w:hAnsi="Calibri" w:cs="Calibri"/>
        </w:rPr>
        <w:t xml:space="preserve">other easy target </w:t>
      </w:r>
      <w:r w:rsidR="00D21FD0" w:rsidRPr="00F742BC">
        <w:rPr>
          <w:rFonts w:ascii="Calibri" w:hAnsi="Calibri" w:cs="Calibri"/>
        </w:rPr>
        <w:t xml:space="preserve">regulatory imposts are </w:t>
      </w:r>
      <w:r w:rsidR="009C1F98">
        <w:rPr>
          <w:rFonts w:ascii="Calibri" w:hAnsi="Calibri" w:cs="Calibri"/>
        </w:rPr>
        <w:t>adversely</w:t>
      </w:r>
      <w:r w:rsidR="00D21FD0" w:rsidRPr="00F742BC">
        <w:rPr>
          <w:rFonts w:ascii="Calibri" w:hAnsi="Calibri" w:cs="Calibri"/>
        </w:rPr>
        <w:t xml:space="preserve"> impacting profitability and productivity. </w:t>
      </w:r>
    </w:p>
    <w:p w14:paraId="4CC80D40" w14:textId="21F9B021" w:rsidR="002931ED" w:rsidRPr="00F742BC" w:rsidRDefault="00465A4E" w:rsidP="00465A4E">
      <w:pPr>
        <w:spacing w:after="120"/>
        <w:rPr>
          <w:rFonts w:ascii="Calibri" w:hAnsi="Calibri" w:cs="Calibri"/>
        </w:rPr>
      </w:pPr>
      <w:r w:rsidRPr="00F742BC">
        <w:rPr>
          <w:rFonts w:ascii="Calibri" w:hAnsi="Calibri" w:cs="Calibri"/>
          <w:bCs/>
          <w:noProof/>
          <w:lang w:eastAsia="en-AU"/>
        </w:rPr>
        <w:drawing>
          <wp:anchor distT="0" distB="0" distL="114300" distR="114300" simplePos="0" relativeHeight="251662336" behindDoc="1" locked="0" layoutInCell="1" allowOverlap="1" wp14:anchorId="732BC0ED" wp14:editId="1E7EACFC">
            <wp:simplePos x="0" y="0"/>
            <wp:positionH relativeFrom="margin">
              <wp:align>left</wp:align>
            </wp:positionH>
            <wp:positionV relativeFrom="paragraph">
              <wp:posOffset>358139</wp:posOffset>
            </wp:positionV>
            <wp:extent cx="1790174" cy="52387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 Weidemann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790174" cy="523875"/>
                    </a:xfrm>
                    <a:prstGeom prst="rect">
                      <a:avLst/>
                    </a:prstGeom>
                  </pic:spPr>
                </pic:pic>
              </a:graphicData>
            </a:graphic>
            <wp14:sizeRelH relativeFrom="margin">
              <wp14:pctWidth>0</wp14:pctWidth>
            </wp14:sizeRelH>
            <wp14:sizeRelV relativeFrom="margin">
              <wp14:pctHeight>0</wp14:pctHeight>
            </wp14:sizeRelV>
          </wp:anchor>
        </w:drawing>
      </w:r>
      <w:r w:rsidR="009C1F98">
        <w:rPr>
          <w:rFonts w:ascii="Calibri" w:hAnsi="Calibri" w:cs="Calibri"/>
        </w:rPr>
        <w:t>T</w:t>
      </w:r>
      <w:r w:rsidR="008C79E3" w:rsidRPr="00F742BC">
        <w:rPr>
          <w:rFonts w:ascii="Calibri" w:hAnsi="Calibri" w:cs="Calibri"/>
        </w:rPr>
        <w:t>he</w:t>
      </w:r>
      <w:r w:rsidR="00D21FD0" w:rsidRPr="00F742BC">
        <w:rPr>
          <w:rFonts w:ascii="Calibri" w:hAnsi="Calibri" w:cs="Calibri"/>
        </w:rPr>
        <w:t xml:space="preserve"> aim </w:t>
      </w:r>
      <w:r w:rsidR="004D0FFE" w:rsidRPr="00F742BC">
        <w:rPr>
          <w:rFonts w:ascii="Calibri" w:hAnsi="Calibri" w:cs="Calibri"/>
        </w:rPr>
        <w:t xml:space="preserve">of the National Freight Strategy should </w:t>
      </w:r>
      <w:r w:rsidR="00D21FD0" w:rsidRPr="00F742BC">
        <w:rPr>
          <w:rFonts w:ascii="Calibri" w:hAnsi="Calibri" w:cs="Calibri"/>
        </w:rPr>
        <w:t>focus on infrastructure and regulatory changes that improve consistency, productivity and profitability.</w:t>
      </w:r>
    </w:p>
    <w:p w14:paraId="0234D825" w14:textId="0CDD545A" w:rsidR="00CE57D6" w:rsidRPr="00F742BC" w:rsidRDefault="00465A4E" w:rsidP="00465A4E">
      <w:pPr>
        <w:tabs>
          <w:tab w:val="left" w:pos="1365"/>
        </w:tabs>
        <w:spacing w:after="120"/>
        <w:rPr>
          <w:rFonts w:ascii="Calibri" w:hAnsi="Calibri" w:cs="Calibri"/>
          <w:bCs/>
        </w:rPr>
      </w:pPr>
      <w:r>
        <w:rPr>
          <w:rFonts w:ascii="Calibri" w:hAnsi="Calibri" w:cs="Calibri"/>
          <w:bCs/>
        </w:rPr>
        <w:tab/>
      </w:r>
    </w:p>
    <w:p w14:paraId="733B3D6A" w14:textId="77777777" w:rsidR="00465A4E" w:rsidRDefault="00465A4E" w:rsidP="00465A4E">
      <w:pPr>
        <w:rPr>
          <w:rFonts w:ascii="Calibri" w:hAnsi="Calibri" w:cs="Calibri"/>
          <w:bCs/>
        </w:rPr>
      </w:pPr>
    </w:p>
    <w:p w14:paraId="0A484616" w14:textId="5285D4A2" w:rsidR="00CE57D6" w:rsidRPr="00F742BC" w:rsidRDefault="00CE57D6" w:rsidP="00465A4E">
      <w:pPr>
        <w:rPr>
          <w:rFonts w:ascii="Calibri" w:hAnsi="Calibri" w:cs="Calibri"/>
          <w:bCs/>
        </w:rPr>
      </w:pPr>
      <w:r w:rsidRPr="00F742BC">
        <w:rPr>
          <w:rFonts w:ascii="Calibri" w:hAnsi="Calibri" w:cs="Calibri"/>
          <w:bCs/>
        </w:rPr>
        <w:t>Andrew Weidemann</w:t>
      </w:r>
    </w:p>
    <w:p w14:paraId="33BEB690" w14:textId="11A06D17" w:rsidR="009736B2" w:rsidRPr="00F742BC" w:rsidRDefault="00CE57D6" w:rsidP="00465A4E">
      <w:pPr>
        <w:rPr>
          <w:rFonts w:ascii="Calibri" w:eastAsiaTheme="minorHAnsi" w:hAnsi="Calibri" w:cs="Calibri"/>
        </w:rPr>
      </w:pPr>
      <w:r w:rsidRPr="00F742BC">
        <w:rPr>
          <w:rFonts w:ascii="Calibri" w:hAnsi="Calibri" w:cs="Calibri"/>
          <w:bCs/>
        </w:rPr>
        <w:t>Chairman</w:t>
      </w:r>
      <w:r w:rsidR="00465A4E">
        <w:rPr>
          <w:rFonts w:ascii="Calibri" w:hAnsi="Calibri" w:cs="Calibri"/>
          <w:bCs/>
        </w:rPr>
        <w:t xml:space="preserve"> - </w:t>
      </w:r>
      <w:r w:rsidRPr="00F742BC">
        <w:rPr>
          <w:rFonts w:ascii="Calibri" w:hAnsi="Calibri" w:cs="Calibri"/>
          <w:bCs/>
        </w:rPr>
        <w:t>Grain Producers</w:t>
      </w:r>
      <w:r w:rsidR="00DB3EB9" w:rsidRPr="00F742BC">
        <w:rPr>
          <w:rFonts w:ascii="Calibri" w:hAnsi="Calibri" w:cs="Calibri"/>
          <w:bCs/>
        </w:rPr>
        <w:t xml:space="preserve"> </w:t>
      </w:r>
      <w:r w:rsidRPr="00F742BC">
        <w:rPr>
          <w:rFonts w:ascii="Calibri" w:hAnsi="Calibri" w:cs="Calibri"/>
          <w:bCs/>
        </w:rPr>
        <w:t>Australia</w:t>
      </w:r>
    </w:p>
    <w:sectPr w:rsidR="009736B2" w:rsidRPr="00F742BC" w:rsidSect="00AE6A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FC30" w14:textId="77777777" w:rsidR="002B6E1E" w:rsidRDefault="002B6E1E" w:rsidP="00F742BC">
      <w:r>
        <w:separator/>
      </w:r>
    </w:p>
  </w:endnote>
  <w:endnote w:type="continuationSeparator" w:id="0">
    <w:p w14:paraId="6F2C39C7" w14:textId="77777777" w:rsidR="002B6E1E" w:rsidRDefault="002B6E1E" w:rsidP="00F7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698AC" w14:textId="77777777" w:rsidR="002B6E1E" w:rsidRDefault="002B6E1E" w:rsidP="00F742BC">
      <w:r>
        <w:separator/>
      </w:r>
    </w:p>
  </w:footnote>
  <w:footnote w:type="continuationSeparator" w:id="0">
    <w:p w14:paraId="60A544B0" w14:textId="77777777" w:rsidR="002B6E1E" w:rsidRDefault="002B6E1E" w:rsidP="00F742BC">
      <w:r>
        <w:continuationSeparator/>
      </w:r>
    </w:p>
  </w:footnote>
  <w:footnote w:id="1">
    <w:p w14:paraId="5D1608F5" w14:textId="77777777" w:rsidR="00F742BC" w:rsidRPr="00A000BE" w:rsidRDefault="00F742BC" w:rsidP="00A000BE">
      <w:pPr>
        <w:pStyle w:val="FootnoteText"/>
        <w:ind w:left="720"/>
        <w:rPr>
          <w:i/>
          <w:lang w:val="en-US"/>
        </w:rPr>
      </w:pPr>
      <w:r w:rsidRPr="00A000BE">
        <w:rPr>
          <w:rStyle w:val="FootnoteReference"/>
          <w:i/>
        </w:rPr>
        <w:footnoteRef/>
      </w:r>
      <w:r w:rsidRPr="00A000BE">
        <w:rPr>
          <w:i/>
        </w:rPr>
        <w:t xml:space="preserve"> Grain Growers – State of the Nation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B96"/>
    <w:multiLevelType w:val="hybridMultilevel"/>
    <w:tmpl w:val="43B4E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2E60ED"/>
    <w:multiLevelType w:val="hybridMultilevel"/>
    <w:tmpl w:val="6452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345AB"/>
    <w:multiLevelType w:val="hybridMultilevel"/>
    <w:tmpl w:val="35E88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62416B"/>
    <w:multiLevelType w:val="hybridMultilevel"/>
    <w:tmpl w:val="E2A2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066D9C"/>
    <w:multiLevelType w:val="hybridMultilevel"/>
    <w:tmpl w:val="8102BC74"/>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D41397"/>
    <w:multiLevelType w:val="hybridMultilevel"/>
    <w:tmpl w:val="8962F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6B1F9F"/>
    <w:multiLevelType w:val="hybridMultilevel"/>
    <w:tmpl w:val="B1FA5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964FBA"/>
    <w:multiLevelType w:val="hybridMultilevel"/>
    <w:tmpl w:val="6D48BE04"/>
    <w:lvl w:ilvl="0" w:tplc="4B30ED98">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917847"/>
    <w:multiLevelType w:val="hybridMultilevel"/>
    <w:tmpl w:val="C30A0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
  </w:num>
  <w:num w:numId="5">
    <w:abstractNumId w:val="5"/>
  </w:num>
  <w:num w:numId="6">
    <w:abstractNumId w:val="7"/>
  </w:num>
  <w:num w:numId="7">
    <w:abstractNumId w:val="4"/>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76"/>
    <w:rsid w:val="000138A4"/>
    <w:rsid w:val="00027902"/>
    <w:rsid w:val="00034D54"/>
    <w:rsid w:val="000641DD"/>
    <w:rsid w:val="000B6268"/>
    <w:rsid w:val="000C071B"/>
    <w:rsid w:val="000C6E04"/>
    <w:rsid w:val="000F37B7"/>
    <w:rsid w:val="00110F82"/>
    <w:rsid w:val="001B135C"/>
    <w:rsid w:val="001D4208"/>
    <w:rsid w:val="001E0E3C"/>
    <w:rsid w:val="0020524E"/>
    <w:rsid w:val="00211BFE"/>
    <w:rsid w:val="00256782"/>
    <w:rsid w:val="00277ABD"/>
    <w:rsid w:val="002819BF"/>
    <w:rsid w:val="00284DB0"/>
    <w:rsid w:val="002931ED"/>
    <w:rsid w:val="002B6E1E"/>
    <w:rsid w:val="002C2B82"/>
    <w:rsid w:val="002D2C10"/>
    <w:rsid w:val="00307B1D"/>
    <w:rsid w:val="00357560"/>
    <w:rsid w:val="003F6E10"/>
    <w:rsid w:val="00403F62"/>
    <w:rsid w:val="00430B35"/>
    <w:rsid w:val="00465A4E"/>
    <w:rsid w:val="0047155D"/>
    <w:rsid w:val="00477F36"/>
    <w:rsid w:val="00484A14"/>
    <w:rsid w:val="004B5B3A"/>
    <w:rsid w:val="004D0FFE"/>
    <w:rsid w:val="004E5488"/>
    <w:rsid w:val="004F5863"/>
    <w:rsid w:val="00505CA0"/>
    <w:rsid w:val="005455EE"/>
    <w:rsid w:val="00555EA9"/>
    <w:rsid w:val="0058081E"/>
    <w:rsid w:val="0062530F"/>
    <w:rsid w:val="00656415"/>
    <w:rsid w:val="00687368"/>
    <w:rsid w:val="006D00B0"/>
    <w:rsid w:val="007479EA"/>
    <w:rsid w:val="00776081"/>
    <w:rsid w:val="00785A66"/>
    <w:rsid w:val="007A15C5"/>
    <w:rsid w:val="00853676"/>
    <w:rsid w:val="008922AE"/>
    <w:rsid w:val="008C79E3"/>
    <w:rsid w:val="008C7A63"/>
    <w:rsid w:val="009539B9"/>
    <w:rsid w:val="00971E02"/>
    <w:rsid w:val="009736B2"/>
    <w:rsid w:val="00996BD4"/>
    <w:rsid w:val="009B1C73"/>
    <w:rsid w:val="009C1F98"/>
    <w:rsid w:val="009E52A5"/>
    <w:rsid w:val="00A000BE"/>
    <w:rsid w:val="00A36661"/>
    <w:rsid w:val="00A45053"/>
    <w:rsid w:val="00A45131"/>
    <w:rsid w:val="00A80158"/>
    <w:rsid w:val="00AB04DC"/>
    <w:rsid w:val="00AE6ACD"/>
    <w:rsid w:val="00B64D15"/>
    <w:rsid w:val="00B75EC6"/>
    <w:rsid w:val="00BC317B"/>
    <w:rsid w:val="00BD3B1D"/>
    <w:rsid w:val="00C23A41"/>
    <w:rsid w:val="00C87F4C"/>
    <w:rsid w:val="00C96EEC"/>
    <w:rsid w:val="00CE57D6"/>
    <w:rsid w:val="00D01DA4"/>
    <w:rsid w:val="00D045EB"/>
    <w:rsid w:val="00D21FD0"/>
    <w:rsid w:val="00D55799"/>
    <w:rsid w:val="00DB3EB9"/>
    <w:rsid w:val="00DD7843"/>
    <w:rsid w:val="00DF05AD"/>
    <w:rsid w:val="00E106F9"/>
    <w:rsid w:val="00E142B4"/>
    <w:rsid w:val="00EA388C"/>
    <w:rsid w:val="00EF3067"/>
    <w:rsid w:val="00F4135A"/>
    <w:rsid w:val="00F742BC"/>
    <w:rsid w:val="00F83CD7"/>
    <w:rsid w:val="00FA2406"/>
    <w:rsid w:val="00FB387B"/>
    <w:rsid w:val="00FD0789"/>
    <w:rsid w:val="00FD72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11950"/>
  <w15:docId w15:val="{52EC24AC-0618-496E-8AB8-F328E4C5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67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742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3067"/>
    <w:pPr>
      <w:keepNext/>
      <w:keepLines/>
      <w:spacing w:before="200" w:line="276" w:lineRule="auto"/>
      <w:outlineLvl w:val="1"/>
    </w:pPr>
    <w:rPr>
      <w:rFonts w:ascii="Georgia" w:eastAsiaTheme="majorEastAsia" w:hAnsi="Georgia"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676"/>
    <w:pPr>
      <w:ind w:left="720"/>
    </w:pPr>
    <w:rPr>
      <w:rFonts w:ascii="Times New Roman" w:eastAsia="Calibri" w:hAnsi="Times New Roman" w:cs="Times New Roman"/>
      <w:lang w:eastAsia="en-AU"/>
    </w:rPr>
  </w:style>
  <w:style w:type="character" w:styleId="Hyperlink">
    <w:name w:val="Hyperlink"/>
    <w:basedOn w:val="DefaultParagraphFont"/>
    <w:uiPriority w:val="99"/>
    <w:unhideWhenUsed/>
    <w:rsid w:val="00853676"/>
    <w:rPr>
      <w:color w:val="0000FF"/>
      <w:u w:val="single"/>
    </w:rPr>
  </w:style>
  <w:style w:type="paragraph" w:styleId="BalloonText">
    <w:name w:val="Balloon Text"/>
    <w:basedOn w:val="Normal"/>
    <w:link w:val="BalloonTextChar"/>
    <w:uiPriority w:val="99"/>
    <w:semiHidden/>
    <w:unhideWhenUsed/>
    <w:rsid w:val="004E5488"/>
    <w:rPr>
      <w:rFonts w:ascii="Tahoma" w:hAnsi="Tahoma" w:cs="Tahoma"/>
      <w:sz w:val="16"/>
      <w:szCs w:val="16"/>
    </w:rPr>
  </w:style>
  <w:style w:type="character" w:customStyle="1" w:styleId="BalloonTextChar">
    <w:name w:val="Balloon Text Char"/>
    <w:basedOn w:val="DefaultParagraphFont"/>
    <w:link w:val="BalloonText"/>
    <w:uiPriority w:val="99"/>
    <w:semiHidden/>
    <w:rsid w:val="004E548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776081"/>
    <w:rPr>
      <w:sz w:val="18"/>
      <w:szCs w:val="18"/>
    </w:rPr>
  </w:style>
  <w:style w:type="paragraph" w:styleId="CommentText">
    <w:name w:val="annotation text"/>
    <w:basedOn w:val="Normal"/>
    <w:link w:val="CommentTextChar"/>
    <w:uiPriority w:val="99"/>
    <w:semiHidden/>
    <w:unhideWhenUsed/>
    <w:rsid w:val="00776081"/>
  </w:style>
  <w:style w:type="character" w:customStyle="1" w:styleId="CommentTextChar">
    <w:name w:val="Comment Text Char"/>
    <w:basedOn w:val="DefaultParagraphFont"/>
    <w:link w:val="CommentText"/>
    <w:uiPriority w:val="99"/>
    <w:semiHidden/>
    <w:rsid w:val="00776081"/>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76081"/>
    <w:rPr>
      <w:b/>
      <w:bCs/>
      <w:sz w:val="20"/>
      <w:szCs w:val="20"/>
    </w:rPr>
  </w:style>
  <w:style w:type="character" w:customStyle="1" w:styleId="CommentSubjectChar">
    <w:name w:val="Comment Subject Char"/>
    <w:basedOn w:val="CommentTextChar"/>
    <w:link w:val="CommentSubject"/>
    <w:uiPriority w:val="99"/>
    <w:semiHidden/>
    <w:rsid w:val="00776081"/>
    <w:rPr>
      <w:rFonts w:eastAsiaTheme="minorEastAsia"/>
      <w:b/>
      <w:bCs/>
      <w:sz w:val="20"/>
      <w:szCs w:val="20"/>
    </w:rPr>
  </w:style>
  <w:style w:type="character" w:customStyle="1" w:styleId="Heading2Char">
    <w:name w:val="Heading 2 Char"/>
    <w:basedOn w:val="DefaultParagraphFont"/>
    <w:link w:val="Heading2"/>
    <w:uiPriority w:val="9"/>
    <w:rsid w:val="00EF3067"/>
    <w:rPr>
      <w:rFonts w:ascii="Georgia" w:eastAsiaTheme="majorEastAsia" w:hAnsi="Georgia" w:cstheme="majorBidi"/>
      <w:b/>
      <w:bCs/>
      <w:color w:val="4F81BD" w:themeColor="accent1"/>
      <w:sz w:val="20"/>
      <w:szCs w:val="20"/>
    </w:rPr>
  </w:style>
  <w:style w:type="character" w:customStyle="1" w:styleId="Heading1Char">
    <w:name w:val="Heading 1 Char"/>
    <w:basedOn w:val="DefaultParagraphFont"/>
    <w:link w:val="Heading1"/>
    <w:uiPriority w:val="9"/>
    <w:rsid w:val="00F742BC"/>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F742BC"/>
    <w:rPr>
      <w:rFonts w:eastAsiaTheme="minorHAnsi"/>
      <w:sz w:val="20"/>
      <w:szCs w:val="20"/>
    </w:rPr>
  </w:style>
  <w:style w:type="character" w:customStyle="1" w:styleId="FootnoteTextChar">
    <w:name w:val="Footnote Text Char"/>
    <w:basedOn w:val="DefaultParagraphFont"/>
    <w:link w:val="FootnoteText"/>
    <w:uiPriority w:val="99"/>
    <w:semiHidden/>
    <w:rsid w:val="00F742BC"/>
    <w:rPr>
      <w:sz w:val="20"/>
      <w:szCs w:val="20"/>
    </w:rPr>
  </w:style>
  <w:style w:type="character" w:styleId="FootnoteReference">
    <w:name w:val="footnote reference"/>
    <w:basedOn w:val="DefaultParagraphFont"/>
    <w:uiPriority w:val="99"/>
    <w:semiHidden/>
    <w:unhideWhenUsed/>
    <w:rsid w:val="00F742BC"/>
    <w:rPr>
      <w:vertAlign w:val="superscript"/>
    </w:rPr>
  </w:style>
  <w:style w:type="table" w:styleId="LightShading-Accent1">
    <w:name w:val="Light Shading Accent 1"/>
    <w:basedOn w:val="TableNormal"/>
    <w:uiPriority w:val="60"/>
    <w:semiHidden/>
    <w:unhideWhenUsed/>
    <w:rsid w:val="00F742BC"/>
    <w:pPr>
      <w:spacing w:after="0" w:line="240" w:lineRule="auto"/>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1688</Words>
  <Characters>9626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LEVETT Susan</cp:lastModifiedBy>
  <cp:revision>2</cp:revision>
  <cp:lastPrinted>2017-08-03T22:22:00Z</cp:lastPrinted>
  <dcterms:created xsi:type="dcterms:W3CDTF">2017-08-04T02:09:00Z</dcterms:created>
  <dcterms:modified xsi:type="dcterms:W3CDTF">2017-08-04T02:09:00Z</dcterms:modified>
</cp:coreProperties>
</file>