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660"/>
        <w:gridCol w:w="6979"/>
      </w:tblGrid>
      <w:tr w:rsidR="00D735FF" w:rsidRPr="00540454" w14:paraId="7021D682" w14:textId="77777777" w:rsidTr="00605C2F">
        <w:trPr>
          <w:trHeight w:val="756"/>
        </w:trPr>
        <w:tc>
          <w:tcPr>
            <w:tcW w:w="2660" w:type="dxa"/>
            <w:vAlign w:val="center"/>
          </w:tcPr>
          <w:p w14:paraId="14783443" w14:textId="77777777" w:rsidR="00D735FF" w:rsidRPr="00054F0E" w:rsidRDefault="00D735FF" w:rsidP="009D1601">
            <w:pPr>
              <w:pStyle w:val="Header"/>
              <w:rPr>
                <w:rFonts w:ascii="Arial" w:hAnsi="Arial" w:cs="Arial"/>
                <w:b/>
                <w:sz w:val="28"/>
                <w:szCs w:val="28"/>
              </w:rPr>
            </w:pPr>
            <w:bookmarkStart w:id="0" w:name="_GoBack"/>
            <w:bookmarkEnd w:id="0"/>
            <w:r w:rsidRPr="00054F0E">
              <w:rPr>
                <w:rFonts w:ascii="Arial" w:hAnsi="Arial" w:cs="Arial"/>
                <w:b/>
                <w:sz w:val="28"/>
                <w:szCs w:val="28"/>
              </w:rPr>
              <w:t>Submission to:</w:t>
            </w:r>
          </w:p>
        </w:tc>
        <w:tc>
          <w:tcPr>
            <w:tcW w:w="6979" w:type="dxa"/>
            <w:vAlign w:val="center"/>
          </w:tcPr>
          <w:p w14:paraId="6279A7A9" w14:textId="0B8FF385" w:rsidR="0013571B" w:rsidRPr="00054F0E" w:rsidRDefault="000E3DA9" w:rsidP="009D1601">
            <w:pPr>
              <w:pStyle w:val="Header"/>
              <w:rPr>
                <w:rFonts w:ascii="Arial" w:hAnsi="Arial" w:cs="Arial"/>
                <w:sz w:val="28"/>
                <w:szCs w:val="28"/>
              </w:rPr>
            </w:pPr>
            <w:r>
              <w:rPr>
                <w:rFonts w:ascii="Arial" w:hAnsi="Arial" w:cs="Arial"/>
                <w:sz w:val="28"/>
                <w:szCs w:val="28"/>
              </w:rPr>
              <w:t>Department of Infrastructure and Regional Development</w:t>
            </w:r>
          </w:p>
        </w:tc>
      </w:tr>
      <w:tr w:rsidR="00D735FF" w:rsidRPr="00540454" w14:paraId="3560FFFB" w14:textId="77777777" w:rsidTr="00605C2F">
        <w:trPr>
          <w:trHeight w:val="756"/>
        </w:trPr>
        <w:tc>
          <w:tcPr>
            <w:tcW w:w="2660" w:type="dxa"/>
            <w:vAlign w:val="center"/>
          </w:tcPr>
          <w:p w14:paraId="5D2F2A71" w14:textId="77777777" w:rsidR="00D735FF" w:rsidRPr="00054F0E" w:rsidRDefault="00D735FF" w:rsidP="009D1601">
            <w:pPr>
              <w:pStyle w:val="Header"/>
              <w:rPr>
                <w:rFonts w:ascii="Arial" w:hAnsi="Arial" w:cs="Arial"/>
                <w:b/>
                <w:sz w:val="28"/>
                <w:szCs w:val="28"/>
              </w:rPr>
            </w:pPr>
            <w:r w:rsidRPr="00054F0E">
              <w:rPr>
                <w:rFonts w:ascii="Arial" w:hAnsi="Arial" w:cs="Arial"/>
                <w:b/>
                <w:sz w:val="28"/>
                <w:szCs w:val="28"/>
              </w:rPr>
              <w:t>Title:</w:t>
            </w:r>
          </w:p>
        </w:tc>
        <w:tc>
          <w:tcPr>
            <w:tcW w:w="6979" w:type="dxa"/>
            <w:vAlign w:val="center"/>
          </w:tcPr>
          <w:p w14:paraId="757C1C92" w14:textId="584885E6" w:rsidR="00D735FF" w:rsidRPr="00054F0E" w:rsidRDefault="000E3DA9" w:rsidP="00BA711F">
            <w:pPr>
              <w:pStyle w:val="Header"/>
              <w:rPr>
                <w:rFonts w:ascii="Arial" w:hAnsi="Arial" w:cs="Arial"/>
                <w:sz w:val="28"/>
                <w:szCs w:val="28"/>
              </w:rPr>
            </w:pPr>
            <w:r>
              <w:rPr>
                <w:rFonts w:ascii="Arial" w:hAnsi="Arial" w:cs="Arial"/>
                <w:sz w:val="28"/>
                <w:szCs w:val="28"/>
              </w:rPr>
              <w:t>Inquiry into National Freight and Supply Chain Priorities</w:t>
            </w:r>
          </w:p>
        </w:tc>
      </w:tr>
      <w:tr w:rsidR="00D735FF" w:rsidRPr="00540454" w14:paraId="1A4E4DB5" w14:textId="77777777" w:rsidTr="00605C2F">
        <w:trPr>
          <w:trHeight w:val="756"/>
        </w:trPr>
        <w:tc>
          <w:tcPr>
            <w:tcW w:w="2660" w:type="dxa"/>
            <w:vAlign w:val="center"/>
          </w:tcPr>
          <w:p w14:paraId="65490C3C" w14:textId="77777777" w:rsidR="00D735FF" w:rsidRPr="00054F0E" w:rsidRDefault="00D735FF" w:rsidP="009D1601">
            <w:pPr>
              <w:pStyle w:val="Header"/>
              <w:rPr>
                <w:rFonts w:ascii="Arial" w:hAnsi="Arial" w:cs="Arial"/>
                <w:b/>
                <w:sz w:val="28"/>
                <w:szCs w:val="28"/>
              </w:rPr>
            </w:pPr>
            <w:r w:rsidRPr="00054F0E">
              <w:rPr>
                <w:rFonts w:ascii="Arial" w:hAnsi="Arial" w:cs="Arial"/>
                <w:b/>
                <w:sz w:val="28"/>
                <w:szCs w:val="28"/>
              </w:rPr>
              <w:t>Date:</w:t>
            </w:r>
          </w:p>
        </w:tc>
        <w:tc>
          <w:tcPr>
            <w:tcW w:w="6979" w:type="dxa"/>
            <w:vAlign w:val="center"/>
          </w:tcPr>
          <w:p w14:paraId="3E6741A6" w14:textId="62A5FFD6" w:rsidR="00D735FF" w:rsidRPr="00054F0E" w:rsidRDefault="000E3DA9" w:rsidP="00FC1125">
            <w:pPr>
              <w:pStyle w:val="Header"/>
              <w:rPr>
                <w:rFonts w:ascii="Arial" w:hAnsi="Arial" w:cs="Arial"/>
                <w:sz w:val="28"/>
                <w:szCs w:val="28"/>
              </w:rPr>
            </w:pPr>
            <w:r>
              <w:rPr>
                <w:rFonts w:ascii="Arial" w:hAnsi="Arial" w:cs="Arial"/>
                <w:sz w:val="28"/>
                <w:szCs w:val="28"/>
              </w:rPr>
              <w:t>2</w:t>
            </w:r>
            <w:r w:rsidR="00FC1125">
              <w:rPr>
                <w:rFonts w:ascii="Arial" w:hAnsi="Arial" w:cs="Arial"/>
                <w:sz w:val="28"/>
                <w:szCs w:val="28"/>
              </w:rPr>
              <w:t>6</w:t>
            </w:r>
            <w:r>
              <w:rPr>
                <w:rFonts w:ascii="Arial" w:hAnsi="Arial" w:cs="Arial"/>
                <w:sz w:val="28"/>
                <w:szCs w:val="28"/>
              </w:rPr>
              <w:t xml:space="preserve"> July</w:t>
            </w:r>
            <w:r w:rsidR="00C87BB9">
              <w:rPr>
                <w:rFonts w:ascii="Arial" w:hAnsi="Arial" w:cs="Arial"/>
                <w:sz w:val="28"/>
                <w:szCs w:val="28"/>
              </w:rPr>
              <w:t xml:space="preserve"> </w:t>
            </w:r>
            <w:r w:rsidR="00381599">
              <w:rPr>
                <w:rFonts w:ascii="Arial" w:hAnsi="Arial" w:cs="Arial"/>
                <w:sz w:val="28"/>
                <w:szCs w:val="28"/>
              </w:rPr>
              <w:t>2017</w:t>
            </w:r>
          </w:p>
        </w:tc>
      </w:tr>
    </w:tbl>
    <w:p w14:paraId="4907C868" w14:textId="77777777" w:rsidR="00D735FF" w:rsidRPr="00540454" w:rsidRDefault="00D735FF" w:rsidP="009D1601">
      <w:pPr>
        <w:pStyle w:val="Header"/>
        <w:rPr>
          <w:rFonts w:ascii="Arial" w:hAnsi="Arial" w:cs="Arial"/>
          <w:sz w:val="32"/>
        </w:rPr>
      </w:pPr>
    </w:p>
    <w:p w14:paraId="4AA02BB3" w14:textId="77777777" w:rsidR="00D735FF" w:rsidRPr="00540454" w:rsidRDefault="00D735FF" w:rsidP="009D1601">
      <w:pPr>
        <w:pStyle w:val="Header"/>
        <w:rPr>
          <w:rFonts w:ascii="Arial" w:hAnsi="Arial" w:cs="Arial"/>
          <w:sz w:val="32"/>
        </w:rPr>
      </w:pPr>
    </w:p>
    <w:p w14:paraId="7DB95DC5" w14:textId="77777777" w:rsidR="00576ED0" w:rsidRPr="00540454" w:rsidRDefault="00576ED0" w:rsidP="009D1601">
      <w:pPr>
        <w:pStyle w:val="Header"/>
        <w:rPr>
          <w:rFonts w:ascii="Arial" w:hAnsi="Arial" w:cs="Arial"/>
          <w:sz w:val="32"/>
        </w:rPr>
      </w:pPr>
    </w:p>
    <w:p w14:paraId="4B4F5669" w14:textId="77777777" w:rsidR="00576ED0" w:rsidRPr="00540454" w:rsidRDefault="00576ED0" w:rsidP="009D1601">
      <w:pPr>
        <w:rPr>
          <w:rFonts w:ascii="Arial" w:hAnsi="Arial" w:cs="Arial"/>
        </w:rPr>
        <w:sectPr w:rsidR="00576ED0" w:rsidRPr="00540454" w:rsidSect="005F5ACC">
          <w:footerReference w:type="default" r:id="rId8"/>
          <w:headerReference w:type="first" r:id="rId9"/>
          <w:footerReference w:type="first" r:id="rId10"/>
          <w:pgSz w:w="11906" w:h="16838"/>
          <w:pgMar w:top="5103" w:right="1133" w:bottom="1418" w:left="1134" w:header="851" w:footer="651" w:gutter="0"/>
          <w:cols w:space="708"/>
          <w:docGrid w:linePitch="360"/>
        </w:sectPr>
      </w:pPr>
    </w:p>
    <w:p w14:paraId="3DB2E01F" w14:textId="77777777" w:rsidR="00576ED0" w:rsidRPr="00540454" w:rsidRDefault="00576ED0" w:rsidP="009D1601">
      <w:pPr>
        <w:rPr>
          <w:rFonts w:ascii="Arial" w:hAnsi="Arial" w:cs="Arial"/>
        </w:rPr>
      </w:pPr>
    </w:p>
    <w:p w14:paraId="124CE745" w14:textId="77777777" w:rsidR="0035493A" w:rsidRPr="00540454" w:rsidRDefault="0035493A" w:rsidP="009D1601">
      <w:pPr>
        <w:rPr>
          <w:rFonts w:ascii="Arial" w:hAnsi="Arial" w:cs="Arial"/>
        </w:rPr>
      </w:pPr>
    </w:p>
    <w:p w14:paraId="2B510C06" w14:textId="77777777" w:rsidR="0035493A" w:rsidRPr="00540454" w:rsidRDefault="0035493A" w:rsidP="009D1601">
      <w:pPr>
        <w:rPr>
          <w:rFonts w:ascii="Arial" w:hAnsi="Arial" w:cs="Arial"/>
        </w:rPr>
      </w:pPr>
    </w:p>
    <w:p w14:paraId="5F47005E" w14:textId="77777777" w:rsidR="0035493A" w:rsidRPr="00540454" w:rsidRDefault="0035493A" w:rsidP="009D1601">
      <w:pPr>
        <w:rPr>
          <w:rFonts w:ascii="Arial" w:hAnsi="Arial" w:cs="Arial"/>
        </w:rPr>
      </w:pPr>
    </w:p>
    <w:p w14:paraId="41E60D36" w14:textId="77777777" w:rsidR="0035493A" w:rsidRPr="00540454" w:rsidRDefault="0035493A" w:rsidP="009D1601">
      <w:pPr>
        <w:rPr>
          <w:rFonts w:ascii="Arial" w:hAnsi="Arial" w:cs="Arial"/>
        </w:rPr>
      </w:pPr>
    </w:p>
    <w:p w14:paraId="31959C25" w14:textId="77777777" w:rsidR="0035493A" w:rsidRPr="00054F0E" w:rsidRDefault="003B74E4" w:rsidP="009D1601">
      <w:pPr>
        <w:rPr>
          <w:rFonts w:ascii="Arial" w:hAnsi="Arial" w:cs="Arial"/>
          <w:b/>
          <w:color w:val="000064"/>
          <w:sz w:val="28"/>
          <w:szCs w:val="28"/>
        </w:rPr>
      </w:pPr>
      <w:r w:rsidRPr="00054F0E">
        <w:rPr>
          <w:rFonts w:ascii="Arial" w:hAnsi="Arial" w:cs="Arial"/>
          <w:b/>
          <w:color w:val="000064"/>
          <w:sz w:val="28"/>
          <w:szCs w:val="28"/>
        </w:rPr>
        <w:t>Contents</w:t>
      </w:r>
    </w:p>
    <w:p w14:paraId="539414E0" w14:textId="77777777" w:rsidR="00576ED0" w:rsidRPr="00540454" w:rsidRDefault="00576ED0" w:rsidP="009D1601">
      <w:pPr>
        <w:rPr>
          <w:rFonts w:ascii="Arial" w:hAnsi="Arial" w:cs="Arial"/>
        </w:rPr>
      </w:pPr>
    </w:p>
    <w:p w14:paraId="72F1C29E" w14:textId="77777777" w:rsidR="009B0520" w:rsidRPr="00540454" w:rsidRDefault="009B0520" w:rsidP="009D1601">
      <w:pPr>
        <w:rPr>
          <w:rFonts w:ascii="Arial" w:hAnsi="Arial" w:cs="Arial"/>
        </w:rPr>
      </w:pPr>
    </w:p>
    <w:p w14:paraId="52885E64" w14:textId="77777777" w:rsidR="00D72318" w:rsidRDefault="003B2024">
      <w:pPr>
        <w:pStyle w:val="TOC1"/>
        <w:tabs>
          <w:tab w:val="left" w:pos="442"/>
        </w:tabs>
        <w:rPr>
          <w:rFonts w:asciiTheme="minorHAnsi" w:eastAsiaTheme="minorEastAsia" w:hAnsiTheme="minorHAnsi" w:cstheme="minorBidi"/>
          <w:b w:val="0"/>
          <w:sz w:val="22"/>
          <w:szCs w:val="22"/>
          <w:lang w:eastAsia="en-AU"/>
        </w:rPr>
      </w:pPr>
      <w:r w:rsidRPr="00054F0E">
        <w:rPr>
          <w:b w:val="0"/>
          <w:sz w:val="22"/>
          <w:szCs w:val="22"/>
        </w:rPr>
        <w:fldChar w:fldCharType="begin"/>
      </w:r>
      <w:r w:rsidR="00BD49FC" w:rsidRPr="00054F0E">
        <w:rPr>
          <w:b w:val="0"/>
          <w:sz w:val="22"/>
          <w:szCs w:val="22"/>
        </w:rPr>
        <w:instrText xml:space="preserve"> TOC \o "1-2" \t "ATA Heading 2,2" </w:instrText>
      </w:r>
      <w:r w:rsidRPr="00054F0E">
        <w:rPr>
          <w:b w:val="0"/>
          <w:sz w:val="22"/>
          <w:szCs w:val="22"/>
        </w:rPr>
        <w:fldChar w:fldCharType="separate"/>
      </w:r>
      <w:r w:rsidR="00D72318" w:rsidRPr="002D1FB1">
        <w:rPr>
          <w:rFonts w:cs="Times New Roman"/>
        </w:rPr>
        <w:t>1.</w:t>
      </w:r>
      <w:r w:rsidR="00D72318">
        <w:rPr>
          <w:rFonts w:asciiTheme="minorHAnsi" w:eastAsiaTheme="minorEastAsia" w:hAnsiTheme="minorHAnsi" w:cstheme="minorBidi"/>
          <w:b w:val="0"/>
          <w:sz w:val="22"/>
          <w:szCs w:val="22"/>
          <w:lang w:eastAsia="en-AU"/>
        </w:rPr>
        <w:tab/>
      </w:r>
      <w:r w:rsidR="00D72318">
        <w:t>About the Australian Trucking Association</w:t>
      </w:r>
      <w:r w:rsidR="00D72318">
        <w:tab/>
      </w:r>
      <w:r w:rsidR="00D72318">
        <w:fldChar w:fldCharType="begin"/>
      </w:r>
      <w:r w:rsidR="00D72318">
        <w:instrText xml:space="preserve"> PAGEREF _Toc488842013 \h </w:instrText>
      </w:r>
      <w:r w:rsidR="00D72318">
        <w:fldChar w:fldCharType="separate"/>
      </w:r>
      <w:r w:rsidR="003469C0">
        <w:t>3</w:t>
      </w:r>
      <w:r w:rsidR="00D72318">
        <w:fldChar w:fldCharType="end"/>
      </w:r>
    </w:p>
    <w:p w14:paraId="5499F798" w14:textId="77777777" w:rsidR="00D72318" w:rsidRDefault="00D72318">
      <w:pPr>
        <w:pStyle w:val="TOC1"/>
        <w:tabs>
          <w:tab w:val="left" w:pos="442"/>
        </w:tabs>
        <w:rPr>
          <w:rFonts w:asciiTheme="minorHAnsi" w:eastAsiaTheme="minorEastAsia" w:hAnsiTheme="minorHAnsi" w:cstheme="minorBidi"/>
          <w:b w:val="0"/>
          <w:sz w:val="22"/>
          <w:szCs w:val="22"/>
          <w:lang w:eastAsia="en-AU"/>
        </w:rPr>
      </w:pPr>
      <w:r w:rsidRPr="002D1FB1">
        <w:rPr>
          <w:rFonts w:cs="Times New Roman"/>
        </w:rPr>
        <w:t>2.</w:t>
      </w:r>
      <w:r>
        <w:rPr>
          <w:rFonts w:asciiTheme="minorHAnsi" w:eastAsiaTheme="minorEastAsia" w:hAnsiTheme="minorHAnsi" w:cstheme="minorBidi"/>
          <w:b w:val="0"/>
          <w:sz w:val="22"/>
          <w:szCs w:val="22"/>
          <w:lang w:eastAsia="en-AU"/>
        </w:rPr>
        <w:tab/>
      </w:r>
      <w:r>
        <w:t>Summary of recommendations</w:t>
      </w:r>
      <w:r>
        <w:tab/>
      </w:r>
      <w:r>
        <w:fldChar w:fldCharType="begin"/>
      </w:r>
      <w:r>
        <w:instrText xml:space="preserve"> PAGEREF _Toc488842014 \h </w:instrText>
      </w:r>
      <w:r>
        <w:fldChar w:fldCharType="separate"/>
      </w:r>
      <w:r w:rsidR="003469C0">
        <w:t>3</w:t>
      </w:r>
      <w:r>
        <w:fldChar w:fldCharType="end"/>
      </w:r>
    </w:p>
    <w:p w14:paraId="31BC772F" w14:textId="77777777" w:rsidR="00D72318" w:rsidRDefault="00D72318">
      <w:pPr>
        <w:pStyle w:val="TOC1"/>
        <w:tabs>
          <w:tab w:val="left" w:pos="442"/>
        </w:tabs>
        <w:rPr>
          <w:rFonts w:asciiTheme="minorHAnsi" w:eastAsiaTheme="minorEastAsia" w:hAnsiTheme="minorHAnsi" w:cstheme="minorBidi"/>
          <w:b w:val="0"/>
          <w:sz w:val="22"/>
          <w:szCs w:val="22"/>
          <w:lang w:eastAsia="en-AU"/>
        </w:rPr>
      </w:pPr>
      <w:r w:rsidRPr="002D1FB1">
        <w:rPr>
          <w:rFonts w:cs="Times New Roman"/>
        </w:rPr>
        <w:t>3.</w:t>
      </w:r>
      <w:r>
        <w:rPr>
          <w:rFonts w:asciiTheme="minorHAnsi" w:eastAsiaTheme="minorEastAsia" w:hAnsiTheme="minorHAnsi" w:cstheme="minorBidi"/>
          <w:b w:val="0"/>
          <w:sz w:val="22"/>
          <w:szCs w:val="22"/>
          <w:lang w:eastAsia="en-AU"/>
        </w:rPr>
        <w:tab/>
      </w:r>
      <w:r>
        <w:t>Introduction</w:t>
      </w:r>
      <w:r>
        <w:tab/>
      </w:r>
      <w:r>
        <w:fldChar w:fldCharType="begin"/>
      </w:r>
      <w:r>
        <w:instrText xml:space="preserve"> PAGEREF _Toc488842015 \h </w:instrText>
      </w:r>
      <w:r>
        <w:fldChar w:fldCharType="separate"/>
      </w:r>
      <w:r w:rsidR="003469C0">
        <w:t>4</w:t>
      </w:r>
      <w:r>
        <w:fldChar w:fldCharType="end"/>
      </w:r>
    </w:p>
    <w:p w14:paraId="26350E4F" w14:textId="77777777" w:rsidR="00D72318" w:rsidRDefault="00D72318">
      <w:pPr>
        <w:pStyle w:val="TOC1"/>
        <w:tabs>
          <w:tab w:val="left" w:pos="442"/>
        </w:tabs>
        <w:rPr>
          <w:rFonts w:asciiTheme="minorHAnsi" w:eastAsiaTheme="minorEastAsia" w:hAnsiTheme="minorHAnsi" w:cstheme="minorBidi"/>
          <w:b w:val="0"/>
          <w:sz w:val="22"/>
          <w:szCs w:val="22"/>
          <w:lang w:eastAsia="en-AU"/>
        </w:rPr>
      </w:pPr>
      <w:r w:rsidRPr="002D1FB1">
        <w:rPr>
          <w:rFonts w:cs="Times New Roman"/>
        </w:rPr>
        <w:t>4.</w:t>
      </w:r>
      <w:r>
        <w:rPr>
          <w:rFonts w:asciiTheme="minorHAnsi" w:eastAsiaTheme="minorEastAsia" w:hAnsiTheme="minorHAnsi" w:cstheme="minorBidi"/>
          <w:b w:val="0"/>
          <w:sz w:val="22"/>
          <w:szCs w:val="22"/>
          <w:lang w:eastAsia="en-AU"/>
        </w:rPr>
        <w:tab/>
      </w:r>
      <w:r>
        <w:t>Fair and integrated supply chain costs</w:t>
      </w:r>
      <w:r>
        <w:tab/>
      </w:r>
      <w:r>
        <w:fldChar w:fldCharType="begin"/>
      </w:r>
      <w:r>
        <w:instrText xml:space="preserve"> PAGEREF _Toc488842016 \h </w:instrText>
      </w:r>
      <w:r>
        <w:fldChar w:fldCharType="separate"/>
      </w:r>
      <w:r w:rsidR="003469C0">
        <w:t>5</w:t>
      </w:r>
      <w:r>
        <w:fldChar w:fldCharType="end"/>
      </w:r>
    </w:p>
    <w:p w14:paraId="5C72A412" w14:textId="77777777" w:rsidR="00D72318" w:rsidRDefault="00D72318">
      <w:pPr>
        <w:pStyle w:val="TOC1"/>
        <w:tabs>
          <w:tab w:val="left" w:pos="442"/>
        </w:tabs>
        <w:rPr>
          <w:rFonts w:asciiTheme="minorHAnsi" w:eastAsiaTheme="minorEastAsia" w:hAnsiTheme="minorHAnsi" w:cstheme="minorBidi"/>
          <w:b w:val="0"/>
          <w:sz w:val="22"/>
          <w:szCs w:val="22"/>
          <w:lang w:eastAsia="en-AU"/>
        </w:rPr>
      </w:pPr>
      <w:r w:rsidRPr="002D1FB1">
        <w:rPr>
          <w:rFonts w:cs="Times New Roman"/>
        </w:rPr>
        <w:t>5.</w:t>
      </w:r>
      <w:r>
        <w:rPr>
          <w:rFonts w:asciiTheme="minorHAnsi" w:eastAsiaTheme="minorEastAsia" w:hAnsiTheme="minorHAnsi" w:cstheme="minorBidi"/>
          <w:b w:val="0"/>
          <w:sz w:val="22"/>
          <w:szCs w:val="22"/>
          <w:lang w:eastAsia="en-AU"/>
        </w:rPr>
        <w:tab/>
      </w:r>
      <w:r>
        <w:t>Road investment reform agenda</w:t>
      </w:r>
      <w:r>
        <w:tab/>
      </w:r>
      <w:r>
        <w:fldChar w:fldCharType="begin"/>
      </w:r>
      <w:r>
        <w:instrText xml:space="preserve"> PAGEREF _Toc488842017 \h </w:instrText>
      </w:r>
      <w:r>
        <w:fldChar w:fldCharType="separate"/>
      </w:r>
      <w:r w:rsidR="003469C0">
        <w:t>7</w:t>
      </w:r>
      <w:r>
        <w:fldChar w:fldCharType="end"/>
      </w:r>
    </w:p>
    <w:p w14:paraId="350D294C" w14:textId="77777777" w:rsidR="00D72318" w:rsidRDefault="00D72318">
      <w:pPr>
        <w:pStyle w:val="TOC1"/>
        <w:tabs>
          <w:tab w:val="left" w:pos="442"/>
        </w:tabs>
        <w:rPr>
          <w:rFonts w:asciiTheme="minorHAnsi" w:eastAsiaTheme="minorEastAsia" w:hAnsiTheme="minorHAnsi" w:cstheme="minorBidi"/>
          <w:b w:val="0"/>
          <w:sz w:val="22"/>
          <w:szCs w:val="22"/>
          <w:lang w:eastAsia="en-AU"/>
        </w:rPr>
      </w:pPr>
      <w:r w:rsidRPr="002D1FB1">
        <w:rPr>
          <w:rFonts w:cs="Times New Roman"/>
        </w:rPr>
        <w:t>6.</w:t>
      </w:r>
      <w:r>
        <w:rPr>
          <w:rFonts w:asciiTheme="minorHAnsi" w:eastAsiaTheme="minorEastAsia" w:hAnsiTheme="minorHAnsi" w:cstheme="minorBidi"/>
          <w:b w:val="0"/>
          <w:sz w:val="22"/>
          <w:szCs w:val="22"/>
          <w:lang w:eastAsia="en-AU"/>
        </w:rPr>
        <w:tab/>
      </w:r>
      <w:r>
        <w:t>More effective targeting and stable funding of roads investment</w:t>
      </w:r>
      <w:r>
        <w:tab/>
      </w:r>
      <w:r>
        <w:fldChar w:fldCharType="begin"/>
      </w:r>
      <w:r>
        <w:instrText xml:space="preserve"> PAGEREF _Toc488842018 \h </w:instrText>
      </w:r>
      <w:r>
        <w:fldChar w:fldCharType="separate"/>
      </w:r>
      <w:r w:rsidR="003469C0">
        <w:t>8</w:t>
      </w:r>
      <w:r>
        <w:fldChar w:fldCharType="end"/>
      </w:r>
    </w:p>
    <w:p w14:paraId="54F60B85" w14:textId="77777777" w:rsidR="00D72318" w:rsidRDefault="00D72318">
      <w:pPr>
        <w:pStyle w:val="TOC1"/>
        <w:tabs>
          <w:tab w:val="left" w:pos="442"/>
        </w:tabs>
        <w:rPr>
          <w:rFonts w:asciiTheme="minorHAnsi" w:eastAsiaTheme="minorEastAsia" w:hAnsiTheme="minorHAnsi" w:cstheme="minorBidi"/>
          <w:b w:val="0"/>
          <w:sz w:val="22"/>
          <w:szCs w:val="22"/>
          <w:lang w:eastAsia="en-AU"/>
        </w:rPr>
      </w:pPr>
      <w:r w:rsidRPr="002D1FB1">
        <w:rPr>
          <w:rFonts w:cs="Times New Roman"/>
        </w:rPr>
        <w:t>7.</w:t>
      </w:r>
      <w:r>
        <w:rPr>
          <w:rFonts w:asciiTheme="minorHAnsi" w:eastAsiaTheme="minorEastAsia" w:hAnsiTheme="minorHAnsi" w:cstheme="minorBidi"/>
          <w:b w:val="0"/>
          <w:sz w:val="22"/>
          <w:szCs w:val="22"/>
          <w:lang w:eastAsia="en-AU"/>
        </w:rPr>
        <w:tab/>
      </w:r>
      <w:r>
        <w:t>Upgrading northern and regional roads</w:t>
      </w:r>
      <w:r>
        <w:tab/>
      </w:r>
      <w:r>
        <w:fldChar w:fldCharType="begin"/>
      </w:r>
      <w:r>
        <w:instrText xml:space="preserve"> PAGEREF _Toc488842019 \h </w:instrText>
      </w:r>
      <w:r>
        <w:fldChar w:fldCharType="separate"/>
      </w:r>
      <w:r w:rsidR="003469C0">
        <w:t>10</w:t>
      </w:r>
      <w:r>
        <w:fldChar w:fldCharType="end"/>
      </w:r>
    </w:p>
    <w:p w14:paraId="7E24CF05" w14:textId="77777777" w:rsidR="00D72318" w:rsidRDefault="00D72318">
      <w:pPr>
        <w:pStyle w:val="TOC1"/>
        <w:tabs>
          <w:tab w:val="left" w:pos="442"/>
        </w:tabs>
        <w:rPr>
          <w:rFonts w:asciiTheme="minorHAnsi" w:eastAsiaTheme="minorEastAsia" w:hAnsiTheme="minorHAnsi" w:cstheme="minorBidi"/>
          <w:b w:val="0"/>
          <w:sz w:val="22"/>
          <w:szCs w:val="22"/>
          <w:lang w:eastAsia="en-AU"/>
        </w:rPr>
      </w:pPr>
      <w:r w:rsidRPr="002D1FB1">
        <w:rPr>
          <w:rFonts w:cs="Times New Roman"/>
        </w:rPr>
        <w:t>8.</w:t>
      </w:r>
      <w:r>
        <w:rPr>
          <w:rFonts w:asciiTheme="minorHAnsi" w:eastAsiaTheme="minorEastAsia" w:hAnsiTheme="minorHAnsi" w:cstheme="minorBidi"/>
          <w:b w:val="0"/>
          <w:sz w:val="22"/>
          <w:szCs w:val="22"/>
          <w:lang w:eastAsia="en-AU"/>
        </w:rPr>
        <w:tab/>
      </w:r>
      <w:r>
        <w:t>Setting service levels for roads</w:t>
      </w:r>
      <w:r>
        <w:tab/>
      </w:r>
      <w:r>
        <w:fldChar w:fldCharType="begin"/>
      </w:r>
      <w:r>
        <w:instrText xml:space="preserve"> PAGEREF _Toc488842020 \h </w:instrText>
      </w:r>
      <w:r>
        <w:fldChar w:fldCharType="separate"/>
      </w:r>
      <w:r w:rsidR="003469C0">
        <w:t>13</w:t>
      </w:r>
      <w:r>
        <w:fldChar w:fldCharType="end"/>
      </w:r>
    </w:p>
    <w:p w14:paraId="4EA71305" w14:textId="77777777" w:rsidR="00241C15" w:rsidRPr="006E05F0" w:rsidRDefault="003B2024" w:rsidP="009D1601">
      <w:pPr>
        <w:tabs>
          <w:tab w:val="right" w:leader="dot" w:pos="9645"/>
        </w:tabs>
        <w:rPr>
          <w:rFonts w:ascii="Arial" w:hAnsi="Arial" w:cs="Arial"/>
        </w:rPr>
      </w:pPr>
      <w:r w:rsidRPr="00054F0E">
        <w:rPr>
          <w:rFonts w:ascii="Arial" w:hAnsi="Arial" w:cs="Arial"/>
          <w:noProof/>
        </w:rPr>
        <w:fldChar w:fldCharType="end"/>
      </w:r>
    </w:p>
    <w:p w14:paraId="7E4FA640" w14:textId="77777777" w:rsidR="00DF2171" w:rsidRDefault="00DF2171" w:rsidP="009D1601">
      <w:pPr>
        <w:rPr>
          <w:rFonts w:ascii="Arial" w:hAnsi="Arial" w:cs="Arial"/>
        </w:rPr>
      </w:pPr>
    </w:p>
    <w:p w14:paraId="50A9D08C" w14:textId="77777777" w:rsidR="00DF2171" w:rsidRDefault="00DF2171" w:rsidP="009D1601">
      <w:pPr>
        <w:rPr>
          <w:rFonts w:ascii="Arial" w:hAnsi="Arial" w:cs="Arial"/>
        </w:rPr>
      </w:pPr>
    </w:p>
    <w:p w14:paraId="1DB268E6" w14:textId="77777777" w:rsidR="00DF2171" w:rsidRDefault="00DF2171" w:rsidP="009D1601">
      <w:pPr>
        <w:rPr>
          <w:rFonts w:ascii="Arial" w:hAnsi="Arial" w:cs="Arial"/>
        </w:rPr>
      </w:pPr>
    </w:p>
    <w:p w14:paraId="606EF175" w14:textId="77777777" w:rsidR="00DF2171" w:rsidRDefault="00DF2171" w:rsidP="009D1601">
      <w:pPr>
        <w:rPr>
          <w:rFonts w:ascii="Arial" w:hAnsi="Arial" w:cs="Arial"/>
        </w:rPr>
      </w:pPr>
    </w:p>
    <w:p w14:paraId="1B31EE4C" w14:textId="77777777" w:rsidR="00DF2171" w:rsidRDefault="00DF2171" w:rsidP="009D1601">
      <w:pPr>
        <w:rPr>
          <w:rFonts w:ascii="Arial" w:hAnsi="Arial" w:cs="Arial"/>
        </w:rPr>
      </w:pPr>
    </w:p>
    <w:p w14:paraId="658F9673" w14:textId="77777777" w:rsidR="00DF2171" w:rsidRDefault="00DF2171" w:rsidP="009D1601">
      <w:pPr>
        <w:rPr>
          <w:rFonts w:ascii="Arial" w:hAnsi="Arial" w:cs="Arial"/>
        </w:rPr>
      </w:pPr>
    </w:p>
    <w:p w14:paraId="508BA67F" w14:textId="77777777" w:rsidR="00DF2171" w:rsidRDefault="00DF2171" w:rsidP="009D1601">
      <w:pPr>
        <w:rPr>
          <w:rFonts w:ascii="Arial" w:hAnsi="Arial" w:cs="Arial"/>
        </w:rPr>
      </w:pPr>
    </w:p>
    <w:p w14:paraId="187F457C" w14:textId="77777777" w:rsidR="00DF2171" w:rsidRDefault="00DF2171" w:rsidP="009D1601">
      <w:pPr>
        <w:rPr>
          <w:rFonts w:ascii="Arial" w:hAnsi="Arial" w:cs="Arial"/>
        </w:rPr>
      </w:pPr>
    </w:p>
    <w:p w14:paraId="65995660" w14:textId="77777777" w:rsidR="00DF2171" w:rsidRDefault="00DF2171" w:rsidP="009D1601">
      <w:pPr>
        <w:rPr>
          <w:rFonts w:ascii="Arial" w:hAnsi="Arial" w:cs="Arial"/>
        </w:rPr>
      </w:pPr>
    </w:p>
    <w:p w14:paraId="469380C8" w14:textId="77777777" w:rsidR="00DF2171" w:rsidRDefault="00DF2171" w:rsidP="009D1601">
      <w:pPr>
        <w:rPr>
          <w:rFonts w:ascii="Arial" w:hAnsi="Arial" w:cs="Arial"/>
        </w:rPr>
      </w:pPr>
    </w:p>
    <w:p w14:paraId="23C065AE" w14:textId="77777777" w:rsidR="00DF2171" w:rsidRDefault="00DF2171" w:rsidP="009D1601">
      <w:pPr>
        <w:rPr>
          <w:rFonts w:ascii="Arial" w:hAnsi="Arial" w:cs="Arial"/>
        </w:rPr>
      </w:pPr>
    </w:p>
    <w:p w14:paraId="270982B4" w14:textId="77777777" w:rsidR="00DF2171" w:rsidRDefault="00DF2171" w:rsidP="009D1601">
      <w:pPr>
        <w:rPr>
          <w:rFonts w:ascii="Arial" w:hAnsi="Arial" w:cs="Arial"/>
        </w:rPr>
      </w:pPr>
    </w:p>
    <w:p w14:paraId="32E7F999" w14:textId="77777777" w:rsidR="00DF2171" w:rsidRDefault="00DF2171" w:rsidP="009D1601">
      <w:pPr>
        <w:rPr>
          <w:rFonts w:ascii="Arial" w:hAnsi="Arial" w:cs="Arial"/>
        </w:rPr>
      </w:pPr>
    </w:p>
    <w:p w14:paraId="48590F23" w14:textId="77777777" w:rsidR="00DF2171" w:rsidRDefault="00DF2171" w:rsidP="009D1601">
      <w:pPr>
        <w:rPr>
          <w:rFonts w:ascii="Arial" w:hAnsi="Arial" w:cs="Arial"/>
        </w:rPr>
      </w:pPr>
    </w:p>
    <w:p w14:paraId="1BA69A8B" w14:textId="77777777" w:rsidR="00DF2171" w:rsidRDefault="00DF2171" w:rsidP="009D1601">
      <w:pPr>
        <w:rPr>
          <w:rFonts w:ascii="Arial" w:hAnsi="Arial" w:cs="Arial"/>
        </w:rPr>
      </w:pPr>
    </w:p>
    <w:p w14:paraId="61837E64" w14:textId="77777777" w:rsidR="00DF2171" w:rsidRDefault="00DF2171" w:rsidP="009D1601">
      <w:pPr>
        <w:rPr>
          <w:rFonts w:ascii="Arial" w:hAnsi="Arial" w:cs="Arial"/>
        </w:rPr>
      </w:pPr>
    </w:p>
    <w:p w14:paraId="0C94AF81" w14:textId="77777777" w:rsidR="00DF2171" w:rsidRDefault="00DF2171" w:rsidP="009D1601">
      <w:pPr>
        <w:rPr>
          <w:rFonts w:ascii="Arial" w:hAnsi="Arial" w:cs="Arial"/>
        </w:rPr>
      </w:pPr>
    </w:p>
    <w:p w14:paraId="3F1D8DED" w14:textId="77777777" w:rsidR="00DF2171" w:rsidRDefault="00DF2171" w:rsidP="009D1601">
      <w:pPr>
        <w:rPr>
          <w:rFonts w:ascii="Arial" w:hAnsi="Arial" w:cs="Arial"/>
        </w:rPr>
      </w:pPr>
    </w:p>
    <w:p w14:paraId="6BDAA16D" w14:textId="77777777" w:rsidR="00DF2171" w:rsidRDefault="00DF2171" w:rsidP="009D1601">
      <w:pPr>
        <w:rPr>
          <w:rFonts w:ascii="Arial" w:hAnsi="Arial" w:cs="Arial"/>
        </w:rPr>
      </w:pPr>
    </w:p>
    <w:p w14:paraId="3D6FB4C1" w14:textId="77777777" w:rsidR="00DF2171" w:rsidRDefault="00DF2171" w:rsidP="009D1601">
      <w:pPr>
        <w:rPr>
          <w:rFonts w:ascii="Arial" w:hAnsi="Arial" w:cs="Arial"/>
        </w:rPr>
      </w:pPr>
    </w:p>
    <w:p w14:paraId="01762828" w14:textId="77777777" w:rsidR="00DF2171" w:rsidRDefault="00DF2171" w:rsidP="009D1601">
      <w:pPr>
        <w:rPr>
          <w:rFonts w:ascii="Arial" w:hAnsi="Arial" w:cs="Arial"/>
        </w:rPr>
      </w:pPr>
    </w:p>
    <w:p w14:paraId="2CEF4A6B" w14:textId="77777777" w:rsidR="00DF2171" w:rsidRDefault="00DF2171" w:rsidP="009D1601">
      <w:pPr>
        <w:rPr>
          <w:rFonts w:ascii="Arial" w:hAnsi="Arial" w:cs="Arial"/>
        </w:rPr>
      </w:pPr>
    </w:p>
    <w:p w14:paraId="0A55049C" w14:textId="77777777" w:rsidR="005D52F3" w:rsidRDefault="005D52F3" w:rsidP="009D1601">
      <w:pPr>
        <w:rPr>
          <w:rFonts w:ascii="Arial" w:hAnsi="Arial" w:cs="Arial"/>
        </w:rPr>
      </w:pPr>
    </w:p>
    <w:p w14:paraId="7A9E8C31" w14:textId="77777777" w:rsidR="005D52F3" w:rsidRDefault="005D52F3" w:rsidP="009D1601">
      <w:pPr>
        <w:rPr>
          <w:rFonts w:ascii="Arial" w:hAnsi="Arial" w:cs="Arial"/>
        </w:rPr>
      </w:pPr>
    </w:p>
    <w:p w14:paraId="2F75247F" w14:textId="77777777" w:rsidR="005D52F3" w:rsidRDefault="005D52F3" w:rsidP="009D1601">
      <w:pPr>
        <w:rPr>
          <w:rFonts w:ascii="Arial" w:hAnsi="Arial" w:cs="Arial"/>
        </w:rPr>
      </w:pPr>
    </w:p>
    <w:p w14:paraId="085F43FE" w14:textId="77777777" w:rsidR="00DF2171" w:rsidRDefault="00DF2171" w:rsidP="00DF2171">
      <w:pPr>
        <w:rPr>
          <w:rFonts w:ascii="Arial" w:hAnsi="Arial" w:cs="Arial"/>
          <w:b/>
        </w:rPr>
      </w:pPr>
    </w:p>
    <w:p w14:paraId="49C01FD8" w14:textId="77777777" w:rsidR="00DF2171" w:rsidRPr="00817671" w:rsidRDefault="00DF2171" w:rsidP="00DF2171">
      <w:pPr>
        <w:rPr>
          <w:rFonts w:ascii="Arial" w:hAnsi="Arial" w:cs="Arial"/>
          <w:b/>
          <w:sz w:val="20"/>
          <w:szCs w:val="20"/>
        </w:rPr>
      </w:pPr>
      <w:r w:rsidRPr="00817671">
        <w:rPr>
          <w:rFonts w:ascii="Arial" w:hAnsi="Arial" w:cs="Arial"/>
          <w:b/>
          <w:sz w:val="20"/>
          <w:szCs w:val="20"/>
        </w:rPr>
        <w:t>ATA CONTACT</w:t>
      </w:r>
    </w:p>
    <w:p w14:paraId="6A9280A0" w14:textId="77777777" w:rsidR="00DF2171" w:rsidRPr="00817671" w:rsidRDefault="00DF2171" w:rsidP="00DF2171">
      <w:pPr>
        <w:rPr>
          <w:rFonts w:ascii="Arial" w:hAnsi="Arial" w:cs="Arial"/>
          <w:b/>
          <w:sz w:val="20"/>
          <w:szCs w:val="20"/>
        </w:rPr>
      </w:pPr>
    </w:p>
    <w:p w14:paraId="115D6E31" w14:textId="77777777" w:rsidR="00DF2171" w:rsidRPr="00817671" w:rsidRDefault="00DF2171" w:rsidP="00DF2171">
      <w:pPr>
        <w:rPr>
          <w:rFonts w:ascii="Arial" w:hAnsi="Arial" w:cs="Arial"/>
          <w:sz w:val="20"/>
          <w:szCs w:val="20"/>
        </w:rPr>
      </w:pPr>
      <w:r w:rsidRPr="00817671">
        <w:rPr>
          <w:rFonts w:ascii="Arial" w:hAnsi="Arial" w:cs="Arial"/>
          <w:sz w:val="20"/>
          <w:szCs w:val="20"/>
        </w:rPr>
        <w:t xml:space="preserve">The ATA contact for this submission is Sam Marks on 02 6253 6900 or at </w:t>
      </w:r>
      <w:hyperlink r:id="rId11" w:history="1">
        <w:r w:rsidRPr="00817671">
          <w:rPr>
            <w:rStyle w:val="Hyperlink"/>
            <w:rFonts w:ascii="Arial" w:hAnsi="Arial" w:cs="Arial"/>
            <w:sz w:val="20"/>
            <w:szCs w:val="20"/>
          </w:rPr>
          <w:t>samuel.marks@truck.net.au</w:t>
        </w:r>
      </w:hyperlink>
      <w:r w:rsidRPr="00817671">
        <w:rPr>
          <w:rFonts w:ascii="Arial" w:hAnsi="Arial" w:cs="Arial"/>
          <w:sz w:val="20"/>
          <w:szCs w:val="20"/>
        </w:rPr>
        <w:t xml:space="preserve"> </w:t>
      </w:r>
    </w:p>
    <w:p w14:paraId="7A91897E" w14:textId="77777777" w:rsidR="00576ED0" w:rsidRPr="006E05F0" w:rsidRDefault="00576ED0" w:rsidP="009D1601">
      <w:pPr>
        <w:rPr>
          <w:rFonts w:ascii="Arial" w:hAnsi="Arial" w:cs="Arial"/>
        </w:rPr>
      </w:pPr>
      <w:r w:rsidRPr="006E05F0">
        <w:rPr>
          <w:rFonts w:ascii="Arial" w:hAnsi="Arial" w:cs="Arial"/>
        </w:rPr>
        <w:br w:type="page"/>
      </w:r>
    </w:p>
    <w:p w14:paraId="3C54AF71" w14:textId="77777777" w:rsidR="006233B3" w:rsidRPr="00054F0E" w:rsidRDefault="00054F0E" w:rsidP="00CB30A4">
      <w:pPr>
        <w:pStyle w:val="Heading1"/>
        <w:ind w:left="357" w:hanging="357"/>
        <w:rPr>
          <w:sz w:val="24"/>
          <w:szCs w:val="24"/>
        </w:rPr>
      </w:pPr>
      <w:bookmarkStart w:id="1" w:name="_Toc488842013"/>
      <w:r>
        <w:rPr>
          <w:sz w:val="24"/>
          <w:szCs w:val="24"/>
        </w:rPr>
        <w:t xml:space="preserve">About the </w:t>
      </w:r>
      <w:r w:rsidR="006233B3" w:rsidRPr="00054F0E">
        <w:rPr>
          <w:sz w:val="24"/>
          <w:szCs w:val="24"/>
        </w:rPr>
        <w:t>Australian Trucking Association</w:t>
      </w:r>
      <w:bookmarkEnd w:id="1"/>
    </w:p>
    <w:p w14:paraId="17DB67E2" w14:textId="77777777" w:rsidR="006233B3" w:rsidRPr="00540454" w:rsidRDefault="006233B3" w:rsidP="009D1601">
      <w:pPr>
        <w:pStyle w:val="BodyText2"/>
        <w:rPr>
          <w:b w:val="0"/>
          <w:szCs w:val="22"/>
        </w:rPr>
      </w:pPr>
    </w:p>
    <w:p w14:paraId="572CF6CF" w14:textId="77777777" w:rsidR="006233B3" w:rsidRPr="002F2016" w:rsidRDefault="006233B3" w:rsidP="00A77660">
      <w:pPr>
        <w:pStyle w:val="BodyText2"/>
        <w:rPr>
          <w:rFonts w:eastAsia="Calibri"/>
          <w:b w:val="0"/>
          <w:bCs w:val="0"/>
          <w:szCs w:val="22"/>
        </w:rPr>
      </w:pPr>
      <w:r w:rsidRPr="002F2016">
        <w:rPr>
          <w:rFonts w:eastAsia="Calibri"/>
          <w:b w:val="0"/>
          <w:bCs w:val="0"/>
          <w:szCs w:val="22"/>
        </w:rPr>
        <w:t>The ATA is the peak body represent</w:t>
      </w:r>
      <w:r w:rsidR="00324142" w:rsidRPr="002F2016">
        <w:rPr>
          <w:rFonts w:eastAsia="Calibri"/>
          <w:b w:val="0"/>
          <w:bCs w:val="0"/>
          <w:szCs w:val="22"/>
        </w:rPr>
        <w:t>ing</w:t>
      </w:r>
      <w:r w:rsidRPr="002F2016">
        <w:rPr>
          <w:rFonts w:eastAsia="Calibri"/>
          <w:b w:val="0"/>
          <w:bCs w:val="0"/>
          <w:szCs w:val="22"/>
        </w:rPr>
        <w:t xml:space="preserve"> the </w:t>
      </w:r>
      <w:r w:rsidR="00324142" w:rsidRPr="002F2016">
        <w:rPr>
          <w:rFonts w:eastAsia="Calibri"/>
          <w:b w:val="0"/>
          <w:bCs w:val="0"/>
          <w:szCs w:val="22"/>
        </w:rPr>
        <w:t xml:space="preserve">Australian </w:t>
      </w:r>
      <w:r w:rsidRPr="002F2016">
        <w:rPr>
          <w:rFonts w:eastAsia="Calibri"/>
          <w:b w:val="0"/>
          <w:bCs w:val="0"/>
          <w:szCs w:val="22"/>
        </w:rPr>
        <w:t>trucking industry. Its members include state and sector-based trucking associations, some of the nation’s largest transport companies, and businesses with leading expertise in truck technology.</w:t>
      </w:r>
    </w:p>
    <w:p w14:paraId="6996B66F" w14:textId="77777777" w:rsidR="0078106F" w:rsidRDefault="0078106F" w:rsidP="00054F0E"/>
    <w:p w14:paraId="2700FC63" w14:textId="77777777" w:rsidR="005D3BC8" w:rsidRPr="00054F0E" w:rsidRDefault="005D3BC8" w:rsidP="00054F0E"/>
    <w:p w14:paraId="29DE477F" w14:textId="77777777" w:rsidR="00A023EA" w:rsidRPr="00054F0E" w:rsidRDefault="006233B3" w:rsidP="00CB30A4">
      <w:pPr>
        <w:pStyle w:val="Heading1"/>
        <w:ind w:left="357" w:hanging="357"/>
        <w:rPr>
          <w:sz w:val="24"/>
          <w:szCs w:val="24"/>
        </w:rPr>
      </w:pPr>
      <w:bookmarkStart w:id="2" w:name="_Toc488842014"/>
      <w:r w:rsidRPr="00054F0E">
        <w:rPr>
          <w:sz w:val="24"/>
          <w:szCs w:val="24"/>
        </w:rPr>
        <w:t>Summary of r</w:t>
      </w:r>
      <w:r w:rsidR="00A023EA" w:rsidRPr="00054F0E">
        <w:rPr>
          <w:sz w:val="24"/>
          <w:szCs w:val="24"/>
        </w:rPr>
        <w:t>ecommendation</w:t>
      </w:r>
      <w:r w:rsidR="00CB73A3" w:rsidRPr="00054F0E">
        <w:rPr>
          <w:sz w:val="24"/>
          <w:szCs w:val="24"/>
        </w:rPr>
        <w:t>s</w:t>
      </w:r>
      <w:bookmarkEnd w:id="2"/>
    </w:p>
    <w:p w14:paraId="4F69AAE1" w14:textId="77777777" w:rsidR="00F92938" w:rsidRDefault="00F92938" w:rsidP="009D1601">
      <w:pPr>
        <w:rPr>
          <w:rFonts w:ascii="Arial" w:eastAsiaTheme="minorHAnsi" w:hAnsi="Arial" w:cs="Arial"/>
        </w:rPr>
      </w:pPr>
    </w:p>
    <w:p w14:paraId="422B8B86" w14:textId="77777777" w:rsidR="00B43BDF" w:rsidRDefault="00B43BDF" w:rsidP="009D1601">
      <w:pPr>
        <w:rPr>
          <w:rFonts w:ascii="Arial" w:eastAsiaTheme="minorHAnsi" w:hAnsi="Arial" w:cs="Arial"/>
        </w:rPr>
      </w:pPr>
    </w:p>
    <w:p w14:paraId="71AE9697" w14:textId="77777777" w:rsidR="00E71CB8" w:rsidRDefault="00E71CB8" w:rsidP="00E71CB8">
      <w:pPr>
        <w:rPr>
          <w:rFonts w:ascii="Arial" w:hAnsi="Arial" w:cs="Arial"/>
        </w:rPr>
      </w:pPr>
      <w:r>
        <w:rPr>
          <w:rFonts w:ascii="Arial" w:hAnsi="Arial" w:cs="Arial"/>
          <w:b/>
        </w:rPr>
        <w:t>Recommendation 1</w:t>
      </w:r>
    </w:p>
    <w:p w14:paraId="4A0FDEDC" w14:textId="63373400" w:rsidR="00663CEF" w:rsidRDefault="00E71CB8" w:rsidP="00663CEF">
      <w:pPr>
        <w:rPr>
          <w:rFonts w:ascii="Arial" w:hAnsi="Arial" w:cs="Arial"/>
        </w:rPr>
      </w:pPr>
      <w:r>
        <w:rPr>
          <w:rFonts w:ascii="Arial" w:hAnsi="Arial" w:cs="Arial"/>
        </w:rPr>
        <w:t xml:space="preserve">The National Freight and </w:t>
      </w:r>
      <w:r w:rsidR="00E54F20">
        <w:rPr>
          <w:rFonts w:ascii="Arial" w:hAnsi="Arial" w:cs="Arial"/>
        </w:rPr>
        <w:t xml:space="preserve">Supply Chain Strategy should </w:t>
      </w:r>
      <w:r>
        <w:rPr>
          <w:rFonts w:ascii="Arial" w:hAnsi="Arial" w:cs="Arial"/>
        </w:rPr>
        <w:t>commit to fair and competitive supply chain costs, and include</w:t>
      </w:r>
      <w:r w:rsidR="00663CEF">
        <w:rPr>
          <w:rFonts w:ascii="Arial" w:hAnsi="Arial" w:cs="Arial"/>
        </w:rPr>
        <w:t xml:space="preserve"> </w:t>
      </w:r>
      <w:r w:rsidRPr="00663CEF">
        <w:rPr>
          <w:rFonts w:ascii="Arial" w:hAnsi="Arial" w:cs="Arial"/>
        </w:rPr>
        <w:t>a commitment to</w:t>
      </w:r>
      <w:r w:rsidR="00663CEF">
        <w:rPr>
          <w:rFonts w:ascii="Arial" w:hAnsi="Arial" w:cs="Arial"/>
        </w:rPr>
        <w:t xml:space="preserve"> implement independent pr</w:t>
      </w:r>
      <w:r w:rsidR="00DF2171">
        <w:rPr>
          <w:rFonts w:ascii="Arial" w:hAnsi="Arial" w:cs="Arial"/>
        </w:rPr>
        <w:t>ice regulation of heavy vehicle charges</w:t>
      </w:r>
      <w:r w:rsidR="00663CEF">
        <w:rPr>
          <w:rFonts w:ascii="Arial" w:hAnsi="Arial" w:cs="Arial"/>
        </w:rPr>
        <w:t>, ensuring that the new system does not continue the present overcharging of trucking operators and Australia’s supply chains.</w:t>
      </w:r>
    </w:p>
    <w:p w14:paraId="7DB7ACA0" w14:textId="77777777" w:rsidR="00B95985" w:rsidRDefault="00B95985" w:rsidP="009D1601"/>
    <w:p w14:paraId="324111CB" w14:textId="4BEE4759" w:rsidR="00E71CB8" w:rsidRDefault="00663CEF" w:rsidP="00E71CB8">
      <w:pPr>
        <w:rPr>
          <w:rFonts w:ascii="Arial" w:hAnsi="Arial" w:cs="Arial"/>
        </w:rPr>
      </w:pPr>
      <w:r>
        <w:rPr>
          <w:rFonts w:ascii="Arial" w:hAnsi="Arial" w:cs="Arial"/>
          <w:b/>
        </w:rPr>
        <w:t>Recomme</w:t>
      </w:r>
      <w:r w:rsidR="00B43BDF">
        <w:rPr>
          <w:rFonts w:ascii="Arial" w:hAnsi="Arial" w:cs="Arial"/>
          <w:b/>
        </w:rPr>
        <w:t>ndation 2</w:t>
      </w:r>
    </w:p>
    <w:p w14:paraId="05546627" w14:textId="3CB901D4" w:rsidR="00E71CB8" w:rsidRPr="00D105FD" w:rsidRDefault="00E71CB8" w:rsidP="00E71CB8">
      <w:pPr>
        <w:rPr>
          <w:rFonts w:ascii="Arial" w:hAnsi="Arial" w:cs="Arial"/>
        </w:rPr>
      </w:pPr>
      <w:r>
        <w:rPr>
          <w:rFonts w:ascii="Arial" w:hAnsi="Arial" w:cs="Arial"/>
        </w:rPr>
        <w:t xml:space="preserve">Toll road and landside port charges for heavy vehicles </w:t>
      </w:r>
      <w:r w:rsidR="00C9189B">
        <w:rPr>
          <w:rFonts w:ascii="Arial" w:hAnsi="Arial" w:cs="Arial"/>
        </w:rPr>
        <w:t>should</w:t>
      </w:r>
      <w:r>
        <w:rPr>
          <w:rFonts w:ascii="Arial" w:hAnsi="Arial" w:cs="Arial"/>
        </w:rPr>
        <w:t xml:space="preserve"> be regulated under a future </w:t>
      </w:r>
      <w:r w:rsidRPr="00D105FD">
        <w:rPr>
          <w:rFonts w:ascii="Arial" w:hAnsi="Arial" w:cs="Arial"/>
        </w:rPr>
        <w:t>heavy vehicle economic regulator</w:t>
      </w:r>
      <w:r>
        <w:rPr>
          <w:rFonts w:ascii="Arial" w:hAnsi="Arial" w:cs="Arial"/>
        </w:rPr>
        <w:t xml:space="preserve">, and this reform objective should be reflected in the </w:t>
      </w:r>
      <w:r w:rsidRPr="002D5328">
        <w:rPr>
          <w:rFonts w:ascii="Arial" w:hAnsi="Arial" w:cs="Arial"/>
        </w:rPr>
        <w:t>National Freight and Supply Chain Strategy</w:t>
      </w:r>
      <w:r>
        <w:rPr>
          <w:rFonts w:ascii="Arial" w:hAnsi="Arial" w:cs="Arial"/>
        </w:rPr>
        <w:t>.</w:t>
      </w:r>
    </w:p>
    <w:p w14:paraId="46DD8F1B" w14:textId="77777777" w:rsidR="00E71CB8" w:rsidRDefault="00E71CB8" w:rsidP="009D1601"/>
    <w:p w14:paraId="11EA4339" w14:textId="57C49DD4" w:rsidR="00E71CB8" w:rsidRDefault="00B43BDF" w:rsidP="00E71CB8">
      <w:pPr>
        <w:rPr>
          <w:rFonts w:ascii="Arial" w:hAnsi="Arial" w:cs="Arial"/>
        </w:rPr>
      </w:pPr>
      <w:r>
        <w:rPr>
          <w:rFonts w:ascii="Arial" w:hAnsi="Arial" w:cs="Arial"/>
          <w:b/>
        </w:rPr>
        <w:t>Recommendation 3</w:t>
      </w:r>
    </w:p>
    <w:p w14:paraId="632193FB" w14:textId="1554A67C" w:rsidR="00E71CB8" w:rsidRDefault="00E71CB8" w:rsidP="00E71CB8">
      <w:pPr>
        <w:rPr>
          <w:rFonts w:ascii="Arial" w:hAnsi="Arial" w:cs="Arial"/>
        </w:rPr>
      </w:pPr>
      <w:r>
        <w:rPr>
          <w:rFonts w:ascii="Arial" w:hAnsi="Arial" w:cs="Arial"/>
        </w:rPr>
        <w:t xml:space="preserve">The </w:t>
      </w:r>
      <w:r w:rsidR="00663CEF">
        <w:rPr>
          <w:rFonts w:ascii="Arial" w:hAnsi="Arial" w:cs="Arial"/>
        </w:rPr>
        <w:t xml:space="preserve">National Freight and Supply Chain Strategy should </w:t>
      </w:r>
      <w:r w:rsidR="00DF2171">
        <w:rPr>
          <w:rFonts w:ascii="Arial" w:hAnsi="Arial" w:cs="Arial"/>
        </w:rPr>
        <w:t>continue and accelerate</w:t>
      </w:r>
      <w:r w:rsidR="00FC1125">
        <w:rPr>
          <w:rFonts w:ascii="Arial" w:hAnsi="Arial" w:cs="Arial"/>
        </w:rPr>
        <w:t xml:space="preserve"> the</w:t>
      </w:r>
      <w:r>
        <w:rPr>
          <w:rFonts w:ascii="Arial" w:hAnsi="Arial" w:cs="Arial"/>
        </w:rPr>
        <w:t xml:space="preserve"> road investment reform agenda, including:</w:t>
      </w:r>
    </w:p>
    <w:p w14:paraId="1A36FFD1" w14:textId="77777777" w:rsidR="00E71CB8" w:rsidRDefault="00E71CB8" w:rsidP="00DF2171">
      <w:pPr>
        <w:pStyle w:val="ListParagraph"/>
        <w:numPr>
          <w:ilvl w:val="0"/>
          <w:numId w:val="18"/>
        </w:numPr>
        <w:spacing w:after="0" w:line="240" w:lineRule="auto"/>
        <w:ind w:left="714" w:hanging="357"/>
        <w:rPr>
          <w:rFonts w:ascii="Arial" w:hAnsi="Arial" w:cs="Arial"/>
        </w:rPr>
      </w:pPr>
      <w:r>
        <w:rPr>
          <w:rFonts w:ascii="Arial" w:hAnsi="Arial" w:cs="Arial"/>
        </w:rPr>
        <w:t>Introduction of independent management of road networks and selection of road investment and maintenance projects (such as by a road fund).</w:t>
      </w:r>
    </w:p>
    <w:p w14:paraId="4B00C386" w14:textId="77777777" w:rsidR="00E71CB8" w:rsidRDefault="00E71CB8" w:rsidP="00DF2171">
      <w:pPr>
        <w:pStyle w:val="ListParagraph"/>
        <w:numPr>
          <w:ilvl w:val="0"/>
          <w:numId w:val="18"/>
        </w:numPr>
        <w:spacing w:after="0" w:line="240" w:lineRule="auto"/>
        <w:ind w:left="714" w:hanging="357"/>
        <w:rPr>
          <w:rFonts w:ascii="Arial" w:hAnsi="Arial" w:cs="Arial"/>
        </w:rPr>
      </w:pPr>
      <w:r>
        <w:rPr>
          <w:rFonts w:ascii="Arial" w:hAnsi="Arial" w:cs="Arial"/>
        </w:rPr>
        <w:t>Long term and stable road funding, based on hypothecated revenue of road related charges.</w:t>
      </w:r>
    </w:p>
    <w:p w14:paraId="7759DA45" w14:textId="77777777" w:rsidR="00E71CB8" w:rsidRDefault="00E71CB8" w:rsidP="00DF2171">
      <w:pPr>
        <w:pStyle w:val="ListParagraph"/>
        <w:numPr>
          <w:ilvl w:val="0"/>
          <w:numId w:val="18"/>
        </w:numPr>
        <w:spacing w:after="0" w:line="240" w:lineRule="auto"/>
        <w:ind w:left="714" w:hanging="357"/>
        <w:rPr>
          <w:rFonts w:ascii="Arial" w:hAnsi="Arial" w:cs="Arial"/>
        </w:rPr>
      </w:pPr>
      <w:r>
        <w:rPr>
          <w:rFonts w:ascii="Arial" w:hAnsi="Arial" w:cs="Arial"/>
        </w:rPr>
        <w:t xml:space="preserve">Government setting of priorities for road network outcomes, to be achieved by independent road management. </w:t>
      </w:r>
    </w:p>
    <w:p w14:paraId="6AE977CE" w14:textId="77777777" w:rsidR="00DF2171" w:rsidRPr="00DF2171" w:rsidRDefault="00DF2171" w:rsidP="00DF2171">
      <w:pPr>
        <w:rPr>
          <w:rFonts w:ascii="Arial" w:hAnsi="Arial" w:cs="Arial"/>
        </w:rPr>
      </w:pPr>
    </w:p>
    <w:p w14:paraId="4D178D2A" w14:textId="4FC2FB59" w:rsidR="00E71CB8" w:rsidRDefault="00B43BDF" w:rsidP="00E71CB8">
      <w:pPr>
        <w:rPr>
          <w:rFonts w:ascii="Arial" w:hAnsi="Arial" w:cs="Arial"/>
        </w:rPr>
      </w:pPr>
      <w:r>
        <w:rPr>
          <w:rFonts w:ascii="Arial" w:hAnsi="Arial" w:cs="Arial"/>
          <w:b/>
        </w:rPr>
        <w:t>Recommendation 4</w:t>
      </w:r>
    </w:p>
    <w:p w14:paraId="1B8F6717" w14:textId="77777777" w:rsidR="00E71CB8" w:rsidRPr="00E71CB8" w:rsidRDefault="00E71CB8" w:rsidP="00E71CB8">
      <w:pPr>
        <w:rPr>
          <w:rFonts w:ascii="Arial" w:hAnsi="Arial" w:cs="Arial"/>
        </w:rPr>
      </w:pPr>
      <w:r>
        <w:rPr>
          <w:rFonts w:ascii="Arial" w:hAnsi="Arial" w:cs="Arial"/>
        </w:rPr>
        <w:t xml:space="preserve">Road managers should improve the maintenance of the existing network and protection of current and future corridors to reduce the overall life cycle costs of the road network. </w:t>
      </w:r>
    </w:p>
    <w:p w14:paraId="6772A73C" w14:textId="77777777" w:rsidR="00E71CB8" w:rsidRDefault="00E71CB8" w:rsidP="00E71CB8">
      <w:pPr>
        <w:rPr>
          <w:rFonts w:ascii="Arial" w:hAnsi="Arial" w:cs="Arial"/>
        </w:rPr>
      </w:pPr>
    </w:p>
    <w:p w14:paraId="34868662" w14:textId="30DD587C" w:rsidR="00E71CB8" w:rsidRDefault="00E71CB8" w:rsidP="00E71CB8">
      <w:pPr>
        <w:tabs>
          <w:tab w:val="left" w:pos="992"/>
        </w:tabs>
        <w:rPr>
          <w:rFonts w:ascii="Arial" w:hAnsi="Arial" w:cs="Arial"/>
        </w:rPr>
      </w:pPr>
      <w:r w:rsidRPr="00AC1B66">
        <w:rPr>
          <w:rFonts w:ascii="Arial" w:hAnsi="Arial" w:cs="Arial"/>
          <w:b/>
        </w:rPr>
        <w:t>Recommendation</w:t>
      </w:r>
      <w:r w:rsidR="00B43BDF">
        <w:rPr>
          <w:rFonts w:ascii="Arial" w:hAnsi="Arial" w:cs="Arial"/>
          <w:b/>
        </w:rPr>
        <w:t xml:space="preserve"> 5</w:t>
      </w:r>
    </w:p>
    <w:p w14:paraId="27DE326C" w14:textId="77777777" w:rsidR="00E71CB8" w:rsidRPr="00AC1B66" w:rsidRDefault="00E71CB8" w:rsidP="00E71CB8">
      <w:pPr>
        <w:tabs>
          <w:tab w:val="left" w:pos="992"/>
        </w:tabs>
        <w:rPr>
          <w:rFonts w:ascii="Arial" w:hAnsi="Arial" w:cs="Arial"/>
        </w:rPr>
      </w:pPr>
      <w:r>
        <w:rPr>
          <w:rFonts w:ascii="Arial" w:hAnsi="Arial" w:cs="Arial"/>
        </w:rPr>
        <w:t xml:space="preserve">The Australian Government policy to require infrastructure investments of more than $100 million to be positively assessed by Infrastructure Australia should be made a legislated requirement. Commitments made in advance of this assessment should be contingent on receiving a positive assessment from Infrastructure Australia. </w:t>
      </w:r>
    </w:p>
    <w:p w14:paraId="6BDF2027" w14:textId="77777777" w:rsidR="005D3BC8" w:rsidRDefault="005D3BC8" w:rsidP="009D1601"/>
    <w:p w14:paraId="438BB966" w14:textId="0B435718" w:rsidR="00CB2530" w:rsidRPr="00E71CB8" w:rsidRDefault="00CB2530" w:rsidP="00CB2530">
      <w:pPr>
        <w:rPr>
          <w:rFonts w:ascii="Arial" w:hAnsi="Arial" w:cs="Arial"/>
        </w:rPr>
      </w:pPr>
      <w:r w:rsidRPr="00E71CB8">
        <w:rPr>
          <w:rFonts w:ascii="Arial" w:hAnsi="Arial" w:cs="Arial"/>
          <w:b/>
        </w:rPr>
        <w:t>Recommendation</w:t>
      </w:r>
      <w:r w:rsidR="00B43BDF">
        <w:rPr>
          <w:rFonts w:ascii="Arial" w:hAnsi="Arial" w:cs="Arial"/>
          <w:b/>
        </w:rPr>
        <w:t xml:space="preserve"> 6</w:t>
      </w:r>
    </w:p>
    <w:p w14:paraId="6C4764E4" w14:textId="13ECE967" w:rsidR="00FC1125" w:rsidRDefault="00C9189B" w:rsidP="00FC1125">
      <w:pPr>
        <w:rPr>
          <w:rFonts w:ascii="Arial" w:hAnsi="Arial" w:cs="Arial"/>
        </w:rPr>
      </w:pPr>
      <w:r>
        <w:rPr>
          <w:rFonts w:ascii="Arial" w:hAnsi="Arial" w:cs="Arial"/>
        </w:rPr>
        <w:t>As part of t</w:t>
      </w:r>
      <w:r w:rsidR="00FC1125" w:rsidRPr="00E71CB8">
        <w:rPr>
          <w:rFonts w:ascii="Arial" w:hAnsi="Arial" w:cs="Arial"/>
        </w:rPr>
        <w:t>he National Freight and Supply Chain Strategy</w:t>
      </w:r>
      <w:r>
        <w:rPr>
          <w:rFonts w:ascii="Arial" w:hAnsi="Arial" w:cs="Arial"/>
        </w:rPr>
        <w:t>, the Government</w:t>
      </w:r>
      <w:r w:rsidR="00FC1125" w:rsidRPr="00E71CB8">
        <w:rPr>
          <w:rFonts w:ascii="Arial" w:hAnsi="Arial" w:cs="Arial"/>
        </w:rPr>
        <w:t xml:space="preserve"> should </w:t>
      </w:r>
      <w:r>
        <w:rPr>
          <w:rFonts w:ascii="Arial" w:hAnsi="Arial" w:cs="Arial"/>
        </w:rPr>
        <w:t>address</w:t>
      </w:r>
      <w:r w:rsidR="00FC1125">
        <w:rPr>
          <w:rFonts w:ascii="Arial" w:hAnsi="Arial" w:cs="Arial"/>
        </w:rPr>
        <w:t xml:space="preserve"> regional and remote issues by:</w:t>
      </w:r>
    </w:p>
    <w:p w14:paraId="09F67033" w14:textId="77777777" w:rsidR="00FC1125" w:rsidRDefault="00FC1125" w:rsidP="00FC1125">
      <w:pPr>
        <w:pStyle w:val="ListParagraph"/>
        <w:numPr>
          <w:ilvl w:val="0"/>
          <w:numId w:val="20"/>
        </w:numPr>
        <w:spacing w:after="0" w:line="240" w:lineRule="auto"/>
        <w:ind w:left="714" w:hanging="357"/>
        <w:rPr>
          <w:rFonts w:ascii="Arial" w:hAnsi="Arial" w:cs="Arial"/>
        </w:rPr>
      </w:pPr>
      <w:r>
        <w:rPr>
          <w:rFonts w:ascii="Arial" w:hAnsi="Arial" w:cs="Arial"/>
        </w:rPr>
        <w:t>A</w:t>
      </w:r>
      <w:r w:rsidRPr="00CB2530">
        <w:rPr>
          <w:rFonts w:ascii="Arial" w:hAnsi="Arial" w:cs="Arial"/>
        </w:rPr>
        <w:t>ddress</w:t>
      </w:r>
      <w:r>
        <w:rPr>
          <w:rFonts w:ascii="Arial" w:hAnsi="Arial" w:cs="Arial"/>
        </w:rPr>
        <w:t>ing</w:t>
      </w:r>
      <w:r w:rsidRPr="00CB2530">
        <w:rPr>
          <w:rFonts w:ascii="Arial" w:hAnsi="Arial" w:cs="Arial"/>
        </w:rPr>
        <w:t xml:space="preserve"> road infrastructure gaps identified in the Northern Australia Infrastructure Audit, including a focus on providing year round and high productivity freight vehicle road and bridge access.</w:t>
      </w:r>
    </w:p>
    <w:p w14:paraId="4E3B0142" w14:textId="77777777" w:rsidR="00FC1125" w:rsidRDefault="00FC1125" w:rsidP="00FC1125">
      <w:pPr>
        <w:pStyle w:val="ListParagraph"/>
        <w:numPr>
          <w:ilvl w:val="0"/>
          <w:numId w:val="20"/>
        </w:numPr>
        <w:spacing w:after="0" w:line="240" w:lineRule="auto"/>
        <w:ind w:left="714" w:hanging="357"/>
        <w:rPr>
          <w:rFonts w:ascii="Arial" w:hAnsi="Arial" w:cs="Arial"/>
        </w:rPr>
      </w:pPr>
      <w:r>
        <w:rPr>
          <w:rFonts w:ascii="Arial" w:hAnsi="Arial" w:cs="Arial"/>
        </w:rPr>
        <w:t>Allocating additional specific funding for regional and remote road projects in the short to medium term future.</w:t>
      </w:r>
    </w:p>
    <w:p w14:paraId="48AC2BAD" w14:textId="704442DB" w:rsidR="00FC1125" w:rsidRPr="00CB2530" w:rsidRDefault="00FC1125" w:rsidP="00FC1125">
      <w:pPr>
        <w:pStyle w:val="ListParagraph"/>
        <w:numPr>
          <w:ilvl w:val="0"/>
          <w:numId w:val="20"/>
        </w:numPr>
        <w:spacing w:after="0" w:line="240" w:lineRule="auto"/>
        <w:ind w:left="714" w:hanging="357"/>
        <w:rPr>
          <w:rFonts w:ascii="Arial" w:hAnsi="Arial" w:cs="Arial"/>
        </w:rPr>
      </w:pPr>
      <w:r>
        <w:rPr>
          <w:rFonts w:ascii="Arial" w:hAnsi="Arial" w:cs="Arial"/>
        </w:rPr>
        <w:t>Develop</w:t>
      </w:r>
      <w:r w:rsidR="00C9189B">
        <w:rPr>
          <w:rFonts w:ascii="Arial" w:hAnsi="Arial" w:cs="Arial"/>
        </w:rPr>
        <w:t xml:space="preserve">ing </w:t>
      </w:r>
      <w:r>
        <w:rPr>
          <w:rFonts w:ascii="Arial" w:hAnsi="Arial" w:cs="Arial"/>
        </w:rPr>
        <w:t xml:space="preserve">and </w:t>
      </w:r>
      <w:r w:rsidR="00C9189B">
        <w:rPr>
          <w:rFonts w:ascii="Arial" w:hAnsi="Arial" w:cs="Arial"/>
        </w:rPr>
        <w:t>adopting</w:t>
      </w:r>
      <w:r>
        <w:rPr>
          <w:rFonts w:ascii="Arial" w:hAnsi="Arial" w:cs="Arial"/>
        </w:rPr>
        <w:t xml:space="preserve"> an economic analysis framework for the assessment of regional and remote road projects by independent road funds</w:t>
      </w:r>
      <w:r w:rsidRPr="00E71CB8">
        <w:rPr>
          <w:rFonts w:ascii="Arial" w:hAnsi="Arial" w:cs="Arial"/>
        </w:rPr>
        <w:t>.</w:t>
      </w:r>
    </w:p>
    <w:p w14:paraId="012AB2A8" w14:textId="77777777" w:rsidR="00061ABF" w:rsidRDefault="00061ABF" w:rsidP="00CB2530">
      <w:pPr>
        <w:tabs>
          <w:tab w:val="left" w:pos="992"/>
        </w:tabs>
        <w:rPr>
          <w:rFonts w:ascii="Arial" w:hAnsi="Arial" w:cs="Arial"/>
          <w:b/>
        </w:rPr>
      </w:pPr>
      <w:r>
        <w:rPr>
          <w:rFonts w:ascii="Arial" w:hAnsi="Arial" w:cs="Arial"/>
          <w:b/>
        </w:rPr>
        <w:br w:type="page"/>
      </w:r>
    </w:p>
    <w:p w14:paraId="717B0BC1" w14:textId="552E2625" w:rsidR="00CB2530" w:rsidRDefault="00CB2530" w:rsidP="00CB2530">
      <w:pPr>
        <w:tabs>
          <w:tab w:val="left" w:pos="992"/>
        </w:tabs>
        <w:rPr>
          <w:rFonts w:ascii="Arial" w:hAnsi="Arial" w:cs="Arial"/>
          <w:b/>
        </w:rPr>
      </w:pPr>
      <w:r>
        <w:rPr>
          <w:rFonts w:ascii="Arial" w:hAnsi="Arial" w:cs="Arial"/>
          <w:b/>
        </w:rPr>
        <w:t>Recommendation</w:t>
      </w:r>
      <w:r w:rsidR="00B43BDF">
        <w:rPr>
          <w:rFonts w:ascii="Arial" w:hAnsi="Arial" w:cs="Arial"/>
          <w:b/>
        </w:rPr>
        <w:t xml:space="preserve"> 7</w:t>
      </w:r>
    </w:p>
    <w:p w14:paraId="187ECDB9" w14:textId="106FFF37" w:rsidR="00CB2530" w:rsidRDefault="00CB2530" w:rsidP="00DF2171">
      <w:pPr>
        <w:rPr>
          <w:rFonts w:ascii="Arial" w:hAnsi="Arial" w:cs="Arial"/>
        </w:rPr>
      </w:pPr>
      <w:r>
        <w:rPr>
          <w:rFonts w:ascii="Arial" w:hAnsi="Arial" w:cs="Arial"/>
        </w:rPr>
        <w:t xml:space="preserve">The road investment reform agenda needs to include </w:t>
      </w:r>
      <w:r w:rsidR="00DF2171">
        <w:rPr>
          <w:rFonts w:ascii="Arial" w:hAnsi="Arial" w:cs="Arial"/>
        </w:rPr>
        <w:t>setting</w:t>
      </w:r>
      <w:r>
        <w:rPr>
          <w:rFonts w:ascii="Arial" w:hAnsi="Arial" w:cs="Arial"/>
        </w:rPr>
        <w:t xml:space="preserve"> service levels for roads. This should incorporate:</w:t>
      </w:r>
    </w:p>
    <w:p w14:paraId="53A6E72E" w14:textId="77777777" w:rsidR="00CB2530" w:rsidRDefault="00CB2530" w:rsidP="00DF2171">
      <w:pPr>
        <w:pStyle w:val="ListParagraph"/>
        <w:numPr>
          <w:ilvl w:val="0"/>
          <w:numId w:val="19"/>
        </w:numPr>
        <w:spacing w:after="0" w:line="240" w:lineRule="auto"/>
        <w:rPr>
          <w:rFonts w:ascii="Arial" w:hAnsi="Arial" w:cs="Arial"/>
        </w:rPr>
      </w:pPr>
      <w:r>
        <w:rPr>
          <w:rFonts w:ascii="Arial" w:hAnsi="Arial" w:cs="Arial"/>
        </w:rPr>
        <w:t>Setting road access service standards for significant freight and supply chain corridors, which allow the use of modern, high productivity freight vehicles operating at higher mass limits.</w:t>
      </w:r>
    </w:p>
    <w:p w14:paraId="44FFB9A9" w14:textId="77777777" w:rsidR="00CB2530" w:rsidRDefault="00CB2530" w:rsidP="00DF2171">
      <w:pPr>
        <w:pStyle w:val="ListParagraph"/>
        <w:numPr>
          <w:ilvl w:val="0"/>
          <w:numId w:val="19"/>
        </w:numPr>
        <w:spacing w:after="0" w:line="240" w:lineRule="auto"/>
        <w:rPr>
          <w:rFonts w:ascii="Arial" w:hAnsi="Arial" w:cs="Arial"/>
        </w:rPr>
      </w:pPr>
      <w:r>
        <w:rPr>
          <w:rFonts w:ascii="Arial" w:hAnsi="Arial" w:cs="Arial"/>
        </w:rPr>
        <w:t>Setting significant ‘last mile’ higher mass limit connections, connecting our supply chain corridors with industrial, port, agricultural and other economic businesses, both in regional and urban areas.</w:t>
      </w:r>
    </w:p>
    <w:p w14:paraId="21825C17" w14:textId="7262C610" w:rsidR="00CB2530" w:rsidRDefault="00CB2530" w:rsidP="00DF2171">
      <w:pPr>
        <w:pStyle w:val="ListParagraph"/>
        <w:numPr>
          <w:ilvl w:val="0"/>
          <w:numId w:val="19"/>
        </w:numPr>
        <w:spacing w:after="0" w:line="240" w:lineRule="auto"/>
        <w:rPr>
          <w:rFonts w:ascii="Arial" w:hAnsi="Arial" w:cs="Arial"/>
        </w:rPr>
      </w:pPr>
      <w:r>
        <w:rPr>
          <w:rFonts w:ascii="Arial" w:hAnsi="Arial" w:cs="Arial"/>
        </w:rPr>
        <w:t xml:space="preserve">Setting road access service </w:t>
      </w:r>
      <w:r w:rsidR="000342F9">
        <w:rPr>
          <w:rFonts w:ascii="Arial" w:hAnsi="Arial" w:cs="Arial"/>
        </w:rPr>
        <w:t>levels for other freight routes, and include the provision of rest areas and, where appropriate, livestock effluent dumping facilities.</w:t>
      </w:r>
    </w:p>
    <w:p w14:paraId="321F35E1" w14:textId="0CF38E86" w:rsidR="000342F9" w:rsidRDefault="00C9189B" w:rsidP="00DF2171">
      <w:pPr>
        <w:pStyle w:val="ListParagraph"/>
        <w:numPr>
          <w:ilvl w:val="0"/>
          <w:numId w:val="19"/>
        </w:numPr>
        <w:spacing w:after="0" w:line="240" w:lineRule="auto"/>
        <w:rPr>
          <w:rFonts w:ascii="Arial" w:hAnsi="Arial" w:cs="Arial"/>
        </w:rPr>
      </w:pPr>
      <w:r>
        <w:rPr>
          <w:rFonts w:ascii="Arial" w:hAnsi="Arial" w:cs="Arial"/>
        </w:rPr>
        <w:t>Specifying</w:t>
      </w:r>
      <w:r w:rsidR="000342F9">
        <w:rPr>
          <w:rFonts w:ascii="Arial" w:hAnsi="Arial" w:cs="Arial"/>
        </w:rPr>
        <w:t xml:space="preserve"> roads that are ready for vehicles with higher levels of automation.</w:t>
      </w:r>
    </w:p>
    <w:p w14:paraId="2113B413" w14:textId="77777777" w:rsidR="00CB2530" w:rsidRDefault="00CB2530" w:rsidP="00DF2171">
      <w:pPr>
        <w:pStyle w:val="ListParagraph"/>
        <w:numPr>
          <w:ilvl w:val="0"/>
          <w:numId w:val="19"/>
        </w:numPr>
        <w:spacing w:after="0" w:line="240" w:lineRule="auto"/>
        <w:rPr>
          <w:rFonts w:ascii="Arial" w:hAnsi="Arial" w:cs="Arial"/>
        </w:rPr>
      </w:pPr>
      <w:r>
        <w:rPr>
          <w:rFonts w:ascii="Arial" w:hAnsi="Arial" w:cs="Arial"/>
        </w:rPr>
        <w:t xml:space="preserve">Mandating communication and mobile data access standards. </w:t>
      </w:r>
    </w:p>
    <w:p w14:paraId="0BF00EF4" w14:textId="647EAEC4" w:rsidR="00CB2530" w:rsidRDefault="00CB2530" w:rsidP="00DF2171">
      <w:pPr>
        <w:pStyle w:val="ListParagraph"/>
        <w:numPr>
          <w:ilvl w:val="0"/>
          <w:numId w:val="19"/>
        </w:numPr>
        <w:spacing w:after="0" w:line="240" w:lineRule="auto"/>
        <w:rPr>
          <w:rFonts w:ascii="Arial" w:hAnsi="Arial" w:cs="Arial"/>
        </w:rPr>
      </w:pPr>
      <w:r>
        <w:rPr>
          <w:rFonts w:ascii="Arial" w:hAnsi="Arial" w:cs="Arial"/>
        </w:rPr>
        <w:t xml:space="preserve">Road service standards </w:t>
      </w:r>
      <w:r w:rsidR="00C9189B">
        <w:rPr>
          <w:rFonts w:ascii="Arial" w:hAnsi="Arial" w:cs="Arial"/>
        </w:rPr>
        <w:t>that</w:t>
      </w:r>
      <w:r>
        <w:rPr>
          <w:rFonts w:ascii="Arial" w:hAnsi="Arial" w:cs="Arial"/>
        </w:rPr>
        <w:t xml:space="preserve"> restrict the imposition of caps, curfews, and restrictions on identified routes, including in urban areas. </w:t>
      </w:r>
    </w:p>
    <w:p w14:paraId="43CB2C5B" w14:textId="77777777" w:rsidR="00E71CB8" w:rsidRPr="0043779B" w:rsidRDefault="00E71CB8" w:rsidP="009D1601"/>
    <w:p w14:paraId="42A49999" w14:textId="5FE106E1" w:rsidR="006233B3" w:rsidRPr="00242D21" w:rsidRDefault="00E82AA0" w:rsidP="00CB30A4">
      <w:pPr>
        <w:pStyle w:val="Heading1"/>
        <w:ind w:left="357" w:hanging="357"/>
        <w:rPr>
          <w:sz w:val="24"/>
          <w:szCs w:val="24"/>
        </w:rPr>
      </w:pPr>
      <w:bookmarkStart w:id="3" w:name="_Toc488842015"/>
      <w:r>
        <w:rPr>
          <w:sz w:val="24"/>
          <w:szCs w:val="24"/>
        </w:rPr>
        <w:t>Introduction</w:t>
      </w:r>
      <w:bookmarkEnd w:id="3"/>
    </w:p>
    <w:p w14:paraId="3FA56989" w14:textId="77777777" w:rsidR="006233B3" w:rsidRDefault="006233B3" w:rsidP="009D1601">
      <w:pPr>
        <w:rPr>
          <w:rFonts w:ascii="Arial" w:eastAsia="Times New Roman" w:hAnsi="Arial" w:cs="Arial"/>
          <w:bCs/>
        </w:rPr>
      </w:pPr>
    </w:p>
    <w:p w14:paraId="70587FC6" w14:textId="4CC1F5FD" w:rsidR="004F521F" w:rsidRDefault="004F521F" w:rsidP="004F521F">
      <w:pPr>
        <w:rPr>
          <w:rFonts w:ascii="Arial" w:hAnsi="Arial" w:cs="Arial"/>
        </w:rPr>
      </w:pPr>
      <w:r>
        <w:rPr>
          <w:rFonts w:ascii="Arial" w:hAnsi="Arial" w:cs="Arial"/>
        </w:rPr>
        <w:t>The Australian Government has launched a number of freight, infrastructure, and transport initiatives. These include:</w:t>
      </w:r>
    </w:p>
    <w:p w14:paraId="0E2AD13C" w14:textId="77777777" w:rsidR="004F521F" w:rsidRPr="005574CA" w:rsidRDefault="004F521F" w:rsidP="00DF2171">
      <w:pPr>
        <w:pStyle w:val="ListParagraph"/>
        <w:numPr>
          <w:ilvl w:val="0"/>
          <w:numId w:val="7"/>
        </w:numPr>
        <w:spacing w:after="0" w:line="240" w:lineRule="auto"/>
        <w:ind w:left="714" w:hanging="357"/>
        <w:rPr>
          <w:rFonts w:ascii="Arial" w:hAnsi="Arial" w:cs="Arial"/>
        </w:rPr>
      </w:pPr>
      <w:r w:rsidRPr="005574CA">
        <w:rPr>
          <w:rFonts w:ascii="Arial" w:hAnsi="Arial" w:cs="Arial"/>
        </w:rPr>
        <w:t>Development of a National Freight and Supply Chain Strategy.</w:t>
      </w:r>
    </w:p>
    <w:p w14:paraId="1BA9997B" w14:textId="4D87FFF1" w:rsidR="004F521F" w:rsidRPr="005574CA" w:rsidRDefault="004F521F" w:rsidP="00DF2171">
      <w:pPr>
        <w:pStyle w:val="ListParagraph"/>
        <w:numPr>
          <w:ilvl w:val="0"/>
          <w:numId w:val="7"/>
        </w:numPr>
        <w:spacing w:after="0" w:line="240" w:lineRule="auto"/>
        <w:ind w:left="714" w:hanging="357"/>
        <w:rPr>
          <w:rFonts w:ascii="Arial" w:hAnsi="Arial" w:cs="Arial"/>
        </w:rPr>
      </w:pPr>
      <w:r w:rsidRPr="005574CA">
        <w:rPr>
          <w:rFonts w:ascii="Arial" w:hAnsi="Arial" w:cs="Arial"/>
        </w:rPr>
        <w:t>Consultation on options for an independent pr</w:t>
      </w:r>
      <w:r w:rsidR="00DF2171">
        <w:rPr>
          <w:rFonts w:ascii="Arial" w:hAnsi="Arial" w:cs="Arial"/>
        </w:rPr>
        <w:t>ice regulator for heavy vehicle charges</w:t>
      </w:r>
      <w:r w:rsidRPr="005574CA">
        <w:rPr>
          <w:rFonts w:ascii="Arial" w:hAnsi="Arial" w:cs="Arial"/>
        </w:rPr>
        <w:t>.</w:t>
      </w:r>
    </w:p>
    <w:p w14:paraId="5471BD61" w14:textId="77777777" w:rsidR="004F521F" w:rsidRDefault="004F521F" w:rsidP="00DF2171">
      <w:pPr>
        <w:pStyle w:val="ListParagraph"/>
        <w:numPr>
          <w:ilvl w:val="0"/>
          <w:numId w:val="7"/>
        </w:numPr>
        <w:spacing w:after="0" w:line="240" w:lineRule="auto"/>
        <w:ind w:left="714" w:hanging="357"/>
        <w:rPr>
          <w:rFonts w:ascii="Arial" w:hAnsi="Arial" w:cs="Arial"/>
        </w:rPr>
      </w:pPr>
      <w:r w:rsidRPr="005574CA">
        <w:rPr>
          <w:rFonts w:ascii="Arial" w:hAnsi="Arial" w:cs="Arial"/>
        </w:rPr>
        <w:t>Development of the Data Collection and Dissemination Plan project, with the aim of having better vehicle data mapping to plan for future transport investments.</w:t>
      </w:r>
    </w:p>
    <w:p w14:paraId="2A7B06D5" w14:textId="77777777" w:rsidR="004F521F" w:rsidRPr="00EC4A3C" w:rsidRDefault="004F521F" w:rsidP="00DF2171">
      <w:pPr>
        <w:pStyle w:val="ListParagraph"/>
        <w:numPr>
          <w:ilvl w:val="0"/>
          <w:numId w:val="7"/>
        </w:numPr>
        <w:spacing w:after="0" w:line="240" w:lineRule="auto"/>
        <w:ind w:left="714" w:hanging="357"/>
        <w:rPr>
          <w:rFonts w:ascii="Arial" w:hAnsi="Arial" w:cs="Arial"/>
        </w:rPr>
      </w:pPr>
      <w:r w:rsidRPr="00EC4A3C">
        <w:rPr>
          <w:rFonts w:ascii="Arial" w:hAnsi="Arial" w:cs="Arial"/>
        </w:rPr>
        <w:t>$75 billion infrastructure investment program.</w:t>
      </w:r>
    </w:p>
    <w:p w14:paraId="5A290BDB" w14:textId="6907EE94" w:rsidR="00E20C25" w:rsidRDefault="00E20C25" w:rsidP="0013571B">
      <w:pPr>
        <w:rPr>
          <w:rFonts w:ascii="Arial" w:hAnsi="Arial" w:cs="Arial"/>
        </w:rPr>
      </w:pPr>
    </w:p>
    <w:p w14:paraId="4806D83B" w14:textId="783BB0EC" w:rsidR="004F521F" w:rsidRPr="008F7073" w:rsidRDefault="001335A6" w:rsidP="0013571B">
      <w:pPr>
        <w:rPr>
          <w:b/>
        </w:rPr>
      </w:pPr>
      <w:r>
        <w:rPr>
          <w:rFonts w:ascii="Arial" w:hAnsi="Arial" w:cs="Arial"/>
        </w:rPr>
        <w:t xml:space="preserve">As the peak body representing the Australian trucking industry, the ATA welcomes this focus </w:t>
      </w:r>
      <w:r w:rsidRPr="001335A6">
        <w:rPr>
          <w:rFonts w:ascii="Arial" w:hAnsi="Arial" w:cs="Arial"/>
        </w:rPr>
        <w:t>on developing and upgrading the nation</w:t>
      </w:r>
      <w:r w:rsidR="00DF2171">
        <w:rPr>
          <w:rFonts w:ascii="Arial" w:hAnsi="Arial" w:cs="Arial"/>
        </w:rPr>
        <w:t>’</w:t>
      </w:r>
      <w:r w:rsidRPr="001335A6">
        <w:rPr>
          <w:rFonts w:ascii="Arial" w:hAnsi="Arial" w:cs="Arial"/>
        </w:rPr>
        <w:t>s transport and freight infrastructure and networks</w:t>
      </w:r>
      <w:r>
        <w:rPr>
          <w:rFonts w:ascii="Arial" w:hAnsi="Arial" w:cs="Arial"/>
        </w:rPr>
        <w:t xml:space="preserve">. </w:t>
      </w:r>
      <w:r w:rsidRPr="008F7073">
        <w:rPr>
          <w:rFonts w:ascii="Arial" w:hAnsi="Arial" w:cs="Arial"/>
          <w:b/>
        </w:rPr>
        <w:t>Australia competes in a global marketplace and needs to ensure its end</w:t>
      </w:r>
      <w:r w:rsidR="00DF2171">
        <w:rPr>
          <w:rFonts w:ascii="Arial" w:hAnsi="Arial" w:cs="Arial"/>
          <w:b/>
        </w:rPr>
        <w:t xml:space="preserve">-to-end </w:t>
      </w:r>
      <w:r w:rsidRPr="008F7073">
        <w:rPr>
          <w:rFonts w:ascii="Arial" w:hAnsi="Arial" w:cs="Arial"/>
          <w:b/>
        </w:rPr>
        <w:t>supply chains are competitive and low cost</w:t>
      </w:r>
      <w:r w:rsidR="008F7073">
        <w:rPr>
          <w:rFonts w:ascii="Arial" w:hAnsi="Arial" w:cs="Arial"/>
          <w:b/>
        </w:rPr>
        <w:t>.</w:t>
      </w:r>
      <w:r w:rsidRPr="008F7073">
        <w:rPr>
          <w:rFonts w:ascii="Arial" w:hAnsi="Arial" w:cs="Arial"/>
          <w:b/>
        </w:rPr>
        <w:t xml:space="preserve"> </w:t>
      </w:r>
      <w:r w:rsidRPr="008F7073">
        <w:rPr>
          <w:rFonts w:ascii="Arial" w:hAnsi="Arial" w:cs="Arial"/>
        </w:rPr>
        <w:t>Due to its geographic location at the end of global supply chains</w:t>
      </w:r>
      <w:r w:rsidR="008F7073">
        <w:rPr>
          <w:rFonts w:ascii="Arial" w:hAnsi="Arial" w:cs="Arial"/>
        </w:rPr>
        <w:t xml:space="preserve">, this is critical. </w:t>
      </w:r>
    </w:p>
    <w:p w14:paraId="45C49CB1" w14:textId="77777777" w:rsidR="001335A6" w:rsidRDefault="001335A6" w:rsidP="0013571B"/>
    <w:p w14:paraId="25441A91" w14:textId="6779A09B" w:rsidR="001335A6" w:rsidRPr="001335A6" w:rsidRDefault="001335A6" w:rsidP="001335A6">
      <w:pPr>
        <w:rPr>
          <w:rFonts w:ascii="Arial" w:hAnsi="Arial" w:cs="Arial"/>
        </w:rPr>
      </w:pPr>
      <w:r w:rsidRPr="001335A6">
        <w:rPr>
          <w:rFonts w:ascii="Arial" w:hAnsi="Arial" w:cs="Arial"/>
        </w:rPr>
        <w:t xml:space="preserve">Road freight </w:t>
      </w:r>
      <w:r w:rsidR="004436D7">
        <w:rPr>
          <w:rFonts w:ascii="Arial" w:hAnsi="Arial" w:cs="Arial"/>
        </w:rPr>
        <w:t>is an important sector</w:t>
      </w:r>
      <w:r w:rsidRPr="001335A6">
        <w:rPr>
          <w:rFonts w:ascii="Arial" w:hAnsi="Arial" w:cs="Arial"/>
        </w:rPr>
        <w:t xml:space="preserve"> of the Australian economy and community</w:t>
      </w:r>
      <w:r w:rsidR="00DF2171">
        <w:rPr>
          <w:rFonts w:ascii="Arial" w:hAnsi="Arial" w:cs="Arial"/>
        </w:rPr>
        <w:t>,</w:t>
      </w:r>
      <w:r w:rsidRPr="001335A6">
        <w:rPr>
          <w:rFonts w:ascii="Arial" w:hAnsi="Arial" w:cs="Arial"/>
        </w:rPr>
        <w:t xml:space="preserve"> with </w:t>
      </w:r>
      <w:r w:rsidR="00DF2171">
        <w:rPr>
          <w:rFonts w:ascii="Arial" w:hAnsi="Arial" w:cs="Arial"/>
        </w:rPr>
        <w:t>more than</w:t>
      </w:r>
      <w:r w:rsidRPr="001335A6">
        <w:rPr>
          <w:rFonts w:ascii="Arial" w:hAnsi="Arial" w:cs="Arial"/>
        </w:rPr>
        <w:t xml:space="preserve"> 75% of non-bulk domestic freight carried on roads. This demand is expected to increase with a predicted doubling of freight demands from 2010 to 2030.</w:t>
      </w:r>
      <w:r w:rsidRPr="001335A6">
        <w:rPr>
          <w:rFonts w:ascii="Arial" w:hAnsi="Arial" w:cs="Arial"/>
          <w:vertAlign w:val="superscript"/>
        </w:rPr>
        <w:footnoteReference w:id="1"/>
      </w:r>
      <w:r w:rsidRPr="001335A6">
        <w:rPr>
          <w:rFonts w:ascii="Arial" w:hAnsi="Arial" w:cs="Arial"/>
        </w:rPr>
        <w:t xml:space="preserve"> </w:t>
      </w:r>
    </w:p>
    <w:p w14:paraId="40BC02B2" w14:textId="77777777" w:rsidR="001335A6" w:rsidRDefault="001335A6" w:rsidP="001335A6">
      <w:pPr>
        <w:rPr>
          <w:rFonts w:ascii="Arial" w:hAnsi="Arial" w:cs="Arial"/>
        </w:rPr>
      </w:pPr>
    </w:p>
    <w:p w14:paraId="152C26A7" w14:textId="689193AC" w:rsidR="006777FD" w:rsidRDefault="00C47053" w:rsidP="006777FD">
      <w:pPr>
        <w:tabs>
          <w:tab w:val="left" w:pos="992"/>
        </w:tabs>
        <w:rPr>
          <w:rFonts w:ascii="Arial" w:hAnsi="Arial" w:cs="Arial"/>
        </w:rPr>
      </w:pPr>
      <w:r>
        <w:rPr>
          <w:rFonts w:ascii="Arial" w:hAnsi="Arial" w:cs="Arial"/>
        </w:rPr>
        <w:t xml:space="preserve">Delivering this critical role in Australian supply chains, trucking is an Australian success story. </w:t>
      </w:r>
      <w:r w:rsidR="006777FD" w:rsidRPr="006777FD">
        <w:rPr>
          <w:rFonts w:ascii="Arial" w:hAnsi="Arial" w:cs="Arial"/>
        </w:rPr>
        <w:t>Between 1971 and 2007, trucking industry productivity increased six-fold due to the uptake of high productivity vehicles like B-doubles. It has been estimated that in the absence of productivity improvements over this period that nearly 150,000 articulated trucks, in addition to the 70,000 registered for use in 2007, would have been required to undertake the 2007 articulated truck freight task.</w:t>
      </w:r>
      <w:r w:rsidR="006777FD" w:rsidRPr="006777FD">
        <w:rPr>
          <w:rFonts w:ascii="Arial" w:hAnsi="Arial" w:cs="Arial"/>
          <w:vertAlign w:val="superscript"/>
        </w:rPr>
        <w:footnoteReference w:id="2"/>
      </w:r>
      <w:r w:rsidR="006777FD" w:rsidRPr="006777FD">
        <w:rPr>
          <w:rFonts w:ascii="Arial" w:hAnsi="Arial" w:cs="Arial"/>
        </w:rPr>
        <w:t xml:space="preserve"> </w:t>
      </w:r>
    </w:p>
    <w:p w14:paraId="06AC04B2" w14:textId="77777777" w:rsidR="006777FD" w:rsidRDefault="006777FD" w:rsidP="006777FD">
      <w:pPr>
        <w:tabs>
          <w:tab w:val="left" w:pos="992"/>
        </w:tabs>
        <w:rPr>
          <w:rFonts w:ascii="Arial" w:hAnsi="Arial" w:cs="Arial"/>
        </w:rPr>
      </w:pPr>
    </w:p>
    <w:p w14:paraId="54BE0A07" w14:textId="77777777" w:rsidR="006777FD" w:rsidRDefault="006777FD" w:rsidP="006777FD">
      <w:pPr>
        <w:rPr>
          <w:rFonts w:ascii="Arial" w:hAnsi="Arial" w:cs="Arial"/>
        </w:rPr>
      </w:pPr>
      <w:r>
        <w:rPr>
          <w:rFonts w:ascii="Arial" w:hAnsi="Arial" w:cs="Arial"/>
        </w:rPr>
        <w:t>Australian trucking operators have pioneered modern, safer, and more productive vehicle designs. Road trains and high productivity vehicle combinations are delivering improved productivity for our supply chains. An Austroads research report found that high productivity vehicles were safer, used less fuel, and offered significant economic benefits to a range of industries.</w:t>
      </w:r>
      <w:r>
        <w:rPr>
          <w:rStyle w:val="FootnoteReference"/>
          <w:rFonts w:ascii="Arial" w:hAnsi="Arial"/>
        </w:rPr>
        <w:footnoteReference w:id="3"/>
      </w:r>
      <w:r>
        <w:rPr>
          <w:rFonts w:ascii="Arial" w:hAnsi="Arial" w:cs="Arial"/>
        </w:rPr>
        <w:t xml:space="preserve"> </w:t>
      </w:r>
    </w:p>
    <w:p w14:paraId="103CD08C" w14:textId="081940F6" w:rsidR="006777FD" w:rsidRPr="006777FD" w:rsidRDefault="006777FD" w:rsidP="006777FD">
      <w:pPr>
        <w:tabs>
          <w:tab w:val="left" w:pos="992"/>
        </w:tabs>
        <w:rPr>
          <w:rFonts w:ascii="Arial" w:hAnsi="Arial" w:cs="Arial"/>
        </w:rPr>
      </w:pPr>
    </w:p>
    <w:p w14:paraId="0AEA0B9A" w14:textId="1DDEE57E" w:rsidR="003771E1" w:rsidRDefault="008F7073" w:rsidP="001335A6">
      <w:pPr>
        <w:rPr>
          <w:rFonts w:ascii="Arial" w:hAnsi="Arial" w:cs="Arial"/>
        </w:rPr>
      </w:pPr>
      <w:r>
        <w:rPr>
          <w:rFonts w:ascii="Arial" w:hAnsi="Arial" w:cs="Arial"/>
        </w:rPr>
        <w:t xml:space="preserve">Hardworking Australians in our local communities are driving our supply chains, with the trucking industry consisting almost entirely of small businesses, and is characterised by tight margins. </w:t>
      </w:r>
    </w:p>
    <w:p w14:paraId="0F2CD5C3" w14:textId="77777777" w:rsidR="00346942" w:rsidRDefault="00346942" w:rsidP="001335A6">
      <w:pPr>
        <w:rPr>
          <w:rFonts w:ascii="Arial" w:hAnsi="Arial" w:cs="Arial"/>
        </w:rPr>
      </w:pPr>
    </w:p>
    <w:p w14:paraId="4EFC9CF2" w14:textId="142DAD60" w:rsidR="00346942" w:rsidRDefault="000F545B" w:rsidP="00D95A10">
      <w:pPr>
        <w:rPr>
          <w:rFonts w:ascii="Arial" w:hAnsi="Arial" w:cs="Arial"/>
        </w:rPr>
      </w:pPr>
      <w:r>
        <w:rPr>
          <w:rFonts w:ascii="Arial" w:hAnsi="Arial" w:cs="Arial"/>
        </w:rPr>
        <w:t>T</w:t>
      </w:r>
      <w:r w:rsidR="00346942">
        <w:rPr>
          <w:rFonts w:ascii="Arial" w:hAnsi="Arial" w:cs="Arial"/>
        </w:rPr>
        <w:t>rucking is critical to moving Australia’s freight task. T</w:t>
      </w:r>
      <w:r w:rsidR="00346942" w:rsidRPr="001335A6">
        <w:rPr>
          <w:rFonts w:ascii="Arial" w:hAnsi="Arial" w:cs="Arial"/>
        </w:rPr>
        <w:t>he Productivity Commission has found that only 10 to 15 per cent of the freight task is considered to be contestable across</w:t>
      </w:r>
      <w:r w:rsidR="00346942">
        <w:rPr>
          <w:rFonts w:ascii="Arial" w:hAnsi="Arial" w:cs="Arial"/>
        </w:rPr>
        <w:t xml:space="preserve"> both</w:t>
      </w:r>
      <w:r w:rsidR="00346942" w:rsidRPr="001335A6">
        <w:rPr>
          <w:rFonts w:ascii="Arial" w:hAnsi="Arial" w:cs="Arial"/>
        </w:rPr>
        <w:t xml:space="preserve"> rail and road</w:t>
      </w:r>
      <w:r w:rsidR="00346942">
        <w:rPr>
          <w:rFonts w:ascii="Arial" w:hAnsi="Arial" w:cs="Arial"/>
        </w:rPr>
        <w:t>.</w:t>
      </w:r>
      <w:r w:rsidR="00DF2171">
        <w:rPr>
          <w:rStyle w:val="FootnoteReference"/>
          <w:rFonts w:ascii="Arial" w:hAnsi="Arial"/>
        </w:rPr>
        <w:footnoteReference w:id="4"/>
      </w:r>
      <w:r w:rsidR="00346942">
        <w:rPr>
          <w:rFonts w:ascii="Arial" w:hAnsi="Arial" w:cs="Arial"/>
        </w:rPr>
        <w:t xml:space="preserve"> In short, imposing unfair costs or failing to build and maintain our road network will not deliver freight to another transport mode – it would just leave Australian goods uncompetitive and unconnected from the global marketplace. </w:t>
      </w:r>
      <w:r>
        <w:rPr>
          <w:rFonts w:ascii="Arial" w:hAnsi="Arial" w:cs="Arial"/>
        </w:rPr>
        <w:t>Witho</w:t>
      </w:r>
      <w:r w:rsidR="00DF2171">
        <w:rPr>
          <w:rFonts w:ascii="Arial" w:hAnsi="Arial" w:cs="Arial"/>
        </w:rPr>
        <w:t>ut trucks – there i</w:t>
      </w:r>
      <w:r>
        <w:rPr>
          <w:rFonts w:ascii="Arial" w:hAnsi="Arial" w:cs="Arial"/>
        </w:rPr>
        <w:t xml:space="preserve">s no supply chain. </w:t>
      </w:r>
    </w:p>
    <w:p w14:paraId="76F114F4" w14:textId="77777777" w:rsidR="00D95A10" w:rsidRDefault="00D95A10" w:rsidP="00D95A10">
      <w:pPr>
        <w:rPr>
          <w:rFonts w:ascii="Arial" w:hAnsi="Arial" w:cs="Arial"/>
        </w:rPr>
      </w:pPr>
    </w:p>
    <w:p w14:paraId="16B398E3" w14:textId="08751B52" w:rsidR="00C36C16" w:rsidRDefault="0020160D" w:rsidP="00DF2171">
      <w:pPr>
        <w:rPr>
          <w:rFonts w:ascii="Arial" w:hAnsi="Arial" w:cs="Arial"/>
        </w:rPr>
      </w:pPr>
      <w:r>
        <w:rPr>
          <w:rFonts w:ascii="Arial" w:hAnsi="Arial" w:cs="Arial"/>
        </w:rPr>
        <w:t xml:space="preserve">The National Freight and Supply Chain Strategy must include the trucking industry as a critical component. The </w:t>
      </w:r>
      <w:r w:rsidR="00C36C16">
        <w:rPr>
          <w:rFonts w:ascii="Arial" w:hAnsi="Arial" w:cs="Arial"/>
        </w:rPr>
        <w:t>s</w:t>
      </w:r>
      <w:r>
        <w:rPr>
          <w:rFonts w:ascii="Arial" w:hAnsi="Arial" w:cs="Arial"/>
        </w:rPr>
        <w:t>trategy should</w:t>
      </w:r>
      <w:r w:rsidR="00C36C16">
        <w:rPr>
          <w:rFonts w:ascii="Arial" w:hAnsi="Arial" w:cs="Arial"/>
        </w:rPr>
        <w:t>:</w:t>
      </w:r>
    </w:p>
    <w:p w14:paraId="5DCDC56A" w14:textId="02303A3F" w:rsidR="00C36C16" w:rsidRDefault="0020160D" w:rsidP="00DF2171">
      <w:pPr>
        <w:pStyle w:val="ListParagraph"/>
        <w:numPr>
          <w:ilvl w:val="0"/>
          <w:numId w:val="17"/>
        </w:numPr>
        <w:spacing w:after="0" w:line="240" w:lineRule="auto"/>
        <w:rPr>
          <w:rFonts w:ascii="Arial" w:hAnsi="Arial" w:cs="Arial"/>
        </w:rPr>
      </w:pPr>
      <w:r w:rsidRPr="00C36C16">
        <w:rPr>
          <w:rFonts w:ascii="Arial" w:hAnsi="Arial" w:cs="Arial"/>
        </w:rPr>
        <w:t>deliver fair and integrated supply chain costs – including ending the overcharging on the trucking industry</w:t>
      </w:r>
      <w:r w:rsidR="00C36C16">
        <w:rPr>
          <w:rFonts w:ascii="Arial" w:hAnsi="Arial" w:cs="Arial"/>
        </w:rPr>
        <w:t>, and</w:t>
      </w:r>
    </w:p>
    <w:p w14:paraId="50216696" w14:textId="626CA2DC" w:rsidR="00C36C16" w:rsidRDefault="00C36C16" w:rsidP="00DF2171">
      <w:pPr>
        <w:pStyle w:val="ListParagraph"/>
        <w:numPr>
          <w:ilvl w:val="0"/>
          <w:numId w:val="17"/>
        </w:numPr>
        <w:spacing w:after="0" w:line="240" w:lineRule="auto"/>
        <w:rPr>
          <w:rFonts w:ascii="Arial" w:hAnsi="Arial" w:cs="Arial"/>
        </w:rPr>
      </w:pPr>
      <w:r>
        <w:rPr>
          <w:rFonts w:ascii="Arial" w:hAnsi="Arial" w:cs="Arial"/>
        </w:rPr>
        <w:t>recognise that Australian supply chains cannot operate without our road network, and implement a road investment reform agenda, including:</w:t>
      </w:r>
    </w:p>
    <w:p w14:paraId="66F60046" w14:textId="53FFE51F" w:rsidR="006949C9" w:rsidRDefault="006949C9" w:rsidP="00DF2171">
      <w:pPr>
        <w:pStyle w:val="ListParagraph"/>
        <w:numPr>
          <w:ilvl w:val="1"/>
          <w:numId w:val="17"/>
        </w:numPr>
        <w:spacing w:after="0" w:line="240" w:lineRule="auto"/>
        <w:rPr>
          <w:rFonts w:ascii="Arial" w:hAnsi="Arial" w:cs="Arial"/>
        </w:rPr>
      </w:pPr>
      <w:r w:rsidRPr="006949C9">
        <w:rPr>
          <w:rFonts w:ascii="Arial" w:hAnsi="Arial" w:cs="Arial"/>
        </w:rPr>
        <w:t xml:space="preserve">more effective targeting </w:t>
      </w:r>
      <w:r w:rsidR="00D818F3">
        <w:rPr>
          <w:rFonts w:ascii="Arial" w:hAnsi="Arial" w:cs="Arial"/>
        </w:rPr>
        <w:t xml:space="preserve">and stable funding </w:t>
      </w:r>
      <w:r w:rsidRPr="006949C9">
        <w:rPr>
          <w:rFonts w:ascii="Arial" w:hAnsi="Arial" w:cs="Arial"/>
        </w:rPr>
        <w:t>of roads investment</w:t>
      </w:r>
      <w:r>
        <w:rPr>
          <w:rFonts w:ascii="Arial" w:hAnsi="Arial" w:cs="Arial"/>
        </w:rPr>
        <w:t>,</w:t>
      </w:r>
    </w:p>
    <w:p w14:paraId="28975F9B" w14:textId="51F24707" w:rsidR="0020160D" w:rsidRDefault="00C36C16" w:rsidP="00DF2171">
      <w:pPr>
        <w:pStyle w:val="ListParagraph"/>
        <w:numPr>
          <w:ilvl w:val="1"/>
          <w:numId w:val="17"/>
        </w:numPr>
        <w:spacing w:after="0" w:line="240" w:lineRule="auto"/>
        <w:rPr>
          <w:rFonts w:ascii="Arial" w:hAnsi="Arial" w:cs="Arial"/>
        </w:rPr>
      </w:pPr>
      <w:r w:rsidRPr="00C36C16">
        <w:rPr>
          <w:rFonts w:ascii="Arial" w:hAnsi="Arial" w:cs="Arial"/>
        </w:rPr>
        <w:t>focus</w:t>
      </w:r>
      <w:r>
        <w:rPr>
          <w:rFonts w:ascii="Arial" w:hAnsi="Arial" w:cs="Arial"/>
        </w:rPr>
        <w:t>ing</w:t>
      </w:r>
      <w:r w:rsidRPr="00C36C16">
        <w:rPr>
          <w:rFonts w:ascii="Arial" w:hAnsi="Arial" w:cs="Arial"/>
        </w:rPr>
        <w:t xml:space="preserve"> on upgrading northern and regional roads, </w:t>
      </w:r>
      <w:r w:rsidR="006949C9">
        <w:rPr>
          <w:rFonts w:ascii="Arial" w:hAnsi="Arial" w:cs="Arial"/>
        </w:rPr>
        <w:t>and</w:t>
      </w:r>
    </w:p>
    <w:p w14:paraId="01511B3E" w14:textId="330411FC" w:rsidR="00C36C16" w:rsidRPr="006949C9" w:rsidRDefault="00C36C16" w:rsidP="00DF2171">
      <w:pPr>
        <w:pStyle w:val="ListParagraph"/>
        <w:numPr>
          <w:ilvl w:val="1"/>
          <w:numId w:val="17"/>
        </w:numPr>
        <w:spacing w:after="0" w:line="240" w:lineRule="auto"/>
        <w:rPr>
          <w:rFonts w:ascii="Arial" w:hAnsi="Arial" w:cs="Arial"/>
        </w:rPr>
      </w:pPr>
      <w:r>
        <w:rPr>
          <w:rFonts w:ascii="Arial" w:hAnsi="Arial" w:cs="Arial"/>
        </w:rPr>
        <w:t>setti</w:t>
      </w:r>
      <w:r w:rsidR="006949C9">
        <w:rPr>
          <w:rFonts w:ascii="Arial" w:hAnsi="Arial" w:cs="Arial"/>
        </w:rPr>
        <w:t>ng service levels for roads.</w:t>
      </w:r>
    </w:p>
    <w:p w14:paraId="523B7FB2" w14:textId="77777777" w:rsidR="0020160D" w:rsidRDefault="0020160D" w:rsidP="00D95A10">
      <w:pPr>
        <w:rPr>
          <w:rFonts w:ascii="Arial" w:hAnsi="Arial" w:cs="Arial"/>
        </w:rPr>
      </w:pPr>
    </w:p>
    <w:p w14:paraId="2B6CE619" w14:textId="77777777" w:rsidR="004F521F" w:rsidRPr="004F521F" w:rsidRDefault="004F521F" w:rsidP="004F521F">
      <w:pPr>
        <w:pStyle w:val="Heading1"/>
        <w:ind w:left="357" w:hanging="357"/>
        <w:rPr>
          <w:sz w:val="24"/>
          <w:szCs w:val="24"/>
        </w:rPr>
      </w:pPr>
      <w:bookmarkStart w:id="4" w:name="_Toc488842016"/>
      <w:r w:rsidRPr="004F521F">
        <w:rPr>
          <w:sz w:val="24"/>
          <w:szCs w:val="24"/>
        </w:rPr>
        <w:t>Fair and integrated supply chain costs</w:t>
      </w:r>
      <w:bookmarkEnd w:id="4"/>
    </w:p>
    <w:p w14:paraId="62279CA1" w14:textId="77777777" w:rsidR="002340EE" w:rsidRDefault="002340EE" w:rsidP="006500E6">
      <w:pPr>
        <w:pStyle w:val="NoSpacing"/>
        <w:rPr>
          <w:rFonts w:ascii="Arial" w:hAnsi="Arial" w:cs="Arial"/>
          <w:color w:val="auto"/>
          <w:sz w:val="22"/>
          <w:szCs w:val="22"/>
        </w:rPr>
      </w:pPr>
    </w:p>
    <w:p w14:paraId="5988CD75" w14:textId="6DD593F0" w:rsidR="008D0A5D" w:rsidRDefault="008D0A5D" w:rsidP="006500E6">
      <w:pPr>
        <w:pStyle w:val="NoSpacing"/>
        <w:rPr>
          <w:rFonts w:ascii="Arial" w:hAnsi="Arial" w:cs="Arial"/>
          <w:color w:val="auto"/>
          <w:sz w:val="22"/>
          <w:szCs w:val="22"/>
        </w:rPr>
      </w:pPr>
      <w:r>
        <w:rPr>
          <w:rFonts w:ascii="Arial" w:hAnsi="Arial" w:cs="Arial"/>
          <w:color w:val="auto"/>
          <w:sz w:val="22"/>
          <w:szCs w:val="22"/>
        </w:rPr>
        <w:t xml:space="preserve">Australia’s global competitiveness will be restricted as long as trucking – as a major component of our supply chains – is overcharged. At present there is clear overcharging </w:t>
      </w:r>
      <w:r w:rsidR="00051B12">
        <w:rPr>
          <w:rFonts w:ascii="Arial" w:hAnsi="Arial" w:cs="Arial"/>
          <w:color w:val="auto"/>
          <w:sz w:val="22"/>
          <w:szCs w:val="22"/>
        </w:rPr>
        <w:t>of heavy vehicle road user and registration charges, and</w:t>
      </w:r>
      <w:r w:rsidR="00DF2171">
        <w:rPr>
          <w:rFonts w:ascii="Arial" w:hAnsi="Arial" w:cs="Arial"/>
          <w:color w:val="auto"/>
          <w:sz w:val="22"/>
          <w:szCs w:val="22"/>
        </w:rPr>
        <w:t xml:space="preserve"> increasing trends to overcharge</w:t>
      </w:r>
      <w:r w:rsidR="00051B12">
        <w:rPr>
          <w:rFonts w:ascii="Arial" w:hAnsi="Arial" w:cs="Arial"/>
          <w:color w:val="auto"/>
          <w:sz w:val="22"/>
          <w:szCs w:val="22"/>
        </w:rPr>
        <w:t xml:space="preserve"> heavy vehicle</w:t>
      </w:r>
      <w:r w:rsidR="006949C9">
        <w:rPr>
          <w:rFonts w:ascii="Arial" w:hAnsi="Arial" w:cs="Arial"/>
          <w:color w:val="auto"/>
          <w:sz w:val="22"/>
          <w:szCs w:val="22"/>
        </w:rPr>
        <w:t>s</w:t>
      </w:r>
      <w:r w:rsidR="00051B12">
        <w:rPr>
          <w:rFonts w:ascii="Arial" w:hAnsi="Arial" w:cs="Arial"/>
          <w:color w:val="auto"/>
          <w:sz w:val="22"/>
          <w:szCs w:val="22"/>
        </w:rPr>
        <w:t xml:space="preserve"> on toll roads and</w:t>
      </w:r>
      <w:r w:rsidR="006949C9">
        <w:rPr>
          <w:rFonts w:ascii="Arial" w:hAnsi="Arial" w:cs="Arial"/>
          <w:color w:val="auto"/>
          <w:sz w:val="22"/>
          <w:szCs w:val="22"/>
        </w:rPr>
        <w:t xml:space="preserve"> for</w:t>
      </w:r>
      <w:r w:rsidR="00051B12">
        <w:rPr>
          <w:rFonts w:ascii="Arial" w:hAnsi="Arial" w:cs="Arial"/>
          <w:color w:val="auto"/>
          <w:sz w:val="22"/>
          <w:szCs w:val="22"/>
        </w:rPr>
        <w:t xml:space="preserve"> the landside charges set by ports and stevedores. </w:t>
      </w:r>
      <w:r>
        <w:rPr>
          <w:rFonts w:ascii="Arial" w:hAnsi="Arial" w:cs="Arial"/>
          <w:color w:val="auto"/>
          <w:sz w:val="22"/>
          <w:szCs w:val="22"/>
        </w:rPr>
        <w:t xml:space="preserve"> </w:t>
      </w:r>
    </w:p>
    <w:p w14:paraId="703EE934" w14:textId="77777777" w:rsidR="008D0A5D" w:rsidRDefault="008D0A5D" w:rsidP="006500E6">
      <w:pPr>
        <w:pStyle w:val="NoSpacing"/>
        <w:rPr>
          <w:rFonts w:ascii="Arial" w:hAnsi="Arial" w:cs="Arial"/>
          <w:color w:val="auto"/>
          <w:sz w:val="22"/>
          <w:szCs w:val="22"/>
        </w:rPr>
      </w:pPr>
    </w:p>
    <w:p w14:paraId="3B7AD8F6" w14:textId="6C07D48E" w:rsidR="002340EE" w:rsidRPr="00AC1B66" w:rsidRDefault="002340EE" w:rsidP="002340EE">
      <w:pPr>
        <w:rPr>
          <w:rFonts w:ascii="Arial" w:hAnsi="Arial" w:cs="Arial"/>
          <w:b/>
        </w:rPr>
      </w:pPr>
      <w:r w:rsidRPr="00AC1B66">
        <w:rPr>
          <w:rFonts w:ascii="Arial" w:hAnsi="Arial" w:cs="Arial"/>
          <w:b/>
        </w:rPr>
        <w:t xml:space="preserve">Fair </w:t>
      </w:r>
      <w:r w:rsidR="00051B12">
        <w:rPr>
          <w:rFonts w:ascii="Arial" w:hAnsi="Arial" w:cs="Arial"/>
          <w:b/>
        </w:rPr>
        <w:t>road user and registration charges</w:t>
      </w:r>
    </w:p>
    <w:p w14:paraId="72E2363F" w14:textId="24C7B74A" w:rsidR="002340EE" w:rsidRDefault="002340EE" w:rsidP="002340EE">
      <w:pPr>
        <w:rPr>
          <w:rFonts w:ascii="Arial" w:hAnsi="Arial" w:cs="Arial"/>
        </w:rPr>
      </w:pPr>
      <w:r w:rsidRPr="00BE1308">
        <w:rPr>
          <w:rFonts w:ascii="Arial" w:hAnsi="Arial" w:cs="Arial"/>
        </w:rPr>
        <w:t>Truck and bus operators pay for their use of the roads through a fuel based road user charge, administered as a reduction in their fuel tax credits, and very high registration charges. The National Transport Commission found that this system overcharged truck and bus operators. Instead of reducing charges, governments decided to freeze heavy vehicle charges at 2015-16 levels until 1 July 2018. Based on NTC figures, the decision will overcharge truck and bus operators $250.2 million in 2016-17 and $264.8 million in 2017-18 – $515 million in total.</w:t>
      </w:r>
      <w:r w:rsidR="005D5899">
        <w:rPr>
          <w:rFonts w:ascii="Arial" w:hAnsi="Arial" w:cs="Arial"/>
        </w:rPr>
        <w:t xml:space="preserve"> </w:t>
      </w:r>
    </w:p>
    <w:p w14:paraId="78E0AFDF" w14:textId="77777777" w:rsidR="008D0A5D" w:rsidRDefault="008D0A5D" w:rsidP="002340EE">
      <w:pPr>
        <w:rPr>
          <w:rFonts w:ascii="Arial" w:hAnsi="Arial" w:cs="Arial"/>
        </w:rPr>
      </w:pPr>
    </w:p>
    <w:p w14:paraId="37794C49" w14:textId="0F3444AD" w:rsidR="008D0A5D" w:rsidRPr="008D0A5D" w:rsidRDefault="008D0A5D" w:rsidP="008D0A5D">
      <w:pPr>
        <w:pStyle w:val="BodyText1"/>
        <w:spacing w:before="0"/>
        <w:rPr>
          <w:rFonts w:cs="Arial"/>
          <w:sz w:val="22"/>
          <w:szCs w:val="22"/>
        </w:rPr>
      </w:pPr>
      <w:r>
        <w:rPr>
          <w:rFonts w:cs="Arial"/>
          <w:sz w:val="22"/>
          <w:szCs w:val="22"/>
        </w:rPr>
        <w:t>The overcharg</w:t>
      </w:r>
      <w:r w:rsidR="006949C9">
        <w:rPr>
          <w:rFonts w:cs="Arial"/>
          <w:sz w:val="22"/>
          <w:szCs w:val="22"/>
        </w:rPr>
        <w:t xml:space="preserve">ing will continue beyond 2017-18 with the meter </w:t>
      </w:r>
      <w:r w:rsidR="006949C9" w:rsidRPr="008D0A5D">
        <w:rPr>
          <w:rFonts w:cs="Arial"/>
          <w:sz w:val="22"/>
          <w:szCs w:val="22"/>
        </w:rPr>
        <w:t>ticking up by more than $725,000 per day.</w:t>
      </w:r>
      <w:r w:rsidR="006949C9">
        <w:rPr>
          <w:rFonts w:cs="Arial"/>
          <w:sz w:val="22"/>
          <w:szCs w:val="22"/>
        </w:rPr>
        <w:t xml:space="preserve"> </w:t>
      </w:r>
      <w:r>
        <w:rPr>
          <w:rFonts w:cs="Arial"/>
          <w:sz w:val="22"/>
          <w:szCs w:val="22"/>
        </w:rPr>
        <w:t xml:space="preserve">Governments have not yet agreed on how to deal with this problem. </w:t>
      </w:r>
      <w:r w:rsidRPr="00AD2C63">
        <w:rPr>
          <w:rFonts w:cs="Arial"/>
          <w:b/>
          <w:sz w:val="22"/>
          <w:szCs w:val="22"/>
        </w:rPr>
        <w:t>As a down payment on future reform, governments must addre</w:t>
      </w:r>
      <w:r w:rsidR="006949C9">
        <w:rPr>
          <w:rFonts w:cs="Arial"/>
          <w:b/>
          <w:sz w:val="22"/>
          <w:szCs w:val="22"/>
        </w:rPr>
        <w:t>ss and resolve the overcharging.</w:t>
      </w:r>
    </w:p>
    <w:p w14:paraId="5EC7F11A" w14:textId="77777777" w:rsidR="008D0A5D" w:rsidRDefault="008D0A5D" w:rsidP="002340EE">
      <w:pPr>
        <w:rPr>
          <w:rFonts w:ascii="Arial" w:hAnsi="Arial" w:cs="Arial"/>
        </w:rPr>
      </w:pPr>
    </w:p>
    <w:p w14:paraId="45ABA036" w14:textId="77777777" w:rsidR="002340EE" w:rsidRDefault="002340EE" w:rsidP="002340EE">
      <w:pPr>
        <w:rPr>
          <w:rFonts w:ascii="Arial" w:hAnsi="Arial" w:cs="Arial"/>
        </w:rPr>
      </w:pPr>
      <w:r w:rsidRPr="00BE1308">
        <w:rPr>
          <w:rFonts w:ascii="Arial" w:hAnsi="Arial" w:cs="Arial"/>
        </w:rPr>
        <w:t>On 25 May 2017, the Australian Government released a discussion paper on options for an independent price regulator for heavy vehicle charges. The ATA welcomes this commitment to tr</w:t>
      </w:r>
      <w:r>
        <w:rPr>
          <w:rFonts w:ascii="Arial" w:hAnsi="Arial" w:cs="Arial"/>
        </w:rPr>
        <w:t>ansition to independent pricing</w:t>
      </w:r>
      <w:r w:rsidRPr="00BE1308">
        <w:rPr>
          <w:rFonts w:ascii="Arial" w:hAnsi="Arial" w:cs="Arial"/>
        </w:rPr>
        <w:t xml:space="preserve"> and notes that the Government’s own discussion paper acknowledges that the current charging system is not working. </w:t>
      </w:r>
    </w:p>
    <w:p w14:paraId="642E02C5" w14:textId="77777777" w:rsidR="002340EE" w:rsidRDefault="002340EE" w:rsidP="002340EE">
      <w:pPr>
        <w:rPr>
          <w:rFonts w:ascii="Arial" w:hAnsi="Arial" w:cs="Arial"/>
        </w:rPr>
      </w:pPr>
    </w:p>
    <w:p w14:paraId="661BE032" w14:textId="77777777" w:rsidR="005D5899" w:rsidRDefault="005D5899" w:rsidP="005D5899">
      <w:pPr>
        <w:pStyle w:val="BodyText1"/>
        <w:spacing w:before="0"/>
        <w:rPr>
          <w:rFonts w:cs="Arial"/>
          <w:sz w:val="22"/>
          <w:szCs w:val="22"/>
        </w:rPr>
      </w:pPr>
      <w:r>
        <w:rPr>
          <w:rFonts w:cs="Arial"/>
          <w:sz w:val="22"/>
          <w:szCs w:val="22"/>
        </w:rPr>
        <w:t>In the ATA’s view, an independent pricing system would need to have the following characteristics:</w:t>
      </w:r>
    </w:p>
    <w:p w14:paraId="5674D4D9" w14:textId="77777777" w:rsidR="005D5899" w:rsidRDefault="005D5899" w:rsidP="005D5899">
      <w:pPr>
        <w:pStyle w:val="BodyText1"/>
        <w:spacing w:before="0"/>
        <w:rPr>
          <w:rFonts w:cs="Arial"/>
          <w:sz w:val="22"/>
          <w:szCs w:val="22"/>
        </w:rPr>
      </w:pPr>
    </w:p>
    <w:p w14:paraId="6DD7C868" w14:textId="4768A9E9" w:rsidR="006C3EAF" w:rsidRDefault="006C3EAF" w:rsidP="006C3EAF">
      <w:pPr>
        <w:pStyle w:val="BodyText1"/>
        <w:numPr>
          <w:ilvl w:val="0"/>
          <w:numId w:val="16"/>
        </w:numPr>
        <w:spacing w:before="0"/>
        <w:rPr>
          <w:rFonts w:cs="Arial"/>
          <w:sz w:val="22"/>
          <w:szCs w:val="22"/>
        </w:rPr>
      </w:pPr>
      <w:r>
        <w:rPr>
          <w:rFonts w:cs="Arial"/>
          <w:sz w:val="22"/>
          <w:szCs w:val="22"/>
        </w:rPr>
        <w:t xml:space="preserve">Governments would agree on the pricing rules to be used. During the initial price determination period, it would be appropriate to establish a pragmatic +/- band for charge movements </w:t>
      </w:r>
      <w:r>
        <w:rPr>
          <w:rFonts w:cs="Arial"/>
          <w:color w:val="auto"/>
          <w:sz w:val="22"/>
          <w:szCs w:val="22"/>
          <w:lang w:eastAsia="en-AU"/>
        </w:rPr>
        <w:t>using the October 2015 NTC direct implementation option as a starting point</w:t>
      </w:r>
      <w:r>
        <w:rPr>
          <w:rFonts w:cs="Arial"/>
          <w:sz w:val="22"/>
          <w:szCs w:val="22"/>
        </w:rPr>
        <w:t xml:space="preserve">. </w:t>
      </w:r>
    </w:p>
    <w:p w14:paraId="0A303119" w14:textId="77777777" w:rsidR="006C3EAF" w:rsidRDefault="006C3EAF" w:rsidP="006C3EAF">
      <w:pPr>
        <w:pStyle w:val="BodyText1"/>
        <w:numPr>
          <w:ilvl w:val="0"/>
          <w:numId w:val="16"/>
        </w:numPr>
        <w:spacing w:before="0"/>
        <w:rPr>
          <w:rFonts w:cs="Arial"/>
          <w:sz w:val="22"/>
          <w:szCs w:val="22"/>
        </w:rPr>
      </w:pPr>
      <w:r>
        <w:rPr>
          <w:rFonts w:cs="Arial"/>
          <w:sz w:val="22"/>
          <w:szCs w:val="22"/>
        </w:rPr>
        <w:t>Once the rules were established, the regulator would make and apply its pricing decisions. Its decisions would not be subject to ministerial approval or parliamentary disallowance.</w:t>
      </w:r>
    </w:p>
    <w:p w14:paraId="75D85489" w14:textId="77777777" w:rsidR="006C3EAF" w:rsidRDefault="006C3EAF" w:rsidP="006C3EAF">
      <w:pPr>
        <w:pStyle w:val="BodyText1"/>
        <w:numPr>
          <w:ilvl w:val="0"/>
          <w:numId w:val="16"/>
        </w:numPr>
        <w:spacing w:before="0"/>
        <w:rPr>
          <w:rFonts w:cs="Arial"/>
          <w:sz w:val="22"/>
          <w:szCs w:val="22"/>
        </w:rPr>
      </w:pPr>
      <w:r>
        <w:rPr>
          <w:rFonts w:cs="Arial"/>
          <w:sz w:val="22"/>
          <w:szCs w:val="22"/>
        </w:rPr>
        <w:t>There could be a limited merits review process, particularly if the legislation included a defined transition to full economic regulation. Any merits review process would need to draw on the lessons of electricity regulation.</w:t>
      </w:r>
    </w:p>
    <w:p w14:paraId="6245902A" w14:textId="77777777" w:rsidR="002340EE" w:rsidRDefault="002340EE" w:rsidP="002340EE">
      <w:pPr>
        <w:rPr>
          <w:rFonts w:ascii="Arial" w:hAnsi="Arial" w:cs="Arial"/>
        </w:rPr>
      </w:pPr>
    </w:p>
    <w:p w14:paraId="0619B974" w14:textId="200BBC29" w:rsidR="006949C9" w:rsidRPr="00BE1308" w:rsidRDefault="006949C9" w:rsidP="006949C9">
      <w:pPr>
        <w:rPr>
          <w:rFonts w:ascii="Arial" w:hAnsi="Arial" w:cs="Arial"/>
        </w:rPr>
      </w:pPr>
      <w:r>
        <w:rPr>
          <w:rFonts w:ascii="Arial" w:hAnsi="Arial" w:cs="Arial"/>
        </w:rPr>
        <w:t>Additionally, the only acceptable starting point for a new independent pricing regime would be to start by eliminating the existing overcharging – a</w:t>
      </w:r>
      <w:r w:rsidRPr="008D0A5D">
        <w:rPr>
          <w:rFonts w:ascii="Arial" w:hAnsi="Arial" w:cs="Arial"/>
        </w:rPr>
        <w:t>ny</w:t>
      </w:r>
      <w:r>
        <w:rPr>
          <w:rFonts w:ascii="Arial" w:hAnsi="Arial" w:cs="Arial"/>
        </w:rPr>
        <w:t xml:space="preserve"> </w:t>
      </w:r>
      <w:r w:rsidRPr="008D0A5D">
        <w:rPr>
          <w:rFonts w:ascii="Arial" w:hAnsi="Arial" w:cs="Arial"/>
        </w:rPr>
        <w:t>other starting point would carry over the deficiencies of the existing pricing model into the new system.</w:t>
      </w:r>
    </w:p>
    <w:p w14:paraId="06806119" w14:textId="77777777" w:rsidR="006949C9" w:rsidRDefault="006949C9" w:rsidP="002340EE">
      <w:pPr>
        <w:rPr>
          <w:rFonts w:ascii="Arial" w:hAnsi="Arial" w:cs="Arial"/>
        </w:rPr>
      </w:pPr>
    </w:p>
    <w:p w14:paraId="575CCF38" w14:textId="2A91C77D" w:rsidR="005D5899" w:rsidRDefault="005D5899" w:rsidP="002340EE">
      <w:pPr>
        <w:rPr>
          <w:rFonts w:ascii="Arial" w:hAnsi="Arial" w:cs="Arial"/>
        </w:rPr>
      </w:pPr>
      <w:r>
        <w:rPr>
          <w:rFonts w:ascii="Arial" w:hAnsi="Arial" w:cs="Arial"/>
        </w:rPr>
        <w:t xml:space="preserve">More detailed comments </w:t>
      </w:r>
      <w:r w:rsidR="0020160D">
        <w:rPr>
          <w:rFonts w:ascii="Arial" w:hAnsi="Arial" w:cs="Arial"/>
        </w:rPr>
        <w:t>on the framework for independent pricing are</w:t>
      </w:r>
      <w:r>
        <w:rPr>
          <w:rFonts w:ascii="Arial" w:hAnsi="Arial" w:cs="Arial"/>
        </w:rPr>
        <w:t xml:space="preserve"> available in the ATA submission</w:t>
      </w:r>
      <w:r w:rsidR="0020160D">
        <w:rPr>
          <w:rFonts w:ascii="Arial" w:hAnsi="Arial" w:cs="Arial"/>
        </w:rPr>
        <w:t xml:space="preserve"> on independent price regulation of heavy vehicle charges.</w:t>
      </w:r>
    </w:p>
    <w:p w14:paraId="6FD432D7" w14:textId="77777777" w:rsidR="005D5899" w:rsidRDefault="005D5899" w:rsidP="002340EE">
      <w:pPr>
        <w:rPr>
          <w:rFonts w:ascii="Arial" w:hAnsi="Arial" w:cs="Arial"/>
        </w:rPr>
      </w:pPr>
    </w:p>
    <w:p w14:paraId="4A164D10" w14:textId="77777777" w:rsidR="00663CEF" w:rsidRDefault="00663CEF" w:rsidP="00663CEF">
      <w:pPr>
        <w:rPr>
          <w:rFonts w:ascii="Arial" w:hAnsi="Arial" w:cs="Arial"/>
        </w:rPr>
      </w:pPr>
      <w:r>
        <w:rPr>
          <w:rFonts w:ascii="Arial" w:hAnsi="Arial" w:cs="Arial"/>
          <w:b/>
        </w:rPr>
        <w:t>Recommendation 1</w:t>
      </w:r>
    </w:p>
    <w:p w14:paraId="54972C71" w14:textId="7DDF9E99" w:rsidR="00663CEF" w:rsidRDefault="00663CEF" w:rsidP="00663CEF">
      <w:pPr>
        <w:rPr>
          <w:rFonts w:ascii="Arial" w:hAnsi="Arial" w:cs="Arial"/>
        </w:rPr>
      </w:pPr>
      <w:r>
        <w:rPr>
          <w:rFonts w:ascii="Arial" w:hAnsi="Arial" w:cs="Arial"/>
        </w:rPr>
        <w:t>The National Freight and Supply C</w:t>
      </w:r>
      <w:r w:rsidR="00E54F20">
        <w:rPr>
          <w:rFonts w:ascii="Arial" w:hAnsi="Arial" w:cs="Arial"/>
        </w:rPr>
        <w:t>hain Strategy should commit</w:t>
      </w:r>
      <w:r>
        <w:rPr>
          <w:rFonts w:ascii="Arial" w:hAnsi="Arial" w:cs="Arial"/>
        </w:rPr>
        <w:t xml:space="preserve"> to fair and competitive supply chain costs, and include </w:t>
      </w:r>
      <w:r w:rsidRPr="00663CEF">
        <w:rPr>
          <w:rFonts w:ascii="Arial" w:hAnsi="Arial" w:cs="Arial"/>
        </w:rPr>
        <w:t>a commitment to</w:t>
      </w:r>
      <w:r>
        <w:rPr>
          <w:rFonts w:ascii="Arial" w:hAnsi="Arial" w:cs="Arial"/>
        </w:rPr>
        <w:t xml:space="preserve"> implement independent pr</w:t>
      </w:r>
      <w:r w:rsidR="006C3EAF">
        <w:rPr>
          <w:rFonts w:ascii="Arial" w:hAnsi="Arial" w:cs="Arial"/>
        </w:rPr>
        <w:t>ice regulation of heavy vehicle charges</w:t>
      </w:r>
      <w:r>
        <w:rPr>
          <w:rFonts w:ascii="Arial" w:hAnsi="Arial" w:cs="Arial"/>
        </w:rPr>
        <w:t>, ensuring that the new system does not continue the present overcharging of trucking operators and Australia’s supply chains.</w:t>
      </w:r>
    </w:p>
    <w:p w14:paraId="359E0F16" w14:textId="77777777" w:rsidR="00602F95" w:rsidRDefault="00602F95" w:rsidP="002340EE">
      <w:pPr>
        <w:rPr>
          <w:rFonts w:ascii="Arial" w:hAnsi="Arial" w:cs="Arial"/>
        </w:rPr>
      </w:pPr>
    </w:p>
    <w:p w14:paraId="150ED0A9" w14:textId="777EA559" w:rsidR="002340EE" w:rsidRPr="00AC1B66" w:rsidRDefault="00051B12" w:rsidP="002340EE">
      <w:pPr>
        <w:rPr>
          <w:rFonts w:ascii="Arial" w:hAnsi="Arial" w:cs="Arial"/>
          <w:b/>
        </w:rPr>
      </w:pPr>
      <w:r>
        <w:rPr>
          <w:rFonts w:ascii="Arial" w:hAnsi="Arial" w:cs="Arial"/>
          <w:b/>
        </w:rPr>
        <w:t xml:space="preserve">Fair toll road </w:t>
      </w:r>
      <w:r w:rsidR="00D105FD">
        <w:rPr>
          <w:rFonts w:ascii="Arial" w:hAnsi="Arial" w:cs="Arial"/>
          <w:b/>
        </w:rPr>
        <w:t xml:space="preserve">and landside port </w:t>
      </w:r>
      <w:r>
        <w:rPr>
          <w:rFonts w:ascii="Arial" w:hAnsi="Arial" w:cs="Arial"/>
          <w:b/>
        </w:rPr>
        <w:t>charges</w:t>
      </w:r>
    </w:p>
    <w:p w14:paraId="7467AE65" w14:textId="18A4AE5B" w:rsidR="002340EE" w:rsidRPr="00BE1308" w:rsidRDefault="002340EE" w:rsidP="002340EE">
      <w:pPr>
        <w:rPr>
          <w:rFonts w:ascii="Arial" w:hAnsi="Arial" w:cs="Arial"/>
        </w:rPr>
      </w:pPr>
      <w:r>
        <w:rPr>
          <w:rFonts w:ascii="Arial" w:hAnsi="Arial" w:cs="Arial"/>
        </w:rPr>
        <w:t>Whilst trucking operators already overpay for their use of the roads</w:t>
      </w:r>
      <w:r w:rsidR="006C3EAF">
        <w:rPr>
          <w:rFonts w:ascii="Arial" w:hAnsi="Arial" w:cs="Arial"/>
        </w:rPr>
        <w:t xml:space="preserve">, </w:t>
      </w:r>
      <w:r w:rsidR="00D105FD">
        <w:rPr>
          <w:rFonts w:ascii="Arial" w:hAnsi="Arial" w:cs="Arial"/>
        </w:rPr>
        <w:t xml:space="preserve">private toll road owners, </w:t>
      </w:r>
      <w:r>
        <w:rPr>
          <w:rFonts w:ascii="Arial" w:hAnsi="Arial" w:cs="Arial"/>
        </w:rPr>
        <w:t>state governments</w:t>
      </w:r>
      <w:r w:rsidR="00D105FD">
        <w:rPr>
          <w:rFonts w:ascii="Arial" w:hAnsi="Arial" w:cs="Arial"/>
        </w:rPr>
        <w:t xml:space="preserve"> and stevedores</w:t>
      </w:r>
      <w:r>
        <w:rPr>
          <w:rFonts w:ascii="Arial" w:hAnsi="Arial" w:cs="Arial"/>
        </w:rPr>
        <w:t xml:space="preserve"> have been increasing the unfair charges burden through toll</w:t>
      </w:r>
      <w:r w:rsidR="00D105FD">
        <w:rPr>
          <w:rFonts w:ascii="Arial" w:hAnsi="Arial" w:cs="Arial"/>
        </w:rPr>
        <w:t xml:space="preserve"> and landside port charge</w:t>
      </w:r>
      <w:r>
        <w:rPr>
          <w:rFonts w:ascii="Arial" w:hAnsi="Arial" w:cs="Arial"/>
        </w:rPr>
        <w:t xml:space="preserve"> increases, whilst avoiding a fair distribution of increases with light vehicles</w:t>
      </w:r>
      <w:r w:rsidR="00D105FD">
        <w:rPr>
          <w:rFonts w:ascii="Arial" w:hAnsi="Arial" w:cs="Arial"/>
        </w:rPr>
        <w:t xml:space="preserve"> and other freight modes</w:t>
      </w:r>
      <w:r>
        <w:rPr>
          <w:rFonts w:ascii="Arial" w:hAnsi="Arial" w:cs="Arial"/>
        </w:rPr>
        <w:t xml:space="preserve">. </w:t>
      </w:r>
    </w:p>
    <w:p w14:paraId="690EAF1E" w14:textId="77777777" w:rsidR="00D105FD" w:rsidRDefault="00D105FD" w:rsidP="002340EE">
      <w:pPr>
        <w:rPr>
          <w:rFonts w:ascii="Arial" w:hAnsi="Arial" w:cs="Arial"/>
        </w:rPr>
      </w:pPr>
    </w:p>
    <w:p w14:paraId="38594F16" w14:textId="77777777" w:rsidR="00D105FD" w:rsidRDefault="00D105FD" w:rsidP="00D105FD">
      <w:pPr>
        <w:keepNext/>
        <w:rPr>
          <w:rFonts w:ascii="Arial" w:hAnsi="Arial" w:cs="Arial"/>
        </w:rPr>
      </w:pPr>
      <w:r w:rsidRPr="009128DE">
        <w:rPr>
          <w:rFonts w:ascii="Arial" w:hAnsi="Arial" w:cs="Arial"/>
        </w:rPr>
        <w:t>In April 2017</w:t>
      </w:r>
      <w:r>
        <w:rPr>
          <w:rFonts w:ascii="Arial" w:hAnsi="Arial" w:cs="Arial"/>
        </w:rPr>
        <w:t xml:space="preserve">, </w:t>
      </w:r>
      <w:r w:rsidRPr="009128DE">
        <w:rPr>
          <w:rFonts w:ascii="Arial" w:hAnsi="Arial" w:cs="Arial"/>
        </w:rPr>
        <w:t xml:space="preserve">the toll for heavy vehicles using CityLink in Melbourne </w:t>
      </w:r>
      <w:r>
        <w:rPr>
          <w:rFonts w:ascii="Arial" w:hAnsi="Arial" w:cs="Arial"/>
        </w:rPr>
        <w:t xml:space="preserve">increased </w:t>
      </w:r>
      <w:r w:rsidRPr="009128DE">
        <w:rPr>
          <w:rFonts w:ascii="Arial" w:hAnsi="Arial" w:cs="Arial"/>
        </w:rPr>
        <w:t>by up to 125 per cent to fund the CityLink-Tullamarine widening project</w:t>
      </w:r>
      <w:r>
        <w:rPr>
          <w:rFonts w:ascii="Arial" w:hAnsi="Arial" w:cs="Arial"/>
        </w:rPr>
        <w:t>.</w:t>
      </w:r>
      <w:r>
        <w:rPr>
          <w:rStyle w:val="FootnoteReference"/>
          <w:rFonts w:ascii="Arial" w:hAnsi="Arial" w:cs="Arial"/>
        </w:rPr>
        <w:footnoteReference w:id="5"/>
      </w:r>
      <w:r>
        <w:rPr>
          <w:rFonts w:ascii="Arial" w:hAnsi="Arial" w:cs="Arial"/>
        </w:rPr>
        <w:t xml:space="preserve"> </w:t>
      </w:r>
    </w:p>
    <w:p w14:paraId="553BD23D" w14:textId="77777777" w:rsidR="00D105FD" w:rsidRDefault="00D105FD" w:rsidP="00D105FD">
      <w:pPr>
        <w:rPr>
          <w:rFonts w:ascii="Arial" w:hAnsi="Arial" w:cs="Arial"/>
        </w:rPr>
      </w:pPr>
    </w:p>
    <w:p w14:paraId="72FD406E" w14:textId="77777777" w:rsidR="00D105FD" w:rsidRPr="009128DE" w:rsidRDefault="00D105FD" w:rsidP="00D105FD">
      <w:pPr>
        <w:rPr>
          <w:rFonts w:ascii="Arial" w:hAnsi="Arial" w:cs="Arial"/>
        </w:rPr>
      </w:pPr>
      <w:r>
        <w:rPr>
          <w:rFonts w:ascii="Arial" w:hAnsi="Arial" w:cs="Arial"/>
        </w:rPr>
        <w:t>Meanwhile, in Sydney, the truck toll multiplier on the M2, Lane Cove Tunnel, M5 and M7 has increased to 3 times the car toll. And in Brisbane, the truck toll multiplier on the Logan and Gateway motorways will progressively increase to 3.46 times the car toll once the Logan Enhancement Project is completed in mid-2019.</w:t>
      </w:r>
      <w:r>
        <w:rPr>
          <w:rStyle w:val="FootnoteReference"/>
          <w:rFonts w:ascii="Arial" w:hAnsi="Arial" w:cs="Arial"/>
        </w:rPr>
        <w:footnoteReference w:id="6"/>
      </w:r>
      <w:r>
        <w:rPr>
          <w:rFonts w:ascii="Arial" w:hAnsi="Arial" w:cs="Arial"/>
        </w:rPr>
        <w:t xml:space="preserve"> </w:t>
      </w:r>
    </w:p>
    <w:p w14:paraId="789DA6BB" w14:textId="77777777" w:rsidR="00D105FD" w:rsidRDefault="00D105FD" w:rsidP="00D105FD">
      <w:pPr>
        <w:pStyle w:val="BodyText1"/>
        <w:spacing w:before="0"/>
        <w:rPr>
          <w:rFonts w:cs="Arial"/>
          <w:sz w:val="22"/>
          <w:szCs w:val="22"/>
        </w:rPr>
      </w:pPr>
    </w:p>
    <w:p w14:paraId="53124DFE" w14:textId="77777777" w:rsidR="00D105FD" w:rsidRDefault="00D105FD" w:rsidP="00D105FD">
      <w:pPr>
        <w:pStyle w:val="BodyText1"/>
        <w:spacing w:before="0"/>
        <w:rPr>
          <w:rFonts w:cs="Arial"/>
          <w:sz w:val="22"/>
          <w:szCs w:val="22"/>
        </w:rPr>
      </w:pPr>
      <w:r>
        <w:rPr>
          <w:rFonts w:cs="Arial"/>
          <w:sz w:val="22"/>
          <w:szCs w:val="22"/>
        </w:rPr>
        <w:t xml:space="preserve">These state government approved toll increases apply only to trucks, even though all road users will benefit from the projects they fund. The arrangements for approving truck tolls are </w:t>
      </w:r>
      <w:r w:rsidRPr="004A4CBC">
        <w:rPr>
          <w:rFonts w:cs="Arial"/>
          <w:sz w:val="22"/>
          <w:szCs w:val="22"/>
        </w:rPr>
        <w:t>ad hoc</w:t>
      </w:r>
      <w:r>
        <w:rPr>
          <w:rFonts w:cs="Arial"/>
          <w:sz w:val="22"/>
          <w:szCs w:val="22"/>
        </w:rPr>
        <w:t xml:space="preserve"> and can lead to state-by-state ratcheting. International evidence suggests that the contracts are unlikely to be sustainable in the long term without external regulation.</w:t>
      </w:r>
      <w:r>
        <w:rPr>
          <w:rStyle w:val="FootnoteReference"/>
          <w:rFonts w:cs="Arial"/>
          <w:sz w:val="22"/>
          <w:szCs w:val="22"/>
        </w:rPr>
        <w:footnoteReference w:id="7"/>
      </w:r>
    </w:p>
    <w:p w14:paraId="0046DF12" w14:textId="77777777" w:rsidR="00D105FD" w:rsidRPr="00BE41F4" w:rsidRDefault="00D105FD" w:rsidP="00D105FD">
      <w:pPr>
        <w:spacing w:line="259" w:lineRule="auto"/>
        <w:rPr>
          <w:rFonts w:ascii="Arial" w:eastAsiaTheme="minorHAnsi" w:hAnsi="Arial" w:cs="Arial"/>
        </w:rPr>
      </w:pPr>
    </w:p>
    <w:p w14:paraId="39E86831" w14:textId="77777777" w:rsidR="00D105FD" w:rsidRDefault="00D105FD" w:rsidP="00D105FD">
      <w:pPr>
        <w:pStyle w:val="BodyText1"/>
        <w:spacing w:before="0"/>
        <w:rPr>
          <w:rFonts w:eastAsiaTheme="minorHAnsi" w:cs="Arial"/>
          <w:color w:val="auto"/>
          <w:sz w:val="22"/>
          <w:szCs w:val="22"/>
          <w:lang w:eastAsia="en-US"/>
        </w:rPr>
      </w:pPr>
      <w:r>
        <w:rPr>
          <w:rFonts w:eastAsiaTheme="minorHAnsi" w:cs="Arial"/>
          <w:color w:val="auto"/>
          <w:sz w:val="22"/>
          <w:szCs w:val="22"/>
          <w:lang w:eastAsia="en-US"/>
        </w:rPr>
        <w:t xml:space="preserve">The ATA and its members have similar concerns about landside port charges. </w:t>
      </w:r>
    </w:p>
    <w:p w14:paraId="23F1F18D" w14:textId="77777777" w:rsidR="00D105FD" w:rsidRDefault="00D105FD" w:rsidP="00D105FD">
      <w:pPr>
        <w:pStyle w:val="BodyText1"/>
        <w:spacing w:before="0"/>
        <w:rPr>
          <w:rFonts w:eastAsiaTheme="minorHAnsi" w:cs="Arial"/>
          <w:color w:val="auto"/>
          <w:sz w:val="22"/>
          <w:szCs w:val="22"/>
          <w:lang w:eastAsia="en-US"/>
        </w:rPr>
      </w:pPr>
    </w:p>
    <w:p w14:paraId="13CC769B" w14:textId="77777777" w:rsidR="00D105FD" w:rsidRDefault="00D105FD" w:rsidP="00D105FD">
      <w:pPr>
        <w:pStyle w:val="BodyText1"/>
        <w:spacing w:before="0"/>
        <w:rPr>
          <w:rFonts w:cs="Arial"/>
          <w:sz w:val="22"/>
          <w:szCs w:val="22"/>
        </w:rPr>
      </w:pPr>
      <w:r>
        <w:rPr>
          <w:rFonts w:eastAsiaTheme="minorHAnsi" w:cs="Arial"/>
          <w:color w:val="auto"/>
          <w:sz w:val="22"/>
          <w:szCs w:val="22"/>
          <w:lang w:eastAsia="en-US"/>
        </w:rPr>
        <w:t xml:space="preserve">Earlier in 2017, DP World unilaterally increased the infrastructure surcharge at its Melbourne terminal from $3.20 to $32.50 per container and imposed a new surcharge of $21.16 per container at its Port Botany terminal. The Port Botany surcharge could cost carriers up to $150,000 per year. </w:t>
      </w:r>
      <w:r w:rsidRPr="00927DAF">
        <w:rPr>
          <w:rFonts w:eastAsiaTheme="minorHAnsi" w:cs="Arial"/>
          <w:color w:val="auto"/>
          <w:sz w:val="22"/>
          <w:szCs w:val="22"/>
          <w:lang w:eastAsia="en-US"/>
        </w:rPr>
        <w:t>Trucking operat</w:t>
      </w:r>
      <w:r>
        <w:rPr>
          <w:rFonts w:eastAsiaTheme="minorHAnsi" w:cs="Arial"/>
          <w:color w:val="auto"/>
          <w:sz w:val="22"/>
          <w:szCs w:val="22"/>
          <w:lang w:eastAsia="en-US"/>
        </w:rPr>
        <w:t xml:space="preserve">ors are charged through 1-Stop and </w:t>
      </w:r>
      <w:r w:rsidRPr="00927DAF">
        <w:rPr>
          <w:rFonts w:eastAsiaTheme="minorHAnsi" w:cs="Arial"/>
          <w:color w:val="auto"/>
          <w:sz w:val="22"/>
          <w:szCs w:val="22"/>
          <w:lang w:eastAsia="en-US"/>
        </w:rPr>
        <w:t xml:space="preserve">payment </w:t>
      </w:r>
      <w:r>
        <w:rPr>
          <w:rFonts w:eastAsiaTheme="minorHAnsi" w:cs="Arial"/>
          <w:color w:val="auto"/>
          <w:sz w:val="22"/>
          <w:szCs w:val="22"/>
          <w:lang w:eastAsia="en-US"/>
        </w:rPr>
        <w:t xml:space="preserve">is required </w:t>
      </w:r>
      <w:r w:rsidRPr="00927DAF">
        <w:rPr>
          <w:rFonts w:eastAsiaTheme="minorHAnsi" w:cs="Arial"/>
          <w:color w:val="auto"/>
          <w:sz w:val="22"/>
          <w:szCs w:val="22"/>
          <w:lang w:eastAsia="en-US"/>
        </w:rPr>
        <w:t>within seven days, even though they cannot recover their costs for 30 days or longer.</w:t>
      </w:r>
      <w:r>
        <w:rPr>
          <w:rStyle w:val="FootnoteReference"/>
          <w:rFonts w:cs="Arial"/>
          <w:sz w:val="22"/>
          <w:szCs w:val="22"/>
        </w:rPr>
        <w:footnoteReference w:id="8"/>
      </w:r>
    </w:p>
    <w:p w14:paraId="25EEDD9F" w14:textId="77777777" w:rsidR="00D105FD" w:rsidRDefault="00D105FD" w:rsidP="00D105FD">
      <w:pPr>
        <w:pStyle w:val="BodyText1"/>
        <w:spacing w:before="0"/>
        <w:rPr>
          <w:rFonts w:cs="Arial"/>
          <w:sz w:val="22"/>
          <w:szCs w:val="22"/>
        </w:rPr>
      </w:pPr>
    </w:p>
    <w:p w14:paraId="57B8D0E9" w14:textId="77777777" w:rsidR="00D105FD" w:rsidRDefault="00D105FD" w:rsidP="00D105FD">
      <w:pPr>
        <w:pStyle w:val="BodyText1"/>
        <w:spacing w:before="0"/>
        <w:rPr>
          <w:rFonts w:cs="Arial"/>
          <w:sz w:val="22"/>
          <w:szCs w:val="22"/>
        </w:rPr>
      </w:pPr>
      <w:r>
        <w:rPr>
          <w:rFonts w:cs="Arial"/>
          <w:sz w:val="22"/>
          <w:szCs w:val="22"/>
        </w:rPr>
        <w:t>Separately, Patrick increased its existing surcharges at Fisherman Islands and East Swanson Dock from 10 July 2017. It introduced a $4.76 surcharge per container at its Fremantle terminal and a $25.45 surcharge per container at its Port Botany terminal, even though its total rent per square metre of occupied land area at Port Botany declined between 2013 and 2017. To its credit, Patrick extended its 1-Stop payment terms from seven to 30 days.</w:t>
      </w:r>
      <w:r>
        <w:rPr>
          <w:rStyle w:val="FootnoteReference"/>
          <w:rFonts w:cs="Arial"/>
          <w:sz w:val="22"/>
          <w:szCs w:val="22"/>
        </w:rPr>
        <w:footnoteReference w:id="9"/>
      </w:r>
      <w:r>
        <w:rPr>
          <w:rFonts w:cs="Arial"/>
          <w:sz w:val="22"/>
          <w:szCs w:val="22"/>
        </w:rPr>
        <w:t xml:space="preserve"> </w:t>
      </w:r>
      <w:r>
        <w:rPr>
          <w:rStyle w:val="FootnoteReference"/>
          <w:rFonts w:cs="Arial"/>
          <w:sz w:val="22"/>
          <w:szCs w:val="22"/>
        </w:rPr>
        <w:footnoteReference w:id="10"/>
      </w:r>
    </w:p>
    <w:p w14:paraId="683364AA" w14:textId="77777777" w:rsidR="00D105FD" w:rsidRDefault="00D105FD" w:rsidP="00D105FD">
      <w:pPr>
        <w:pStyle w:val="BodyText1"/>
        <w:spacing w:before="0"/>
        <w:rPr>
          <w:rFonts w:cs="Arial"/>
          <w:sz w:val="22"/>
          <w:szCs w:val="22"/>
        </w:rPr>
      </w:pPr>
    </w:p>
    <w:p w14:paraId="16A9CECA" w14:textId="77777777" w:rsidR="00D105FD" w:rsidRDefault="00D105FD" w:rsidP="00D105FD">
      <w:pPr>
        <w:pStyle w:val="BodyText1"/>
        <w:spacing w:before="0"/>
        <w:rPr>
          <w:rFonts w:cs="Arial"/>
          <w:sz w:val="22"/>
          <w:szCs w:val="22"/>
        </w:rPr>
      </w:pPr>
      <w:r>
        <w:rPr>
          <w:rFonts w:cs="Arial"/>
          <w:sz w:val="22"/>
          <w:szCs w:val="22"/>
        </w:rPr>
        <w:t>These charge increases cannot be avoided by trucking operators; they have not been subject to detailed regulatory scrutiny; they simply build additional costs into Australia’s supply chains.</w:t>
      </w:r>
    </w:p>
    <w:p w14:paraId="0B6EC69F" w14:textId="77777777" w:rsidR="00D105FD" w:rsidRDefault="00D105FD" w:rsidP="00D105FD">
      <w:pPr>
        <w:pStyle w:val="BodyText1"/>
        <w:spacing w:before="0"/>
        <w:rPr>
          <w:rFonts w:cs="Arial"/>
          <w:sz w:val="22"/>
          <w:szCs w:val="22"/>
        </w:rPr>
      </w:pPr>
    </w:p>
    <w:p w14:paraId="33C66DD2" w14:textId="53FABAEC" w:rsidR="00D105FD" w:rsidRPr="00D105FD" w:rsidRDefault="00D105FD" w:rsidP="00D105FD">
      <w:pPr>
        <w:pStyle w:val="BodyText1"/>
        <w:spacing w:before="0"/>
        <w:rPr>
          <w:rFonts w:cs="Arial"/>
          <w:sz w:val="22"/>
          <w:szCs w:val="22"/>
        </w:rPr>
      </w:pPr>
      <w:r>
        <w:rPr>
          <w:rFonts w:cs="Arial"/>
          <w:sz w:val="22"/>
          <w:szCs w:val="22"/>
        </w:rPr>
        <w:t xml:space="preserve">As a result, </w:t>
      </w:r>
      <w:r w:rsidRPr="00D105FD">
        <w:rPr>
          <w:rFonts w:cs="Arial"/>
          <w:sz w:val="22"/>
          <w:szCs w:val="22"/>
        </w:rPr>
        <w:t>the ATA considers that heavy vehicle tolls and landside port charges should be regulated by the heavy vehicle economic regulator</w:t>
      </w:r>
      <w:r>
        <w:rPr>
          <w:rFonts w:cs="Arial"/>
          <w:sz w:val="22"/>
          <w:szCs w:val="22"/>
        </w:rPr>
        <w:t>, once established under the heavy vehicle charging reform agenda</w:t>
      </w:r>
      <w:r w:rsidRPr="00D105FD">
        <w:rPr>
          <w:rFonts w:cs="Arial"/>
          <w:sz w:val="22"/>
          <w:szCs w:val="22"/>
        </w:rPr>
        <w:t>.</w:t>
      </w:r>
    </w:p>
    <w:p w14:paraId="7361086F" w14:textId="77777777" w:rsidR="00D105FD" w:rsidRDefault="00D105FD" w:rsidP="002340EE">
      <w:pPr>
        <w:rPr>
          <w:rFonts w:ascii="Arial" w:hAnsi="Arial" w:cs="Arial"/>
        </w:rPr>
      </w:pPr>
    </w:p>
    <w:p w14:paraId="10D7AFD6" w14:textId="77777777" w:rsidR="006C3EAF" w:rsidRDefault="006C3EAF" w:rsidP="002340EE">
      <w:pPr>
        <w:rPr>
          <w:rFonts w:ascii="Arial" w:hAnsi="Arial" w:cs="Arial"/>
          <w:b/>
        </w:rPr>
      </w:pPr>
      <w:r>
        <w:rPr>
          <w:rFonts w:ascii="Arial" w:hAnsi="Arial" w:cs="Arial"/>
          <w:b/>
        </w:rPr>
        <w:br w:type="page"/>
      </w:r>
    </w:p>
    <w:p w14:paraId="320A7C34" w14:textId="1C98112D" w:rsidR="002340EE" w:rsidRDefault="00B43BDF" w:rsidP="002340EE">
      <w:pPr>
        <w:rPr>
          <w:rFonts w:ascii="Arial" w:hAnsi="Arial" w:cs="Arial"/>
        </w:rPr>
      </w:pPr>
      <w:r>
        <w:rPr>
          <w:rFonts w:ascii="Arial" w:hAnsi="Arial" w:cs="Arial"/>
          <w:b/>
        </w:rPr>
        <w:t>Recommendation 2</w:t>
      </w:r>
    </w:p>
    <w:p w14:paraId="261EBCCC" w14:textId="6D222000" w:rsidR="00D105FD" w:rsidRPr="00D105FD" w:rsidRDefault="00D105FD" w:rsidP="002340EE">
      <w:pPr>
        <w:rPr>
          <w:rFonts w:ascii="Arial" w:hAnsi="Arial" w:cs="Arial"/>
        </w:rPr>
      </w:pPr>
      <w:r>
        <w:rPr>
          <w:rFonts w:ascii="Arial" w:hAnsi="Arial" w:cs="Arial"/>
        </w:rPr>
        <w:t xml:space="preserve">Toll road and landside port charges for heavy vehicles </w:t>
      </w:r>
      <w:r w:rsidR="00C9189B">
        <w:rPr>
          <w:rFonts w:ascii="Arial" w:hAnsi="Arial" w:cs="Arial"/>
        </w:rPr>
        <w:t>should</w:t>
      </w:r>
      <w:r>
        <w:rPr>
          <w:rFonts w:ascii="Arial" w:hAnsi="Arial" w:cs="Arial"/>
        </w:rPr>
        <w:t xml:space="preserve"> be regulated under a future </w:t>
      </w:r>
      <w:r w:rsidRPr="00D105FD">
        <w:rPr>
          <w:rFonts w:ascii="Arial" w:hAnsi="Arial" w:cs="Arial"/>
        </w:rPr>
        <w:t>heavy vehicle economic regulator</w:t>
      </w:r>
      <w:r w:rsidR="002D5328">
        <w:rPr>
          <w:rFonts w:ascii="Arial" w:hAnsi="Arial" w:cs="Arial"/>
        </w:rPr>
        <w:t xml:space="preserve">, and this reform objective should be reflected in the </w:t>
      </w:r>
      <w:r w:rsidR="002D5328" w:rsidRPr="002D5328">
        <w:rPr>
          <w:rFonts w:ascii="Arial" w:hAnsi="Arial" w:cs="Arial"/>
        </w:rPr>
        <w:t>National Freight and Supply Chain Strategy</w:t>
      </w:r>
      <w:r w:rsidR="002D5328">
        <w:rPr>
          <w:rFonts w:ascii="Arial" w:hAnsi="Arial" w:cs="Arial"/>
        </w:rPr>
        <w:t>.</w:t>
      </w:r>
    </w:p>
    <w:p w14:paraId="574BB394" w14:textId="77777777" w:rsidR="002340EE" w:rsidRDefault="002340EE" w:rsidP="002340EE">
      <w:pPr>
        <w:rPr>
          <w:rFonts w:ascii="Arial" w:hAnsi="Arial" w:cs="Arial"/>
          <w:b/>
        </w:rPr>
      </w:pPr>
    </w:p>
    <w:p w14:paraId="759C879C" w14:textId="15B0B6D6" w:rsidR="002D5328" w:rsidRPr="002D5328" w:rsidRDefault="002D5328" w:rsidP="002D5328">
      <w:pPr>
        <w:pStyle w:val="Heading1"/>
        <w:ind w:left="357" w:hanging="357"/>
        <w:rPr>
          <w:sz w:val="24"/>
          <w:szCs w:val="24"/>
        </w:rPr>
      </w:pPr>
      <w:bookmarkStart w:id="5" w:name="_Toc488842017"/>
      <w:r>
        <w:rPr>
          <w:sz w:val="24"/>
          <w:szCs w:val="24"/>
        </w:rPr>
        <w:t>Road investment reform agenda</w:t>
      </w:r>
      <w:bookmarkEnd w:id="5"/>
    </w:p>
    <w:p w14:paraId="32A23300" w14:textId="77777777" w:rsidR="002D5328" w:rsidRDefault="002D5328" w:rsidP="006500E6">
      <w:pPr>
        <w:pStyle w:val="NoSpacing"/>
        <w:rPr>
          <w:rFonts w:eastAsia="Calibri"/>
          <w:color w:val="auto"/>
          <w:sz w:val="22"/>
          <w:szCs w:val="22"/>
          <w:lang w:eastAsia="en-US"/>
        </w:rPr>
      </w:pPr>
    </w:p>
    <w:p w14:paraId="6BCCDDCF" w14:textId="49023460" w:rsidR="002D5328" w:rsidRDefault="002D5328" w:rsidP="002D5328">
      <w:pPr>
        <w:rPr>
          <w:rFonts w:ascii="Arial" w:hAnsi="Arial" w:cs="Arial"/>
        </w:rPr>
      </w:pPr>
      <w:r>
        <w:rPr>
          <w:rFonts w:ascii="Arial" w:hAnsi="Arial" w:cs="Arial"/>
        </w:rPr>
        <w:t xml:space="preserve">The </w:t>
      </w:r>
      <w:r w:rsidRPr="002D5328">
        <w:rPr>
          <w:rFonts w:ascii="Arial" w:hAnsi="Arial" w:cs="Arial"/>
        </w:rPr>
        <w:t>National Freight and Supply Chain Strategy</w:t>
      </w:r>
      <w:r>
        <w:rPr>
          <w:rFonts w:ascii="Arial" w:hAnsi="Arial" w:cs="Arial"/>
        </w:rPr>
        <w:t xml:space="preserve"> should </w:t>
      </w:r>
      <w:r w:rsidR="006C3EAF">
        <w:rPr>
          <w:rFonts w:ascii="Arial" w:hAnsi="Arial" w:cs="Arial"/>
        </w:rPr>
        <w:t>continue and accelerate</w:t>
      </w:r>
      <w:r>
        <w:rPr>
          <w:rFonts w:ascii="Arial" w:hAnsi="Arial" w:cs="Arial"/>
        </w:rPr>
        <w:t xml:space="preserve"> </w:t>
      </w:r>
      <w:r w:rsidR="006C3EAF">
        <w:rPr>
          <w:rFonts w:ascii="Arial" w:hAnsi="Arial" w:cs="Arial"/>
        </w:rPr>
        <w:t xml:space="preserve">the </w:t>
      </w:r>
      <w:r>
        <w:rPr>
          <w:rFonts w:ascii="Arial" w:hAnsi="Arial" w:cs="Arial"/>
        </w:rPr>
        <w:t>Australian Government</w:t>
      </w:r>
      <w:r w:rsidR="00504C11">
        <w:rPr>
          <w:rFonts w:ascii="Arial" w:hAnsi="Arial" w:cs="Arial"/>
        </w:rPr>
        <w:t>-led</w:t>
      </w:r>
      <w:r>
        <w:rPr>
          <w:rFonts w:ascii="Arial" w:hAnsi="Arial" w:cs="Arial"/>
        </w:rPr>
        <w:t xml:space="preserve"> road investment reform agenda. Whilst the ATA welcomes the Governments focus on reforming heavy vehicle charges, assuming this leads to a fairer system, and</w:t>
      </w:r>
      <w:r w:rsidR="005D6A7C">
        <w:rPr>
          <w:rFonts w:ascii="Arial" w:hAnsi="Arial" w:cs="Arial"/>
        </w:rPr>
        <w:t xml:space="preserve"> the focus</w:t>
      </w:r>
      <w:r>
        <w:rPr>
          <w:rFonts w:ascii="Arial" w:hAnsi="Arial" w:cs="Arial"/>
        </w:rPr>
        <w:t xml:space="preserve"> on building new infrastructure, there is a clear and pressing need to reform the way we fund, build, and maintain our road network.</w:t>
      </w:r>
    </w:p>
    <w:p w14:paraId="1C5F5180" w14:textId="77777777" w:rsidR="002D5328" w:rsidRDefault="002D5328" w:rsidP="002D5328">
      <w:pPr>
        <w:rPr>
          <w:rFonts w:ascii="Arial" w:hAnsi="Arial" w:cs="Arial"/>
        </w:rPr>
      </w:pPr>
    </w:p>
    <w:p w14:paraId="016518D3" w14:textId="5C9FF881" w:rsidR="00504C11" w:rsidRDefault="005D6A7C" w:rsidP="002D5328">
      <w:pPr>
        <w:rPr>
          <w:rFonts w:ascii="Arial" w:hAnsi="Arial" w:cs="Arial"/>
        </w:rPr>
      </w:pPr>
      <w:r>
        <w:rPr>
          <w:rFonts w:ascii="Arial" w:hAnsi="Arial" w:cs="Arial"/>
        </w:rPr>
        <w:t xml:space="preserve">The case for road investment reform is clear. The Productivity Commission has reported that the current governance, taxation and institutional arrangements for the provision </w:t>
      </w:r>
      <w:r w:rsidR="006475C5">
        <w:rPr>
          <w:rFonts w:ascii="Arial" w:hAnsi="Arial" w:cs="Arial"/>
        </w:rPr>
        <w:t xml:space="preserve">and funding of roads </w:t>
      </w:r>
      <w:r>
        <w:rPr>
          <w:rFonts w:ascii="Arial" w:hAnsi="Arial" w:cs="Arial"/>
        </w:rPr>
        <w:t xml:space="preserve">are ultimately unsustainable. The Commission also reported that road funding decisions are often based on inadequate information, inadequate assessment of the costs and benefits of projects, and </w:t>
      </w:r>
      <w:r w:rsidR="006475C5">
        <w:rPr>
          <w:rFonts w:ascii="Arial" w:hAnsi="Arial" w:cs="Arial"/>
        </w:rPr>
        <w:t>are</w:t>
      </w:r>
      <w:r>
        <w:rPr>
          <w:rFonts w:ascii="Arial" w:hAnsi="Arial" w:cs="Arial"/>
        </w:rPr>
        <w:t xml:space="preserve"> subject to budgetary and electoral pressures.</w:t>
      </w:r>
      <w:r>
        <w:rPr>
          <w:rStyle w:val="FootnoteReference"/>
          <w:rFonts w:ascii="Arial" w:hAnsi="Arial"/>
        </w:rPr>
        <w:footnoteReference w:id="11"/>
      </w:r>
    </w:p>
    <w:p w14:paraId="12DEC659" w14:textId="77777777" w:rsidR="005D6A7C" w:rsidRDefault="005D6A7C" w:rsidP="002D5328">
      <w:pPr>
        <w:rPr>
          <w:rFonts w:ascii="Arial" w:hAnsi="Arial" w:cs="Arial"/>
        </w:rPr>
      </w:pPr>
    </w:p>
    <w:p w14:paraId="52B5A164" w14:textId="198A12A5" w:rsidR="005D6A7C" w:rsidRDefault="00D901FE" w:rsidP="002D5328">
      <w:pPr>
        <w:rPr>
          <w:rFonts w:ascii="Arial" w:hAnsi="Arial" w:cs="Arial"/>
        </w:rPr>
      </w:pPr>
      <w:r>
        <w:rPr>
          <w:rFonts w:ascii="Arial" w:hAnsi="Arial" w:cs="Arial"/>
        </w:rPr>
        <w:t>Austroads reported that despite Australia spending approximately $19 billion maintaining, expanding and operating our extensive road network in 2013-14, and despite ste</w:t>
      </w:r>
      <w:r w:rsidR="00C9189B">
        <w:rPr>
          <w:rFonts w:ascii="Arial" w:hAnsi="Arial" w:cs="Arial"/>
        </w:rPr>
        <w:t xml:space="preserve">ady growth in expenditure, </w:t>
      </w:r>
      <w:r>
        <w:rPr>
          <w:rFonts w:ascii="Arial" w:hAnsi="Arial" w:cs="Arial"/>
        </w:rPr>
        <w:t>parts of the road network are poorly maintained, accessibility in remote and regional areas continues to be a concern, the road network continued to be congested, and heavy vehicle productivity has plateaued impacting on freight transport costs and leading to an anticipated growth in the number of heavy vehicles on the network.</w:t>
      </w:r>
      <w:r>
        <w:rPr>
          <w:rStyle w:val="FootnoteReference"/>
          <w:rFonts w:ascii="Arial" w:hAnsi="Arial"/>
        </w:rPr>
        <w:footnoteReference w:id="12"/>
      </w:r>
    </w:p>
    <w:p w14:paraId="1ECF6129" w14:textId="77777777" w:rsidR="00D901FE" w:rsidRDefault="00D901FE" w:rsidP="002D5328">
      <w:pPr>
        <w:rPr>
          <w:rFonts w:ascii="Arial" w:hAnsi="Arial" w:cs="Arial"/>
        </w:rPr>
      </w:pPr>
    </w:p>
    <w:p w14:paraId="25949029" w14:textId="77777777" w:rsidR="00D901FE" w:rsidRDefault="00D901FE" w:rsidP="00D901FE">
      <w:pPr>
        <w:rPr>
          <w:rFonts w:ascii="Arial" w:hAnsi="Arial" w:cs="Arial"/>
        </w:rPr>
      </w:pPr>
      <w:r>
        <w:rPr>
          <w:rFonts w:ascii="Arial" w:hAnsi="Arial" w:cs="Arial"/>
        </w:rPr>
        <w:t>A recent audit from the Victorian Auditor-General also demonstrates the need for reform. The audit highlighted the need for good quality roads:</w:t>
      </w:r>
    </w:p>
    <w:p w14:paraId="4F6B2B11" w14:textId="77777777" w:rsidR="00D901FE" w:rsidRDefault="00D901FE" w:rsidP="00D901FE">
      <w:pPr>
        <w:rPr>
          <w:rFonts w:ascii="Arial" w:hAnsi="Arial" w:cs="Arial"/>
        </w:rPr>
      </w:pPr>
    </w:p>
    <w:p w14:paraId="5D601187" w14:textId="25AB9E49" w:rsidR="00D901FE" w:rsidRDefault="00D901FE" w:rsidP="00D901FE">
      <w:pPr>
        <w:ind w:left="720" w:right="720"/>
        <w:rPr>
          <w:rFonts w:ascii="Arial" w:hAnsi="Arial" w:cs="Arial"/>
          <w:sz w:val="20"/>
          <w:szCs w:val="20"/>
        </w:rPr>
      </w:pPr>
      <w:r>
        <w:rPr>
          <w:rFonts w:ascii="Arial" w:hAnsi="Arial" w:cs="Arial"/>
          <w:sz w:val="20"/>
          <w:szCs w:val="20"/>
        </w:rPr>
        <w:t>Road networks in poor condition increase costs to the community, through increased fuel usage, vehicle maintenance costs and travel times. When road surfaces – referred to as road pavements – are in poor condition, they are also more expensive to maintain and repair.</w:t>
      </w:r>
    </w:p>
    <w:p w14:paraId="498D4687" w14:textId="7C7D5FD1" w:rsidR="00D901FE" w:rsidRDefault="00D901FE" w:rsidP="00D901FE">
      <w:pPr>
        <w:rPr>
          <w:rFonts w:ascii="Arial" w:hAnsi="Arial" w:cs="Arial"/>
          <w:sz w:val="20"/>
          <w:szCs w:val="20"/>
        </w:rPr>
      </w:pPr>
    </w:p>
    <w:p w14:paraId="4BD784C1" w14:textId="622CA289" w:rsidR="00D901FE" w:rsidRDefault="00D901FE" w:rsidP="00D901FE">
      <w:pPr>
        <w:rPr>
          <w:rFonts w:ascii="Arial" w:hAnsi="Arial" w:cs="Arial"/>
        </w:rPr>
      </w:pPr>
      <w:r>
        <w:rPr>
          <w:rFonts w:ascii="Arial" w:hAnsi="Arial" w:cs="Arial"/>
        </w:rPr>
        <w:t>Good quality roads also requires effective targeting of roads funding:</w:t>
      </w:r>
    </w:p>
    <w:p w14:paraId="260CC68B" w14:textId="7A349460" w:rsidR="00D901FE" w:rsidRDefault="00D901FE" w:rsidP="00D901FE">
      <w:pPr>
        <w:rPr>
          <w:rFonts w:ascii="Arial" w:hAnsi="Arial" w:cs="Arial"/>
        </w:rPr>
      </w:pPr>
    </w:p>
    <w:p w14:paraId="53298196" w14:textId="2C29B766" w:rsidR="00D901FE" w:rsidRPr="0097228C" w:rsidRDefault="00D901FE" w:rsidP="00D901FE">
      <w:pPr>
        <w:ind w:left="720" w:right="720"/>
        <w:rPr>
          <w:rFonts w:ascii="Arial" w:hAnsi="Arial" w:cs="Arial"/>
          <w:sz w:val="20"/>
          <w:szCs w:val="20"/>
        </w:rPr>
      </w:pPr>
      <w:r>
        <w:rPr>
          <w:rFonts w:ascii="Arial" w:hAnsi="Arial" w:cs="Arial"/>
          <w:sz w:val="20"/>
          <w:szCs w:val="20"/>
        </w:rPr>
        <w:t>Efficient and effective maintenance keeps Victoria’s state roads safe and reliable. Sound investment decisions require a thorough understanding of the condition of these assets and the funding needed to maintain them to an acceptable standard. If road networks are not effectively maintained, road conditions will deteriorate, and future generations will be burdened with lower levels of service, higher maintenance costs, and increased risks to safety.</w:t>
      </w:r>
      <w:r w:rsidR="00BF4876">
        <w:rPr>
          <w:rStyle w:val="FootnoteReference"/>
          <w:rFonts w:ascii="Arial" w:hAnsi="Arial"/>
          <w:sz w:val="20"/>
          <w:szCs w:val="20"/>
        </w:rPr>
        <w:footnoteReference w:id="13"/>
      </w:r>
    </w:p>
    <w:p w14:paraId="7A5D2F15" w14:textId="60B5C37A" w:rsidR="00D901FE" w:rsidRDefault="00D901FE" w:rsidP="00D901FE"/>
    <w:p w14:paraId="374C4D65" w14:textId="0437D4B0" w:rsidR="0045348D" w:rsidRDefault="002D5328" w:rsidP="002D5328">
      <w:pPr>
        <w:rPr>
          <w:rFonts w:ascii="Arial" w:hAnsi="Arial" w:cs="Arial"/>
        </w:rPr>
      </w:pPr>
      <w:r>
        <w:rPr>
          <w:rFonts w:ascii="Arial" w:hAnsi="Arial" w:cs="Arial"/>
        </w:rPr>
        <w:t xml:space="preserve">Whilst road networks are largely owned and operated by state, territory and local governments, the Australian Government performs a critical role in funding the network and is uniquely placed to provide national leadership. The Australian Government has publically expressed a clear intention to no longer act as an ATM for funding infrastructure, </w:t>
      </w:r>
      <w:r w:rsidR="0045348D">
        <w:rPr>
          <w:rFonts w:ascii="Arial" w:hAnsi="Arial" w:cs="Arial"/>
        </w:rPr>
        <w:t xml:space="preserve">making a road investment reform agenda a key </w:t>
      </w:r>
      <w:r w:rsidR="00C9189B">
        <w:rPr>
          <w:rFonts w:ascii="Arial" w:hAnsi="Arial" w:cs="Arial"/>
        </w:rPr>
        <w:t>future</w:t>
      </w:r>
      <w:r w:rsidR="0045348D">
        <w:rPr>
          <w:rFonts w:ascii="Arial" w:hAnsi="Arial" w:cs="Arial"/>
        </w:rPr>
        <w:t xml:space="preserve"> element of the Government</w:t>
      </w:r>
      <w:r w:rsidR="006C3EAF">
        <w:rPr>
          <w:rFonts w:ascii="Arial" w:hAnsi="Arial" w:cs="Arial"/>
        </w:rPr>
        <w:t>’</w:t>
      </w:r>
      <w:r w:rsidR="0045348D">
        <w:rPr>
          <w:rFonts w:ascii="Arial" w:hAnsi="Arial" w:cs="Arial"/>
        </w:rPr>
        <w:t xml:space="preserve">s agenda. Likewise, such an agenda would build on </w:t>
      </w:r>
      <w:r w:rsidR="006C3EAF">
        <w:rPr>
          <w:rFonts w:ascii="Arial" w:hAnsi="Arial" w:cs="Arial"/>
        </w:rPr>
        <w:t xml:space="preserve">the Government’s </w:t>
      </w:r>
      <w:r w:rsidR="0045348D">
        <w:rPr>
          <w:rFonts w:ascii="Arial" w:hAnsi="Arial" w:cs="Arial"/>
        </w:rPr>
        <w:t>existing policy reforms.</w:t>
      </w:r>
    </w:p>
    <w:p w14:paraId="4B533829" w14:textId="46C841E1" w:rsidR="0045348D" w:rsidRDefault="0045348D" w:rsidP="002D5328">
      <w:pPr>
        <w:rPr>
          <w:rFonts w:ascii="Arial" w:hAnsi="Arial" w:cs="Arial"/>
        </w:rPr>
      </w:pPr>
    </w:p>
    <w:p w14:paraId="46AB202A" w14:textId="1388F943" w:rsidR="002D5328" w:rsidRDefault="0045348D" w:rsidP="002D5328">
      <w:pPr>
        <w:rPr>
          <w:rFonts w:ascii="Arial" w:hAnsi="Arial" w:cs="Arial"/>
        </w:rPr>
      </w:pPr>
      <w:r>
        <w:rPr>
          <w:rFonts w:ascii="Arial" w:hAnsi="Arial" w:cs="Arial"/>
        </w:rPr>
        <w:t xml:space="preserve">The road investment reform agenda must include more effective targeting of roads funding, upgrading northern and regional roads, and setting service levels for roads. These are further detailed </w:t>
      </w:r>
      <w:r w:rsidR="006C3EAF">
        <w:rPr>
          <w:rFonts w:ascii="Arial" w:hAnsi="Arial" w:cs="Arial"/>
        </w:rPr>
        <w:t>below</w:t>
      </w:r>
      <w:r>
        <w:rPr>
          <w:rFonts w:ascii="Arial" w:hAnsi="Arial" w:cs="Arial"/>
        </w:rPr>
        <w:t>.</w:t>
      </w:r>
    </w:p>
    <w:p w14:paraId="0F80D3EA" w14:textId="04A4840F" w:rsidR="009C6908" w:rsidRDefault="009C6908" w:rsidP="002D5328">
      <w:pPr>
        <w:rPr>
          <w:rFonts w:ascii="Arial" w:hAnsi="Arial" w:cs="Arial"/>
        </w:rPr>
      </w:pPr>
    </w:p>
    <w:p w14:paraId="05B966DC" w14:textId="3CE47FD7" w:rsidR="0045348D" w:rsidRDefault="0045348D" w:rsidP="002D5328">
      <w:pPr>
        <w:rPr>
          <w:rFonts w:ascii="Arial" w:hAnsi="Arial" w:cs="Arial"/>
        </w:rPr>
      </w:pPr>
    </w:p>
    <w:p w14:paraId="3C4D4035" w14:textId="2509201E" w:rsidR="0045348D" w:rsidRPr="00607118" w:rsidRDefault="006C3EAF" w:rsidP="0045348D">
      <w:pPr>
        <w:rPr>
          <w:rFonts w:ascii="Arial" w:hAnsi="Arial" w:cs="Arial"/>
          <w:b/>
        </w:rPr>
      </w:pPr>
      <w:r>
        <w:rPr>
          <w:rFonts w:ascii="Arial" w:hAnsi="Arial" w:cs="Arial"/>
          <w:noProof/>
          <w:lang w:eastAsia="en-AU"/>
        </w:rPr>
        <mc:AlternateContent>
          <mc:Choice Requires="wps">
            <w:drawing>
              <wp:anchor distT="0" distB="0" distL="114300" distR="114300" simplePos="0" relativeHeight="251661312" behindDoc="1" locked="0" layoutInCell="1" allowOverlap="1" wp14:anchorId="778A350B" wp14:editId="0722D3B9">
                <wp:simplePos x="0" y="0"/>
                <wp:positionH relativeFrom="column">
                  <wp:posOffset>-196215</wp:posOffset>
                </wp:positionH>
                <wp:positionV relativeFrom="paragraph">
                  <wp:posOffset>-81915</wp:posOffset>
                </wp:positionV>
                <wp:extent cx="6534150" cy="4010025"/>
                <wp:effectExtent l="57150" t="38100" r="76200" b="104775"/>
                <wp:wrapNone/>
                <wp:docPr id="5" name="Rectangle 5"/>
                <wp:cNvGraphicFramePr/>
                <a:graphic xmlns:a="http://schemas.openxmlformats.org/drawingml/2006/main">
                  <a:graphicData uri="http://schemas.microsoft.com/office/word/2010/wordprocessingShape">
                    <wps:wsp>
                      <wps:cNvSpPr/>
                      <wps:spPr>
                        <a:xfrm>
                          <a:off x="0" y="0"/>
                          <a:ext cx="6534150" cy="4010025"/>
                        </a:xfrm>
                        <a:prstGeom prst="rect">
                          <a:avLst/>
                        </a:prstGeom>
                        <a:solidFill>
                          <a:schemeClr val="bg1">
                            <a:lumMod val="85000"/>
                          </a:schemeClr>
                        </a:solidFill>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382A7B" id="Rectangle 5" o:spid="_x0000_s1026" style="position:absolute;margin-left:-15.45pt;margin-top:-6.45pt;width:514.5pt;height:315.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" fillcolor="#d8d8d8 [2732]" strokecolor="#4579b8 [3044]">
                <v:shadow on="t" color="black" opacity="24903f" origin=",.5" offset="0,.55556mm"/>
              </v:rect>
            </w:pict>
          </mc:Fallback>
        </mc:AlternateContent>
      </w:r>
      <w:r w:rsidR="0045348D">
        <w:rPr>
          <w:rFonts w:ascii="Arial" w:hAnsi="Arial" w:cs="Arial"/>
          <w:b/>
        </w:rPr>
        <w:t>Case Study: United Kingdom</w:t>
      </w:r>
    </w:p>
    <w:p w14:paraId="7AA50ED6" w14:textId="6E050D5B" w:rsidR="0045348D" w:rsidRDefault="0045348D" w:rsidP="0045348D">
      <w:pPr>
        <w:rPr>
          <w:rFonts w:ascii="Arial" w:hAnsi="Arial" w:cs="Arial"/>
        </w:rPr>
      </w:pPr>
      <w:r>
        <w:rPr>
          <w:rFonts w:ascii="Arial" w:hAnsi="Arial" w:cs="Arial"/>
        </w:rPr>
        <w:t>In recent years the United Kingdom has launched a major road funding and investment reform program. These reforms include:</w:t>
      </w:r>
    </w:p>
    <w:p w14:paraId="293722ED" w14:textId="6B44B631" w:rsidR="0045348D" w:rsidRDefault="0045348D" w:rsidP="006C3EAF">
      <w:pPr>
        <w:pStyle w:val="ListParagraph"/>
        <w:numPr>
          <w:ilvl w:val="0"/>
          <w:numId w:val="14"/>
        </w:numPr>
        <w:spacing w:after="0" w:line="240" w:lineRule="auto"/>
        <w:ind w:left="714" w:hanging="357"/>
        <w:rPr>
          <w:rFonts w:ascii="Arial" w:hAnsi="Arial" w:cs="Arial"/>
        </w:rPr>
      </w:pPr>
      <w:r>
        <w:rPr>
          <w:rFonts w:ascii="Arial" w:hAnsi="Arial" w:cs="Arial"/>
        </w:rPr>
        <w:t>A stable and long-term roads plan, with the UK Government instigating a Road Investment Strategy (RIS). The first was introduced in 2015, and planning is already underway for the 2020 RIS.</w:t>
      </w:r>
      <w:r w:rsidR="00BF4876">
        <w:rPr>
          <w:rStyle w:val="FootnoteReference"/>
          <w:rFonts w:ascii="Arial" w:hAnsi="Arial"/>
        </w:rPr>
        <w:footnoteReference w:id="14"/>
      </w:r>
    </w:p>
    <w:p w14:paraId="4343A940" w14:textId="73F35CBF" w:rsidR="0045348D" w:rsidRDefault="0045348D" w:rsidP="006C3EAF">
      <w:pPr>
        <w:pStyle w:val="ListParagraph"/>
        <w:numPr>
          <w:ilvl w:val="0"/>
          <w:numId w:val="14"/>
        </w:numPr>
        <w:spacing w:after="0" w:line="240" w:lineRule="auto"/>
        <w:ind w:left="714" w:hanging="357"/>
        <w:rPr>
          <w:rFonts w:ascii="Arial" w:hAnsi="Arial" w:cs="Arial"/>
        </w:rPr>
      </w:pPr>
      <w:r>
        <w:rPr>
          <w:rFonts w:ascii="Arial" w:hAnsi="Arial" w:cs="Arial"/>
        </w:rPr>
        <w:t>Independent management</w:t>
      </w:r>
      <w:r w:rsidR="009C6908">
        <w:rPr>
          <w:rFonts w:ascii="Arial" w:hAnsi="Arial" w:cs="Arial"/>
        </w:rPr>
        <w:t xml:space="preserve"> of strategic highways. In 2015</w:t>
      </w:r>
      <w:r>
        <w:rPr>
          <w:rFonts w:ascii="Arial" w:hAnsi="Arial" w:cs="Arial"/>
        </w:rPr>
        <w:t xml:space="preserve"> the UK Government formed Highways England, a government company to manage the major highways in England. The RIS provides Highways England with funding certainty and an investment plan to implement. The agency is designed to operate at arm’s-length, to operate and contract in its own right with a funding stream insulated from short term change, while leaving government responsible for the overall strategic direction.</w:t>
      </w:r>
    </w:p>
    <w:p w14:paraId="15C0DD36" w14:textId="250A3FC2" w:rsidR="0045348D" w:rsidRPr="00107B26" w:rsidRDefault="0045348D" w:rsidP="006C3EAF">
      <w:pPr>
        <w:pStyle w:val="ListParagraph"/>
        <w:numPr>
          <w:ilvl w:val="0"/>
          <w:numId w:val="14"/>
        </w:numPr>
        <w:spacing w:after="0" w:line="240" w:lineRule="auto"/>
        <w:ind w:left="714" w:hanging="357"/>
        <w:rPr>
          <w:rFonts w:ascii="Arial" w:hAnsi="Arial" w:cs="Arial"/>
        </w:rPr>
      </w:pPr>
      <w:r>
        <w:rPr>
          <w:rFonts w:ascii="Arial" w:hAnsi="Arial" w:cs="Arial"/>
        </w:rPr>
        <w:t>Roads Fund. The UK Government will direct revenue from the recently reformed vehicle excise duty in England into the fund from 2020, which will deliver a substantial increase in roads spending. The fund will be set up in legislation.</w:t>
      </w:r>
      <w:r w:rsidR="004A7C5C">
        <w:rPr>
          <w:rStyle w:val="FootnoteReference"/>
          <w:rFonts w:ascii="Arial" w:hAnsi="Arial"/>
        </w:rPr>
        <w:footnoteReference w:id="15"/>
      </w:r>
      <w:r>
        <w:rPr>
          <w:rFonts w:ascii="Arial" w:hAnsi="Arial" w:cs="Arial"/>
        </w:rPr>
        <w:t xml:space="preserve"> </w:t>
      </w:r>
    </w:p>
    <w:p w14:paraId="1FFF8788" w14:textId="77777777" w:rsidR="006C3EAF" w:rsidRDefault="006C3EAF" w:rsidP="0045348D">
      <w:pPr>
        <w:rPr>
          <w:rFonts w:ascii="Arial" w:hAnsi="Arial" w:cs="Arial"/>
        </w:rPr>
      </w:pPr>
    </w:p>
    <w:p w14:paraId="22F315BE" w14:textId="77777777" w:rsidR="0045348D" w:rsidRDefault="0045348D" w:rsidP="0045348D">
      <w:pPr>
        <w:rPr>
          <w:rFonts w:ascii="Arial" w:hAnsi="Arial" w:cs="Arial"/>
        </w:rPr>
      </w:pPr>
      <w:r>
        <w:rPr>
          <w:rFonts w:ascii="Arial" w:hAnsi="Arial" w:cs="Arial"/>
        </w:rPr>
        <w:t>According to the UK Government:</w:t>
      </w:r>
    </w:p>
    <w:p w14:paraId="6295EB8B" w14:textId="77777777" w:rsidR="0045348D" w:rsidRDefault="0045348D" w:rsidP="0045348D">
      <w:pPr>
        <w:rPr>
          <w:rFonts w:ascii="Arial" w:hAnsi="Arial" w:cs="Arial"/>
        </w:rPr>
      </w:pPr>
    </w:p>
    <w:p w14:paraId="2C7A2550" w14:textId="20D5FB33" w:rsidR="0045348D" w:rsidRPr="009368F2" w:rsidRDefault="0045348D" w:rsidP="0045348D">
      <w:pPr>
        <w:ind w:left="720" w:right="720"/>
        <w:rPr>
          <w:rFonts w:ascii="Arial" w:hAnsi="Arial" w:cs="Arial"/>
        </w:rPr>
      </w:pPr>
      <w:r>
        <w:rPr>
          <w:rFonts w:ascii="Arial" w:hAnsi="Arial" w:cs="Arial"/>
          <w:sz w:val="20"/>
          <w:szCs w:val="20"/>
        </w:rPr>
        <w:t>Our aim is to create world class national roads infrastructure, supporting economic growth, through maintaining and improving the asset, improving resilience and reliability, reducing congestion and supporting broader, sustainable development and safety goals. This requires a world-leading delivery and operations company that delivers efficiency savings, a step change in the scale and speed of investment, a better service to customers and value for money to taxpayers.</w:t>
      </w:r>
      <w:r w:rsidR="00BF4876">
        <w:rPr>
          <w:rStyle w:val="FootnoteReference"/>
          <w:rFonts w:ascii="Arial" w:hAnsi="Arial"/>
          <w:sz w:val="20"/>
          <w:szCs w:val="20"/>
        </w:rPr>
        <w:footnoteReference w:id="16"/>
      </w:r>
      <w:r>
        <w:rPr>
          <w:rFonts w:ascii="Arial" w:hAnsi="Arial" w:cs="Arial"/>
        </w:rPr>
        <w:t xml:space="preserve"> </w:t>
      </w:r>
    </w:p>
    <w:p w14:paraId="3367C51F" w14:textId="77777777" w:rsidR="0045348D" w:rsidRDefault="0045348D" w:rsidP="002D5328">
      <w:pPr>
        <w:rPr>
          <w:rFonts w:ascii="Arial" w:hAnsi="Arial" w:cs="Arial"/>
        </w:rPr>
      </w:pPr>
    </w:p>
    <w:p w14:paraId="7D561D53" w14:textId="77777777" w:rsidR="0045348D" w:rsidRPr="00211364" w:rsidRDefault="0045348D" w:rsidP="0045348D"/>
    <w:p w14:paraId="6BAFFFB9" w14:textId="1B05BE0A" w:rsidR="0045348D" w:rsidRPr="000E3DA9" w:rsidRDefault="0045348D" w:rsidP="0045348D">
      <w:pPr>
        <w:pStyle w:val="Heading1"/>
        <w:ind w:left="357" w:hanging="357"/>
        <w:rPr>
          <w:sz w:val="24"/>
          <w:szCs w:val="24"/>
        </w:rPr>
      </w:pPr>
      <w:bookmarkStart w:id="6" w:name="_Toc488842018"/>
      <w:r>
        <w:rPr>
          <w:sz w:val="24"/>
          <w:szCs w:val="24"/>
        </w:rPr>
        <w:t xml:space="preserve">More effective targeting </w:t>
      </w:r>
      <w:r w:rsidR="009C6908">
        <w:rPr>
          <w:sz w:val="24"/>
          <w:szCs w:val="24"/>
        </w:rPr>
        <w:t xml:space="preserve">and stable funding </w:t>
      </w:r>
      <w:r>
        <w:rPr>
          <w:sz w:val="24"/>
          <w:szCs w:val="24"/>
        </w:rPr>
        <w:t>of roads</w:t>
      </w:r>
      <w:r w:rsidR="00D818F3">
        <w:rPr>
          <w:sz w:val="24"/>
          <w:szCs w:val="24"/>
        </w:rPr>
        <w:t xml:space="preserve"> investment</w:t>
      </w:r>
      <w:bookmarkEnd w:id="6"/>
    </w:p>
    <w:p w14:paraId="59F23EBD" w14:textId="77777777" w:rsidR="0045348D" w:rsidRDefault="0045348D" w:rsidP="0045348D"/>
    <w:p w14:paraId="3D5DAD1B" w14:textId="1F0F8308" w:rsidR="0045348D" w:rsidRDefault="0045348D" w:rsidP="0045348D">
      <w:pPr>
        <w:rPr>
          <w:rFonts w:ascii="Arial" w:hAnsi="Arial" w:cs="Arial"/>
        </w:rPr>
      </w:pPr>
      <w:r w:rsidRPr="009368F2">
        <w:rPr>
          <w:rFonts w:ascii="Arial" w:hAnsi="Arial" w:cs="Arial"/>
        </w:rPr>
        <w:t>In its public infrastructure report, the Productivity Commission recommended the adoption of a well-designed road fund model, where independent road funds would make transparent funding decisions.</w:t>
      </w:r>
      <w:r w:rsidR="004A7C5C">
        <w:rPr>
          <w:rStyle w:val="FootnoteReference"/>
          <w:rFonts w:ascii="Arial" w:hAnsi="Arial"/>
        </w:rPr>
        <w:footnoteReference w:id="17"/>
      </w:r>
      <w:r w:rsidRPr="009368F2">
        <w:rPr>
          <w:rFonts w:ascii="Arial" w:hAnsi="Arial" w:cs="Arial"/>
        </w:rPr>
        <w:t xml:space="preserve"> The funds would receive hypothecated revenue from road users and government funding to cover community service obligations. The Harper Competition Review made a similar recommendation.</w:t>
      </w:r>
      <w:r>
        <w:rPr>
          <w:rFonts w:ascii="Arial" w:hAnsi="Arial" w:cs="Arial"/>
        </w:rPr>
        <w:t xml:space="preserve"> </w:t>
      </w:r>
    </w:p>
    <w:p w14:paraId="4DC6B37C" w14:textId="77777777" w:rsidR="0045348D" w:rsidRDefault="0045348D" w:rsidP="0045348D">
      <w:pPr>
        <w:rPr>
          <w:rFonts w:ascii="Arial" w:hAnsi="Arial" w:cs="Arial"/>
        </w:rPr>
      </w:pPr>
    </w:p>
    <w:p w14:paraId="57F81389" w14:textId="223F4071" w:rsidR="00FD5E00" w:rsidRPr="009368F2" w:rsidRDefault="0045348D" w:rsidP="0045348D">
      <w:pPr>
        <w:rPr>
          <w:rFonts w:ascii="Arial" w:hAnsi="Arial" w:cs="Arial"/>
        </w:rPr>
      </w:pPr>
      <w:r w:rsidRPr="009368F2">
        <w:rPr>
          <w:rFonts w:ascii="Arial" w:hAnsi="Arial" w:cs="Arial"/>
        </w:rPr>
        <w:t xml:space="preserve">Establishing </w:t>
      </w:r>
      <w:r w:rsidR="006C3EAF">
        <w:rPr>
          <w:rFonts w:ascii="Arial" w:hAnsi="Arial" w:cs="Arial"/>
        </w:rPr>
        <w:t xml:space="preserve">road funds </w:t>
      </w:r>
      <w:r w:rsidR="00211D0C">
        <w:rPr>
          <w:rFonts w:ascii="Arial" w:hAnsi="Arial" w:cs="Arial"/>
        </w:rPr>
        <w:t xml:space="preserve">with operational independence from governments would </w:t>
      </w:r>
      <w:r w:rsidRPr="009368F2">
        <w:rPr>
          <w:rFonts w:ascii="Arial" w:hAnsi="Arial" w:cs="Arial"/>
        </w:rPr>
        <w:t xml:space="preserve">help separate long term infrastructure decisions from the budgetary and electoral cycles. </w:t>
      </w:r>
      <w:r w:rsidR="00211D0C">
        <w:rPr>
          <w:rFonts w:ascii="Arial" w:hAnsi="Arial" w:cs="Arial"/>
        </w:rPr>
        <w:t xml:space="preserve">The road funds would require </w:t>
      </w:r>
      <w:r w:rsidR="00FD5E00">
        <w:rPr>
          <w:rFonts w:ascii="Arial" w:hAnsi="Arial" w:cs="Arial"/>
        </w:rPr>
        <w:t xml:space="preserve">stable, long-term funding to enable them to enter into contracts which </w:t>
      </w:r>
      <w:r w:rsidR="00864AE4">
        <w:rPr>
          <w:rFonts w:ascii="Arial" w:hAnsi="Arial" w:cs="Arial"/>
        </w:rPr>
        <w:t>can seek efficiency savings for</w:t>
      </w:r>
      <w:r w:rsidR="00FD5E00">
        <w:rPr>
          <w:rFonts w:ascii="Arial" w:hAnsi="Arial" w:cs="Arial"/>
        </w:rPr>
        <w:t xml:space="preserve"> road investments, including for maintenance. </w:t>
      </w:r>
      <w:r w:rsidR="004E0151">
        <w:rPr>
          <w:rFonts w:ascii="Arial" w:hAnsi="Arial" w:cs="Arial"/>
        </w:rPr>
        <w:t xml:space="preserve">Road funds should also be required to utilise freight and traffic data to make investment decisions based on achieving improved network outcomes. </w:t>
      </w:r>
    </w:p>
    <w:p w14:paraId="6E7F2980" w14:textId="77777777" w:rsidR="0045348D" w:rsidRDefault="0045348D" w:rsidP="0045348D">
      <w:pPr>
        <w:rPr>
          <w:rFonts w:ascii="Arial" w:hAnsi="Arial" w:cs="Arial"/>
          <w:i/>
        </w:rPr>
      </w:pPr>
    </w:p>
    <w:p w14:paraId="69AE4B7E" w14:textId="6F97E2D3" w:rsidR="0045348D" w:rsidRPr="001C40B7" w:rsidRDefault="0045348D" w:rsidP="0045348D">
      <w:pPr>
        <w:rPr>
          <w:rFonts w:ascii="Arial" w:hAnsi="Arial" w:cs="Arial"/>
        </w:rPr>
      </w:pPr>
      <w:r w:rsidRPr="001C40B7">
        <w:rPr>
          <w:rFonts w:ascii="Arial" w:hAnsi="Arial" w:cs="Arial"/>
        </w:rPr>
        <w:t>Better planning and provision of roads maintenance and construction would be a critical step towards providing the right roads that will be needed to handle the road freight task that is critical to Australia’s economic performance. Government would play a critical role in road funds by setting the funding criteria</w:t>
      </w:r>
      <w:r w:rsidR="00211D0C">
        <w:rPr>
          <w:rFonts w:ascii="Arial" w:hAnsi="Arial" w:cs="Arial"/>
        </w:rPr>
        <w:t xml:space="preserve"> and network objectives</w:t>
      </w:r>
      <w:r w:rsidRPr="001C40B7">
        <w:rPr>
          <w:rFonts w:ascii="Arial" w:hAnsi="Arial" w:cs="Arial"/>
        </w:rPr>
        <w:t xml:space="preserve">, and then allow the independent and transparent selection of projects. Road funds would serve to increase community confidence that charges collected for the maintenance and improvement of the road network will go to that purpose. </w:t>
      </w:r>
    </w:p>
    <w:p w14:paraId="5E93197B" w14:textId="77777777" w:rsidR="0045348D" w:rsidRPr="001C40B7" w:rsidRDefault="0045348D" w:rsidP="0045348D">
      <w:pPr>
        <w:rPr>
          <w:rFonts w:ascii="Arial" w:hAnsi="Arial" w:cs="Arial"/>
        </w:rPr>
      </w:pPr>
    </w:p>
    <w:p w14:paraId="4C45756D" w14:textId="77777777" w:rsidR="0045348D" w:rsidRDefault="0045348D" w:rsidP="0045348D">
      <w:pPr>
        <w:rPr>
          <w:rFonts w:ascii="Arial" w:hAnsi="Arial" w:cs="Arial"/>
        </w:rPr>
      </w:pPr>
      <w:r w:rsidRPr="001C40B7">
        <w:rPr>
          <w:rFonts w:ascii="Arial" w:hAnsi="Arial" w:cs="Arial"/>
        </w:rPr>
        <w:t>This reform would be consistent with the approach of the Australian Government to improve the quality of infrastructure investments by requiring projects of $100 million or more to first be assessed by Infrastructure Australia.</w:t>
      </w:r>
      <w:r>
        <w:rPr>
          <w:rFonts w:ascii="Arial" w:hAnsi="Arial" w:cs="Arial"/>
        </w:rPr>
        <w:t xml:space="preserve"> Likewise, the Australian Government has prioritised independent selection of infrastructure projects in the framework of the Northern Australia Infrastructure Facility (NAIF). Under the NAIF, an independent board makes investment decisions in line with the investment mandate set by the Australian Government. </w:t>
      </w:r>
    </w:p>
    <w:p w14:paraId="1FB6A619" w14:textId="77777777" w:rsidR="0045348D" w:rsidRDefault="0045348D" w:rsidP="0045348D">
      <w:pPr>
        <w:rPr>
          <w:rFonts w:ascii="Arial" w:hAnsi="Arial" w:cs="Arial"/>
        </w:rPr>
      </w:pPr>
    </w:p>
    <w:p w14:paraId="3D0EDC35" w14:textId="639F88B9" w:rsidR="0045348D" w:rsidRPr="001C40B7" w:rsidRDefault="00864AE4" w:rsidP="0045348D">
      <w:pPr>
        <w:rPr>
          <w:rFonts w:ascii="Arial" w:hAnsi="Arial" w:cs="Arial"/>
        </w:rPr>
      </w:pPr>
      <w:r>
        <w:rPr>
          <w:rFonts w:ascii="Arial" w:hAnsi="Arial" w:cs="Arial"/>
        </w:rPr>
        <w:t>T</w:t>
      </w:r>
      <w:r w:rsidR="0045348D">
        <w:rPr>
          <w:rFonts w:ascii="Arial" w:hAnsi="Arial" w:cs="Arial"/>
        </w:rPr>
        <w:t xml:space="preserve">he policy for infrastructure investments over $100 million to be positively assessed by Infrastructure Australia </w:t>
      </w:r>
      <w:r>
        <w:rPr>
          <w:rFonts w:ascii="Arial" w:hAnsi="Arial" w:cs="Arial"/>
        </w:rPr>
        <w:t xml:space="preserve">is </w:t>
      </w:r>
      <w:r w:rsidR="00DB4A57">
        <w:rPr>
          <w:rFonts w:ascii="Arial" w:hAnsi="Arial" w:cs="Arial"/>
        </w:rPr>
        <w:t xml:space="preserve">required in the Statement of Expectations, issued by the Australian Government to provide Infrastructure Australia with guidance relating to the strategic direction, operation and performance of Infrastructure Australia. The current Statement of Expectations was for the period which commenced on </w:t>
      </w:r>
      <w:r w:rsidR="001D2ED9">
        <w:rPr>
          <w:rFonts w:ascii="Arial" w:hAnsi="Arial" w:cs="Arial"/>
        </w:rPr>
        <w:t>1 November 2015</w:t>
      </w:r>
      <w:r w:rsidR="00DB4A57">
        <w:rPr>
          <w:rFonts w:ascii="Arial" w:hAnsi="Arial" w:cs="Arial"/>
        </w:rPr>
        <w:t xml:space="preserve"> and concluded on 30 June 2017.</w:t>
      </w:r>
      <w:r w:rsidR="00DB4A57">
        <w:rPr>
          <w:rStyle w:val="FootnoteReference"/>
          <w:rFonts w:ascii="Arial" w:hAnsi="Arial"/>
        </w:rPr>
        <w:footnoteReference w:id="18"/>
      </w:r>
      <w:r w:rsidR="00DB4A57">
        <w:rPr>
          <w:rFonts w:ascii="Arial" w:hAnsi="Arial" w:cs="Arial"/>
        </w:rPr>
        <w:t xml:space="preserve"> Whilst the ATA supports this policy, it should be strengthened to become a legislated requirement. </w:t>
      </w:r>
      <w:r w:rsidR="0045348D">
        <w:rPr>
          <w:rFonts w:ascii="Arial" w:hAnsi="Arial" w:cs="Arial"/>
        </w:rPr>
        <w:t xml:space="preserve">For commitments made before being assessed, they should </w:t>
      </w:r>
      <w:r w:rsidR="00DB4A57">
        <w:rPr>
          <w:rFonts w:ascii="Arial" w:hAnsi="Arial" w:cs="Arial"/>
        </w:rPr>
        <w:t>be required to follow</w:t>
      </w:r>
      <w:r w:rsidR="0045348D">
        <w:rPr>
          <w:rFonts w:ascii="Arial" w:hAnsi="Arial" w:cs="Arial"/>
        </w:rPr>
        <w:t xml:space="preserve"> the practice of the recent Australian Government commitment to rail investments in Western Australia, where the commitment is contingent on the project being positively assessed by Infrastructure Australia.</w:t>
      </w:r>
      <w:r w:rsidR="00573350">
        <w:rPr>
          <w:rStyle w:val="FootnoteReference"/>
          <w:rFonts w:ascii="Arial" w:hAnsi="Arial"/>
        </w:rPr>
        <w:footnoteReference w:id="19"/>
      </w:r>
      <w:r w:rsidR="0045348D">
        <w:rPr>
          <w:rFonts w:ascii="Arial" w:hAnsi="Arial" w:cs="Arial"/>
        </w:rPr>
        <w:t xml:space="preserve"> </w:t>
      </w:r>
    </w:p>
    <w:p w14:paraId="7E22AFE5" w14:textId="77777777" w:rsidR="0045348D" w:rsidRPr="005071FC" w:rsidRDefault="0045348D" w:rsidP="0045348D">
      <w:pPr>
        <w:rPr>
          <w:rFonts w:ascii="Arial" w:hAnsi="Arial" w:cs="Arial"/>
        </w:rPr>
      </w:pPr>
    </w:p>
    <w:p w14:paraId="13C2F1CF" w14:textId="439A20CA" w:rsidR="0045348D" w:rsidRDefault="0045348D" w:rsidP="0045348D">
      <w:pPr>
        <w:rPr>
          <w:rFonts w:ascii="Arial" w:hAnsi="Arial" w:cs="Arial"/>
        </w:rPr>
      </w:pPr>
      <w:r>
        <w:rPr>
          <w:rFonts w:ascii="Arial" w:hAnsi="Arial" w:cs="Arial"/>
        </w:rPr>
        <w:t>More effective targeting is necessary not just for new investments</w:t>
      </w:r>
      <w:r w:rsidR="00211D0C">
        <w:rPr>
          <w:rFonts w:ascii="Arial" w:hAnsi="Arial" w:cs="Arial"/>
        </w:rPr>
        <w:t>,</w:t>
      </w:r>
      <w:r>
        <w:rPr>
          <w:rFonts w:ascii="Arial" w:hAnsi="Arial" w:cs="Arial"/>
        </w:rPr>
        <w:t xml:space="preserve"> with maintenance of the existing network also critical. Austroads has reported that the current system of road funding delivers relatively constant amounts for maintenance with increases or decreases in budget allocations depending on new road projects. These are set in competition with other government spending priorities, creating uncertainty about funding levels and its allocation. </w:t>
      </w:r>
    </w:p>
    <w:p w14:paraId="38C3515D" w14:textId="77777777" w:rsidR="0045348D" w:rsidRDefault="0045348D" w:rsidP="0045348D">
      <w:pPr>
        <w:rPr>
          <w:rFonts w:ascii="Arial" w:hAnsi="Arial" w:cs="Arial"/>
        </w:rPr>
      </w:pPr>
    </w:p>
    <w:p w14:paraId="38153B58" w14:textId="6FCA1FC7" w:rsidR="0045348D" w:rsidRDefault="0045348D" w:rsidP="0045348D">
      <w:pPr>
        <w:rPr>
          <w:rFonts w:ascii="Arial" w:hAnsi="Arial" w:cs="Arial"/>
        </w:rPr>
      </w:pPr>
      <w:r>
        <w:rPr>
          <w:rFonts w:ascii="Arial" w:hAnsi="Arial" w:cs="Arial"/>
        </w:rPr>
        <w:t>The practical effect, according to Austroads, is less than optimal expenditure on road maintenance compared to new road projects. This lack of focus on maintenance is likely leading to higher overall life cycle costs for the road network, as proper maintenance of existing roads is often a cost effective way of reducing future road replacement costs.</w:t>
      </w:r>
      <w:r w:rsidR="004A7C5C">
        <w:rPr>
          <w:rStyle w:val="FootnoteReference"/>
          <w:rFonts w:ascii="Arial" w:hAnsi="Arial"/>
        </w:rPr>
        <w:footnoteReference w:id="20"/>
      </w:r>
    </w:p>
    <w:p w14:paraId="24A76E64" w14:textId="77777777" w:rsidR="009C6908" w:rsidRDefault="009C6908" w:rsidP="0045348D">
      <w:pPr>
        <w:rPr>
          <w:rFonts w:ascii="Arial" w:hAnsi="Arial" w:cs="Arial"/>
        </w:rPr>
      </w:pPr>
    </w:p>
    <w:p w14:paraId="7D5EB6CD" w14:textId="7500E868" w:rsidR="006D3950" w:rsidRDefault="006D3950" w:rsidP="006D3950">
      <w:pPr>
        <w:rPr>
          <w:rFonts w:ascii="Arial" w:hAnsi="Arial" w:cs="Arial"/>
        </w:rPr>
      </w:pPr>
      <w:r>
        <w:rPr>
          <w:rFonts w:ascii="Arial" w:hAnsi="Arial" w:cs="Arial"/>
        </w:rPr>
        <w:t>Similarly</w:t>
      </w:r>
      <w:r w:rsidR="00864AE4">
        <w:rPr>
          <w:rFonts w:ascii="Arial" w:hAnsi="Arial" w:cs="Arial"/>
        </w:rPr>
        <w:t xml:space="preserve"> </w:t>
      </w:r>
      <w:r w:rsidR="001868D8">
        <w:rPr>
          <w:rFonts w:ascii="Arial" w:hAnsi="Arial" w:cs="Arial"/>
        </w:rPr>
        <w:t>t</w:t>
      </w:r>
      <w:r>
        <w:rPr>
          <w:rFonts w:ascii="Arial" w:hAnsi="Arial" w:cs="Arial"/>
        </w:rPr>
        <w:t xml:space="preserve">he </w:t>
      </w:r>
      <w:r w:rsidR="00864AE4">
        <w:rPr>
          <w:rFonts w:ascii="Arial" w:hAnsi="Arial" w:cs="Arial"/>
        </w:rPr>
        <w:t xml:space="preserve">Victorian </w:t>
      </w:r>
      <w:r>
        <w:rPr>
          <w:rFonts w:ascii="Arial" w:hAnsi="Arial" w:cs="Arial"/>
        </w:rPr>
        <w:t>Audit</w:t>
      </w:r>
      <w:r w:rsidR="00864AE4">
        <w:rPr>
          <w:rFonts w:ascii="Arial" w:hAnsi="Arial" w:cs="Arial"/>
        </w:rPr>
        <w:t>or-General</w:t>
      </w:r>
      <w:r>
        <w:rPr>
          <w:rFonts w:ascii="Arial" w:hAnsi="Arial" w:cs="Arial"/>
        </w:rPr>
        <w:t xml:space="preserve"> made a number of concerning findings about maintenance of Victorian roads, including:</w:t>
      </w:r>
    </w:p>
    <w:p w14:paraId="3597D939" w14:textId="77777777" w:rsidR="006D3950" w:rsidRDefault="006D3950" w:rsidP="00211D0C">
      <w:pPr>
        <w:pStyle w:val="ListParagraph"/>
        <w:numPr>
          <w:ilvl w:val="0"/>
          <w:numId w:val="13"/>
        </w:numPr>
        <w:spacing w:after="0" w:line="240" w:lineRule="auto"/>
        <w:ind w:left="714" w:hanging="357"/>
        <w:rPr>
          <w:rFonts w:ascii="Arial" w:hAnsi="Arial" w:cs="Arial"/>
        </w:rPr>
      </w:pPr>
      <w:r>
        <w:rPr>
          <w:rFonts w:ascii="Arial" w:hAnsi="Arial" w:cs="Arial"/>
        </w:rPr>
        <w:t>Funding allocations to regions being made based on past allocations, and not current needs.</w:t>
      </w:r>
    </w:p>
    <w:p w14:paraId="1D753833" w14:textId="2C3BD8A0" w:rsidR="006D3950" w:rsidRDefault="006D3950" w:rsidP="00211D0C">
      <w:pPr>
        <w:pStyle w:val="ListParagraph"/>
        <w:numPr>
          <w:ilvl w:val="0"/>
          <w:numId w:val="13"/>
        </w:numPr>
        <w:spacing w:after="0" w:line="240" w:lineRule="auto"/>
        <w:ind w:left="714" w:hanging="357"/>
        <w:rPr>
          <w:rFonts w:ascii="Arial" w:hAnsi="Arial" w:cs="Arial"/>
        </w:rPr>
      </w:pPr>
      <w:r>
        <w:rPr>
          <w:rFonts w:ascii="Arial" w:hAnsi="Arial" w:cs="Arial"/>
        </w:rPr>
        <w:t xml:space="preserve">VicRoads </w:t>
      </w:r>
      <w:r w:rsidR="001868D8">
        <w:rPr>
          <w:rFonts w:ascii="Arial" w:hAnsi="Arial" w:cs="Arial"/>
        </w:rPr>
        <w:t>being unable to</w:t>
      </w:r>
      <w:r>
        <w:rPr>
          <w:rFonts w:ascii="Arial" w:hAnsi="Arial" w:cs="Arial"/>
        </w:rPr>
        <w:t xml:space="preserve"> demonstrate that it is making the best use of existing maintenance funds.</w:t>
      </w:r>
    </w:p>
    <w:p w14:paraId="34F9C3DC" w14:textId="77777777" w:rsidR="006D3950" w:rsidRDefault="006D3950" w:rsidP="00211D0C">
      <w:pPr>
        <w:pStyle w:val="ListParagraph"/>
        <w:numPr>
          <w:ilvl w:val="0"/>
          <w:numId w:val="13"/>
        </w:numPr>
        <w:spacing w:after="0" w:line="240" w:lineRule="auto"/>
        <w:ind w:left="714" w:hanging="357"/>
        <w:rPr>
          <w:rFonts w:ascii="Arial" w:hAnsi="Arial" w:cs="Arial"/>
        </w:rPr>
      </w:pPr>
      <w:r>
        <w:rPr>
          <w:rFonts w:ascii="Arial" w:hAnsi="Arial" w:cs="Arial"/>
        </w:rPr>
        <w:t>Targeted early intervention to prevent roads from needing more costly and extensive maintenance has been limited.</w:t>
      </w:r>
    </w:p>
    <w:p w14:paraId="4A1A07DE" w14:textId="77777777" w:rsidR="00211D0C" w:rsidRPr="00211D0C" w:rsidRDefault="00211D0C" w:rsidP="00211D0C">
      <w:pPr>
        <w:rPr>
          <w:rFonts w:ascii="Arial" w:hAnsi="Arial" w:cs="Arial"/>
        </w:rPr>
      </w:pPr>
    </w:p>
    <w:p w14:paraId="09B60F83" w14:textId="37ED8EFD" w:rsidR="006D3950" w:rsidRDefault="00440D17" w:rsidP="006D3950">
      <w:pPr>
        <w:rPr>
          <w:rFonts w:ascii="Arial" w:hAnsi="Arial" w:cs="Arial"/>
        </w:rPr>
      </w:pPr>
      <w:r>
        <w:rPr>
          <w:rFonts w:ascii="Arial" w:hAnsi="Arial" w:cs="Arial"/>
        </w:rPr>
        <w:t xml:space="preserve">The audit also found that </w:t>
      </w:r>
      <w:r w:rsidR="006D3950">
        <w:rPr>
          <w:rFonts w:ascii="Arial" w:hAnsi="Arial" w:cs="Arial"/>
        </w:rPr>
        <w:t>VicRoads has limited central oversight of the delivery of its road pavement maintenance program, with regions only reporting on co</w:t>
      </w:r>
      <w:r w:rsidR="00211D0C">
        <w:rPr>
          <w:rFonts w:ascii="Arial" w:hAnsi="Arial" w:cs="Arial"/>
        </w:rPr>
        <w:t>verage rates, not on cost, time</w:t>
      </w:r>
      <w:r w:rsidR="006D3950">
        <w:rPr>
          <w:rFonts w:ascii="Arial" w:hAnsi="Arial" w:cs="Arial"/>
        </w:rPr>
        <w:t xml:space="preserve"> or quality of outcomes. As a result, VicRoads is unable to drive continuous improvements in the development and delivery of its maintenance program.</w:t>
      </w:r>
      <w:r w:rsidR="00115737">
        <w:rPr>
          <w:rStyle w:val="FootnoteReference"/>
          <w:rFonts w:ascii="Arial" w:hAnsi="Arial"/>
        </w:rPr>
        <w:footnoteReference w:id="21"/>
      </w:r>
    </w:p>
    <w:p w14:paraId="11C69104" w14:textId="77777777" w:rsidR="006D3950" w:rsidRDefault="006D3950" w:rsidP="0045348D">
      <w:pPr>
        <w:rPr>
          <w:rFonts w:ascii="Arial" w:hAnsi="Arial" w:cs="Arial"/>
        </w:rPr>
      </w:pPr>
    </w:p>
    <w:p w14:paraId="089D01F5" w14:textId="77777777" w:rsidR="009C6908" w:rsidRDefault="009C6908" w:rsidP="009C6908">
      <w:pPr>
        <w:rPr>
          <w:rFonts w:ascii="Arial" w:hAnsi="Arial" w:cs="Arial"/>
        </w:rPr>
      </w:pPr>
      <w:r w:rsidRPr="00D901FE">
        <w:rPr>
          <w:rFonts w:ascii="Arial" w:hAnsi="Arial" w:cs="Arial"/>
        </w:rPr>
        <w:t xml:space="preserve">There is a clear and demonstrable need to maximise the effectiveness of road funding. This requires certainty in road funding levels and independence in the selection of individual projects. This can be delivered in a framework that still enshrines a government’s ability to set the priorities for the road network, as demonstrated in New Zealand.  </w:t>
      </w:r>
    </w:p>
    <w:p w14:paraId="219281A7" w14:textId="7FBE3A61" w:rsidR="0045348D" w:rsidRDefault="0045348D" w:rsidP="0045348D">
      <w:pPr>
        <w:rPr>
          <w:rFonts w:ascii="Arial" w:hAnsi="Arial" w:cs="Arial"/>
        </w:rPr>
      </w:pPr>
    </w:p>
    <w:p w14:paraId="2BB51425" w14:textId="1AF42D19" w:rsidR="0045348D" w:rsidRDefault="0045348D" w:rsidP="0045348D"/>
    <w:p w14:paraId="42283132" w14:textId="77777777" w:rsidR="00C9189B" w:rsidRDefault="00C9189B" w:rsidP="0045348D">
      <w:pPr>
        <w:rPr>
          <w:rFonts w:ascii="Arial" w:hAnsi="Arial" w:cs="Arial"/>
          <w:b/>
        </w:rPr>
      </w:pPr>
      <w:r>
        <w:rPr>
          <w:rFonts w:ascii="Arial" w:hAnsi="Arial" w:cs="Arial"/>
          <w:b/>
        </w:rPr>
        <w:br w:type="page"/>
      </w:r>
    </w:p>
    <w:p w14:paraId="5CD28B75" w14:textId="336676B6" w:rsidR="0045348D" w:rsidRPr="00607118" w:rsidRDefault="00C9189B" w:rsidP="0045348D">
      <w:pPr>
        <w:rPr>
          <w:rFonts w:ascii="Arial" w:hAnsi="Arial" w:cs="Arial"/>
          <w:b/>
        </w:rPr>
      </w:pPr>
      <w:r>
        <w:rPr>
          <w:noProof/>
          <w:lang w:eastAsia="en-AU"/>
        </w:rPr>
        <mc:AlternateContent>
          <mc:Choice Requires="wps">
            <w:drawing>
              <wp:anchor distT="0" distB="0" distL="114300" distR="114300" simplePos="0" relativeHeight="251664384" behindDoc="1" locked="0" layoutInCell="1" allowOverlap="1" wp14:anchorId="67EEE617" wp14:editId="3A0CEEA6">
                <wp:simplePos x="0" y="0"/>
                <wp:positionH relativeFrom="column">
                  <wp:posOffset>-205740</wp:posOffset>
                </wp:positionH>
                <wp:positionV relativeFrom="paragraph">
                  <wp:posOffset>-81915</wp:posOffset>
                </wp:positionV>
                <wp:extent cx="6505575" cy="2895600"/>
                <wp:effectExtent l="57150" t="38100" r="85725" b="95250"/>
                <wp:wrapNone/>
                <wp:docPr id="6" name="Rectangle 6"/>
                <wp:cNvGraphicFramePr/>
                <a:graphic xmlns:a="http://schemas.openxmlformats.org/drawingml/2006/main">
                  <a:graphicData uri="http://schemas.microsoft.com/office/word/2010/wordprocessingShape">
                    <wps:wsp>
                      <wps:cNvSpPr/>
                      <wps:spPr>
                        <a:xfrm>
                          <a:off x="0" y="0"/>
                          <a:ext cx="6505575" cy="2895600"/>
                        </a:xfrm>
                        <a:prstGeom prst="rect">
                          <a:avLst/>
                        </a:prstGeom>
                        <a:solidFill>
                          <a:sysClr val="window" lastClr="FFFFFF">
                            <a:lumMod val="85000"/>
                          </a:sysClr>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B0CC85" id="Rectangle 6" o:spid="_x0000_s1026" style="position:absolute;margin-left:-16.2pt;margin-top:-6.45pt;width:512.25pt;height:228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" fillcolor="#d9d9d9">
                <v:shadow on="t" color="black" opacity="24903f" origin=",.5" offset="0,.55556mm"/>
              </v:rect>
            </w:pict>
          </mc:Fallback>
        </mc:AlternateContent>
      </w:r>
      <w:r w:rsidR="0045348D">
        <w:rPr>
          <w:rFonts w:ascii="Arial" w:hAnsi="Arial" w:cs="Arial"/>
          <w:b/>
        </w:rPr>
        <w:t>Case Study: New Zealand</w:t>
      </w:r>
    </w:p>
    <w:p w14:paraId="143CFFCE" w14:textId="341C0E89" w:rsidR="0045348D" w:rsidRDefault="007D0021" w:rsidP="0045348D">
      <w:pPr>
        <w:rPr>
          <w:rFonts w:ascii="Arial" w:hAnsi="Arial" w:cs="Arial"/>
        </w:rPr>
      </w:pPr>
      <w:r>
        <w:rPr>
          <w:rFonts w:ascii="Arial" w:hAnsi="Arial" w:cs="Arial"/>
        </w:rPr>
        <w:t>New Zealand already operates an</w:t>
      </w:r>
      <w:r w:rsidR="0045348D">
        <w:rPr>
          <w:rFonts w:ascii="Arial" w:hAnsi="Arial" w:cs="Arial"/>
        </w:rPr>
        <w:t xml:space="preserve"> example of a road fund, the National Land Transport Fund (NLTF). Revenue from fuel excise duty, road user charges, and motor vehicle registration and licensing fees are paid into the NLTF. Funding is then distributed through the National Land Transport Program (NTLP), which consists of the funds in the NLTF, local government rates for local transport provision, and specific government funding programs, such as for the accelerated delivery of regional highway projects or for natural disaster recovery.</w:t>
      </w:r>
      <w:r w:rsidR="00115737">
        <w:rPr>
          <w:rStyle w:val="FootnoteReference"/>
          <w:rFonts w:ascii="Arial" w:hAnsi="Arial"/>
        </w:rPr>
        <w:footnoteReference w:id="22"/>
      </w:r>
      <w:r w:rsidR="0045348D">
        <w:rPr>
          <w:rFonts w:ascii="Arial" w:hAnsi="Arial" w:cs="Arial"/>
        </w:rPr>
        <w:t xml:space="preserve"> </w:t>
      </w:r>
    </w:p>
    <w:p w14:paraId="032E3A09" w14:textId="5563CA64" w:rsidR="0045348D" w:rsidRDefault="0045348D" w:rsidP="0045348D">
      <w:pPr>
        <w:rPr>
          <w:rFonts w:ascii="Arial" w:hAnsi="Arial" w:cs="Arial"/>
        </w:rPr>
      </w:pPr>
    </w:p>
    <w:p w14:paraId="1F752797" w14:textId="2458D439" w:rsidR="0045348D" w:rsidRDefault="0045348D" w:rsidP="0045348D">
      <w:pPr>
        <w:rPr>
          <w:rFonts w:ascii="Arial" w:hAnsi="Arial" w:cs="Arial"/>
        </w:rPr>
      </w:pPr>
      <w:r>
        <w:rPr>
          <w:rFonts w:ascii="Arial" w:hAnsi="Arial" w:cs="Arial"/>
        </w:rPr>
        <w:t>The NZ Government publishes the Government Policy Statement (GPS) on land transport, which sets what is to be achieved in land transport, how funding will be allocated between different activities, how much funding will be provided, and how the funding will be raised. The GPS does not however fund individual projects. The NZ Transport Agency then independently develops the NLTP, which must give effect to the GPS. Project level funding decisions are made independently as part of the NLTP, within the parameters set by the GPS.</w:t>
      </w:r>
    </w:p>
    <w:p w14:paraId="6C7C87CC" w14:textId="77777777" w:rsidR="0045348D" w:rsidRDefault="0045348D" w:rsidP="0045348D">
      <w:pPr>
        <w:rPr>
          <w:rFonts w:ascii="Arial" w:hAnsi="Arial" w:cs="Arial"/>
        </w:rPr>
      </w:pPr>
    </w:p>
    <w:p w14:paraId="007299F2" w14:textId="287BB8FA" w:rsidR="0045348D" w:rsidRDefault="0045348D" w:rsidP="0045348D">
      <w:pPr>
        <w:rPr>
          <w:rFonts w:ascii="Arial" w:hAnsi="Arial" w:cs="Arial"/>
        </w:rPr>
      </w:pPr>
      <w:r>
        <w:rPr>
          <w:rFonts w:ascii="Arial" w:hAnsi="Arial" w:cs="Arial"/>
        </w:rPr>
        <w:t>The GPS and NLTP are both traditionally set for a period of at least three years, providing certainty. The latest GPS is for a ten year period.</w:t>
      </w:r>
      <w:r w:rsidR="00115737">
        <w:rPr>
          <w:rStyle w:val="FootnoteReference"/>
          <w:rFonts w:ascii="Arial" w:hAnsi="Arial"/>
        </w:rPr>
        <w:footnoteReference w:id="23"/>
      </w:r>
      <w:r>
        <w:rPr>
          <w:rFonts w:ascii="Arial" w:hAnsi="Arial" w:cs="Arial"/>
        </w:rPr>
        <w:t xml:space="preserve">    </w:t>
      </w:r>
    </w:p>
    <w:p w14:paraId="47887DB4" w14:textId="77777777" w:rsidR="0045348D" w:rsidRDefault="0045348D" w:rsidP="0045348D">
      <w:pPr>
        <w:rPr>
          <w:rFonts w:ascii="Arial" w:hAnsi="Arial" w:cs="Arial"/>
        </w:rPr>
      </w:pPr>
    </w:p>
    <w:p w14:paraId="53839B7F" w14:textId="77777777" w:rsidR="007D0021" w:rsidRDefault="007D0021" w:rsidP="0045348D">
      <w:pPr>
        <w:rPr>
          <w:rFonts w:ascii="Arial" w:hAnsi="Arial" w:cs="Arial"/>
        </w:rPr>
      </w:pPr>
    </w:p>
    <w:p w14:paraId="7AF14235" w14:textId="1F1EF720" w:rsidR="007D0021" w:rsidRPr="003513B5" w:rsidRDefault="00E97A17" w:rsidP="0045348D">
      <w:pPr>
        <w:rPr>
          <w:rFonts w:ascii="Arial" w:hAnsi="Arial" w:cs="Arial"/>
        </w:rPr>
      </w:pPr>
      <w:r>
        <w:rPr>
          <w:rFonts w:ascii="Arial" w:hAnsi="Arial" w:cs="Arial"/>
        </w:rPr>
        <w:t xml:space="preserve">It is also important that </w:t>
      </w:r>
      <w:r w:rsidR="003513B5">
        <w:rPr>
          <w:rFonts w:ascii="Arial" w:hAnsi="Arial" w:cs="Arial"/>
        </w:rPr>
        <w:t>the scope of road funds includes the</w:t>
      </w:r>
      <w:r>
        <w:rPr>
          <w:rFonts w:ascii="Arial" w:hAnsi="Arial" w:cs="Arial"/>
        </w:rPr>
        <w:t xml:space="preserve"> protect</w:t>
      </w:r>
      <w:r w:rsidR="003513B5">
        <w:rPr>
          <w:rFonts w:ascii="Arial" w:hAnsi="Arial" w:cs="Arial"/>
        </w:rPr>
        <w:t>ion of</w:t>
      </w:r>
      <w:r>
        <w:rPr>
          <w:rFonts w:ascii="Arial" w:hAnsi="Arial" w:cs="Arial"/>
        </w:rPr>
        <w:t xml:space="preserve"> current and future transport corridors. </w:t>
      </w:r>
      <w:r w:rsidR="003513B5">
        <w:rPr>
          <w:rFonts w:ascii="Arial" w:hAnsi="Arial" w:cs="Arial"/>
        </w:rPr>
        <w:t xml:space="preserve">A recent report from Infrastructure Australia, </w:t>
      </w:r>
      <w:r w:rsidR="003513B5">
        <w:rPr>
          <w:rFonts w:ascii="Arial" w:hAnsi="Arial" w:cs="Arial"/>
          <w:i/>
        </w:rPr>
        <w:t>Corridor Protection,</w:t>
      </w:r>
      <w:r w:rsidR="003513B5">
        <w:rPr>
          <w:rFonts w:ascii="Arial" w:hAnsi="Arial" w:cs="Arial"/>
        </w:rPr>
        <w:t xml:space="preserve"> modelled that the protection and early acquisition of just seven identified transport corridors could save $10.8 billion in land purchase and construction costs (measured in discounted 2016 dollars). It also identified that corridor protection in the mid-twentieth century </w:t>
      </w:r>
      <w:r w:rsidR="00864AE4">
        <w:rPr>
          <w:rFonts w:ascii="Arial" w:hAnsi="Arial" w:cs="Arial"/>
        </w:rPr>
        <w:t>wa</w:t>
      </w:r>
      <w:r w:rsidR="003513B5">
        <w:rPr>
          <w:rFonts w:ascii="Arial" w:hAnsi="Arial" w:cs="Arial"/>
        </w:rPr>
        <w:t xml:space="preserve">s essential to </w:t>
      </w:r>
      <w:r w:rsidR="00864AE4">
        <w:rPr>
          <w:rFonts w:ascii="Arial" w:hAnsi="Arial" w:cs="Arial"/>
        </w:rPr>
        <w:t>building the infrastructure that is critical to the present day functioning of our largest cities</w:t>
      </w:r>
      <w:r w:rsidR="003513B5">
        <w:rPr>
          <w:rFonts w:ascii="Arial" w:hAnsi="Arial" w:cs="Arial"/>
        </w:rPr>
        <w:t>.</w:t>
      </w:r>
      <w:r w:rsidR="003513B5">
        <w:rPr>
          <w:rStyle w:val="FootnoteReference"/>
          <w:rFonts w:ascii="Arial" w:hAnsi="Arial"/>
        </w:rPr>
        <w:footnoteReference w:id="24"/>
      </w:r>
    </w:p>
    <w:p w14:paraId="024A3D1B" w14:textId="77777777" w:rsidR="007D0021" w:rsidRPr="00F0432B" w:rsidRDefault="007D0021" w:rsidP="0045348D">
      <w:pPr>
        <w:rPr>
          <w:rFonts w:ascii="Arial" w:hAnsi="Arial" w:cs="Arial"/>
        </w:rPr>
      </w:pPr>
    </w:p>
    <w:p w14:paraId="10527C90" w14:textId="312F6466" w:rsidR="00663CEF" w:rsidRDefault="00B43BDF" w:rsidP="00663CEF">
      <w:pPr>
        <w:rPr>
          <w:rFonts w:ascii="Arial" w:hAnsi="Arial" w:cs="Arial"/>
        </w:rPr>
      </w:pPr>
      <w:r>
        <w:rPr>
          <w:rFonts w:ascii="Arial" w:hAnsi="Arial" w:cs="Arial"/>
          <w:b/>
        </w:rPr>
        <w:t>Recommendation 3</w:t>
      </w:r>
    </w:p>
    <w:p w14:paraId="47815F07" w14:textId="2E25E14D" w:rsidR="00663CEF" w:rsidRDefault="00663CEF" w:rsidP="00663CEF">
      <w:pPr>
        <w:rPr>
          <w:rFonts w:ascii="Arial" w:hAnsi="Arial" w:cs="Arial"/>
        </w:rPr>
      </w:pPr>
      <w:r>
        <w:rPr>
          <w:rFonts w:ascii="Arial" w:hAnsi="Arial" w:cs="Arial"/>
        </w:rPr>
        <w:t xml:space="preserve">The National Freight and Supply Chain Strategy should </w:t>
      </w:r>
      <w:r w:rsidR="00F67A7A">
        <w:rPr>
          <w:rFonts w:ascii="Arial" w:hAnsi="Arial" w:cs="Arial"/>
        </w:rPr>
        <w:t>continue and accelerate the</w:t>
      </w:r>
      <w:r>
        <w:rPr>
          <w:rFonts w:ascii="Arial" w:hAnsi="Arial" w:cs="Arial"/>
        </w:rPr>
        <w:t xml:space="preserve"> road investment reform agenda, including:</w:t>
      </w:r>
    </w:p>
    <w:p w14:paraId="49276AA8" w14:textId="77777777" w:rsidR="00663CEF" w:rsidRDefault="00663CEF" w:rsidP="00F67A7A">
      <w:pPr>
        <w:pStyle w:val="ListParagraph"/>
        <w:numPr>
          <w:ilvl w:val="0"/>
          <w:numId w:val="18"/>
        </w:numPr>
        <w:spacing w:after="0" w:line="240" w:lineRule="auto"/>
        <w:ind w:left="714" w:hanging="357"/>
        <w:rPr>
          <w:rFonts w:ascii="Arial" w:hAnsi="Arial" w:cs="Arial"/>
        </w:rPr>
      </w:pPr>
      <w:r>
        <w:rPr>
          <w:rFonts w:ascii="Arial" w:hAnsi="Arial" w:cs="Arial"/>
        </w:rPr>
        <w:t>Introduction of independent management of road networks and selection of road investment and maintenance projects (such as by a road fund).</w:t>
      </w:r>
    </w:p>
    <w:p w14:paraId="08338414" w14:textId="77777777" w:rsidR="00663CEF" w:rsidRDefault="00663CEF" w:rsidP="00F67A7A">
      <w:pPr>
        <w:pStyle w:val="ListParagraph"/>
        <w:numPr>
          <w:ilvl w:val="0"/>
          <w:numId w:val="18"/>
        </w:numPr>
        <w:spacing w:after="0" w:line="240" w:lineRule="auto"/>
        <w:ind w:left="714" w:hanging="357"/>
        <w:rPr>
          <w:rFonts w:ascii="Arial" w:hAnsi="Arial" w:cs="Arial"/>
        </w:rPr>
      </w:pPr>
      <w:r>
        <w:rPr>
          <w:rFonts w:ascii="Arial" w:hAnsi="Arial" w:cs="Arial"/>
        </w:rPr>
        <w:t>Long term and stable road funding, based on hypothecated revenue of road related charges.</w:t>
      </w:r>
    </w:p>
    <w:p w14:paraId="3B5EACF6" w14:textId="77777777" w:rsidR="00663CEF" w:rsidRDefault="00663CEF" w:rsidP="00F67A7A">
      <w:pPr>
        <w:pStyle w:val="ListParagraph"/>
        <w:numPr>
          <w:ilvl w:val="0"/>
          <w:numId w:val="18"/>
        </w:numPr>
        <w:spacing w:after="0" w:line="240" w:lineRule="auto"/>
        <w:ind w:left="714" w:hanging="357"/>
        <w:rPr>
          <w:rFonts w:ascii="Arial" w:hAnsi="Arial" w:cs="Arial"/>
        </w:rPr>
      </w:pPr>
      <w:r>
        <w:rPr>
          <w:rFonts w:ascii="Arial" w:hAnsi="Arial" w:cs="Arial"/>
        </w:rPr>
        <w:t xml:space="preserve">Government setting of priorities for road network outcomes, to be achieved by independent road management. </w:t>
      </w:r>
    </w:p>
    <w:p w14:paraId="7B47573E" w14:textId="77777777" w:rsidR="00F67A7A" w:rsidRPr="00F67A7A" w:rsidRDefault="00F67A7A" w:rsidP="00F67A7A">
      <w:pPr>
        <w:rPr>
          <w:rFonts w:ascii="Arial" w:hAnsi="Arial" w:cs="Arial"/>
        </w:rPr>
      </w:pPr>
    </w:p>
    <w:p w14:paraId="06E44AB7" w14:textId="551EA7A9" w:rsidR="004E0151" w:rsidRDefault="00E71CB8" w:rsidP="0045348D">
      <w:pPr>
        <w:rPr>
          <w:rFonts w:ascii="Arial" w:hAnsi="Arial" w:cs="Arial"/>
        </w:rPr>
      </w:pPr>
      <w:r>
        <w:rPr>
          <w:rFonts w:ascii="Arial" w:hAnsi="Arial" w:cs="Arial"/>
          <w:b/>
        </w:rPr>
        <w:t>Recomme</w:t>
      </w:r>
      <w:r w:rsidR="00B43BDF">
        <w:rPr>
          <w:rFonts w:ascii="Arial" w:hAnsi="Arial" w:cs="Arial"/>
          <w:b/>
        </w:rPr>
        <w:t>ndation 4</w:t>
      </w:r>
    </w:p>
    <w:p w14:paraId="7880A8AF" w14:textId="389C5191" w:rsidR="00E71CB8" w:rsidRPr="00E71CB8" w:rsidRDefault="00E71CB8" w:rsidP="0045348D">
      <w:pPr>
        <w:rPr>
          <w:rFonts w:ascii="Arial" w:hAnsi="Arial" w:cs="Arial"/>
        </w:rPr>
      </w:pPr>
      <w:r>
        <w:rPr>
          <w:rFonts w:ascii="Arial" w:hAnsi="Arial" w:cs="Arial"/>
        </w:rPr>
        <w:t xml:space="preserve">Road managers should improve the maintenance of the existing network and protection of current and future corridors to reduce the overall life cycle costs of the road network. </w:t>
      </w:r>
    </w:p>
    <w:p w14:paraId="7F13045A" w14:textId="77777777" w:rsidR="004E0151" w:rsidRDefault="004E0151" w:rsidP="0045348D">
      <w:pPr>
        <w:rPr>
          <w:rFonts w:ascii="Arial" w:hAnsi="Arial" w:cs="Arial"/>
        </w:rPr>
      </w:pPr>
    </w:p>
    <w:p w14:paraId="40777922" w14:textId="333A903F" w:rsidR="0045348D" w:rsidRDefault="0045348D" w:rsidP="0045348D">
      <w:pPr>
        <w:tabs>
          <w:tab w:val="left" w:pos="992"/>
        </w:tabs>
        <w:rPr>
          <w:rFonts w:ascii="Arial" w:hAnsi="Arial" w:cs="Arial"/>
        </w:rPr>
      </w:pPr>
      <w:r w:rsidRPr="00AC1B66">
        <w:rPr>
          <w:rFonts w:ascii="Arial" w:hAnsi="Arial" w:cs="Arial"/>
          <w:b/>
        </w:rPr>
        <w:t>Recommendation</w:t>
      </w:r>
      <w:r w:rsidR="00B43BDF">
        <w:rPr>
          <w:rFonts w:ascii="Arial" w:hAnsi="Arial" w:cs="Arial"/>
          <w:b/>
        </w:rPr>
        <w:t xml:space="preserve"> 5</w:t>
      </w:r>
    </w:p>
    <w:p w14:paraId="426EF354" w14:textId="77777777" w:rsidR="0045348D" w:rsidRPr="00AC1B66" w:rsidRDefault="0045348D" w:rsidP="0045348D">
      <w:pPr>
        <w:tabs>
          <w:tab w:val="left" w:pos="992"/>
        </w:tabs>
        <w:rPr>
          <w:rFonts w:ascii="Arial" w:hAnsi="Arial" w:cs="Arial"/>
        </w:rPr>
      </w:pPr>
      <w:r>
        <w:rPr>
          <w:rFonts w:ascii="Arial" w:hAnsi="Arial" w:cs="Arial"/>
        </w:rPr>
        <w:t xml:space="preserve">The Australian Government policy to require infrastructure investments of more than $100 million to be positively assessed by Infrastructure Australia should be made a legislated requirement. Commitments made in advance of this assessment should be contingent on receiving a positive assessment from Infrastructure Australia. </w:t>
      </w:r>
    </w:p>
    <w:p w14:paraId="5BED2F4B" w14:textId="10A5D3BE" w:rsidR="00B43BDF" w:rsidRDefault="00B43BDF" w:rsidP="006500E6">
      <w:pPr>
        <w:pStyle w:val="NoSpacing"/>
        <w:rPr>
          <w:rFonts w:eastAsia="Calibri"/>
          <w:color w:val="auto"/>
          <w:sz w:val="22"/>
          <w:szCs w:val="22"/>
          <w:lang w:eastAsia="en-US"/>
        </w:rPr>
      </w:pPr>
    </w:p>
    <w:p w14:paraId="2B0A2287" w14:textId="190A507A" w:rsidR="00A63158" w:rsidRDefault="000E3DA9" w:rsidP="00CB30A4">
      <w:pPr>
        <w:pStyle w:val="Heading1"/>
        <w:ind w:left="357" w:hanging="357"/>
        <w:rPr>
          <w:sz w:val="24"/>
          <w:szCs w:val="24"/>
        </w:rPr>
      </w:pPr>
      <w:bookmarkStart w:id="7" w:name="_Toc488842019"/>
      <w:r>
        <w:rPr>
          <w:sz w:val="24"/>
          <w:szCs w:val="24"/>
        </w:rPr>
        <w:t>Upgrading northern and regional roads</w:t>
      </w:r>
      <w:bookmarkEnd w:id="7"/>
    </w:p>
    <w:p w14:paraId="2EE813AF" w14:textId="77777777" w:rsidR="004F521F" w:rsidRDefault="004F521F" w:rsidP="004F521F"/>
    <w:p w14:paraId="6D657C3D" w14:textId="3100488E" w:rsidR="002340EE" w:rsidRDefault="002340EE" w:rsidP="002340EE">
      <w:pPr>
        <w:rPr>
          <w:rFonts w:ascii="Arial" w:hAnsi="Arial" w:cs="Arial"/>
        </w:rPr>
      </w:pPr>
      <w:r>
        <w:rPr>
          <w:rFonts w:ascii="Arial" w:hAnsi="Arial" w:cs="Arial"/>
        </w:rPr>
        <w:t>A million people live in northern Australia – but</w:t>
      </w:r>
      <w:r w:rsidRPr="00B347DB">
        <w:rPr>
          <w:rFonts w:ascii="Arial" w:hAnsi="Arial" w:cs="Arial"/>
        </w:rPr>
        <w:t xml:space="preserve"> the region accounts for more than half of Australia’s exports by sea. Its growth prospects are bright, but there are critical infrastructure gaps.</w:t>
      </w:r>
    </w:p>
    <w:p w14:paraId="105395FD" w14:textId="77777777" w:rsidR="002340EE" w:rsidRDefault="002340EE" w:rsidP="004F521F"/>
    <w:p w14:paraId="3979305F" w14:textId="08EF7ED0" w:rsidR="003769B7" w:rsidRDefault="002340EE" w:rsidP="002340EE">
      <w:pPr>
        <w:rPr>
          <w:rFonts w:ascii="Arial" w:hAnsi="Arial" w:cs="Arial"/>
        </w:rPr>
      </w:pPr>
      <w:r>
        <w:rPr>
          <w:rFonts w:ascii="Arial" w:hAnsi="Arial" w:cs="Arial"/>
        </w:rPr>
        <w:t xml:space="preserve">Presently the freight and supply chain priorities discussion paper does not </w:t>
      </w:r>
      <w:r w:rsidR="00F67A7A">
        <w:rPr>
          <w:rFonts w:ascii="Arial" w:hAnsi="Arial" w:cs="Arial"/>
        </w:rPr>
        <w:t>cover</w:t>
      </w:r>
      <w:r>
        <w:rPr>
          <w:rFonts w:ascii="Arial" w:hAnsi="Arial" w:cs="Arial"/>
        </w:rPr>
        <w:t xml:space="preserve"> regional issues, even though the ATA, in conjunction with WARTA and NTRTA, called on the Government to specifically include rural and remote issues in the review. </w:t>
      </w:r>
      <w:r w:rsidR="003769B7">
        <w:rPr>
          <w:rFonts w:ascii="Arial" w:hAnsi="Arial" w:cs="Arial"/>
        </w:rPr>
        <w:t xml:space="preserve">This omission should be rectified. </w:t>
      </w:r>
    </w:p>
    <w:p w14:paraId="0863EB3D" w14:textId="77777777" w:rsidR="002B03A4" w:rsidRDefault="002B03A4" w:rsidP="002340EE">
      <w:pPr>
        <w:rPr>
          <w:rFonts w:ascii="Arial" w:hAnsi="Arial" w:cs="Arial"/>
        </w:rPr>
      </w:pPr>
    </w:p>
    <w:p w14:paraId="03A20289" w14:textId="51119A5C" w:rsidR="003769B7" w:rsidRDefault="00F67A7A" w:rsidP="002340EE">
      <w:pPr>
        <w:rPr>
          <w:rFonts w:ascii="Arial" w:hAnsi="Arial" w:cs="Arial"/>
        </w:rPr>
      </w:pPr>
      <w:r>
        <w:rPr>
          <w:rFonts w:ascii="Arial" w:hAnsi="Arial" w:cs="Arial"/>
        </w:rPr>
        <w:t>The</w:t>
      </w:r>
      <w:r w:rsidR="003769B7">
        <w:rPr>
          <w:rFonts w:ascii="Arial" w:hAnsi="Arial" w:cs="Arial"/>
        </w:rPr>
        <w:t xml:space="preserve"> Northern</w:t>
      </w:r>
      <w:r w:rsidR="00864AE4">
        <w:rPr>
          <w:rFonts w:ascii="Arial" w:hAnsi="Arial" w:cs="Arial"/>
        </w:rPr>
        <w:t xml:space="preserve"> Australia Infrastructure Audit</w:t>
      </w:r>
      <w:r w:rsidR="003769B7">
        <w:rPr>
          <w:rFonts w:ascii="Arial" w:hAnsi="Arial" w:cs="Arial"/>
        </w:rPr>
        <w:t xml:space="preserve"> found that the road network in Northern Australia is essential for connecting people and freight with places of residence and economic activity. Critically, the </w:t>
      </w:r>
      <w:r>
        <w:rPr>
          <w:rFonts w:ascii="Arial" w:hAnsi="Arial" w:cs="Arial"/>
        </w:rPr>
        <w:t>a</w:t>
      </w:r>
      <w:r w:rsidR="003769B7">
        <w:rPr>
          <w:rFonts w:ascii="Arial" w:hAnsi="Arial" w:cs="Arial"/>
        </w:rPr>
        <w:t>udit identified road infrastructure gaps, including:</w:t>
      </w:r>
    </w:p>
    <w:p w14:paraId="1C3D4FA4" w14:textId="31077ABE" w:rsidR="003769B7" w:rsidRDefault="003769B7" w:rsidP="00F67A7A">
      <w:pPr>
        <w:pStyle w:val="ListParagraph"/>
        <w:numPr>
          <w:ilvl w:val="0"/>
          <w:numId w:val="10"/>
        </w:numPr>
        <w:spacing w:after="0" w:line="240" w:lineRule="auto"/>
        <w:ind w:left="714" w:hanging="357"/>
        <w:rPr>
          <w:rFonts w:ascii="Arial" w:hAnsi="Arial" w:cs="Arial"/>
        </w:rPr>
      </w:pPr>
      <w:r>
        <w:rPr>
          <w:rFonts w:ascii="Arial" w:hAnsi="Arial" w:cs="Arial"/>
        </w:rPr>
        <w:t xml:space="preserve">North – </w:t>
      </w:r>
      <w:r w:rsidR="00F67A7A">
        <w:rPr>
          <w:rFonts w:ascii="Arial" w:hAnsi="Arial" w:cs="Arial"/>
        </w:rPr>
        <w:t>s</w:t>
      </w:r>
      <w:r>
        <w:rPr>
          <w:rFonts w:ascii="Arial" w:hAnsi="Arial" w:cs="Arial"/>
        </w:rPr>
        <w:t xml:space="preserve">outh access, as linking </w:t>
      </w:r>
      <w:r w:rsidR="00F67A7A">
        <w:rPr>
          <w:rFonts w:ascii="Arial" w:hAnsi="Arial" w:cs="Arial"/>
        </w:rPr>
        <w:t>n</w:t>
      </w:r>
      <w:r>
        <w:rPr>
          <w:rFonts w:ascii="Arial" w:hAnsi="Arial" w:cs="Arial"/>
        </w:rPr>
        <w:t>orthern Australia to southern jurisdictions was found to be essential for the region’s economic development.</w:t>
      </w:r>
    </w:p>
    <w:p w14:paraId="4DD69846" w14:textId="74AB84FD" w:rsidR="003769B7" w:rsidRDefault="00297173" w:rsidP="00F67A7A">
      <w:pPr>
        <w:pStyle w:val="ListParagraph"/>
        <w:numPr>
          <w:ilvl w:val="0"/>
          <w:numId w:val="10"/>
        </w:numPr>
        <w:spacing w:after="0" w:line="240" w:lineRule="auto"/>
        <w:ind w:left="714" w:hanging="357"/>
        <w:rPr>
          <w:rFonts w:ascii="Arial" w:hAnsi="Arial" w:cs="Arial"/>
        </w:rPr>
      </w:pPr>
      <w:r>
        <w:rPr>
          <w:rFonts w:ascii="Arial" w:hAnsi="Arial" w:cs="Arial"/>
        </w:rPr>
        <w:t>R</w:t>
      </w:r>
      <w:r w:rsidR="003769B7">
        <w:rPr>
          <w:rFonts w:ascii="Arial" w:hAnsi="Arial" w:cs="Arial"/>
        </w:rPr>
        <w:t>oad links between major northern urban centres to their hinterlands.</w:t>
      </w:r>
    </w:p>
    <w:p w14:paraId="4F00EC93" w14:textId="2474A824" w:rsidR="003769B7" w:rsidRDefault="003769B7" w:rsidP="00F67A7A">
      <w:pPr>
        <w:pStyle w:val="ListParagraph"/>
        <w:numPr>
          <w:ilvl w:val="0"/>
          <w:numId w:val="10"/>
        </w:numPr>
        <w:spacing w:after="0" w:line="240" w:lineRule="auto"/>
        <w:ind w:left="714" w:hanging="357"/>
        <w:rPr>
          <w:rFonts w:ascii="Arial" w:hAnsi="Arial" w:cs="Arial"/>
        </w:rPr>
      </w:pPr>
      <w:r>
        <w:rPr>
          <w:rFonts w:ascii="Arial" w:hAnsi="Arial" w:cs="Arial"/>
        </w:rPr>
        <w:t>Regional links for the resources industry.</w:t>
      </w:r>
    </w:p>
    <w:p w14:paraId="6D59ADFD" w14:textId="3A2F1EE0" w:rsidR="003769B7" w:rsidRDefault="003769B7" w:rsidP="00F67A7A">
      <w:pPr>
        <w:pStyle w:val="ListParagraph"/>
        <w:numPr>
          <w:ilvl w:val="0"/>
          <w:numId w:val="10"/>
        </w:numPr>
        <w:spacing w:after="0" w:line="240" w:lineRule="auto"/>
        <w:ind w:left="714" w:hanging="357"/>
        <w:rPr>
          <w:rFonts w:ascii="Arial" w:hAnsi="Arial" w:cs="Arial"/>
        </w:rPr>
      </w:pPr>
      <w:r>
        <w:rPr>
          <w:rFonts w:ascii="Arial" w:hAnsi="Arial" w:cs="Arial"/>
        </w:rPr>
        <w:t>Agricultural industry road links.</w:t>
      </w:r>
    </w:p>
    <w:p w14:paraId="2A632FD7" w14:textId="3965B7BD" w:rsidR="003769B7" w:rsidRDefault="003769B7" w:rsidP="00F67A7A">
      <w:pPr>
        <w:pStyle w:val="ListParagraph"/>
        <w:numPr>
          <w:ilvl w:val="0"/>
          <w:numId w:val="10"/>
        </w:numPr>
        <w:spacing w:after="0" w:line="240" w:lineRule="auto"/>
        <w:ind w:left="714" w:hanging="357"/>
        <w:rPr>
          <w:rFonts w:ascii="Arial" w:hAnsi="Arial" w:cs="Arial"/>
        </w:rPr>
      </w:pPr>
      <w:r>
        <w:rPr>
          <w:rFonts w:ascii="Arial" w:hAnsi="Arial" w:cs="Arial"/>
        </w:rPr>
        <w:t>Bridge condition and strength, which can limit road route access for heavy vehicles and if improved, can also improve flood resilience.</w:t>
      </w:r>
    </w:p>
    <w:p w14:paraId="3CC05410" w14:textId="5395D152" w:rsidR="003769B7" w:rsidRDefault="003769B7" w:rsidP="00F67A7A">
      <w:pPr>
        <w:pStyle w:val="ListParagraph"/>
        <w:numPr>
          <w:ilvl w:val="0"/>
          <w:numId w:val="10"/>
        </w:numPr>
        <w:spacing w:after="0" w:line="240" w:lineRule="auto"/>
        <w:ind w:left="714" w:hanging="357"/>
        <w:rPr>
          <w:rFonts w:ascii="Arial" w:hAnsi="Arial" w:cs="Arial"/>
        </w:rPr>
      </w:pPr>
      <w:r>
        <w:rPr>
          <w:rFonts w:ascii="Arial" w:hAnsi="Arial" w:cs="Arial"/>
        </w:rPr>
        <w:t>Urban road and public transport links, which impacts the overall performance of the road network and is critical for the economic and social needs of urban centres.</w:t>
      </w:r>
      <w:r w:rsidR="00AF043D">
        <w:rPr>
          <w:rStyle w:val="FootnoteReference"/>
          <w:rFonts w:ascii="Arial" w:hAnsi="Arial"/>
        </w:rPr>
        <w:footnoteReference w:id="25"/>
      </w:r>
    </w:p>
    <w:p w14:paraId="3C7711B4" w14:textId="77777777" w:rsidR="00F67A7A" w:rsidRPr="00F67A7A" w:rsidRDefault="00F67A7A" w:rsidP="00F67A7A">
      <w:pPr>
        <w:rPr>
          <w:rFonts w:ascii="Arial" w:hAnsi="Arial" w:cs="Arial"/>
        </w:rPr>
      </w:pPr>
    </w:p>
    <w:p w14:paraId="60E4AABC" w14:textId="2F3EF681" w:rsidR="00297173" w:rsidRDefault="00297173" w:rsidP="00297173">
      <w:pPr>
        <w:rPr>
          <w:rFonts w:ascii="Arial" w:hAnsi="Arial" w:cs="Arial"/>
        </w:rPr>
      </w:pPr>
      <w:r>
        <w:rPr>
          <w:rFonts w:ascii="Arial" w:hAnsi="Arial" w:cs="Arial"/>
        </w:rPr>
        <w:t xml:space="preserve">The Government’s </w:t>
      </w:r>
      <w:r w:rsidR="00F67A7A">
        <w:rPr>
          <w:rFonts w:ascii="Arial" w:hAnsi="Arial" w:cs="Arial"/>
        </w:rPr>
        <w:t>Developing Northern Australia white p</w:t>
      </w:r>
      <w:r>
        <w:rPr>
          <w:rFonts w:ascii="Arial" w:hAnsi="Arial" w:cs="Arial"/>
        </w:rPr>
        <w:t xml:space="preserve">aper and related investment programs have made a welcome investment to improving </w:t>
      </w:r>
      <w:r w:rsidR="00F67A7A">
        <w:rPr>
          <w:rFonts w:ascii="Arial" w:hAnsi="Arial" w:cs="Arial"/>
        </w:rPr>
        <w:t>n</w:t>
      </w:r>
      <w:r>
        <w:rPr>
          <w:rFonts w:ascii="Arial" w:hAnsi="Arial" w:cs="Arial"/>
        </w:rPr>
        <w:t xml:space="preserve">orthern Australia’s road network, but these critical road infrastructure gaps remain. </w:t>
      </w:r>
    </w:p>
    <w:p w14:paraId="32B1D182" w14:textId="77777777" w:rsidR="001532EC" w:rsidRDefault="001532EC" w:rsidP="00297173">
      <w:pPr>
        <w:rPr>
          <w:rFonts w:ascii="Arial" w:hAnsi="Arial" w:cs="Arial"/>
        </w:rPr>
      </w:pPr>
    </w:p>
    <w:p w14:paraId="38DE4AC8" w14:textId="4D018973" w:rsidR="00F67A7A" w:rsidRDefault="001532EC" w:rsidP="00297173">
      <w:pPr>
        <w:rPr>
          <w:rFonts w:ascii="Arial" w:hAnsi="Arial" w:cs="Arial"/>
        </w:rPr>
      </w:pPr>
      <w:r>
        <w:rPr>
          <w:rFonts w:ascii="Arial" w:hAnsi="Arial" w:cs="Arial"/>
        </w:rPr>
        <w:t xml:space="preserve">At the ATA’s national conference </w:t>
      </w:r>
      <w:r>
        <w:rPr>
          <w:rFonts w:ascii="Arial" w:hAnsi="Arial" w:cs="Arial"/>
          <w:i/>
        </w:rPr>
        <w:t>Trucking Australia</w:t>
      </w:r>
      <w:r>
        <w:rPr>
          <w:rFonts w:ascii="Arial" w:hAnsi="Arial" w:cs="Arial"/>
        </w:rPr>
        <w:t xml:space="preserve">, held in Darwin in June 2017, delegates identified a clear need for the upgrading of roads and bridges in </w:t>
      </w:r>
      <w:r w:rsidR="00F67A7A">
        <w:rPr>
          <w:rFonts w:ascii="Arial" w:hAnsi="Arial" w:cs="Arial"/>
        </w:rPr>
        <w:t>n</w:t>
      </w:r>
      <w:r>
        <w:rPr>
          <w:rFonts w:ascii="Arial" w:hAnsi="Arial" w:cs="Arial"/>
        </w:rPr>
        <w:t>orthern Australia to allow year round use</w:t>
      </w:r>
      <w:r w:rsidR="00F67A7A">
        <w:rPr>
          <w:rFonts w:ascii="Arial" w:hAnsi="Arial" w:cs="Arial"/>
        </w:rPr>
        <w:t xml:space="preserve"> of the national highway network.</w:t>
      </w:r>
    </w:p>
    <w:p w14:paraId="573BEBEF" w14:textId="77777777" w:rsidR="001532EC" w:rsidRDefault="001532EC" w:rsidP="00297173">
      <w:pPr>
        <w:rPr>
          <w:rFonts w:ascii="Arial" w:hAnsi="Arial" w:cs="Arial"/>
        </w:rPr>
      </w:pPr>
    </w:p>
    <w:p w14:paraId="498F1222" w14:textId="0C13FE60" w:rsidR="001532EC" w:rsidRPr="001532EC" w:rsidRDefault="001532EC" w:rsidP="00297173">
      <w:pPr>
        <w:rPr>
          <w:rFonts w:ascii="Arial" w:hAnsi="Arial" w:cs="Arial"/>
        </w:rPr>
      </w:pPr>
      <w:r>
        <w:rPr>
          <w:rFonts w:ascii="Arial" w:hAnsi="Arial" w:cs="Arial"/>
        </w:rPr>
        <w:t xml:space="preserve">These outcomes from </w:t>
      </w:r>
      <w:r>
        <w:rPr>
          <w:rFonts w:ascii="Arial" w:hAnsi="Arial" w:cs="Arial"/>
          <w:i/>
        </w:rPr>
        <w:t>Trucking Australia</w:t>
      </w:r>
      <w:r>
        <w:rPr>
          <w:rFonts w:ascii="Arial" w:hAnsi="Arial" w:cs="Arial"/>
        </w:rPr>
        <w:t xml:space="preserve"> reinforce the findings of the Northern Australia Infrastructure Audit and the need for them to be addressed. With </w:t>
      </w:r>
      <w:r w:rsidR="00F67A7A">
        <w:rPr>
          <w:rFonts w:ascii="Arial" w:hAnsi="Arial" w:cs="Arial"/>
        </w:rPr>
        <w:t>n</w:t>
      </w:r>
      <w:r>
        <w:rPr>
          <w:rFonts w:ascii="Arial" w:hAnsi="Arial" w:cs="Arial"/>
        </w:rPr>
        <w:t xml:space="preserve">orthern Australia’s </w:t>
      </w:r>
      <w:r w:rsidR="00F67A7A">
        <w:rPr>
          <w:rFonts w:ascii="Arial" w:hAnsi="Arial" w:cs="Arial"/>
        </w:rPr>
        <w:t xml:space="preserve">proximity to growth markets throughout Asia </w:t>
      </w:r>
      <w:r>
        <w:rPr>
          <w:rFonts w:ascii="Arial" w:hAnsi="Arial" w:cs="Arial"/>
        </w:rPr>
        <w:t xml:space="preserve">road access is critical to realising the economic potential and opportunities </w:t>
      </w:r>
      <w:r w:rsidR="00F67A7A">
        <w:rPr>
          <w:rFonts w:ascii="Arial" w:hAnsi="Arial" w:cs="Arial"/>
        </w:rPr>
        <w:t>flowing through</w:t>
      </w:r>
      <w:r>
        <w:rPr>
          <w:rFonts w:ascii="Arial" w:hAnsi="Arial" w:cs="Arial"/>
        </w:rPr>
        <w:t xml:space="preserve"> the north.</w:t>
      </w:r>
    </w:p>
    <w:p w14:paraId="10B77F91" w14:textId="77777777" w:rsidR="001532EC" w:rsidRDefault="001532EC" w:rsidP="00297173">
      <w:pPr>
        <w:rPr>
          <w:rFonts w:ascii="Arial" w:hAnsi="Arial" w:cs="Arial"/>
        </w:rPr>
      </w:pPr>
    </w:p>
    <w:p w14:paraId="43DCD8F7" w14:textId="5F5E8E89" w:rsidR="001532EC" w:rsidRPr="001532EC" w:rsidRDefault="001532EC" w:rsidP="00297173">
      <w:pPr>
        <w:rPr>
          <w:rFonts w:ascii="Arial" w:hAnsi="Arial" w:cs="Arial"/>
        </w:rPr>
      </w:pPr>
      <w:r>
        <w:rPr>
          <w:rFonts w:ascii="Arial" w:hAnsi="Arial" w:cs="Arial"/>
        </w:rPr>
        <w:t xml:space="preserve">Delegates also identified the need for fair and independent heavy vehicle charges, more strategic and better planned decisions on road upgrades, and mobile phone and data connectivity on more transport routes. These priorities are addressed elsewhere in this submission. </w:t>
      </w:r>
    </w:p>
    <w:p w14:paraId="5BD72A5E" w14:textId="77777777" w:rsidR="00297173" w:rsidRPr="00297173" w:rsidRDefault="00297173" w:rsidP="00297173">
      <w:pPr>
        <w:rPr>
          <w:rFonts w:ascii="Arial" w:hAnsi="Arial" w:cs="Arial"/>
        </w:rPr>
      </w:pPr>
    </w:p>
    <w:p w14:paraId="275E1F54" w14:textId="4F590592" w:rsidR="00297173" w:rsidRDefault="00297173" w:rsidP="003769B7">
      <w:pPr>
        <w:rPr>
          <w:rFonts w:ascii="Arial" w:hAnsi="Arial" w:cs="Arial"/>
        </w:rPr>
      </w:pPr>
      <w:r>
        <w:rPr>
          <w:rFonts w:ascii="Arial" w:hAnsi="Arial" w:cs="Arial"/>
        </w:rPr>
        <w:t xml:space="preserve">Addressing road infrastructure gaps in </w:t>
      </w:r>
      <w:r w:rsidR="00F67A7A">
        <w:rPr>
          <w:rFonts w:ascii="Arial" w:hAnsi="Arial" w:cs="Arial"/>
        </w:rPr>
        <w:t>n</w:t>
      </w:r>
      <w:r>
        <w:rPr>
          <w:rFonts w:ascii="Arial" w:hAnsi="Arial" w:cs="Arial"/>
        </w:rPr>
        <w:t xml:space="preserve">orthern Australia </w:t>
      </w:r>
      <w:r w:rsidR="00F67A7A">
        <w:rPr>
          <w:rFonts w:ascii="Arial" w:hAnsi="Arial" w:cs="Arial"/>
        </w:rPr>
        <w:t xml:space="preserve">requires ongoing bipartisan commitment to </w:t>
      </w:r>
      <w:r>
        <w:rPr>
          <w:rFonts w:ascii="Arial" w:hAnsi="Arial" w:cs="Arial"/>
        </w:rPr>
        <w:t xml:space="preserve">investing in remote and regional roads. The 2016 report by Austroads, </w:t>
      </w:r>
      <w:r>
        <w:rPr>
          <w:rFonts w:ascii="Arial" w:hAnsi="Arial" w:cs="Arial"/>
          <w:i/>
        </w:rPr>
        <w:t>Reforming Remote and Regional Road Funding in Australia</w:t>
      </w:r>
      <w:r>
        <w:rPr>
          <w:rFonts w:ascii="Arial" w:hAnsi="Arial" w:cs="Arial"/>
        </w:rPr>
        <w:t xml:space="preserve">, </w:t>
      </w:r>
      <w:r w:rsidR="00232F56">
        <w:rPr>
          <w:rFonts w:ascii="Arial" w:hAnsi="Arial" w:cs="Arial"/>
        </w:rPr>
        <w:t>found that a traditional road project cost benefit analysis that focuses on trav</w:t>
      </w:r>
      <w:r w:rsidR="00C9189B">
        <w:rPr>
          <w:rFonts w:ascii="Arial" w:hAnsi="Arial" w:cs="Arial"/>
        </w:rPr>
        <w:t>el time savings is likely to significantly under</w:t>
      </w:r>
      <w:r w:rsidR="00232F56">
        <w:rPr>
          <w:rFonts w:ascii="Arial" w:hAnsi="Arial" w:cs="Arial"/>
        </w:rPr>
        <w:t>estimat</w:t>
      </w:r>
      <w:r w:rsidR="00C9189B">
        <w:rPr>
          <w:rFonts w:ascii="Arial" w:hAnsi="Arial" w:cs="Arial"/>
        </w:rPr>
        <w:t>e</w:t>
      </w:r>
      <w:r w:rsidR="00232F56">
        <w:rPr>
          <w:rFonts w:ascii="Arial" w:hAnsi="Arial" w:cs="Arial"/>
        </w:rPr>
        <w:t xml:space="preserve"> the benefits of road projects in remote and regional areas. </w:t>
      </w:r>
    </w:p>
    <w:p w14:paraId="0E013572" w14:textId="77777777" w:rsidR="00232F56" w:rsidRDefault="00232F56" w:rsidP="003769B7">
      <w:pPr>
        <w:rPr>
          <w:rFonts w:ascii="Arial" w:hAnsi="Arial" w:cs="Arial"/>
        </w:rPr>
      </w:pPr>
    </w:p>
    <w:p w14:paraId="5F6C1727" w14:textId="0251E2D5" w:rsidR="00232F56" w:rsidRDefault="00C9189B" w:rsidP="003769B7">
      <w:pPr>
        <w:rPr>
          <w:rFonts w:ascii="Arial" w:hAnsi="Arial" w:cs="Arial"/>
        </w:rPr>
      </w:pPr>
      <w:r>
        <w:rPr>
          <w:rFonts w:ascii="Arial" w:hAnsi="Arial" w:cs="Arial"/>
        </w:rPr>
        <w:t xml:space="preserve">Wider benefits from </w:t>
      </w:r>
      <w:r w:rsidR="00232F56">
        <w:rPr>
          <w:rFonts w:ascii="Arial" w:hAnsi="Arial" w:cs="Arial"/>
        </w:rPr>
        <w:t>investment in regional and remote roads w</w:t>
      </w:r>
      <w:r>
        <w:rPr>
          <w:rFonts w:ascii="Arial" w:hAnsi="Arial" w:cs="Arial"/>
        </w:rPr>
        <w:t>ere</w:t>
      </w:r>
      <w:r w:rsidR="00232F56">
        <w:rPr>
          <w:rFonts w:ascii="Arial" w:hAnsi="Arial" w:cs="Arial"/>
        </w:rPr>
        <w:t xml:space="preserve"> reported by Austroads to include:</w:t>
      </w:r>
    </w:p>
    <w:p w14:paraId="39B300F2" w14:textId="67367656" w:rsidR="00232F56" w:rsidRDefault="00232F56" w:rsidP="00F67A7A">
      <w:pPr>
        <w:pStyle w:val="ListParagraph"/>
        <w:numPr>
          <w:ilvl w:val="0"/>
          <w:numId w:val="11"/>
        </w:numPr>
        <w:spacing w:after="0" w:line="240" w:lineRule="auto"/>
        <w:ind w:left="714" w:hanging="357"/>
        <w:rPr>
          <w:rFonts w:ascii="Arial" w:hAnsi="Arial" w:cs="Arial"/>
        </w:rPr>
      </w:pPr>
      <w:r>
        <w:rPr>
          <w:rFonts w:ascii="Arial" w:hAnsi="Arial" w:cs="Arial"/>
        </w:rPr>
        <w:t xml:space="preserve">Improved accessibility and connectivity to a community (such as </w:t>
      </w:r>
      <w:r w:rsidR="00C76829">
        <w:rPr>
          <w:rFonts w:ascii="Arial" w:hAnsi="Arial" w:cs="Arial"/>
        </w:rPr>
        <w:t>providing year round road access, rather than access limited to six months of the dry season)</w:t>
      </w:r>
      <w:r>
        <w:rPr>
          <w:rFonts w:ascii="Arial" w:hAnsi="Arial" w:cs="Arial"/>
        </w:rPr>
        <w:t>.</w:t>
      </w:r>
    </w:p>
    <w:p w14:paraId="2516BF8C" w14:textId="6FB8F38B" w:rsidR="00232F56" w:rsidRDefault="00C76829" w:rsidP="00F67A7A">
      <w:pPr>
        <w:pStyle w:val="ListParagraph"/>
        <w:numPr>
          <w:ilvl w:val="0"/>
          <w:numId w:val="11"/>
        </w:numPr>
        <w:spacing w:after="0" w:line="240" w:lineRule="auto"/>
        <w:ind w:left="714" w:hanging="357"/>
        <w:rPr>
          <w:rFonts w:ascii="Arial" w:hAnsi="Arial" w:cs="Arial"/>
        </w:rPr>
      </w:pPr>
      <w:r>
        <w:rPr>
          <w:rFonts w:ascii="Arial" w:hAnsi="Arial" w:cs="Arial"/>
        </w:rPr>
        <w:t>Benefits associated with the avoided costs of having a better road (such as reduced storage costs for fuel and avoided delivery costs by other transport modes, such as air freight).</w:t>
      </w:r>
    </w:p>
    <w:p w14:paraId="1F4C8028" w14:textId="14CB43DF" w:rsidR="00C76829" w:rsidRDefault="00C76829" w:rsidP="00F67A7A">
      <w:pPr>
        <w:pStyle w:val="ListParagraph"/>
        <w:numPr>
          <w:ilvl w:val="0"/>
          <w:numId w:val="11"/>
        </w:numPr>
        <w:spacing w:after="0" w:line="240" w:lineRule="auto"/>
        <w:ind w:left="714" w:hanging="357"/>
        <w:rPr>
          <w:rFonts w:ascii="Arial" w:hAnsi="Arial" w:cs="Arial"/>
        </w:rPr>
      </w:pPr>
      <w:r>
        <w:rPr>
          <w:rFonts w:ascii="Arial" w:hAnsi="Arial" w:cs="Arial"/>
        </w:rPr>
        <w:t>Wider social benefits such as health and educational benefits.</w:t>
      </w:r>
    </w:p>
    <w:p w14:paraId="39771DC4" w14:textId="452D2F96" w:rsidR="00C76829" w:rsidRDefault="00C76829" w:rsidP="00F67A7A">
      <w:pPr>
        <w:pStyle w:val="ListParagraph"/>
        <w:numPr>
          <w:ilvl w:val="0"/>
          <w:numId w:val="11"/>
        </w:numPr>
        <w:spacing w:after="0" w:line="240" w:lineRule="auto"/>
        <w:ind w:left="714" w:hanging="357"/>
        <w:rPr>
          <w:rFonts w:ascii="Arial" w:hAnsi="Arial" w:cs="Arial"/>
        </w:rPr>
      </w:pPr>
      <w:r>
        <w:rPr>
          <w:rFonts w:ascii="Arial" w:hAnsi="Arial" w:cs="Arial"/>
        </w:rPr>
        <w:t>Ability for new trips to be made, which improve access to health, education, work, and shopping, delivering increased earnings, improved health, social involvement, and additional spending in local communities.</w:t>
      </w:r>
    </w:p>
    <w:p w14:paraId="7011CE6F" w14:textId="67802B29" w:rsidR="00C76829" w:rsidRPr="00F67A7A" w:rsidRDefault="00C76829" w:rsidP="00F67A7A">
      <w:pPr>
        <w:pStyle w:val="ListParagraph"/>
        <w:numPr>
          <w:ilvl w:val="0"/>
          <w:numId w:val="11"/>
        </w:numPr>
        <w:spacing w:after="0" w:line="240" w:lineRule="auto"/>
        <w:ind w:left="714" w:hanging="357"/>
        <w:rPr>
          <w:rFonts w:ascii="Arial" w:hAnsi="Arial" w:cs="Arial"/>
        </w:rPr>
      </w:pPr>
      <w:r>
        <w:rPr>
          <w:rFonts w:ascii="Arial" w:hAnsi="Arial" w:cs="Arial"/>
        </w:rPr>
        <w:t>Avoidance of relocation costs to larger communities, both for individuals involved and for the local smaller communities.</w:t>
      </w:r>
      <w:r w:rsidR="00AF043D" w:rsidRPr="00AF043D">
        <w:rPr>
          <w:rStyle w:val="FootnoteReference"/>
          <w:rFonts w:ascii="Arial" w:hAnsi="Arial"/>
        </w:rPr>
        <w:t xml:space="preserve"> </w:t>
      </w:r>
      <w:r w:rsidR="00AF043D">
        <w:rPr>
          <w:rStyle w:val="FootnoteReference"/>
          <w:rFonts w:ascii="Arial" w:hAnsi="Arial"/>
        </w:rPr>
        <w:footnoteReference w:id="26"/>
      </w:r>
    </w:p>
    <w:p w14:paraId="624BBF6C" w14:textId="6AC20CA4" w:rsidR="00F67A7A" w:rsidRPr="00F67A7A" w:rsidRDefault="00F67A7A" w:rsidP="00F67A7A">
      <w:pPr>
        <w:ind w:left="360"/>
        <w:rPr>
          <w:rFonts w:ascii="Arial" w:hAnsi="Arial" w:cs="Arial"/>
        </w:rPr>
      </w:pPr>
    </w:p>
    <w:p w14:paraId="3171832C" w14:textId="77777777" w:rsidR="00C9189B" w:rsidRDefault="00C9189B" w:rsidP="004F521F">
      <w:pPr>
        <w:rPr>
          <w:rFonts w:ascii="Arial" w:hAnsi="Arial" w:cs="Arial"/>
          <w:b/>
        </w:rPr>
      </w:pPr>
      <w:r>
        <w:rPr>
          <w:rFonts w:ascii="Arial" w:hAnsi="Arial" w:cs="Arial"/>
          <w:b/>
        </w:rPr>
        <w:br w:type="page"/>
      </w:r>
    </w:p>
    <w:p w14:paraId="71ADB4B8" w14:textId="5A1733A9" w:rsidR="002340EE" w:rsidRDefault="00C9189B" w:rsidP="004F521F">
      <w:pPr>
        <w:rPr>
          <w:rFonts w:ascii="Arial" w:hAnsi="Arial" w:cs="Arial"/>
          <w:b/>
        </w:rPr>
      </w:pPr>
      <w:r>
        <w:rPr>
          <w:rFonts w:ascii="Arial" w:hAnsi="Arial" w:cs="Arial"/>
          <w:noProof/>
          <w:lang w:eastAsia="en-AU"/>
        </w:rPr>
        <mc:AlternateContent>
          <mc:Choice Requires="wps">
            <w:drawing>
              <wp:anchor distT="0" distB="0" distL="114300" distR="114300" simplePos="0" relativeHeight="251666432" behindDoc="1" locked="0" layoutInCell="1" allowOverlap="1" wp14:anchorId="75759381" wp14:editId="5DB182A6">
                <wp:simplePos x="0" y="0"/>
                <wp:positionH relativeFrom="column">
                  <wp:posOffset>-158115</wp:posOffset>
                </wp:positionH>
                <wp:positionV relativeFrom="paragraph">
                  <wp:posOffset>-91440</wp:posOffset>
                </wp:positionV>
                <wp:extent cx="6581775" cy="4619625"/>
                <wp:effectExtent l="57150" t="38100" r="85725" b="104775"/>
                <wp:wrapNone/>
                <wp:docPr id="9" name="Rectangle 9"/>
                <wp:cNvGraphicFramePr/>
                <a:graphic xmlns:a="http://schemas.openxmlformats.org/drawingml/2006/main">
                  <a:graphicData uri="http://schemas.microsoft.com/office/word/2010/wordprocessingShape">
                    <wps:wsp>
                      <wps:cNvSpPr/>
                      <wps:spPr>
                        <a:xfrm>
                          <a:off x="0" y="0"/>
                          <a:ext cx="6581775" cy="4619625"/>
                        </a:xfrm>
                        <a:prstGeom prst="rect">
                          <a:avLst/>
                        </a:prstGeom>
                        <a:solidFill>
                          <a:sysClr val="window" lastClr="FFFFFF">
                            <a:lumMod val="85000"/>
                          </a:sysClr>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A7FE68" id="Rectangle 9" o:spid="_x0000_s1026" style="position:absolute;margin-left:-12.45pt;margin-top:-7.2pt;width:518.25pt;height:363.7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" fillcolor="#d9d9d9">
                <v:shadow on="t" color="black" opacity="24903f" origin=",.5" offset="0,.55556mm"/>
              </v:rect>
            </w:pict>
          </mc:Fallback>
        </mc:AlternateContent>
      </w:r>
      <w:r w:rsidR="00C53978">
        <w:rPr>
          <w:rFonts w:ascii="Arial" w:hAnsi="Arial" w:cs="Arial"/>
          <w:b/>
        </w:rPr>
        <w:t>Case Study: Tanami Road</w:t>
      </w:r>
    </w:p>
    <w:p w14:paraId="243F773E" w14:textId="519EF483" w:rsidR="00C53978" w:rsidRDefault="00C53978" w:rsidP="004F521F">
      <w:pPr>
        <w:rPr>
          <w:rFonts w:ascii="Arial" w:hAnsi="Arial" w:cs="Arial"/>
        </w:rPr>
      </w:pPr>
      <w:r>
        <w:rPr>
          <w:rFonts w:ascii="Arial" w:hAnsi="Arial" w:cs="Arial"/>
        </w:rPr>
        <w:t xml:space="preserve">At </w:t>
      </w:r>
      <w:r>
        <w:rPr>
          <w:rFonts w:ascii="Arial" w:hAnsi="Arial" w:cs="Arial"/>
          <w:i/>
        </w:rPr>
        <w:t>Trucking Australia</w:t>
      </w:r>
      <w:r w:rsidR="00F67A7A">
        <w:rPr>
          <w:rFonts w:ascii="Arial" w:hAnsi="Arial" w:cs="Arial"/>
        </w:rPr>
        <w:t xml:space="preserve">, </w:t>
      </w:r>
      <w:r>
        <w:rPr>
          <w:rFonts w:ascii="Arial" w:hAnsi="Arial" w:cs="Arial"/>
        </w:rPr>
        <w:t>the Northern Territory Government and the Northern Territory Road Transport Association spoke about the current poor condition of the Tanami Road and the game changing impact an upgrade would facilitate for local communities</w:t>
      </w:r>
      <w:r w:rsidR="00F67A7A">
        <w:rPr>
          <w:rFonts w:ascii="Arial" w:hAnsi="Arial" w:cs="Arial"/>
        </w:rPr>
        <w:t xml:space="preserve"> in both the NT and WA as well as the wider n</w:t>
      </w:r>
      <w:r>
        <w:rPr>
          <w:rFonts w:ascii="Arial" w:hAnsi="Arial" w:cs="Arial"/>
        </w:rPr>
        <w:t xml:space="preserve">orthern Australia economy. </w:t>
      </w:r>
    </w:p>
    <w:p w14:paraId="55CEF45C" w14:textId="2F16C280" w:rsidR="00C53978" w:rsidRDefault="00C53978" w:rsidP="004F521F">
      <w:pPr>
        <w:rPr>
          <w:rFonts w:ascii="Arial" w:hAnsi="Arial" w:cs="Arial"/>
        </w:rPr>
      </w:pPr>
    </w:p>
    <w:p w14:paraId="20D0A1E6" w14:textId="7A7FDAB8" w:rsidR="00C53978" w:rsidRDefault="00F67A7A" w:rsidP="004F521F">
      <w:pPr>
        <w:rPr>
          <w:rFonts w:ascii="Arial" w:hAnsi="Arial" w:cs="Arial"/>
        </w:rPr>
      </w:pPr>
      <w:r>
        <w:rPr>
          <w:rFonts w:ascii="Arial" w:hAnsi="Arial" w:cs="Arial"/>
        </w:rPr>
        <w:t>T</w:t>
      </w:r>
      <w:r w:rsidR="00C53978">
        <w:rPr>
          <w:rFonts w:ascii="Arial" w:hAnsi="Arial" w:cs="Arial"/>
        </w:rPr>
        <w:t xml:space="preserve">he Austroads report, </w:t>
      </w:r>
      <w:r>
        <w:rPr>
          <w:rFonts w:ascii="Arial" w:hAnsi="Arial" w:cs="Arial"/>
        </w:rPr>
        <w:t>identified</w:t>
      </w:r>
      <w:r w:rsidR="00C53978">
        <w:rPr>
          <w:rFonts w:ascii="Arial" w:hAnsi="Arial" w:cs="Arial"/>
        </w:rPr>
        <w:t xml:space="preserve"> approximately 78 per cent of the road (790km) </w:t>
      </w:r>
      <w:r w:rsidR="006F2588">
        <w:rPr>
          <w:rFonts w:ascii="Arial" w:hAnsi="Arial" w:cs="Arial"/>
        </w:rPr>
        <w:t xml:space="preserve">as </w:t>
      </w:r>
      <w:r w:rsidR="00C53978">
        <w:rPr>
          <w:rFonts w:ascii="Arial" w:hAnsi="Arial" w:cs="Arial"/>
        </w:rPr>
        <w:t>unsealed and either fully closed or restricted for lengthy periods of up to 60 days during seasonal weather events.</w:t>
      </w:r>
      <w:r w:rsidR="00E765F2">
        <w:rPr>
          <w:rFonts w:ascii="Arial" w:hAnsi="Arial" w:cs="Arial"/>
        </w:rPr>
        <w:t xml:space="preserve"> During these periods access to </w:t>
      </w:r>
      <w:r w:rsidR="006F2588">
        <w:rPr>
          <w:rFonts w:ascii="Arial" w:hAnsi="Arial" w:cs="Arial"/>
        </w:rPr>
        <w:t xml:space="preserve">mines, stations and </w:t>
      </w:r>
      <w:r w:rsidR="00E765F2">
        <w:rPr>
          <w:rFonts w:ascii="Arial" w:hAnsi="Arial" w:cs="Arial"/>
        </w:rPr>
        <w:t xml:space="preserve">communities along the road is limited, </w:t>
      </w:r>
      <w:r w:rsidR="006F2588">
        <w:rPr>
          <w:rFonts w:ascii="Arial" w:hAnsi="Arial" w:cs="Arial"/>
        </w:rPr>
        <w:t>with</w:t>
      </w:r>
      <w:r w:rsidR="00E765F2">
        <w:rPr>
          <w:rFonts w:ascii="Arial" w:hAnsi="Arial" w:cs="Arial"/>
        </w:rPr>
        <w:t xml:space="preserve"> safety risks due to poor road geometry, excessive corrugations, and poor visibility.</w:t>
      </w:r>
    </w:p>
    <w:p w14:paraId="4ADE8FA5" w14:textId="1C75369D" w:rsidR="00E765F2" w:rsidRDefault="00E765F2" w:rsidP="004F521F">
      <w:pPr>
        <w:rPr>
          <w:rFonts w:ascii="Arial" w:hAnsi="Arial" w:cs="Arial"/>
        </w:rPr>
      </w:pPr>
    </w:p>
    <w:p w14:paraId="5367CA2D" w14:textId="51297046" w:rsidR="00E765F2" w:rsidRDefault="00E765F2" w:rsidP="004F521F">
      <w:pPr>
        <w:rPr>
          <w:rFonts w:ascii="Arial" w:hAnsi="Arial" w:cs="Arial"/>
        </w:rPr>
      </w:pPr>
      <w:r>
        <w:rPr>
          <w:rFonts w:ascii="Arial" w:hAnsi="Arial" w:cs="Arial"/>
        </w:rPr>
        <w:t>Upgrading the Tanami Road is reported to deliver key benefits, including:</w:t>
      </w:r>
    </w:p>
    <w:p w14:paraId="4FC3F2FE" w14:textId="31354960" w:rsidR="00E765F2" w:rsidRDefault="00E765F2" w:rsidP="006F2588">
      <w:pPr>
        <w:pStyle w:val="ListParagraph"/>
        <w:numPr>
          <w:ilvl w:val="0"/>
          <w:numId w:val="12"/>
        </w:numPr>
        <w:spacing w:after="0" w:line="240" w:lineRule="auto"/>
        <w:ind w:left="714" w:hanging="357"/>
        <w:rPr>
          <w:rFonts w:ascii="Arial" w:hAnsi="Arial" w:cs="Arial"/>
        </w:rPr>
      </w:pPr>
      <w:r>
        <w:rPr>
          <w:rFonts w:ascii="Arial" w:hAnsi="Arial" w:cs="Arial"/>
        </w:rPr>
        <w:t>Lower living and business costs for communities along the corridor.</w:t>
      </w:r>
    </w:p>
    <w:p w14:paraId="56ED4FE1" w14:textId="253656AA" w:rsidR="00E765F2" w:rsidRDefault="00E765F2" w:rsidP="006F2588">
      <w:pPr>
        <w:pStyle w:val="ListParagraph"/>
        <w:numPr>
          <w:ilvl w:val="0"/>
          <w:numId w:val="12"/>
        </w:numPr>
        <w:spacing w:after="0" w:line="240" w:lineRule="auto"/>
        <w:ind w:left="714" w:hanging="357"/>
        <w:rPr>
          <w:rFonts w:ascii="Arial" w:hAnsi="Arial" w:cs="Arial"/>
        </w:rPr>
      </w:pPr>
      <w:r>
        <w:rPr>
          <w:rFonts w:ascii="Arial" w:hAnsi="Arial" w:cs="Arial"/>
        </w:rPr>
        <w:t>Improve access to areas of economic activity, including mining, agricultural and tourism.</w:t>
      </w:r>
    </w:p>
    <w:p w14:paraId="31FFF0F1" w14:textId="1CA7F7FA" w:rsidR="00E765F2" w:rsidRDefault="00E765F2" w:rsidP="006F2588">
      <w:pPr>
        <w:pStyle w:val="ListParagraph"/>
        <w:numPr>
          <w:ilvl w:val="0"/>
          <w:numId w:val="12"/>
        </w:numPr>
        <w:spacing w:after="0" w:line="240" w:lineRule="auto"/>
        <w:ind w:left="714" w:hanging="357"/>
        <w:rPr>
          <w:rFonts w:ascii="Arial" w:hAnsi="Arial" w:cs="Arial"/>
        </w:rPr>
      </w:pPr>
      <w:r>
        <w:rPr>
          <w:rFonts w:ascii="Arial" w:hAnsi="Arial" w:cs="Arial"/>
        </w:rPr>
        <w:t>Improve access for products from the region to south eastern states and cities.</w:t>
      </w:r>
    </w:p>
    <w:p w14:paraId="05CA237B" w14:textId="5373E0DD" w:rsidR="00E765F2" w:rsidRDefault="00E765F2" w:rsidP="006F2588">
      <w:pPr>
        <w:pStyle w:val="ListParagraph"/>
        <w:numPr>
          <w:ilvl w:val="0"/>
          <w:numId w:val="12"/>
        </w:numPr>
        <w:spacing w:after="0" w:line="240" w:lineRule="auto"/>
        <w:ind w:left="714" w:hanging="357"/>
        <w:rPr>
          <w:rFonts w:ascii="Arial" w:hAnsi="Arial" w:cs="Arial"/>
        </w:rPr>
      </w:pPr>
      <w:r>
        <w:rPr>
          <w:rFonts w:ascii="Arial" w:hAnsi="Arial" w:cs="Arial"/>
        </w:rPr>
        <w:t>Create opportunities, assist meeting closing the gap targets, and enhance connectivity for remote communities.</w:t>
      </w:r>
    </w:p>
    <w:p w14:paraId="7731C020" w14:textId="62DF0CF1" w:rsidR="00E765F2" w:rsidRDefault="00E765F2" w:rsidP="006F2588">
      <w:pPr>
        <w:pStyle w:val="ListParagraph"/>
        <w:numPr>
          <w:ilvl w:val="0"/>
          <w:numId w:val="12"/>
        </w:numPr>
        <w:spacing w:after="0" w:line="240" w:lineRule="auto"/>
        <w:ind w:left="714" w:hanging="357"/>
        <w:rPr>
          <w:rFonts w:ascii="Arial" w:hAnsi="Arial" w:cs="Arial"/>
        </w:rPr>
      </w:pPr>
      <w:r>
        <w:rPr>
          <w:rFonts w:ascii="Arial" w:hAnsi="Arial" w:cs="Arial"/>
        </w:rPr>
        <w:t>Enhance economic opportunities for Alice Springs, Halls Creek, Kununurra and Wyndham.</w:t>
      </w:r>
    </w:p>
    <w:p w14:paraId="48C57E55" w14:textId="53417EAA" w:rsidR="00E765F2" w:rsidRDefault="00E765F2" w:rsidP="006F2588">
      <w:pPr>
        <w:pStyle w:val="ListParagraph"/>
        <w:numPr>
          <w:ilvl w:val="0"/>
          <w:numId w:val="12"/>
        </w:numPr>
        <w:spacing w:after="0" w:line="240" w:lineRule="auto"/>
        <w:ind w:left="714" w:hanging="357"/>
        <w:rPr>
          <w:rFonts w:ascii="Arial" w:hAnsi="Arial" w:cs="Arial"/>
        </w:rPr>
      </w:pPr>
      <w:r>
        <w:rPr>
          <w:rFonts w:ascii="Arial" w:hAnsi="Arial" w:cs="Arial"/>
        </w:rPr>
        <w:t>Improve road safety.</w:t>
      </w:r>
    </w:p>
    <w:p w14:paraId="7ABCFE3B" w14:textId="77777777" w:rsidR="006F2588" w:rsidRPr="006F2588" w:rsidRDefault="006F2588" w:rsidP="006F2588">
      <w:pPr>
        <w:rPr>
          <w:rFonts w:ascii="Arial" w:hAnsi="Arial" w:cs="Arial"/>
        </w:rPr>
      </w:pPr>
    </w:p>
    <w:p w14:paraId="0A3B54F7" w14:textId="77777777" w:rsidR="006F2588" w:rsidRDefault="00E765F2" w:rsidP="00E765F2">
      <w:pPr>
        <w:rPr>
          <w:rFonts w:ascii="Arial" w:hAnsi="Arial" w:cs="Arial"/>
        </w:rPr>
      </w:pPr>
      <w:r>
        <w:rPr>
          <w:rFonts w:ascii="Arial" w:hAnsi="Arial" w:cs="Arial"/>
        </w:rPr>
        <w:t xml:space="preserve">Despite these benefits, Austroads report that the cost benefit analysis for the proposed upgrade of the Tanami Road focused on traditional benefits such as vehicle operating cost savings, travel time savings, crash cost savings, environment externalities and residual value of assets, which resulted in a benefit cost ratio of 1.1. </w:t>
      </w:r>
    </w:p>
    <w:p w14:paraId="5CED48B0" w14:textId="77777777" w:rsidR="006F2588" w:rsidRDefault="006F2588" w:rsidP="00E765F2">
      <w:pPr>
        <w:rPr>
          <w:rFonts w:ascii="Arial" w:hAnsi="Arial" w:cs="Arial"/>
        </w:rPr>
      </w:pPr>
    </w:p>
    <w:p w14:paraId="340FC208" w14:textId="21372E05" w:rsidR="00E765F2" w:rsidRDefault="00E765F2" w:rsidP="00E765F2">
      <w:pPr>
        <w:rPr>
          <w:rFonts w:ascii="Arial" w:hAnsi="Arial" w:cs="Arial"/>
        </w:rPr>
      </w:pPr>
      <w:r>
        <w:rPr>
          <w:rFonts w:ascii="Arial" w:hAnsi="Arial" w:cs="Arial"/>
        </w:rPr>
        <w:t>Austroads also reported that if a more detailed analysis, including the wider economic benefits had been used, that larger benefits for the project would have been likely to have been quantified.</w:t>
      </w:r>
      <w:r w:rsidR="00AF043D">
        <w:rPr>
          <w:rStyle w:val="FootnoteReference"/>
          <w:rFonts w:ascii="Arial" w:hAnsi="Arial"/>
        </w:rPr>
        <w:footnoteReference w:id="27"/>
      </w:r>
      <w:r>
        <w:rPr>
          <w:rFonts w:ascii="Arial" w:hAnsi="Arial" w:cs="Arial"/>
        </w:rPr>
        <w:t xml:space="preserve"> </w:t>
      </w:r>
    </w:p>
    <w:p w14:paraId="78B5B147" w14:textId="77777777" w:rsidR="00E765F2" w:rsidRDefault="00E765F2" w:rsidP="00E765F2">
      <w:pPr>
        <w:rPr>
          <w:rFonts w:ascii="Arial" w:hAnsi="Arial" w:cs="Arial"/>
        </w:rPr>
      </w:pPr>
    </w:p>
    <w:p w14:paraId="01FB5873" w14:textId="0F473AE5" w:rsidR="00864AE4" w:rsidRDefault="00864AE4" w:rsidP="00E765F2">
      <w:pPr>
        <w:rPr>
          <w:rFonts w:ascii="Arial" w:hAnsi="Arial" w:cs="Arial"/>
        </w:rPr>
      </w:pPr>
    </w:p>
    <w:p w14:paraId="580741A9" w14:textId="3B6E2430" w:rsidR="000405D6" w:rsidRDefault="000405D6" w:rsidP="00E765F2">
      <w:pPr>
        <w:rPr>
          <w:rFonts w:ascii="Arial" w:hAnsi="Arial" w:cs="Arial"/>
        </w:rPr>
      </w:pPr>
      <w:r>
        <w:rPr>
          <w:rFonts w:ascii="Arial" w:hAnsi="Arial" w:cs="Arial"/>
        </w:rPr>
        <w:t xml:space="preserve">In its report on Public Infrastructure, the Productivity Commission discussed concerns with the use of wider economic benefits in cost-benefit analysis. Due to the framework for </w:t>
      </w:r>
      <w:r w:rsidR="00C9189B">
        <w:rPr>
          <w:rFonts w:ascii="Arial" w:hAnsi="Arial" w:cs="Arial"/>
        </w:rPr>
        <w:t>estimating</w:t>
      </w:r>
      <w:r>
        <w:rPr>
          <w:rFonts w:ascii="Arial" w:hAnsi="Arial" w:cs="Arial"/>
        </w:rPr>
        <w:t xml:space="preserve"> these benefits being in its infancy, the Commission reported that their inclusion has the potential to show one project to be superior to another purely because of differences in the way such benefits are defined and estimated.</w:t>
      </w:r>
      <w:r w:rsidR="000565AF">
        <w:rPr>
          <w:rFonts w:ascii="Arial" w:hAnsi="Arial" w:cs="Arial"/>
        </w:rPr>
        <w:t xml:space="preserve"> The Productivity Commission also reported that where project selection runs contrary to a cost-benefit analysis, that the reasons should be clearly explained.</w:t>
      </w:r>
      <w:r>
        <w:rPr>
          <w:rStyle w:val="FootnoteReference"/>
          <w:rFonts w:ascii="Arial" w:hAnsi="Arial"/>
        </w:rPr>
        <w:footnoteReference w:id="28"/>
      </w:r>
    </w:p>
    <w:p w14:paraId="7E0FB864" w14:textId="77777777" w:rsidR="000405D6" w:rsidRDefault="000405D6" w:rsidP="00E765F2">
      <w:pPr>
        <w:rPr>
          <w:rFonts w:ascii="Arial" w:hAnsi="Arial" w:cs="Arial"/>
        </w:rPr>
      </w:pPr>
    </w:p>
    <w:p w14:paraId="773ABDEE" w14:textId="43EDA5BA" w:rsidR="000405D6" w:rsidRDefault="000405D6" w:rsidP="00E765F2">
      <w:pPr>
        <w:rPr>
          <w:rFonts w:ascii="Arial" w:hAnsi="Arial" w:cs="Arial"/>
        </w:rPr>
      </w:pPr>
      <w:r>
        <w:rPr>
          <w:rFonts w:ascii="Arial" w:hAnsi="Arial" w:cs="Arial"/>
        </w:rPr>
        <w:t xml:space="preserve">But with clear infrastructure gaps in regional and remote regions, </w:t>
      </w:r>
      <w:r w:rsidR="00135DA9">
        <w:rPr>
          <w:rFonts w:ascii="Arial" w:hAnsi="Arial" w:cs="Arial"/>
        </w:rPr>
        <w:t xml:space="preserve">the current funding framework for regional roads is not sufficient. </w:t>
      </w:r>
      <w:r w:rsidR="000565AF">
        <w:rPr>
          <w:rFonts w:ascii="Arial" w:hAnsi="Arial" w:cs="Arial"/>
        </w:rPr>
        <w:t xml:space="preserve">The establishment of independent road funds will need to include an assessment framework that includes some of the wider economic and social benefits of regional road projects. </w:t>
      </w:r>
    </w:p>
    <w:p w14:paraId="296EC7D6" w14:textId="77777777" w:rsidR="000405D6" w:rsidRDefault="000405D6" w:rsidP="00E765F2">
      <w:pPr>
        <w:rPr>
          <w:rFonts w:ascii="Arial" w:hAnsi="Arial" w:cs="Arial"/>
        </w:rPr>
      </w:pPr>
    </w:p>
    <w:p w14:paraId="106DE177" w14:textId="6D82A075" w:rsidR="00864AE4" w:rsidRPr="00E71CB8" w:rsidRDefault="00864AE4" w:rsidP="00864AE4">
      <w:pPr>
        <w:rPr>
          <w:rFonts w:ascii="Arial" w:hAnsi="Arial" w:cs="Arial"/>
        </w:rPr>
      </w:pPr>
      <w:r w:rsidRPr="00E71CB8">
        <w:rPr>
          <w:rFonts w:ascii="Arial" w:hAnsi="Arial" w:cs="Arial"/>
          <w:b/>
        </w:rPr>
        <w:t>Recommendation</w:t>
      </w:r>
      <w:r w:rsidR="00B43BDF">
        <w:rPr>
          <w:rFonts w:ascii="Arial" w:hAnsi="Arial" w:cs="Arial"/>
          <w:b/>
        </w:rPr>
        <w:t xml:space="preserve"> 6</w:t>
      </w:r>
    </w:p>
    <w:p w14:paraId="626F3991" w14:textId="18B3D8DE" w:rsidR="00864AE4" w:rsidRDefault="00C9189B" w:rsidP="00864AE4">
      <w:pPr>
        <w:rPr>
          <w:rFonts w:ascii="Arial" w:hAnsi="Arial" w:cs="Arial"/>
        </w:rPr>
      </w:pPr>
      <w:r>
        <w:rPr>
          <w:rFonts w:ascii="Arial" w:hAnsi="Arial" w:cs="Arial"/>
        </w:rPr>
        <w:t>As part of t</w:t>
      </w:r>
      <w:r w:rsidR="00864AE4" w:rsidRPr="00E71CB8">
        <w:rPr>
          <w:rFonts w:ascii="Arial" w:hAnsi="Arial" w:cs="Arial"/>
        </w:rPr>
        <w:t>he National Freight and Supply Chain Strategy</w:t>
      </w:r>
      <w:r>
        <w:rPr>
          <w:rFonts w:ascii="Arial" w:hAnsi="Arial" w:cs="Arial"/>
        </w:rPr>
        <w:t>, the Government</w:t>
      </w:r>
      <w:r w:rsidR="00864AE4" w:rsidRPr="00E71CB8">
        <w:rPr>
          <w:rFonts w:ascii="Arial" w:hAnsi="Arial" w:cs="Arial"/>
        </w:rPr>
        <w:t xml:space="preserve"> should </w:t>
      </w:r>
      <w:r>
        <w:rPr>
          <w:rFonts w:ascii="Arial" w:hAnsi="Arial" w:cs="Arial"/>
        </w:rPr>
        <w:t>address</w:t>
      </w:r>
      <w:r w:rsidR="00CB2530">
        <w:rPr>
          <w:rFonts w:ascii="Arial" w:hAnsi="Arial" w:cs="Arial"/>
        </w:rPr>
        <w:t xml:space="preserve"> regional and remote issues by:</w:t>
      </w:r>
    </w:p>
    <w:p w14:paraId="5747A96C" w14:textId="48D9002F" w:rsidR="00CB2530" w:rsidRDefault="00CB2530" w:rsidP="009153A2">
      <w:pPr>
        <w:pStyle w:val="ListParagraph"/>
        <w:numPr>
          <w:ilvl w:val="0"/>
          <w:numId w:val="20"/>
        </w:numPr>
        <w:spacing w:after="0" w:line="240" w:lineRule="auto"/>
        <w:ind w:left="714" w:hanging="357"/>
        <w:rPr>
          <w:rFonts w:ascii="Arial" w:hAnsi="Arial" w:cs="Arial"/>
        </w:rPr>
      </w:pPr>
      <w:r>
        <w:rPr>
          <w:rFonts w:ascii="Arial" w:hAnsi="Arial" w:cs="Arial"/>
        </w:rPr>
        <w:t>A</w:t>
      </w:r>
      <w:r w:rsidRPr="00CB2530">
        <w:rPr>
          <w:rFonts w:ascii="Arial" w:hAnsi="Arial" w:cs="Arial"/>
        </w:rPr>
        <w:t>ddress</w:t>
      </w:r>
      <w:r>
        <w:rPr>
          <w:rFonts w:ascii="Arial" w:hAnsi="Arial" w:cs="Arial"/>
        </w:rPr>
        <w:t>ing</w:t>
      </w:r>
      <w:r w:rsidRPr="00CB2530">
        <w:rPr>
          <w:rFonts w:ascii="Arial" w:hAnsi="Arial" w:cs="Arial"/>
        </w:rPr>
        <w:t xml:space="preserve"> road infrastructure gaps identified in the Northern Australia Infrastructure Audit, including a focus on providing year round and high productivity freight vehicle road and bridge access.</w:t>
      </w:r>
    </w:p>
    <w:p w14:paraId="647BB73C" w14:textId="51B69C71" w:rsidR="00135DA9" w:rsidRDefault="00FC1125" w:rsidP="009153A2">
      <w:pPr>
        <w:pStyle w:val="ListParagraph"/>
        <w:numPr>
          <w:ilvl w:val="0"/>
          <w:numId w:val="20"/>
        </w:numPr>
        <w:spacing w:after="0" w:line="240" w:lineRule="auto"/>
        <w:ind w:left="714" w:hanging="357"/>
        <w:rPr>
          <w:rFonts w:ascii="Arial" w:hAnsi="Arial" w:cs="Arial"/>
        </w:rPr>
      </w:pPr>
      <w:r>
        <w:rPr>
          <w:rFonts w:ascii="Arial" w:hAnsi="Arial" w:cs="Arial"/>
        </w:rPr>
        <w:t>Allocating</w:t>
      </w:r>
      <w:r w:rsidR="00135DA9">
        <w:rPr>
          <w:rFonts w:ascii="Arial" w:hAnsi="Arial" w:cs="Arial"/>
        </w:rPr>
        <w:t xml:space="preserve"> </w:t>
      </w:r>
      <w:r w:rsidR="000565AF">
        <w:rPr>
          <w:rFonts w:ascii="Arial" w:hAnsi="Arial" w:cs="Arial"/>
        </w:rPr>
        <w:t xml:space="preserve">additional </w:t>
      </w:r>
      <w:r w:rsidR="00135DA9">
        <w:rPr>
          <w:rFonts w:ascii="Arial" w:hAnsi="Arial" w:cs="Arial"/>
        </w:rPr>
        <w:t>specific funding for regional and remote road projects in the short to medium term future.</w:t>
      </w:r>
    </w:p>
    <w:p w14:paraId="4ECACCC0" w14:textId="35B69B63" w:rsidR="00CB2530" w:rsidRPr="00CB2530" w:rsidRDefault="00135DA9" w:rsidP="009153A2">
      <w:pPr>
        <w:pStyle w:val="ListParagraph"/>
        <w:numPr>
          <w:ilvl w:val="0"/>
          <w:numId w:val="20"/>
        </w:numPr>
        <w:spacing w:after="0" w:line="240" w:lineRule="auto"/>
        <w:ind w:left="714" w:hanging="357"/>
        <w:rPr>
          <w:rFonts w:ascii="Arial" w:hAnsi="Arial" w:cs="Arial"/>
        </w:rPr>
      </w:pPr>
      <w:r>
        <w:rPr>
          <w:rFonts w:ascii="Arial" w:hAnsi="Arial" w:cs="Arial"/>
        </w:rPr>
        <w:t>Develop</w:t>
      </w:r>
      <w:r w:rsidR="00C9189B">
        <w:rPr>
          <w:rFonts w:ascii="Arial" w:hAnsi="Arial" w:cs="Arial"/>
        </w:rPr>
        <w:t>ing</w:t>
      </w:r>
      <w:r>
        <w:rPr>
          <w:rFonts w:ascii="Arial" w:hAnsi="Arial" w:cs="Arial"/>
        </w:rPr>
        <w:t xml:space="preserve"> and </w:t>
      </w:r>
      <w:r w:rsidR="00C9189B">
        <w:rPr>
          <w:rFonts w:ascii="Arial" w:hAnsi="Arial" w:cs="Arial"/>
        </w:rPr>
        <w:t>adopting</w:t>
      </w:r>
      <w:r>
        <w:rPr>
          <w:rFonts w:ascii="Arial" w:hAnsi="Arial" w:cs="Arial"/>
        </w:rPr>
        <w:t xml:space="preserve"> an economic analysis framework for the assessment of regional and remote road projects by independent road funds</w:t>
      </w:r>
      <w:r w:rsidR="00CB2530" w:rsidRPr="00E71CB8">
        <w:rPr>
          <w:rFonts w:ascii="Arial" w:hAnsi="Arial" w:cs="Arial"/>
        </w:rPr>
        <w:t>.</w:t>
      </w:r>
    </w:p>
    <w:p w14:paraId="07AB6931" w14:textId="3195BB6C" w:rsidR="00C9189B" w:rsidRDefault="00C9189B" w:rsidP="006500E6">
      <w:pPr>
        <w:pStyle w:val="NoSpacing"/>
        <w:rPr>
          <w:rFonts w:ascii="Arial" w:eastAsia="Calibri" w:hAnsi="Arial" w:cs="Arial"/>
          <w:color w:val="auto"/>
          <w:sz w:val="22"/>
          <w:szCs w:val="22"/>
          <w:lang w:eastAsia="en-US"/>
        </w:rPr>
      </w:pPr>
      <w:r>
        <w:rPr>
          <w:rFonts w:ascii="Arial" w:eastAsia="Calibri" w:hAnsi="Arial" w:cs="Arial"/>
          <w:color w:val="auto"/>
          <w:sz w:val="22"/>
          <w:szCs w:val="22"/>
          <w:lang w:eastAsia="en-US"/>
        </w:rPr>
        <w:br w:type="page"/>
      </w:r>
    </w:p>
    <w:p w14:paraId="1B116710" w14:textId="061BBDFC" w:rsidR="00211364" w:rsidRDefault="007C4870" w:rsidP="000E3DA9">
      <w:pPr>
        <w:pStyle w:val="Heading1"/>
        <w:ind w:left="357" w:hanging="357"/>
        <w:rPr>
          <w:sz w:val="24"/>
          <w:szCs w:val="24"/>
        </w:rPr>
      </w:pPr>
      <w:bookmarkStart w:id="8" w:name="_Toc488842020"/>
      <w:r>
        <w:rPr>
          <w:sz w:val="24"/>
          <w:szCs w:val="24"/>
        </w:rPr>
        <w:t>Setting service levels for roads</w:t>
      </w:r>
      <w:bookmarkEnd w:id="8"/>
    </w:p>
    <w:p w14:paraId="05AB8E68" w14:textId="31C6BB6B" w:rsidR="00211364" w:rsidRDefault="00211364" w:rsidP="00211364"/>
    <w:p w14:paraId="39E755C7" w14:textId="1194C073" w:rsidR="007C4870" w:rsidRDefault="00BC3608" w:rsidP="00211364">
      <w:pPr>
        <w:rPr>
          <w:rFonts w:ascii="Arial" w:hAnsi="Arial" w:cs="Arial"/>
        </w:rPr>
      </w:pPr>
      <w:r>
        <w:rPr>
          <w:rFonts w:ascii="Arial" w:hAnsi="Arial" w:cs="Arial"/>
        </w:rPr>
        <w:t xml:space="preserve">The Australian Government’s discussion paper on independent price regulation of heavy vehicle charges </w:t>
      </w:r>
      <w:r w:rsidR="00972339">
        <w:rPr>
          <w:rFonts w:ascii="Arial" w:hAnsi="Arial" w:cs="Arial"/>
        </w:rPr>
        <w:t xml:space="preserve">identified the implementation of service levels for the road network as a component of establishing economic regulation of heavy vehicle charges. </w:t>
      </w:r>
    </w:p>
    <w:p w14:paraId="3F58883B" w14:textId="28E27612" w:rsidR="00972339" w:rsidRDefault="00972339" w:rsidP="00211364">
      <w:pPr>
        <w:rPr>
          <w:rFonts w:ascii="Arial" w:hAnsi="Arial" w:cs="Arial"/>
        </w:rPr>
      </w:pPr>
    </w:p>
    <w:p w14:paraId="3CB05284" w14:textId="59276A1D" w:rsidR="00972339" w:rsidRDefault="00972339" w:rsidP="00211364">
      <w:pPr>
        <w:rPr>
          <w:rFonts w:ascii="Arial" w:hAnsi="Arial" w:cs="Arial"/>
        </w:rPr>
      </w:pPr>
      <w:r>
        <w:rPr>
          <w:rFonts w:ascii="Arial" w:hAnsi="Arial" w:cs="Arial"/>
        </w:rPr>
        <w:t xml:space="preserve">Similarly, a PwC report commissioned by the ATA, </w:t>
      </w:r>
      <w:r>
        <w:rPr>
          <w:rFonts w:ascii="Arial" w:hAnsi="Arial" w:cs="Arial"/>
          <w:i/>
        </w:rPr>
        <w:t>A future strategy for road supply and charging in Australia,</w:t>
      </w:r>
      <w:r>
        <w:rPr>
          <w:rFonts w:ascii="Arial" w:hAnsi="Arial" w:cs="Arial"/>
        </w:rPr>
        <w:t xml:space="preserve"> recommended back in 2013 for the establishment of a three tiered freight network, with defined road access service levels for each standard.</w:t>
      </w:r>
    </w:p>
    <w:p w14:paraId="71658507" w14:textId="39D69E33" w:rsidR="00972339" w:rsidRDefault="00972339" w:rsidP="00211364">
      <w:pPr>
        <w:rPr>
          <w:rFonts w:ascii="Arial" w:hAnsi="Arial" w:cs="Arial"/>
        </w:rPr>
      </w:pPr>
    </w:p>
    <w:p w14:paraId="1151A2C4" w14:textId="65B06E3B" w:rsidR="00B43BDF" w:rsidRDefault="00972339" w:rsidP="00972339">
      <w:pPr>
        <w:rPr>
          <w:rFonts w:ascii="Arial" w:hAnsi="Arial" w:cs="Arial"/>
        </w:rPr>
      </w:pPr>
      <w:r>
        <w:rPr>
          <w:rFonts w:ascii="Arial" w:hAnsi="Arial" w:cs="Arial"/>
        </w:rPr>
        <w:t xml:space="preserve">The road investment reform agenda needs to include setting service levels for </w:t>
      </w:r>
      <w:r w:rsidR="000342F9">
        <w:rPr>
          <w:rFonts w:ascii="Arial" w:hAnsi="Arial" w:cs="Arial"/>
        </w:rPr>
        <w:t xml:space="preserve">the </w:t>
      </w:r>
      <w:r>
        <w:rPr>
          <w:rFonts w:ascii="Arial" w:hAnsi="Arial" w:cs="Arial"/>
        </w:rPr>
        <w:t>road</w:t>
      </w:r>
      <w:r w:rsidR="000342F9">
        <w:rPr>
          <w:rFonts w:ascii="Arial" w:hAnsi="Arial" w:cs="Arial"/>
        </w:rPr>
        <w:t xml:space="preserve"> network</w:t>
      </w:r>
      <w:r>
        <w:rPr>
          <w:rFonts w:ascii="Arial" w:hAnsi="Arial" w:cs="Arial"/>
        </w:rPr>
        <w:t xml:space="preserve">. </w:t>
      </w:r>
      <w:r w:rsidR="0045287A">
        <w:rPr>
          <w:rFonts w:ascii="Arial" w:hAnsi="Arial" w:cs="Arial"/>
        </w:rPr>
        <w:t>These service levels need to be broader than the existing, proof of concept Heavy Vehicle Infrastructure Ratings (HVIRs). The service levels should be set to encourage high productivity freight vehicle access and help direct funding to optimal investments, such as bridges which need upgrading to allow a route to be opened up.</w:t>
      </w:r>
    </w:p>
    <w:p w14:paraId="01527AF0" w14:textId="244C8B00" w:rsidR="000342F9" w:rsidRDefault="000342F9" w:rsidP="00972339">
      <w:pPr>
        <w:rPr>
          <w:rFonts w:ascii="Arial" w:hAnsi="Arial" w:cs="Arial"/>
        </w:rPr>
      </w:pPr>
    </w:p>
    <w:p w14:paraId="0AD29B60" w14:textId="726BE64D" w:rsidR="0045287A" w:rsidRDefault="000342F9" w:rsidP="00972339">
      <w:pPr>
        <w:rPr>
          <w:rFonts w:ascii="Arial" w:hAnsi="Arial" w:cs="Arial"/>
        </w:rPr>
      </w:pPr>
      <w:r>
        <w:rPr>
          <w:rFonts w:ascii="Arial" w:hAnsi="Arial" w:cs="Arial"/>
        </w:rPr>
        <w:t xml:space="preserve">They should set significant ‘last mile’ higher mass limit connections, connecting our supply corridors with major economic businesses and ports. </w:t>
      </w:r>
      <w:r w:rsidR="0045287A">
        <w:rPr>
          <w:rFonts w:ascii="Arial" w:hAnsi="Arial" w:cs="Arial"/>
        </w:rPr>
        <w:t>The service levels need to specify roads that are ready for vehicles with higher levels of automation. Bridge loadings may need to be reviewed to support heavy vehicle platooning, more consistent road marking and machine readable signage may be required, and the mobile (cellular) black spots on designated routes must be addressed.</w:t>
      </w:r>
      <w:r w:rsidR="00550750">
        <w:rPr>
          <w:rStyle w:val="FootnoteReference"/>
          <w:rFonts w:ascii="Arial" w:hAnsi="Arial"/>
        </w:rPr>
        <w:footnoteReference w:id="29"/>
      </w:r>
      <w:r w:rsidR="0045287A">
        <w:rPr>
          <w:rFonts w:ascii="Arial" w:hAnsi="Arial" w:cs="Arial"/>
        </w:rPr>
        <w:t xml:space="preserve"> </w:t>
      </w:r>
    </w:p>
    <w:p w14:paraId="11839BC3" w14:textId="77777777" w:rsidR="00C9189B" w:rsidRDefault="00C9189B" w:rsidP="00972339">
      <w:pPr>
        <w:rPr>
          <w:rFonts w:ascii="Arial" w:hAnsi="Arial" w:cs="Arial"/>
        </w:rPr>
      </w:pPr>
    </w:p>
    <w:p w14:paraId="443300AA" w14:textId="77777777" w:rsidR="00C9189B" w:rsidRDefault="00C9189B" w:rsidP="00C9189B">
      <w:pPr>
        <w:rPr>
          <w:rFonts w:ascii="Arial" w:hAnsi="Arial" w:cs="Arial"/>
        </w:rPr>
      </w:pPr>
      <w:r>
        <w:rPr>
          <w:rFonts w:ascii="Arial" w:hAnsi="Arial" w:cs="Arial"/>
        </w:rPr>
        <w:t xml:space="preserve">Additionally, the service levels must include heavy vehicle route services such as rest areas and, where appropriate, livestock effluent dumping facilities. </w:t>
      </w:r>
    </w:p>
    <w:p w14:paraId="73AD4283" w14:textId="77777777" w:rsidR="00C9189B" w:rsidRDefault="00C9189B" w:rsidP="00C9189B">
      <w:pPr>
        <w:rPr>
          <w:rFonts w:ascii="Arial" w:hAnsi="Arial" w:cs="Arial"/>
        </w:rPr>
      </w:pPr>
    </w:p>
    <w:p w14:paraId="58DD8F34" w14:textId="77777777" w:rsidR="00C9189B" w:rsidRDefault="00C9189B" w:rsidP="00C9189B">
      <w:pPr>
        <w:rPr>
          <w:rFonts w:ascii="Arial" w:hAnsi="Arial" w:cs="Arial"/>
        </w:rPr>
      </w:pPr>
      <w:r>
        <w:rPr>
          <w:rFonts w:ascii="Arial" w:hAnsi="Arial" w:cs="Arial"/>
        </w:rPr>
        <w:t>Road service standards should be in addition to the existing road design standards. Maintaining these service delivery standards would also be linked to the operating guidelines of independent road funds or managing authorities.</w:t>
      </w:r>
    </w:p>
    <w:p w14:paraId="46CBA238" w14:textId="77777777" w:rsidR="00C9189B" w:rsidRDefault="00C9189B" w:rsidP="00C9189B">
      <w:pPr>
        <w:rPr>
          <w:rFonts w:ascii="Arial" w:hAnsi="Arial" w:cs="Arial"/>
        </w:rPr>
      </w:pPr>
    </w:p>
    <w:p w14:paraId="0D1B2081" w14:textId="77777777" w:rsidR="00C9189B" w:rsidRDefault="00C9189B" w:rsidP="00C9189B">
      <w:pPr>
        <w:tabs>
          <w:tab w:val="left" w:pos="992"/>
        </w:tabs>
        <w:rPr>
          <w:rFonts w:ascii="Arial" w:hAnsi="Arial" w:cs="Arial"/>
        </w:rPr>
      </w:pPr>
      <w:r>
        <w:rPr>
          <w:rFonts w:ascii="Arial" w:hAnsi="Arial" w:cs="Arial"/>
        </w:rPr>
        <w:t>As an example, the duplication of the Hume Highway and the current duplication upgrade works of the Pacific Highway should include service delivery standards to allow access by HPFVs. The benefits of the large scale investment in these corridors should be maximised by increasing the productivity of vehicles utilising these routes.</w:t>
      </w:r>
    </w:p>
    <w:p w14:paraId="00FB4FDA" w14:textId="678E26A3" w:rsidR="00C9189B" w:rsidRDefault="00C9189B" w:rsidP="00972339">
      <w:pPr>
        <w:rPr>
          <w:rFonts w:ascii="Arial" w:hAnsi="Arial" w:cs="Arial"/>
        </w:rPr>
      </w:pPr>
      <w:r>
        <w:rPr>
          <w:rFonts w:ascii="Arial" w:hAnsi="Arial" w:cs="Arial"/>
        </w:rPr>
        <w:br w:type="page"/>
      </w:r>
    </w:p>
    <w:p w14:paraId="40A0A530" w14:textId="2554574E" w:rsidR="0045287A" w:rsidRDefault="000565AF" w:rsidP="00972339">
      <w:pPr>
        <w:rPr>
          <w:rFonts w:ascii="Arial" w:hAnsi="Arial" w:cs="Arial"/>
        </w:rPr>
      </w:pPr>
      <w:r>
        <w:rPr>
          <w:rFonts w:ascii="Arial" w:hAnsi="Arial" w:cs="Arial"/>
          <w:noProof/>
          <w:lang w:eastAsia="en-AU"/>
        </w:rPr>
        <mc:AlternateContent>
          <mc:Choice Requires="wps">
            <w:drawing>
              <wp:anchor distT="0" distB="0" distL="114300" distR="114300" simplePos="0" relativeHeight="251668480" behindDoc="1" locked="0" layoutInCell="1" allowOverlap="1" wp14:anchorId="148A7453" wp14:editId="4D3275E2">
                <wp:simplePos x="0" y="0"/>
                <wp:positionH relativeFrom="column">
                  <wp:posOffset>-158115</wp:posOffset>
                </wp:positionH>
                <wp:positionV relativeFrom="paragraph">
                  <wp:posOffset>68580</wp:posOffset>
                </wp:positionV>
                <wp:extent cx="6581775" cy="6867525"/>
                <wp:effectExtent l="57150" t="38100" r="85725" b="104775"/>
                <wp:wrapNone/>
                <wp:docPr id="10" name="Rectangle 10"/>
                <wp:cNvGraphicFramePr/>
                <a:graphic xmlns:a="http://schemas.openxmlformats.org/drawingml/2006/main">
                  <a:graphicData uri="http://schemas.microsoft.com/office/word/2010/wordprocessingShape">
                    <wps:wsp>
                      <wps:cNvSpPr/>
                      <wps:spPr>
                        <a:xfrm>
                          <a:off x="0" y="0"/>
                          <a:ext cx="6581775" cy="6867525"/>
                        </a:xfrm>
                        <a:prstGeom prst="rect">
                          <a:avLst/>
                        </a:prstGeom>
                        <a:solidFill>
                          <a:sysClr val="window" lastClr="FFFFFF">
                            <a:lumMod val="85000"/>
                          </a:sysClr>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6CF041" id="Rectangle 10" o:spid="_x0000_s1026" style="position:absolute;margin-left:-12.45pt;margin-top:5.4pt;width:518.25pt;height:540.7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" fillcolor="#d9d9d9">
                <v:shadow on="t" color="black" opacity="24903f" origin=",.5" offset="0,.55556mm"/>
              </v:rect>
            </w:pict>
          </mc:Fallback>
        </mc:AlternateContent>
      </w:r>
    </w:p>
    <w:p w14:paraId="3F504CFC" w14:textId="74F9919E" w:rsidR="008E48EE" w:rsidRDefault="008E48EE" w:rsidP="008E48EE">
      <w:pPr>
        <w:tabs>
          <w:tab w:val="left" w:pos="992"/>
        </w:tabs>
        <w:rPr>
          <w:rFonts w:ascii="Arial" w:hAnsi="Arial" w:cs="Arial"/>
          <w:b/>
        </w:rPr>
      </w:pPr>
      <w:r>
        <w:rPr>
          <w:rFonts w:ascii="Arial" w:hAnsi="Arial" w:cs="Arial"/>
          <w:b/>
        </w:rPr>
        <w:t>Case Study: Upgrading the supply chain for digital disruption</w:t>
      </w:r>
    </w:p>
    <w:p w14:paraId="2A4B116B" w14:textId="6186C0EC" w:rsidR="00817671" w:rsidRPr="002944E2" w:rsidRDefault="00817671" w:rsidP="00817671">
      <w:pPr>
        <w:rPr>
          <w:rFonts w:ascii="Arial" w:hAnsi="Arial" w:cs="Arial"/>
        </w:rPr>
      </w:pPr>
      <w:r>
        <w:rPr>
          <w:rFonts w:ascii="Arial" w:hAnsi="Arial" w:cs="Arial"/>
        </w:rPr>
        <w:t>Fixing mobile black spots will be a requirement before a road can be specified within the road service levels as ready for vehicles with higher levels of automation, and levels of mobile connectivity should be included more broadly.</w:t>
      </w:r>
      <w:r w:rsidRPr="002944E2">
        <w:rPr>
          <w:rFonts w:ascii="Arial" w:hAnsi="Arial" w:cs="Arial"/>
        </w:rPr>
        <w:t xml:space="preserve"> </w:t>
      </w:r>
    </w:p>
    <w:p w14:paraId="1CE81050" w14:textId="4341E12D" w:rsidR="00817671" w:rsidRPr="002944E2" w:rsidRDefault="00817671" w:rsidP="00817671">
      <w:pPr>
        <w:rPr>
          <w:rFonts w:ascii="Arial" w:hAnsi="Arial" w:cs="Arial"/>
        </w:rPr>
      </w:pPr>
    </w:p>
    <w:p w14:paraId="0DC689C2" w14:textId="0D948EBC" w:rsidR="00817671" w:rsidRDefault="00817671" w:rsidP="00817671">
      <w:pPr>
        <w:rPr>
          <w:rFonts w:ascii="Arial" w:hAnsi="Arial" w:cs="Arial"/>
        </w:rPr>
      </w:pPr>
      <w:r w:rsidRPr="002944E2">
        <w:rPr>
          <w:rFonts w:ascii="Arial" w:hAnsi="Arial" w:cs="Arial"/>
        </w:rPr>
        <w:t>We can</w:t>
      </w:r>
      <w:r>
        <w:rPr>
          <w:rFonts w:ascii="Arial" w:hAnsi="Arial" w:cs="Arial"/>
        </w:rPr>
        <w:t>no</w:t>
      </w:r>
      <w:r w:rsidRPr="002944E2">
        <w:rPr>
          <w:rFonts w:ascii="Arial" w:hAnsi="Arial" w:cs="Arial"/>
        </w:rPr>
        <w:t xml:space="preserve">t predict how technology will change and the things that people will do with it. Ultimately what’s important is not trying to predict the future or focus on introducing a particular form of technology. Instead, we must </w:t>
      </w:r>
      <w:r>
        <w:rPr>
          <w:rFonts w:ascii="Arial" w:hAnsi="Arial" w:cs="Arial"/>
        </w:rPr>
        <w:t>deliver</w:t>
      </w:r>
      <w:r w:rsidRPr="002944E2">
        <w:rPr>
          <w:rFonts w:ascii="Arial" w:hAnsi="Arial" w:cs="Arial"/>
        </w:rPr>
        <w:t xml:space="preserve"> policies which </w:t>
      </w:r>
      <w:r>
        <w:rPr>
          <w:rFonts w:ascii="Arial" w:hAnsi="Arial" w:cs="Arial"/>
        </w:rPr>
        <w:t>deliver the right settings, outcomes and platforms from which businesses and the community can maximise the benefits of technological change to achieve gains in safety, connectivity, and economic growth</w:t>
      </w:r>
      <w:r w:rsidRPr="002944E2">
        <w:rPr>
          <w:rFonts w:ascii="Arial" w:hAnsi="Arial" w:cs="Arial"/>
        </w:rPr>
        <w:t>.</w:t>
      </w:r>
    </w:p>
    <w:p w14:paraId="149F8FE7" w14:textId="77777777" w:rsidR="00817671" w:rsidRDefault="00817671" w:rsidP="00817671">
      <w:pPr>
        <w:rPr>
          <w:rFonts w:ascii="Arial" w:hAnsi="Arial" w:cs="Arial"/>
        </w:rPr>
      </w:pPr>
    </w:p>
    <w:p w14:paraId="32A23FC0" w14:textId="0328025A" w:rsidR="00817671" w:rsidRDefault="00817671" w:rsidP="00817671">
      <w:pPr>
        <w:rPr>
          <w:rFonts w:ascii="Arial" w:hAnsi="Arial" w:cs="Arial"/>
        </w:rPr>
      </w:pPr>
      <w:r>
        <w:rPr>
          <w:rFonts w:ascii="Arial" w:hAnsi="Arial" w:cs="Arial"/>
        </w:rPr>
        <w:t xml:space="preserve">A common feature of technological change is connectivity – access to mobile data, and through that access to information and technologies of the wider world. Australia is unique, covering a large geographical area, where mobile data connectivity is not universal. Publically reported blackspots for mobile phone reception are significant, as represented in the below map. </w:t>
      </w:r>
    </w:p>
    <w:p w14:paraId="15747242" w14:textId="77777777" w:rsidR="00817671" w:rsidRDefault="00817671" w:rsidP="00817671">
      <w:pPr>
        <w:rPr>
          <w:rFonts w:ascii="Arial" w:hAnsi="Arial" w:cs="Arial"/>
        </w:rPr>
      </w:pPr>
    </w:p>
    <w:p w14:paraId="2F5008B9" w14:textId="77777777" w:rsidR="00817671" w:rsidRPr="002944E2" w:rsidRDefault="00817671" w:rsidP="00817671">
      <w:pPr>
        <w:jc w:val="center"/>
        <w:rPr>
          <w:rFonts w:ascii="Arial" w:hAnsi="Arial" w:cs="Arial"/>
        </w:rPr>
      </w:pPr>
      <w:r>
        <w:rPr>
          <w:rFonts w:ascii="Arial" w:hAnsi="Arial" w:cs="Arial"/>
          <w:noProof/>
          <w:lang w:eastAsia="en-AU"/>
        </w:rPr>
        <w:drawing>
          <wp:inline distT="0" distB="0" distL="0" distR="0" wp14:anchorId="26664689" wp14:editId="02C3DFA3">
            <wp:extent cx="3171825" cy="249366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1825" cy="2493669"/>
                    </a:xfrm>
                    <a:prstGeom prst="rect">
                      <a:avLst/>
                    </a:prstGeom>
                    <a:noFill/>
                  </pic:spPr>
                </pic:pic>
              </a:graphicData>
            </a:graphic>
          </wp:inline>
        </w:drawing>
      </w:r>
    </w:p>
    <w:p w14:paraId="2C6B6445" w14:textId="77777777" w:rsidR="00817671" w:rsidRDefault="00817671" w:rsidP="00817671">
      <w:pPr>
        <w:rPr>
          <w:rFonts w:ascii="Arial" w:hAnsi="Arial" w:cs="Arial"/>
        </w:rPr>
      </w:pPr>
    </w:p>
    <w:p w14:paraId="2EF27459" w14:textId="791CA0C3" w:rsidR="00817671" w:rsidRDefault="00817671" w:rsidP="00817671">
      <w:pPr>
        <w:rPr>
          <w:rFonts w:ascii="Arial" w:hAnsi="Arial" w:cs="Arial"/>
        </w:rPr>
      </w:pPr>
      <w:r>
        <w:rPr>
          <w:rFonts w:ascii="Arial" w:hAnsi="Arial" w:cs="Arial"/>
        </w:rPr>
        <w:t>The Australian Government has committed $220 million to the Mobile Black Spot Program to invest in telecommunications infrastructure to improve mobile phone coverage along major regional transport routes, in small communities and in locations prone to natural disasters.</w:t>
      </w:r>
      <w:r>
        <w:rPr>
          <w:rStyle w:val="FootnoteReference"/>
          <w:rFonts w:ascii="Arial" w:hAnsi="Arial"/>
        </w:rPr>
        <w:footnoteReference w:id="30"/>
      </w:r>
    </w:p>
    <w:p w14:paraId="6DEE014B" w14:textId="1EDE9D47" w:rsidR="008E48EE" w:rsidRPr="008E48EE" w:rsidRDefault="008E48EE" w:rsidP="00972339">
      <w:pPr>
        <w:rPr>
          <w:rFonts w:ascii="Arial" w:hAnsi="Arial" w:cs="Arial"/>
          <w:b/>
        </w:rPr>
      </w:pPr>
    </w:p>
    <w:p w14:paraId="516C9DF8" w14:textId="77777777" w:rsidR="00817671" w:rsidRPr="002944E2" w:rsidRDefault="00817671" w:rsidP="00817671">
      <w:pPr>
        <w:rPr>
          <w:rFonts w:ascii="Arial" w:hAnsi="Arial" w:cs="Arial"/>
        </w:rPr>
      </w:pPr>
      <w:r>
        <w:rPr>
          <w:rFonts w:ascii="Arial" w:hAnsi="Arial" w:cs="Arial"/>
        </w:rPr>
        <w:t xml:space="preserve">Whilst this investment is welcome, ultimately there are still significant transport routes without mobile phone data connectivity, limiting the ability to take advantage of technological change, and presenting a clear safety risk for emergency situations. Providing mobile data connectivity on transport routes is a minimum first step before Australian road freight companies can take advantage of the technological change and disruption of the future. </w:t>
      </w:r>
    </w:p>
    <w:p w14:paraId="5EB498CC" w14:textId="77777777" w:rsidR="008E48EE" w:rsidRDefault="008E48EE" w:rsidP="00972339">
      <w:pPr>
        <w:rPr>
          <w:rFonts w:ascii="Arial" w:hAnsi="Arial" w:cs="Arial"/>
        </w:rPr>
      </w:pPr>
    </w:p>
    <w:p w14:paraId="6679825E" w14:textId="77777777" w:rsidR="003D3192" w:rsidRDefault="003D3192" w:rsidP="00DC793A">
      <w:pPr>
        <w:tabs>
          <w:tab w:val="left" w:pos="992"/>
        </w:tabs>
        <w:rPr>
          <w:rFonts w:ascii="Arial" w:hAnsi="Arial" w:cs="Arial"/>
        </w:rPr>
      </w:pPr>
    </w:p>
    <w:p w14:paraId="2EFE0A63" w14:textId="62E131CF" w:rsidR="003D3192" w:rsidRPr="003D3192" w:rsidRDefault="003D3192" w:rsidP="003D3192">
      <w:pPr>
        <w:rPr>
          <w:rFonts w:ascii="Arial" w:hAnsi="Arial" w:cs="Arial"/>
          <w:b/>
        </w:rPr>
      </w:pPr>
      <w:r>
        <w:rPr>
          <w:rFonts w:ascii="Arial" w:hAnsi="Arial" w:cs="Arial"/>
          <w:b/>
        </w:rPr>
        <w:t>Road access in urban areas</w:t>
      </w:r>
    </w:p>
    <w:p w14:paraId="200326C7" w14:textId="070CA96A" w:rsidR="003D3192" w:rsidRDefault="003D3192" w:rsidP="003D3192">
      <w:pPr>
        <w:rPr>
          <w:rFonts w:ascii="Arial" w:hAnsi="Arial" w:cs="Arial"/>
        </w:rPr>
      </w:pPr>
      <w:r>
        <w:rPr>
          <w:rFonts w:ascii="Arial" w:hAnsi="Arial" w:cs="Arial"/>
        </w:rPr>
        <w:t xml:space="preserve">The discussion paper also identifies urban growth pressures, port corridor pressures, and land use conflicts as a critical issue and emerging trend, with two thirds of the value of Australia’s international trade flowing through the four largest cities of Sydney, Melbourne, Brisbane and Perth. </w:t>
      </w:r>
    </w:p>
    <w:p w14:paraId="33F35FAF" w14:textId="77777777" w:rsidR="003D3192" w:rsidRDefault="003D3192" w:rsidP="003D3192">
      <w:pPr>
        <w:rPr>
          <w:rFonts w:ascii="Arial" w:hAnsi="Arial" w:cs="Arial"/>
        </w:rPr>
      </w:pPr>
    </w:p>
    <w:p w14:paraId="1AAA89AE" w14:textId="77777777" w:rsidR="003D3192" w:rsidRDefault="003D3192" w:rsidP="003D3192">
      <w:pPr>
        <w:rPr>
          <w:rFonts w:ascii="Arial" w:hAnsi="Arial" w:cs="Arial"/>
        </w:rPr>
      </w:pPr>
      <w:r>
        <w:rPr>
          <w:rFonts w:ascii="Arial" w:hAnsi="Arial" w:cs="Arial"/>
        </w:rPr>
        <w:t>The movement of freight through urban regions can be highly regulated. Infrastructure Australia has identified that:</w:t>
      </w:r>
    </w:p>
    <w:p w14:paraId="62BFA182" w14:textId="77777777" w:rsidR="00573350" w:rsidRDefault="00573350" w:rsidP="003D3192">
      <w:pPr>
        <w:rPr>
          <w:rFonts w:ascii="Arial" w:hAnsi="Arial" w:cs="Arial"/>
        </w:rPr>
      </w:pPr>
    </w:p>
    <w:p w14:paraId="1B70882B" w14:textId="77777777" w:rsidR="003D3192" w:rsidRPr="00111CDA" w:rsidRDefault="003D3192" w:rsidP="003D3192">
      <w:pPr>
        <w:ind w:left="720" w:right="720"/>
        <w:rPr>
          <w:rFonts w:ascii="Arial" w:hAnsi="Arial" w:cs="Arial"/>
          <w:sz w:val="20"/>
          <w:szCs w:val="20"/>
        </w:rPr>
      </w:pPr>
      <w:r>
        <w:rPr>
          <w:rFonts w:ascii="Arial" w:hAnsi="Arial" w:cs="Arial"/>
          <w:sz w:val="20"/>
          <w:szCs w:val="20"/>
        </w:rPr>
        <w:t>Local trucking operators are often regulated by rules that restrict how, when and where they can provide services. Local councils routinely restrict the hours of deliveries to supermarkets and other customers. This restricts goods vehicles to operating in peak periods and imposes significant costs on road users and freight customers.</w:t>
      </w:r>
      <w:r>
        <w:rPr>
          <w:rStyle w:val="FootnoteReference"/>
          <w:rFonts w:ascii="Arial" w:hAnsi="Arial"/>
          <w:sz w:val="20"/>
          <w:szCs w:val="20"/>
        </w:rPr>
        <w:footnoteReference w:id="31"/>
      </w:r>
    </w:p>
    <w:p w14:paraId="472496B0" w14:textId="77777777" w:rsidR="003D3192" w:rsidRDefault="003D3192" w:rsidP="003D3192">
      <w:pPr>
        <w:rPr>
          <w:rFonts w:ascii="Arial" w:hAnsi="Arial" w:cs="Arial"/>
        </w:rPr>
      </w:pPr>
    </w:p>
    <w:p w14:paraId="61B5B933" w14:textId="293FC798" w:rsidR="003D3192" w:rsidRDefault="003D3192" w:rsidP="003D3192">
      <w:pPr>
        <w:rPr>
          <w:rFonts w:ascii="Arial" w:hAnsi="Arial" w:cs="Arial"/>
        </w:rPr>
      </w:pPr>
      <w:r>
        <w:rPr>
          <w:rFonts w:ascii="Arial" w:hAnsi="Arial" w:cs="Arial"/>
        </w:rPr>
        <w:t>As Australia’s urban regions grow, there is also an increasing mix of both residential and commercial areas. This can bring, for example, apartments in closer proximity to loading docks, which in turn can lead to increased restrictions on freight deliveries.</w:t>
      </w:r>
    </w:p>
    <w:p w14:paraId="138EBC83" w14:textId="77777777" w:rsidR="003D3192" w:rsidRDefault="003D3192" w:rsidP="003D3192">
      <w:pPr>
        <w:rPr>
          <w:rFonts w:ascii="Arial" w:hAnsi="Arial" w:cs="Arial"/>
        </w:rPr>
      </w:pPr>
    </w:p>
    <w:p w14:paraId="65E29F0A" w14:textId="34536D91" w:rsidR="003D3192" w:rsidRDefault="003D3192" w:rsidP="003D3192">
      <w:pPr>
        <w:rPr>
          <w:rFonts w:ascii="Arial" w:hAnsi="Arial" w:cs="Arial"/>
        </w:rPr>
      </w:pPr>
      <w:r>
        <w:rPr>
          <w:rFonts w:ascii="Arial" w:hAnsi="Arial" w:cs="Arial"/>
        </w:rPr>
        <w:t xml:space="preserve">For Australia’s supply chains to operate at low cost and at globally competitive levels, state, territory, and local governments need to ensure that urban regions prioritise freight connectivity. This should include the provision of appropriate infrastructure, corridors, loading zones and facilities, roads, and the ability to use them. These should be integrated with appropriate road service standards, and the associated management and funding of roads by independent road funds. </w:t>
      </w:r>
    </w:p>
    <w:p w14:paraId="41FC3E57" w14:textId="77777777" w:rsidR="003D3192" w:rsidRDefault="003D3192" w:rsidP="003D3192">
      <w:pPr>
        <w:rPr>
          <w:rFonts w:ascii="Arial" w:hAnsi="Arial" w:cs="Arial"/>
        </w:rPr>
      </w:pPr>
    </w:p>
    <w:p w14:paraId="0CD0ED9E" w14:textId="77777777" w:rsidR="003D3192" w:rsidRDefault="003D3192" w:rsidP="003D3192">
      <w:pPr>
        <w:rPr>
          <w:rFonts w:ascii="Arial" w:hAnsi="Arial" w:cs="Arial"/>
        </w:rPr>
      </w:pPr>
      <w:r>
        <w:rPr>
          <w:rFonts w:ascii="Arial" w:hAnsi="Arial" w:cs="Arial"/>
        </w:rPr>
        <w:t>Likewise, restrictions should not be the only policy mechanism for responding to community concerns about noise, traffic, and the potential impacts of heavy vehicles. As recommended by Infrastructure Australia:</w:t>
      </w:r>
    </w:p>
    <w:p w14:paraId="33411497" w14:textId="77777777" w:rsidR="00573350" w:rsidRDefault="00573350" w:rsidP="003D3192">
      <w:pPr>
        <w:rPr>
          <w:rFonts w:ascii="Arial" w:hAnsi="Arial" w:cs="Arial"/>
        </w:rPr>
      </w:pPr>
    </w:p>
    <w:p w14:paraId="46387F45" w14:textId="77777777" w:rsidR="003D3192" w:rsidRPr="004640F4" w:rsidRDefault="003D3192" w:rsidP="003D3192">
      <w:pPr>
        <w:ind w:left="720" w:right="720"/>
        <w:rPr>
          <w:rFonts w:ascii="Arial" w:hAnsi="Arial" w:cs="Arial"/>
          <w:sz w:val="20"/>
          <w:szCs w:val="20"/>
        </w:rPr>
      </w:pPr>
      <w:r>
        <w:rPr>
          <w:rFonts w:ascii="Arial" w:hAnsi="Arial" w:cs="Arial"/>
          <w:sz w:val="20"/>
          <w:szCs w:val="20"/>
        </w:rPr>
        <w:t xml:space="preserve">Caps, curfews and restrictions should be the last resort in achieving an intended outcome, and regularly reviewed to ensure the restriction is still the most appropriate and efficient means of achieving that outcome. </w:t>
      </w:r>
    </w:p>
    <w:p w14:paraId="00774EBD" w14:textId="77777777" w:rsidR="003D3192" w:rsidRDefault="003D3192" w:rsidP="003D3192">
      <w:pPr>
        <w:rPr>
          <w:rFonts w:ascii="Arial" w:hAnsi="Arial" w:cs="Arial"/>
        </w:rPr>
      </w:pPr>
    </w:p>
    <w:p w14:paraId="7C1465E0" w14:textId="46867335" w:rsidR="003D3192" w:rsidRDefault="003D3192" w:rsidP="003D3192">
      <w:pPr>
        <w:rPr>
          <w:rFonts w:ascii="Arial" w:hAnsi="Arial" w:cs="Arial"/>
        </w:rPr>
      </w:pPr>
      <w:r>
        <w:rPr>
          <w:rFonts w:ascii="Arial" w:hAnsi="Arial" w:cs="Arial"/>
        </w:rPr>
        <w:t>For example with regard to rail, Infrastructure Australia suggested that restricting vehicle movements at night may be less effective than enforcing a maximum noise level, to encourage operators to both minimise impacts on local communities and</w:t>
      </w:r>
      <w:r w:rsidR="00550750">
        <w:rPr>
          <w:rFonts w:ascii="Arial" w:hAnsi="Arial" w:cs="Arial"/>
        </w:rPr>
        <w:t xml:space="preserve"> seek more productive outcomes.</w:t>
      </w:r>
      <w:r w:rsidR="00550750">
        <w:rPr>
          <w:rStyle w:val="FootnoteReference"/>
          <w:rFonts w:ascii="Arial" w:hAnsi="Arial"/>
        </w:rPr>
        <w:footnoteReference w:id="32"/>
      </w:r>
      <w:r w:rsidR="00550750">
        <w:rPr>
          <w:rFonts w:ascii="Arial" w:hAnsi="Arial" w:cs="Arial"/>
        </w:rPr>
        <w:t xml:space="preserve"> </w:t>
      </w:r>
      <w:r>
        <w:rPr>
          <w:rFonts w:ascii="Arial" w:hAnsi="Arial" w:cs="Arial"/>
        </w:rPr>
        <w:t xml:space="preserve">Likewise, allowing high productivity freight vehicles can reduce the number of trucks required to move a particular freight task. Instead of increased restrictions on trucks, community impacts may be better addressed by allowing newer, safer, high productivity freight vehicles. Road access standards in urban areas should restrict the imposition of curfews, caps, and other vehicle restrictions. </w:t>
      </w:r>
    </w:p>
    <w:p w14:paraId="5E8B2C15" w14:textId="77777777" w:rsidR="003D3192" w:rsidRDefault="003D3192" w:rsidP="00DC793A">
      <w:pPr>
        <w:tabs>
          <w:tab w:val="left" w:pos="992"/>
        </w:tabs>
        <w:rPr>
          <w:rFonts w:ascii="Arial" w:hAnsi="Arial" w:cs="Arial"/>
        </w:rPr>
      </w:pPr>
    </w:p>
    <w:p w14:paraId="5A15343A" w14:textId="141E3289" w:rsidR="00DC793A" w:rsidRDefault="00DC793A" w:rsidP="00DC793A">
      <w:pPr>
        <w:tabs>
          <w:tab w:val="left" w:pos="992"/>
        </w:tabs>
        <w:rPr>
          <w:rFonts w:ascii="Arial" w:hAnsi="Arial" w:cs="Arial"/>
          <w:b/>
        </w:rPr>
      </w:pPr>
      <w:r>
        <w:rPr>
          <w:rFonts w:ascii="Arial" w:hAnsi="Arial" w:cs="Arial"/>
          <w:b/>
        </w:rPr>
        <w:t>Recommendation</w:t>
      </w:r>
      <w:r w:rsidR="00B43BDF">
        <w:rPr>
          <w:rFonts w:ascii="Arial" w:hAnsi="Arial" w:cs="Arial"/>
          <w:b/>
        </w:rPr>
        <w:t xml:space="preserve"> 7</w:t>
      </w:r>
    </w:p>
    <w:p w14:paraId="18C6EED8" w14:textId="3CA93A1F" w:rsidR="005C25AB" w:rsidRDefault="005C25AB" w:rsidP="005C25AB">
      <w:pPr>
        <w:rPr>
          <w:rFonts w:ascii="Arial" w:hAnsi="Arial" w:cs="Arial"/>
        </w:rPr>
      </w:pPr>
      <w:r>
        <w:rPr>
          <w:rFonts w:ascii="Arial" w:hAnsi="Arial" w:cs="Arial"/>
        </w:rPr>
        <w:t>The road investment reform agenda needs to include setting service levels for roads. This should incorporate:</w:t>
      </w:r>
    </w:p>
    <w:p w14:paraId="22C59728" w14:textId="77777777" w:rsidR="005C25AB" w:rsidRDefault="005C25AB" w:rsidP="00817671">
      <w:pPr>
        <w:pStyle w:val="ListParagraph"/>
        <w:numPr>
          <w:ilvl w:val="0"/>
          <w:numId w:val="19"/>
        </w:numPr>
        <w:spacing w:after="0" w:line="240" w:lineRule="auto"/>
        <w:ind w:left="714" w:hanging="357"/>
        <w:rPr>
          <w:rFonts w:ascii="Arial" w:hAnsi="Arial" w:cs="Arial"/>
        </w:rPr>
      </w:pPr>
      <w:r>
        <w:rPr>
          <w:rFonts w:ascii="Arial" w:hAnsi="Arial" w:cs="Arial"/>
        </w:rPr>
        <w:t>Setting road access service standards for significant freight and supply chain corridors, which allow the use of modern, high productivity freight vehicles operating at higher mass limits.</w:t>
      </w:r>
    </w:p>
    <w:p w14:paraId="1144A656" w14:textId="77777777" w:rsidR="005C25AB" w:rsidRDefault="005C25AB" w:rsidP="00817671">
      <w:pPr>
        <w:pStyle w:val="ListParagraph"/>
        <w:numPr>
          <w:ilvl w:val="0"/>
          <w:numId w:val="19"/>
        </w:numPr>
        <w:spacing w:after="0" w:line="240" w:lineRule="auto"/>
        <w:ind w:left="714" w:hanging="357"/>
        <w:rPr>
          <w:rFonts w:ascii="Arial" w:hAnsi="Arial" w:cs="Arial"/>
        </w:rPr>
      </w:pPr>
      <w:r>
        <w:rPr>
          <w:rFonts w:ascii="Arial" w:hAnsi="Arial" w:cs="Arial"/>
        </w:rPr>
        <w:t>Setting significant ‘last mile’ higher mass limit connections, connecting our supply chain corridors with industrial, port, agricultural and other economic businesses, both in regional and urban areas.</w:t>
      </w:r>
    </w:p>
    <w:p w14:paraId="11ADEBB0" w14:textId="1196DF10" w:rsidR="005C25AB" w:rsidRDefault="005C25AB" w:rsidP="00817671">
      <w:pPr>
        <w:pStyle w:val="ListParagraph"/>
        <w:numPr>
          <w:ilvl w:val="0"/>
          <w:numId w:val="19"/>
        </w:numPr>
        <w:spacing w:after="0" w:line="240" w:lineRule="auto"/>
        <w:ind w:left="714" w:hanging="357"/>
        <w:rPr>
          <w:rFonts w:ascii="Arial" w:hAnsi="Arial" w:cs="Arial"/>
        </w:rPr>
      </w:pPr>
      <w:r>
        <w:rPr>
          <w:rFonts w:ascii="Arial" w:hAnsi="Arial" w:cs="Arial"/>
        </w:rPr>
        <w:t xml:space="preserve">Setting road access service </w:t>
      </w:r>
      <w:r w:rsidR="00550750">
        <w:rPr>
          <w:rFonts w:ascii="Arial" w:hAnsi="Arial" w:cs="Arial"/>
        </w:rPr>
        <w:t>levels for other freight routes, and include the provision of rest areas and, where appropriate, livestock effluent dumping facilities.</w:t>
      </w:r>
    </w:p>
    <w:p w14:paraId="16CDF016" w14:textId="0CBE1183" w:rsidR="00550750" w:rsidRPr="00550750" w:rsidRDefault="000342F9" w:rsidP="00817671">
      <w:pPr>
        <w:pStyle w:val="ListParagraph"/>
        <w:numPr>
          <w:ilvl w:val="0"/>
          <w:numId w:val="19"/>
        </w:numPr>
        <w:spacing w:after="0" w:line="240" w:lineRule="auto"/>
        <w:ind w:left="714" w:hanging="357"/>
        <w:rPr>
          <w:rFonts w:ascii="Arial" w:hAnsi="Arial" w:cs="Arial"/>
        </w:rPr>
      </w:pPr>
      <w:r>
        <w:rPr>
          <w:rFonts w:ascii="Arial" w:hAnsi="Arial" w:cs="Arial"/>
        </w:rPr>
        <w:t>Specify</w:t>
      </w:r>
      <w:r w:rsidR="00FB3215">
        <w:rPr>
          <w:rFonts w:ascii="Arial" w:hAnsi="Arial" w:cs="Arial"/>
        </w:rPr>
        <w:t>ing</w:t>
      </w:r>
      <w:r w:rsidR="00550750" w:rsidRPr="00550750">
        <w:rPr>
          <w:rFonts w:ascii="Arial" w:hAnsi="Arial" w:cs="Arial"/>
        </w:rPr>
        <w:t xml:space="preserve"> roads that are ready for vehicles with higher levels of automation.  </w:t>
      </w:r>
    </w:p>
    <w:p w14:paraId="58378C7D" w14:textId="77777777" w:rsidR="005C25AB" w:rsidRDefault="005C25AB" w:rsidP="00817671">
      <w:pPr>
        <w:pStyle w:val="ListParagraph"/>
        <w:numPr>
          <w:ilvl w:val="0"/>
          <w:numId w:val="19"/>
        </w:numPr>
        <w:spacing w:after="0" w:line="240" w:lineRule="auto"/>
        <w:ind w:left="714" w:hanging="357"/>
        <w:rPr>
          <w:rFonts w:ascii="Arial" w:hAnsi="Arial" w:cs="Arial"/>
        </w:rPr>
      </w:pPr>
      <w:r>
        <w:rPr>
          <w:rFonts w:ascii="Arial" w:hAnsi="Arial" w:cs="Arial"/>
        </w:rPr>
        <w:t xml:space="preserve">Mandating communication and mobile data access standards. </w:t>
      </w:r>
    </w:p>
    <w:p w14:paraId="14BDED36" w14:textId="69E1B5C1" w:rsidR="002340EE" w:rsidRDefault="005C25AB" w:rsidP="00817671">
      <w:pPr>
        <w:pStyle w:val="ListParagraph"/>
        <w:numPr>
          <w:ilvl w:val="0"/>
          <w:numId w:val="19"/>
        </w:numPr>
        <w:tabs>
          <w:tab w:val="left" w:pos="992"/>
        </w:tabs>
        <w:spacing w:after="0" w:line="240" w:lineRule="auto"/>
        <w:ind w:left="714" w:hanging="357"/>
      </w:pPr>
      <w:r w:rsidRPr="007E1703">
        <w:rPr>
          <w:rFonts w:ascii="Arial" w:hAnsi="Arial" w:cs="Arial"/>
        </w:rPr>
        <w:t xml:space="preserve">Road service standards </w:t>
      </w:r>
      <w:r w:rsidR="00FB3215">
        <w:rPr>
          <w:rFonts w:ascii="Arial" w:hAnsi="Arial" w:cs="Arial"/>
        </w:rPr>
        <w:t>that</w:t>
      </w:r>
      <w:r w:rsidRPr="007E1703">
        <w:rPr>
          <w:rFonts w:ascii="Arial" w:hAnsi="Arial" w:cs="Arial"/>
        </w:rPr>
        <w:t xml:space="preserve"> restrict the imposition of caps, curfews, and restrictions on identified routes, including in urban areas. </w:t>
      </w:r>
    </w:p>
    <w:p w14:paraId="28D18F25" w14:textId="77777777" w:rsidR="000E3DA9" w:rsidRDefault="000E3DA9" w:rsidP="000E3DA9"/>
    <w:sectPr w:rsidR="000E3DA9" w:rsidSect="00A91411">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567" w:left="1134" w:header="703" w:footer="2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7B7C8" w14:textId="77777777" w:rsidR="00731BED" w:rsidRDefault="00731BED" w:rsidP="000F3D9F">
      <w:r>
        <w:separator/>
      </w:r>
    </w:p>
  </w:endnote>
  <w:endnote w:type="continuationSeparator" w:id="0">
    <w:p w14:paraId="64F03C65" w14:textId="77777777" w:rsidR="00731BED" w:rsidRDefault="00731BED" w:rsidP="000F3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2510" w14:textId="77777777" w:rsidR="00731BED" w:rsidRDefault="00731BED" w:rsidP="0000435D">
    <w:pPr>
      <w:jc w:val="right"/>
      <w:rPr>
        <w:rFonts w:ascii="Arial" w:hAnsi="Arial" w:cs="Arial"/>
        <w:smallCaps/>
        <w:noProof/>
        <w:szCs w:val="23"/>
        <w:lang w:eastAsia="en-AU"/>
      </w:rPr>
    </w:pPr>
    <w:r>
      <w:rPr>
        <w:rFonts w:ascii="Arial" w:hAnsi="Arial" w:cs="Arial"/>
        <w:smallCaps/>
        <w:noProof/>
        <w:szCs w:val="23"/>
        <w:lang w:eastAsia="en-AU"/>
      </w:rPr>
      <w:drawing>
        <wp:inline distT="0" distB="0" distL="0" distR="0" wp14:anchorId="0795185E" wp14:editId="7DD48105">
          <wp:extent cx="1751501" cy="84645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ad Logo ACT 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1501" cy="846455"/>
                  </a:xfrm>
                  <a:prstGeom prst="rect">
                    <a:avLst/>
                  </a:prstGeom>
                  <a:noFill/>
                  <a:ln w="9525">
                    <a:noFill/>
                    <a:miter lim="800000"/>
                    <a:headEnd/>
                    <a:tailEnd/>
                  </a:ln>
                </pic:spPr>
              </pic:pic>
            </a:graphicData>
          </a:graphic>
        </wp:inline>
      </w:drawing>
    </w:r>
  </w:p>
  <w:p w14:paraId="3702A4AA" w14:textId="77777777" w:rsidR="00731BED" w:rsidRPr="00E8056B" w:rsidRDefault="00731BED" w:rsidP="00E8056B">
    <w:pPr>
      <w:jc w:val="right"/>
      <w:rPr>
        <w:rFonts w:ascii="Arial" w:hAnsi="Arial" w:cs="Arial"/>
        <w:sz w:val="16"/>
        <w:szCs w:val="16"/>
      </w:rPr>
    </w:pPr>
  </w:p>
  <w:p w14:paraId="7B73DD07" w14:textId="77777777" w:rsidR="00731BED" w:rsidRPr="00E8056B" w:rsidRDefault="00731BED" w:rsidP="00E8056B">
    <w:pPr>
      <w:pStyle w:val="Footer"/>
      <w:jc w:val="right"/>
      <w:rPr>
        <w:rFonts w:ascii="Arial" w:hAnsi="Arial" w:cs="Arial"/>
        <w:sz w:val="16"/>
        <w:szCs w:val="16"/>
      </w:rPr>
    </w:pPr>
    <w:smartTag w:uri="urn:schemas-microsoft-com:office:smarttags" w:element="place">
      <w:smartTag w:uri="urn:schemas-microsoft-com:office:smarttags" w:element="PlaceName">
        <w:r w:rsidRPr="00E8056B">
          <w:rPr>
            <w:rFonts w:ascii="Arial" w:hAnsi="Arial" w:cs="Arial"/>
            <w:sz w:val="16"/>
            <w:szCs w:val="16"/>
          </w:rPr>
          <w:t>Minter</w:t>
        </w:r>
      </w:smartTag>
      <w:r w:rsidRPr="00E8056B">
        <w:rPr>
          <w:rFonts w:ascii="Arial" w:hAnsi="Arial" w:cs="Arial"/>
          <w:sz w:val="16"/>
          <w:szCs w:val="16"/>
        </w:rPr>
        <w:t xml:space="preserve"> </w:t>
      </w:r>
      <w:smartTag w:uri="urn:schemas-microsoft-com:office:smarttags" w:element="PlaceType">
        <w:smartTag w:uri="urn:schemas-microsoft-com:office:smarttags" w:element="PlaceName">
          <w:r w:rsidRPr="00E8056B">
            <w:rPr>
              <w:rFonts w:ascii="Arial" w:hAnsi="Arial" w:cs="Arial"/>
              <w:sz w:val="16"/>
              <w:szCs w:val="16"/>
            </w:rPr>
            <w:t>Ellison</w:t>
          </w:r>
        </w:smartTag>
      </w:smartTag>
      <w:r w:rsidRPr="00E8056B">
        <w:rPr>
          <w:rFonts w:ascii="Arial" w:hAnsi="Arial" w:cs="Arial"/>
          <w:sz w:val="16"/>
          <w:szCs w:val="16"/>
        </w:rPr>
        <w:t xml:space="preserve"> </w:t>
      </w:r>
      <w:smartTag w:uri="urn:schemas-microsoft-com:office:smarttags" w:element="place">
        <w:r w:rsidRPr="00E8056B">
          <w:rPr>
            <w:rFonts w:ascii="Arial" w:hAnsi="Arial" w:cs="Arial"/>
            <w:sz w:val="16"/>
            <w:szCs w:val="16"/>
          </w:rPr>
          <w:t>Building</w:t>
        </w:r>
      </w:smartTag>
    </w:smartTag>
    <w:r w:rsidRPr="00E8056B">
      <w:rPr>
        <w:rFonts w:ascii="Arial" w:hAnsi="Arial" w:cs="Arial"/>
        <w:sz w:val="16"/>
        <w:szCs w:val="16"/>
      </w:rPr>
      <w:t>, 25 National Circuit, Forrest ACT 2603</w:t>
    </w:r>
  </w:p>
  <w:p w14:paraId="26F35C7E" w14:textId="77777777" w:rsidR="00731BED" w:rsidRPr="00E8056B" w:rsidRDefault="00731BED" w:rsidP="00E8056B">
    <w:pPr>
      <w:pStyle w:val="Footer"/>
      <w:jc w:val="right"/>
      <w:rPr>
        <w:rFonts w:ascii="Arial" w:hAnsi="Arial" w:cs="Arial"/>
        <w:sz w:val="16"/>
        <w:szCs w:val="16"/>
      </w:rPr>
    </w:pPr>
    <w:r w:rsidRPr="00E8056B">
      <w:rPr>
        <w:rFonts w:ascii="Arial" w:hAnsi="Arial" w:cs="Arial"/>
        <w:b/>
        <w:sz w:val="16"/>
        <w:szCs w:val="16"/>
      </w:rPr>
      <w:t>P</w:t>
    </w:r>
    <w:r w:rsidRPr="00E8056B">
      <w:rPr>
        <w:rFonts w:ascii="Arial" w:hAnsi="Arial" w:cs="Arial"/>
        <w:sz w:val="16"/>
        <w:szCs w:val="16"/>
      </w:rPr>
      <w:t xml:space="preserve"> 02 6253 6900 </w:t>
    </w:r>
    <w:r w:rsidRPr="00E8056B">
      <w:rPr>
        <w:rFonts w:ascii="Arial" w:hAnsi="Arial" w:cs="Arial"/>
        <w:b/>
        <w:sz w:val="16"/>
        <w:szCs w:val="16"/>
      </w:rPr>
      <w:t>F</w:t>
    </w:r>
    <w:r w:rsidRPr="00E8056B">
      <w:rPr>
        <w:rFonts w:ascii="Arial" w:hAnsi="Arial" w:cs="Arial"/>
        <w:sz w:val="16"/>
        <w:szCs w:val="16"/>
      </w:rPr>
      <w:t xml:space="preserve"> 02 6253 6999 </w:t>
    </w:r>
    <w:r w:rsidRPr="00E8056B">
      <w:rPr>
        <w:rFonts w:ascii="Arial" w:hAnsi="Arial" w:cs="Arial"/>
        <w:b/>
        <w:sz w:val="16"/>
        <w:szCs w:val="16"/>
      </w:rPr>
      <w:t>E</w:t>
    </w:r>
    <w:r w:rsidRPr="00E8056B">
      <w:rPr>
        <w:rFonts w:ascii="Arial" w:hAnsi="Arial" w:cs="Arial"/>
        <w:sz w:val="16"/>
        <w:szCs w:val="16"/>
      </w:rPr>
      <w:t xml:space="preserve"> </w:t>
    </w:r>
    <w:r>
      <w:rPr>
        <w:rFonts w:ascii="Arial" w:hAnsi="Arial" w:cs="Arial"/>
        <w:bCs/>
        <w:sz w:val="16"/>
        <w:szCs w:val="16"/>
      </w:rPr>
      <w:t>ata@</w:t>
    </w:r>
    <w:r w:rsidRPr="00E8056B">
      <w:rPr>
        <w:rFonts w:ascii="Arial" w:hAnsi="Arial" w:cs="Arial"/>
        <w:bCs/>
        <w:sz w:val="16"/>
        <w:szCs w:val="16"/>
      </w:rPr>
      <w:t>truck.net.au</w:t>
    </w:r>
    <w:r w:rsidRPr="00E8056B">
      <w:rPr>
        <w:rFonts w:ascii="Arial" w:hAnsi="Arial" w:cs="Arial"/>
        <w:b/>
        <w:sz w:val="16"/>
        <w:szCs w:val="16"/>
      </w:rPr>
      <w:t xml:space="preserve"> W</w:t>
    </w:r>
    <w:r w:rsidRPr="00E8056B">
      <w:rPr>
        <w:rFonts w:ascii="Arial" w:hAnsi="Arial" w:cs="Arial"/>
        <w:sz w:val="16"/>
        <w:szCs w:val="16"/>
      </w:rPr>
      <w:t xml:space="preserve"> </w:t>
    </w:r>
    <w:r>
      <w:rPr>
        <w:rFonts w:ascii="Arial" w:hAnsi="Arial" w:cs="Arial"/>
        <w:bCs/>
        <w:sz w:val="16"/>
        <w:szCs w:val="16"/>
      </w:rPr>
      <w:t>www.</w:t>
    </w:r>
    <w:r w:rsidRPr="00E8056B">
      <w:rPr>
        <w:rFonts w:ascii="Arial" w:hAnsi="Arial" w:cs="Arial"/>
        <w:bCs/>
        <w:sz w:val="16"/>
        <w:szCs w:val="16"/>
      </w:rPr>
      <w:t>truck.net.au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0F7ED" w14:textId="77777777" w:rsidR="00731BED" w:rsidRDefault="00731BED">
    <w:pPr>
      <w:pStyle w:val="Footer"/>
      <w:jc w:val="right"/>
    </w:pPr>
    <w:r>
      <w:fldChar w:fldCharType="begin"/>
    </w:r>
    <w:r>
      <w:instrText xml:space="preserve"> PAGE   \* MERGEFORMAT </w:instrText>
    </w:r>
    <w:r>
      <w:fldChar w:fldCharType="separate"/>
    </w:r>
    <w:r>
      <w:rPr>
        <w:noProof/>
      </w:rPr>
      <w:t>7</w:t>
    </w:r>
    <w:r>
      <w:rPr>
        <w:noProof/>
      </w:rPr>
      <w:fldChar w:fldCharType="end"/>
    </w:r>
  </w:p>
  <w:p w14:paraId="7D342872" w14:textId="77777777" w:rsidR="00731BED" w:rsidRDefault="00731B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78EE4" w14:textId="77777777" w:rsidR="00731BED" w:rsidRDefault="00731B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D93B0" w14:textId="77777777" w:rsidR="00731BED" w:rsidRDefault="00731BED"/>
  <w:tbl>
    <w:tblPr>
      <w:tblW w:w="0" w:type="auto"/>
      <w:tblBorders>
        <w:top w:val="single" w:sz="4" w:space="0" w:color="000000"/>
        <w:insideH w:val="single" w:sz="4" w:space="0" w:color="000000"/>
      </w:tblBorders>
      <w:tblLook w:val="04A0" w:firstRow="1" w:lastRow="0" w:firstColumn="1" w:lastColumn="0" w:noHBand="0" w:noVBand="1"/>
    </w:tblPr>
    <w:tblGrid>
      <w:gridCol w:w="7797"/>
      <w:gridCol w:w="1841"/>
    </w:tblGrid>
    <w:tr w:rsidR="00731BED" w:rsidRPr="00254532" w14:paraId="7546C294" w14:textId="77777777" w:rsidTr="00C87BB9">
      <w:trPr>
        <w:trHeight w:val="57"/>
      </w:trPr>
      <w:tc>
        <w:tcPr>
          <w:tcW w:w="7797" w:type="dxa"/>
          <w:vAlign w:val="center"/>
        </w:tcPr>
        <w:p w14:paraId="22A79039" w14:textId="4D55405E" w:rsidR="00731BED" w:rsidRPr="00CB30A4" w:rsidRDefault="00731BED" w:rsidP="000E3DA9">
          <w:pPr>
            <w:pStyle w:val="Footer"/>
            <w:rPr>
              <w:rFonts w:ascii="Arial" w:hAnsi="Arial" w:cs="Arial"/>
              <w:sz w:val="14"/>
              <w:szCs w:val="14"/>
            </w:rPr>
          </w:pPr>
          <w:r w:rsidRPr="00CB30A4">
            <w:rPr>
              <w:rFonts w:ascii="Arial" w:hAnsi="Arial" w:cs="Arial"/>
              <w:sz w:val="14"/>
              <w:szCs w:val="14"/>
            </w:rPr>
            <w:t>ATA submission</w:t>
          </w:r>
          <w:r>
            <w:rPr>
              <w:rFonts w:ascii="Arial" w:hAnsi="Arial" w:cs="Arial"/>
              <w:sz w:val="14"/>
              <w:szCs w:val="14"/>
            </w:rPr>
            <w:t xml:space="preserve"> to the Inquiry into National Freight and Supply Chain Priorities</w:t>
          </w:r>
        </w:p>
      </w:tc>
      <w:tc>
        <w:tcPr>
          <w:tcW w:w="1841" w:type="dxa"/>
          <w:vAlign w:val="center"/>
        </w:tcPr>
        <w:p w14:paraId="1154978D" w14:textId="77777777" w:rsidR="00731BED" w:rsidRPr="00CB30A4" w:rsidRDefault="00731BED" w:rsidP="00D735FF">
          <w:pPr>
            <w:pStyle w:val="Footer"/>
            <w:jc w:val="right"/>
            <w:rPr>
              <w:rFonts w:ascii="Arial" w:hAnsi="Arial" w:cs="Arial"/>
              <w:sz w:val="14"/>
              <w:szCs w:val="14"/>
            </w:rPr>
          </w:pPr>
          <w:r w:rsidRPr="00CB30A4">
            <w:rPr>
              <w:rFonts w:ascii="Arial" w:hAnsi="Arial" w:cs="Arial"/>
              <w:sz w:val="14"/>
              <w:szCs w:val="14"/>
            </w:rPr>
            <w:t xml:space="preserve">Page </w:t>
          </w:r>
          <w:r w:rsidRPr="00CB30A4">
            <w:rPr>
              <w:rFonts w:ascii="Arial" w:hAnsi="Arial" w:cs="Arial"/>
              <w:sz w:val="14"/>
              <w:szCs w:val="14"/>
            </w:rPr>
            <w:fldChar w:fldCharType="begin"/>
          </w:r>
          <w:r w:rsidRPr="00CB30A4">
            <w:rPr>
              <w:rFonts w:ascii="Arial" w:hAnsi="Arial" w:cs="Arial"/>
              <w:sz w:val="14"/>
              <w:szCs w:val="14"/>
            </w:rPr>
            <w:instrText xml:space="preserve"> PAGE   \* MERGEFORMAT </w:instrText>
          </w:r>
          <w:r w:rsidRPr="00CB30A4">
            <w:rPr>
              <w:rFonts w:ascii="Arial" w:hAnsi="Arial" w:cs="Arial"/>
              <w:sz w:val="14"/>
              <w:szCs w:val="14"/>
            </w:rPr>
            <w:fldChar w:fldCharType="separate"/>
          </w:r>
          <w:r w:rsidR="003469C0">
            <w:rPr>
              <w:rFonts w:ascii="Arial" w:hAnsi="Arial" w:cs="Arial"/>
              <w:noProof/>
              <w:sz w:val="14"/>
              <w:szCs w:val="14"/>
            </w:rPr>
            <w:t>15</w:t>
          </w:r>
          <w:r w:rsidRPr="00CB30A4">
            <w:rPr>
              <w:rFonts w:ascii="Arial" w:hAnsi="Arial" w:cs="Arial"/>
              <w:sz w:val="14"/>
              <w:szCs w:val="14"/>
            </w:rPr>
            <w:fldChar w:fldCharType="end"/>
          </w:r>
        </w:p>
      </w:tc>
    </w:tr>
  </w:tbl>
  <w:p w14:paraId="36A3971C" w14:textId="77777777" w:rsidR="00731BED" w:rsidRPr="00A91411" w:rsidRDefault="00731BED">
    <w:pP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08E8D" w14:textId="77777777" w:rsidR="00731BED" w:rsidRDefault="00731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95430" w14:textId="77777777" w:rsidR="00731BED" w:rsidRDefault="00731BED" w:rsidP="000F3D9F">
      <w:r>
        <w:separator/>
      </w:r>
    </w:p>
  </w:footnote>
  <w:footnote w:type="continuationSeparator" w:id="0">
    <w:p w14:paraId="049E6273" w14:textId="77777777" w:rsidR="00731BED" w:rsidRDefault="00731BED" w:rsidP="000F3D9F">
      <w:r>
        <w:continuationSeparator/>
      </w:r>
    </w:p>
  </w:footnote>
  <w:footnote w:id="1">
    <w:p w14:paraId="72BA0616" w14:textId="77777777" w:rsidR="00731BED" w:rsidRPr="00731BED" w:rsidRDefault="00731BED" w:rsidP="001335A6">
      <w:pPr>
        <w:pStyle w:val="FootnoteText"/>
        <w:rPr>
          <w:rFonts w:ascii="Arial" w:hAnsi="Arial" w:cs="Arial"/>
          <w:sz w:val="18"/>
          <w:szCs w:val="18"/>
        </w:rPr>
      </w:pPr>
      <w:r w:rsidRPr="002340EE">
        <w:rPr>
          <w:rStyle w:val="FootnoteReference"/>
          <w:rFonts w:ascii="Arial" w:hAnsi="Arial" w:cs="Arial"/>
          <w:sz w:val="18"/>
          <w:szCs w:val="18"/>
        </w:rPr>
        <w:footnoteRef/>
      </w:r>
      <w:r w:rsidRPr="002340EE">
        <w:rPr>
          <w:rFonts w:ascii="Arial" w:hAnsi="Arial" w:cs="Arial"/>
          <w:sz w:val="18"/>
          <w:szCs w:val="18"/>
        </w:rPr>
        <w:t xml:space="preserve"> </w:t>
      </w:r>
      <w:r w:rsidRPr="00731BED">
        <w:rPr>
          <w:rFonts w:ascii="Arial" w:hAnsi="Arial" w:cs="Arial"/>
          <w:sz w:val="18"/>
          <w:szCs w:val="18"/>
        </w:rPr>
        <w:t xml:space="preserve">Australian Government, 2014, </w:t>
      </w:r>
      <w:r w:rsidRPr="00731BED">
        <w:rPr>
          <w:rFonts w:ascii="Arial" w:hAnsi="Arial" w:cs="Arial"/>
          <w:i/>
          <w:sz w:val="18"/>
          <w:szCs w:val="18"/>
        </w:rPr>
        <w:t>Trends: Infrastructure and Transport to 2030</w:t>
      </w:r>
      <w:r w:rsidRPr="00731BED">
        <w:rPr>
          <w:rFonts w:ascii="Arial" w:hAnsi="Arial" w:cs="Arial"/>
          <w:sz w:val="18"/>
          <w:szCs w:val="18"/>
        </w:rPr>
        <w:t xml:space="preserve">, as quoted by Volvo Group Australia, 2016, </w:t>
      </w:r>
      <w:r w:rsidRPr="00731BED">
        <w:rPr>
          <w:rFonts w:ascii="Arial" w:hAnsi="Arial" w:cs="Arial"/>
          <w:i/>
          <w:sz w:val="18"/>
          <w:szCs w:val="18"/>
        </w:rPr>
        <w:t>Professional Truck Shortage</w:t>
      </w:r>
    </w:p>
  </w:footnote>
  <w:footnote w:id="2">
    <w:p w14:paraId="59D382BF" w14:textId="77777777" w:rsidR="00731BED" w:rsidRPr="00731BED" w:rsidRDefault="00731BED" w:rsidP="006777FD">
      <w:pPr>
        <w:pStyle w:val="FootnoteText"/>
        <w:rPr>
          <w:rFonts w:ascii="Arial" w:hAnsi="Arial" w:cs="Arial"/>
          <w:sz w:val="18"/>
          <w:szCs w:val="18"/>
        </w:rPr>
      </w:pPr>
      <w:r w:rsidRPr="00731BED">
        <w:rPr>
          <w:rStyle w:val="FootnoteReference"/>
          <w:rFonts w:ascii="Arial" w:hAnsi="Arial" w:cs="Arial"/>
          <w:sz w:val="18"/>
          <w:szCs w:val="18"/>
        </w:rPr>
        <w:footnoteRef/>
      </w:r>
      <w:r w:rsidRPr="00731BED">
        <w:rPr>
          <w:rFonts w:ascii="Arial" w:hAnsi="Arial" w:cs="Arial"/>
          <w:sz w:val="18"/>
          <w:szCs w:val="18"/>
        </w:rPr>
        <w:t xml:space="preserve"> Bureau of Infrastructure, Transport, and Regional Economics, 2011, </w:t>
      </w:r>
      <w:r w:rsidRPr="00731BED">
        <w:rPr>
          <w:rFonts w:ascii="Arial" w:hAnsi="Arial" w:cs="Arial"/>
          <w:i/>
          <w:sz w:val="18"/>
          <w:szCs w:val="18"/>
        </w:rPr>
        <w:t>Truck productivity,</w:t>
      </w:r>
      <w:r w:rsidRPr="00731BED">
        <w:rPr>
          <w:rFonts w:ascii="Arial" w:hAnsi="Arial" w:cs="Arial"/>
          <w:sz w:val="18"/>
          <w:szCs w:val="18"/>
        </w:rPr>
        <w:t xml:space="preserve"> pxiv</w:t>
      </w:r>
    </w:p>
  </w:footnote>
  <w:footnote w:id="3">
    <w:p w14:paraId="1993907A" w14:textId="769DDA01" w:rsidR="00731BED" w:rsidRPr="00731BED" w:rsidRDefault="00731BED" w:rsidP="006777FD">
      <w:pPr>
        <w:pStyle w:val="FootnoteText"/>
        <w:rPr>
          <w:rFonts w:ascii="Arial" w:hAnsi="Arial" w:cs="Arial"/>
          <w:sz w:val="18"/>
          <w:szCs w:val="18"/>
        </w:rPr>
      </w:pPr>
      <w:r w:rsidRPr="00731BED">
        <w:rPr>
          <w:rStyle w:val="FootnoteReference"/>
          <w:rFonts w:ascii="Arial" w:hAnsi="Arial" w:cs="Arial"/>
          <w:sz w:val="18"/>
          <w:szCs w:val="18"/>
        </w:rPr>
        <w:footnoteRef/>
      </w:r>
      <w:r w:rsidRPr="00731BED">
        <w:rPr>
          <w:rFonts w:ascii="Arial" w:hAnsi="Arial" w:cs="Arial"/>
          <w:sz w:val="18"/>
          <w:szCs w:val="18"/>
        </w:rPr>
        <w:t xml:space="preserve"> Austroads, 2014, </w:t>
      </w:r>
      <w:r w:rsidRPr="00731BED">
        <w:rPr>
          <w:rFonts w:ascii="Arial" w:hAnsi="Arial" w:cs="Arial"/>
          <w:i/>
          <w:sz w:val="18"/>
          <w:szCs w:val="18"/>
        </w:rPr>
        <w:t>Quantifying the Benefits of High Productivity Vehicles,</w:t>
      </w:r>
      <w:r w:rsidRPr="00731BED">
        <w:rPr>
          <w:rFonts w:ascii="Arial" w:hAnsi="Arial" w:cs="Arial"/>
          <w:sz w:val="18"/>
          <w:szCs w:val="18"/>
        </w:rPr>
        <w:t xml:space="preserve"> pi</w:t>
      </w:r>
    </w:p>
  </w:footnote>
  <w:footnote w:id="4">
    <w:p w14:paraId="32B00B6C" w14:textId="70751DDB" w:rsidR="00DF2171" w:rsidRPr="000405D6" w:rsidRDefault="00DF2171">
      <w:pPr>
        <w:pStyle w:val="FootnoteText"/>
        <w:rPr>
          <w:rFonts w:ascii="Arial" w:hAnsi="Arial" w:cs="Arial"/>
          <w:sz w:val="18"/>
          <w:szCs w:val="18"/>
        </w:rPr>
      </w:pPr>
      <w:r>
        <w:rPr>
          <w:rStyle w:val="FootnoteReference"/>
        </w:rPr>
        <w:footnoteRef/>
      </w:r>
      <w:r>
        <w:t xml:space="preserve"> </w:t>
      </w:r>
      <w:r w:rsidR="000405D6">
        <w:rPr>
          <w:rFonts w:ascii="Arial" w:hAnsi="Arial" w:cs="Arial"/>
          <w:sz w:val="18"/>
          <w:szCs w:val="18"/>
        </w:rPr>
        <w:t xml:space="preserve">Productivity Commission, </w:t>
      </w:r>
      <w:hyperlink r:id="rId1" w:history="1">
        <w:r w:rsidR="000405D6" w:rsidRPr="000405D6">
          <w:rPr>
            <w:rStyle w:val="Hyperlink"/>
            <w:rFonts w:ascii="Arial" w:hAnsi="Arial" w:cs="Arial"/>
            <w:sz w:val="18"/>
            <w:szCs w:val="18"/>
          </w:rPr>
          <w:t>Road and Rail Freight Infrastructure Pricing</w:t>
        </w:r>
      </w:hyperlink>
      <w:r w:rsidR="000405D6">
        <w:rPr>
          <w:rFonts w:ascii="Arial" w:hAnsi="Arial" w:cs="Arial"/>
          <w:sz w:val="18"/>
          <w:szCs w:val="18"/>
        </w:rPr>
        <w:t>, 22 December 2006, XXIX.</w:t>
      </w:r>
    </w:p>
  </w:footnote>
  <w:footnote w:id="5">
    <w:p w14:paraId="5E6FE3A2" w14:textId="77777777" w:rsidR="00731BED" w:rsidRPr="00731BED" w:rsidRDefault="00731BED" w:rsidP="00D105FD">
      <w:pPr>
        <w:pStyle w:val="FootnoteText"/>
        <w:rPr>
          <w:rFonts w:ascii="Arial" w:hAnsi="Arial" w:cs="Arial"/>
          <w:sz w:val="18"/>
          <w:szCs w:val="18"/>
        </w:rPr>
      </w:pPr>
      <w:r>
        <w:rPr>
          <w:rStyle w:val="FootnoteReference"/>
        </w:rPr>
        <w:footnoteRef/>
      </w:r>
      <w:r>
        <w:t xml:space="preserve"> </w:t>
      </w:r>
      <w:r w:rsidRPr="00731BED">
        <w:rPr>
          <w:rFonts w:ascii="Arial" w:hAnsi="Arial" w:cs="Arial"/>
          <w:sz w:val="18"/>
          <w:szCs w:val="18"/>
        </w:rPr>
        <w:t xml:space="preserve">Carey, A. “Big rise in CityLink truck tolls tipped to push heavy vehicles onto local roads,” </w:t>
      </w:r>
      <w:r w:rsidRPr="00731BED">
        <w:rPr>
          <w:rFonts w:ascii="Arial" w:hAnsi="Arial" w:cs="Arial"/>
          <w:i/>
          <w:sz w:val="18"/>
          <w:szCs w:val="18"/>
        </w:rPr>
        <w:t>The Age</w:t>
      </w:r>
      <w:r w:rsidRPr="00731BED">
        <w:rPr>
          <w:rFonts w:ascii="Arial" w:hAnsi="Arial" w:cs="Arial"/>
          <w:sz w:val="18"/>
          <w:szCs w:val="18"/>
        </w:rPr>
        <w:t xml:space="preserve">, 29 January 2017. </w:t>
      </w:r>
      <w:hyperlink r:id="rId2" w:history="1">
        <w:r w:rsidRPr="00731BED">
          <w:rPr>
            <w:rStyle w:val="Hyperlink"/>
            <w:rFonts w:ascii="Arial" w:hAnsi="Arial" w:cs="Arial"/>
            <w:sz w:val="18"/>
            <w:szCs w:val="18"/>
          </w:rPr>
          <w:t>Link</w:t>
        </w:r>
      </w:hyperlink>
      <w:r w:rsidRPr="00731BED">
        <w:rPr>
          <w:rFonts w:ascii="Arial" w:hAnsi="Arial" w:cs="Arial"/>
          <w:sz w:val="18"/>
          <w:szCs w:val="18"/>
        </w:rPr>
        <w:t>.</w:t>
      </w:r>
    </w:p>
  </w:footnote>
  <w:footnote w:id="6">
    <w:p w14:paraId="057CAF99" w14:textId="77777777" w:rsidR="00731BED" w:rsidRPr="00731BED" w:rsidRDefault="00731BED" w:rsidP="00D105FD">
      <w:pPr>
        <w:pStyle w:val="FootnoteText"/>
        <w:rPr>
          <w:rFonts w:ascii="Arial" w:hAnsi="Arial" w:cs="Arial"/>
          <w:sz w:val="18"/>
          <w:szCs w:val="18"/>
        </w:rPr>
      </w:pPr>
      <w:r w:rsidRPr="00731BED">
        <w:rPr>
          <w:rStyle w:val="FootnoteReference"/>
          <w:rFonts w:ascii="Arial" w:hAnsi="Arial" w:cs="Arial"/>
          <w:sz w:val="18"/>
          <w:szCs w:val="18"/>
        </w:rPr>
        <w:footnoteRef/>
      </w:r>
      <w:r w:rsidRPr="00731BED">
        <w:rPr>
          <w:rFonts w:ascii="Arial" w:hAnsi="Arial" w:cs="Arial"/>
          <w:sz w:val="18"/>
          <w:szCs w:val="18"/>
        </w:rPr>
        <w:t xml:space="preserve"> Transurban, </w:t>
      </w:r>
      <w:hyperlink r:id="rId3" w:history="1">
        <w:r w:rsidRPr="00731BED">
          <w:rPr>
            <w:rStyle w:val="Hyperlink"/>
            <w:rFonts w:ascii="Arial" w:hAnsi="Arial" w:cs="Arial"/>
            <w:sz w:val="18"/>
            <w:szCs w:val="18"/>
          </w:rPr>
          <w:t>Results for six months to 31 December 2016</w:t>
        </w:r>
      </w:hyperlink>
      <w:r w:rsidRPr="00731BED">
        <w:rPr>
          <w:rFonts w:ascii="Arial" w:hAnsi="Arial" w:cs="Arial"/>
          <w:sz w:val="18"/>
          <w:szCs w:val="18"/>
        </w:rPr>
        <w:t>. ASX release, 7 February 2017, 8.</w:t>
      </w:r>
    </w:p>
  </w:footnote>
  <w:footnote w:id="7">
    <w:p w14:paraId="1B6929B8" w14:textId="77777777" w:rsidR="00731BED" w:rsidRPr="00731BED" w:rsidRDefault="00731BED" w:rsidP="00D105FD">
      <w:pPr>
        <w:pStyle w:val="FootnoteText"/>
        <w:rPr>
          <w:rFonts w:ascii="Arial" w:hAnsi="Arial" w:cs="Arial"/>
          <w:sz w:val="18"/>
          <w:szCs w:val="18"/>
        </w:rPr>
      </w:pPr>
      <w:r w:rsidRPr="00731BED">
        <w:rPr>
          <w:rStyle w:val="FootnoteReference"/>
          <w:rFonts w:ascii="Arial" w:hAnsi="Arial" w:cs="Arial"/>
          <w:sz w:val="18"/>
          <w:szCs w:val="18"/>
        </w:rPr>
        <w:footnoteRef/>
      </w:r>
      <w:r w:rsidRPr="00731BED">
        <w:rPr>
          <w:rFonts w:ascii="Arial" w:hAnsi="Arial" w:cs="Arial"/>
          <w:sz w:val="18"/>
          <w:szCs w:val="18"/>
        </w:rPr>
        <w:t xml:space="preserve"> Stern, J. “The relationship between regulation and contracts in infrastructure industries: regulation as ordered renegotiation,” </w:t>
      </w:r>
      <w:r w:rsidRPr="00731BED">
        <w:rPr>
          <w:rFonts w:ascii="Arial" w:hAnsi="Arial" w:cs="Arial"/>
          <w:i/>
          <w:sz w:val="18"/>
          <w:szCs w:val="18"/>
        </w:rPr>
        <w:t>Regulation &amp; Governance</w:t>
      </w:r>
      <w:r w:rsidRPr="00731BED">
        <w:rPr>
          <w:rFonts w:ascii="Arial" w:hAnsi="Arial" w:cs="Arial"/>
          <w:sz w:val="18"/>
          <w:szCs w:val="18"/>
        </w:rPr>
        <w:t xml:space="preserve"> (2012) 6, 474-498.</w:t>
      </w:r>
    </w:p>
  </w:footnote>
  <w:footnote w:id="8">
    <w:p w14:paraId="2C7246F8" w14:textId="77777777" w:rsidR="00731BED" w:rsidRPr="00731BED" w:rsidRDefault="00731BED" w:rsidP="00D105FD">
      <w:pPr>
        <w:pStyle w:val="FootnoteText"/>
        <w:rPr>
          <w:rFonts w:ascii="Arial" w:hAnsi="Arial" w:cs="Arial"/>
          <w:sz w:val="18"/>
          <w:szCs w:val="18"/>
        </w:rPr>
      </w:pPr>
      <w:r w:rsidRPr="00731BED">
        <w:rPr>
          <w:rStyle w:val="FootnoteReference"/>
          <w:rFonts w:ascii="Arial" w:hAnsi="Arial" w:cs="Arial"/>
          <w:sz w:val="18"/>
          <w:szCs w:val="18"/>
        </w:rPr>
        <w:footnoteRef/>
      </w:r>
      <w:r w:rsidRPr="00731BED">
        <w:rPr>
          <w:rFonts w:ascii="Arial" w:hAnsi="Arial" w:cs="Arial"/>
          <w:sz w:val="18"/>
          <w:szCs w:val="18"/>
        </w:rPr>
        <w:t xml:space="preserve"> O’Hara, S. </w:t>
      </w:r>
      <w:hyperlink r:id="rId4" w:history="1">
        <w:r w:rsidRPr="00731BED">
          <w:rPr>
            <w:rStyle w:val="Hyperlink"/>
            <w:rFonts w:ascii="Arial" w:hAnsi="Arial" w:cs="Arial"/>
            <w:sz w:val="18"/>
            <w:szCs w:val="18"/>
          </w:rPr>
          <w:t>The true cost of DP World’s crippling port tax</w:t>
        </w:r>
      </w:hyperlink>
      <w:r w:rsidRPr="00731BED">
        <w:rPr>
          <w:rFonts w:ascii="Arial" w:hAnsi="Arial" w:cs="Arial"/>
          <w:sz w:val="18"/>
          <w:szCs w:val="18"/>
        </w:rPr>
        <w:t>, RFNSW media release, 5 April 2017.</w:t>
      </w:r>
    </w:p>
  </w:footnote>
  <w:footnote w:id="9">
    <w:p w14:paraId="37196ABE" w14:textId="77777777" w:rsidR="00731BED" w:rsidRPr="00731BED" w:rsidRDefault="00731BED" w:rsidP="00D105FD">
      <w:pPr>
        <w:pStyle w:val="FootnoteText"/>
        <w:rPr>
          <w:rFonts w:ascii="Arial" w:hAnsi="Arial" w:cs="Arial"/>
          <w:sz w:val="18"/>
          <w:szCs w:val="18"/>
        </w:rPr>
      </w:pPr>
      <w:r w:rsidRPr="00731BED">
        <w:rPr>
          <w:rStyle w:val="FootnoteReference"/>
          <w:rFonts w:ascii="Arial" w:hAnsi="Arial" w:cs="Arial"/>
          <w:sz w:val="18"/>
          <w:szCs w:val="18"/>
        </w:rPr>
        <w:footnoteRef/>
      </w:r>
      <w:r w:rsidRPr="00731BED">
        <w:rPr>
          <w:rFonts w:ascii="Arial" w:hAnsi="Arial" w:cs="Arial"/>
          <w:sz w:val="18"/>
          <w:szCs w:val="18"/>
        </w:rPr>
        <w:t xml:space="preserve"> Patrick, </w:t>
      </w:r>
      <w:hyperlink r:id="rId5" w:history="1">
        <w:r w:rsidRPr="00731BED">
          <w:rPr>
            <w:rStyle w:val="Hyperlink"/>
            <w:rFonts w:ascii="Arial" w:hAnsi="Arial" w:cs="Arial"/>
            <w:sz w:val="18"/>
            <w:szCs w:val="18"/>
          </w:rPr>
          <w:t>Patrick Terminals – Infrastructure Surcharge and Ancillary Charges: effective 10 July 2017</w:t>
        </w:r>
      </w:hyperlink>
      <w:r w:rsidRPr="00731BED">
        <w:rPr>
          <w:rFonts w:ascii="Arial" w:hAnsi="Arial" w:cs="Arial"/>
          <w:sz w:val="18"/>
          <w:szCs w:val="18"/>
        </w:rPr>
        <w:t>.</w:t>
      </w:r>
    </w:p>
  </w:footnote>
  <w:footnote w:id="10">
    <w:p w14:paraId="6520BBE9" w14:textId="77777777" w:rsidR="00731BED" w:rsidRDefault="00731BED" w:rsidP="00D105FD">
      <w:pPr>
        <w:pStyle w:val="FootnoteText"/>
      </w:pPr>
      <w:r w:rsidRPr="00731BED">
        <w:rPr>
          <w:rStyle w:val="FootnoteReference"/>
          <w:rFonts w:ascii="Arial" w:hAnsi="Arial" w:cs="Arial"/>
          <w:sz w:val="18"/>
          <w:szCs w:val="18"/>
        </w:rPr>
        <w:footnoteRef/>
      </w:r>
      <w:r w:rsidRPr="00731BED">
        <w:rPr>
          <w:rFonts w:ascii="Arial" w:hAnsi="Arial" w:cs="Arial"/>
          <w:sz w:val="18"/>
          <w:szCs w:val="18"/>
        </w:rPr>
        <w:t xml:space="preserve"> NSW Ports, </w:t>
      </w:r>
      <w:hyperlink r:id="rId6" w:history="1">
        <w:r w:rsidRPr="00731BED">
          <w:rPr>
            <w:rStyle w:val="Hyperlink"/>
            <w:rFonts w:ascii="Arial" w:hAnsi="Arial" w:cs="Arial"/>
            <w:sz w:val="18"/>
            <w:szCs w:val="18"/>
          </w:rPr>
          <w:t>NSW Ports statement re Port Botany stevedore rents</w:t>
        </w:r>
      </w:hyperlink>
      <w:r w:rsidRPr="00731BED">
        <w:rPr>
          <w:rFonts w:ascii="Arial" w:hAnsi="Arial" w:cs="Arial"/>
          <w:sz w:val="18"/>
          <w:szCs w:val="18"/>
        </w:rPr>
        <w:t>. NSW Ports media release, 21 June 2017.</w:t>
      </w:r>
    </w:p>
  </w:footnote>
  <w:footnote w:id="11">
    <w:p w14:paraId="3CBA3250" w14:textId="2748F3DC" w:rsidR="00731BED" w:rsidRPr="00731BED" w:rsidRDefault="00731BED">
      <w:pPr>
        <w:pStyle w:val="FootnoteText"/>
        <w:rPr>
          <w:rFonts w:ascii="Arial" w:hAnsi="Arial" w:cs="Arial"/>
          <w:sz w:val="18"/>
          <w:szCs w:val="18"/>
        </w:rPr>
      </w:pPr>
      <w:r>
        <w:rPr>
          <w:rStyle w:val="FootnoteReference"/>
        </w:rPr>
        <w:footnoteRef/>
      </w:r>
      <w:r>
        <w:t xml:space="preserve"> </w:t>
      </w:r>
      <w:r>
        <w:rPr>
          <w:rFonts w:ascii="Arial" w:hAnsi="Arial" w:cs="Arial"/>
          <w:sz w:val="18"/>
          <w:szCs w:val="18"/>
        </w:rPr>
        <w:t xml:space="preserve">Productivity Commission, </w:t>
      </w:r>
      <w:hyperlink r:id="rId7" w:history="1">
        <w:r w:rsidRPr="00731BED">
          <w:rPr>
            <w:rStyle w:val="Hyperlink"/>
            <w:rFonts w:ascii="Arial" w:hAnsi="Arial" w:cs="Arial"/>
            <w:sz w:val="18"/>
            <w:szCs w:val="18"/>
          </w:rPr>
          <w:t>Public Infrastructure</w:t>
        </w:r>
      </w:hyperlink>
      <w:r>
        <w:rPr>
          <w:rFonts w:ascii="Arial" w:hAnsi="Arial" w:cs="Arial"/>
          <w:sz w:val="18"/>
          <w:szCs w:val="18"/>
        </w:rPr>
        <w:t>, May 2014, 303.</w:t>
      </w:r>
    </w:p>
  </w:footnote>
  <w:footnote w:id="12">
    <w:p w14:paraId="5B9CB495" w14:textId="692E3164" w:rsidR="00731BED" w:rsidRPr="00BF4876" w:rsidRDefault="00731BED">
      <w:pPr>
        <w:pStyle w:val="FootnoteText"/>
        <w:rPr>
          <w:rFonts w:ascii="Arial" w:hAnsi="Arial" w:cs="Arial"/>
          <w:sz w:val="18"/>
          <w:szCs w:val="18"/>
        </w:rPr>
      </w:pPr>
      <w:r>
        <w:rPr>
          <w:rStyle w:val="FootnoteReference"/>
        </w:rPr>
        <w:footnoteRef/>
      </w:r>
      <w:r>
        <w:t xml:space="preserve"> </w:t>
      </w:r>
      <w:r w:rsidR="00BF4876" w:rsidRPr="00BF4876">
        <w:rPr>
          <w:rFonts w:ascii="Arial" w:hAnsi="Arial" w:cs="Arial"/>
          <w:sz w:val="18"/>
          <w:szCs w:val="18"/>
        </w:rPr>
        <w:t xml:space="preserve">Austroads, </w:t>
      </w:r>
      <w:hyperlink r:id="rId8" w:history="1">
        <w:r w:rsidR="00BF4876" w:rsidRPr="00BF4876">
          <w:rPr>
            <w:rStyle w:val="Hyperlink"/>
            <w:rFonts w:ascii="Arial" w:hAnsi="Arial" w:cs="Arial"/>
            <w:sz w:val="18"/>
            <w:szCs w:val="18"/>
          </w:rPr>
          <w:t>Reforming Remote and Regional Road Funding in Australia</w:t>
        </w:r>
      </w:hyperlink>
      <w:r w:rsidR="00BF4876" w:rsidRPr="00BF4876">
        <w:rPr>
          <w:rFonts w:ascii="Arial" w:hAnsi="Arial" w:cs="Arial"/>
          <w:sz w:val="18"/>
          <w:szCs w:val="18"/>
        </w:rPr>
        <w:t>, August 2016, i.</w:t>
      </w:r>
    </w:p>
  </w:footnote>
  <w:footnote w:id="13">
    <w:p w14:paraId="576D9760" w14:textId="17793AEB" w:rsidR="00BF4876" w:rsidRPr="00BF4876" w:rsidRDefault="00BF4876">
      <w:pPr>
        <w:pStyle w:val="FootnoteText"/>
        <w:rPr>
          <w:rFonts w:ascii="Arial" w:hAnsi="Arial" w:cs="Arial"/>
          <w:sz w:val="18"/>
          <w:szCs w:val="18"/>
        </w:rPr>
      </w:pPr>
      <w:r>
        <w:rPr>
          <w:rStyle w:val="FootnoteReference"/>
        </w:rPr>
        <w:footnoteRef/>
      </w:r>
      <w:r>
        <w:t xml:space="preserve"> </w:t>
      </w:r>
      <w:r>
        <w:rPr>
          <w:rFonts w:ascii="Arial" w:hAnsi="Arial" w:cs="Arial"/>
          <w:sz w:val="18"/>
          <w:szCs w:val="18"/>
        </w:rPr>
        <w:t xml:space="preserve">Victorian Auditor-General, </w:t>
      </w:r>
      <w:hyperlink r:id="rId9" w:history="1">
        <w:r w:rsidRPr="00BF4876">
          <w:rPr>
            <w:rStyle w:val="Hyperlink"/>
            <w:rFonts w:ascii="Arial" w:hAnsi="Arial" w:cs="Arial"/>
            <w:sz w:val="18"/>
            <w:szCs w:val="18"/>
          </w:rPr>
          <w:t>Maintaining State-Controlled Roadways</w:t>
        </w:r>
      </w:hyperlink>
      <w:r>
        <w:rPr>
          <w:rFonts w:ascii="Arial" w:hAnsi="Arial" w:cs="Arial"/>
          <w:sz w:val="18"/>
          <w:szCs w:val="18"/>
        </w:rPr>
        <w:t>, June 2017, vii.</w:t>
      </w:r>
    </w:p>
  </w:footnote>
  <w:footnote w:id="14">
    <w:p w14:paraId="460E66F1" w14:textId="743A695A" w:rsidR="00BF4876" w:rsidRDefault="00BF4876">
      <w:pPr>
        <w:pStyle w:val="FootnoteText"/>
      </w:pPr>
      <w:r>
        <w:rPr>
          <w:rStyle w:val="FootnoteReference"/>
        </w:rPr>
        <w:footnoteRef/>
      </w:r>
      <w:r>
        <w:t xml:space="preserve"> </w:t>
      </w:r>
      <w:r w:rsidRPr="004A7C5C">
        <w:rPr>
          <w:rFonts w:ascii="Arial" w:hAnsi="Arial" w:cs="Arial"/>
          <w:sz w:val="18"/>
          <w:szCs w:val="18"/>
        </w:rPr>
        <w:t xml:space="preserve">UK Department for Transport, </w:t>
      </w:r>
      <w:hyperlink r:id="rId10" w:history="1">
        <w:r w:rsidRPr="004A7C5C">
          <w:rPr>
            <w:rStyle w:val="Hyperlink"/>
            <w:rFonts w:ascii="Arial" w:hAnsi="Arial" w:cs="Arial"/>
            <w:sz w:val="18"/>
            <w:szCs w:val="18"/>
          </w:rPr>
          <w:t>Road Investment Strategy post 2020: planning ahead</w:t>
        </w:r>
      </w:hyperlink>
      <w:r w:rsidRPr="004A7C5C">
        <w:rPr>
          <w:rFonts w:ascii="Arial" w:hAnsi="Arial" w:cs="Arial"/>
          <w:sz w:val="18"/>
          <w:szCs w:val="18"/>
        </w:rPr>
        <w:t>, March 2016</w:t>
      </w:r>
      <w:r w:rsidR="004A7C5C" w:rsidRPr="004A7C5C">
        <w:rPr>
          <w:rFonts w:ascii="Arial" w:hAnsi="Arial" w:cs="Arial"/>
          <w:sz w:val="18"/>
          <w:szCs w:val="18"/>
        </w:rPr>
        <w:t>, 1.</w:t>
      </w:r>
    </w:p>
  </w:footnote>
  <w:footnote w:id="15">
    <w:p w14:paraId="153CBD69" w14:textId="2EF76DDB" w:rsidR="004A7C5C" w:rsidRPr="004A7C5C" w:rsidRDefault="004A7C5C">
      <w:pPr>
        <w:pStyle w:val="FootnoteText"/>
        <w:rPr>
          <w:rFonts w:ascii="Arial" w:hAnsi="Arial" w:cs="Arial"/>
          <w:sz w:val="18"/>
          <w:szCs w:val="18"/>
        </w:rPr>
      </w:pPr>
      <w:r>
        <w:rPr>
          <w:rStyle w:val="FootnoteReference"/>
        </w:rPr>
        <w:footnoteRef/>
      </w:r>
      <w:r>
        <w:t xml:space="preserve"> </w:t>
      </w:r>
      <w:r>
        <w:rPr>
          <w:rFonts w:ascii="Arial" w:hAnsi="Arial" w:cs="Arial"/>
          <w:sz w:val="18"/>
          <w:szCs w:val="18"/>
        </w:rPr>
        <w:t xml:space="preserve">UK HM Treasury, </w:t>
      </w:r>
      <w:hyperlink r:id="rId11" w:history="1">
        <w:r w:rsidRPr="004A7C5C">
          <w:rPr>
            <w:rStyle w:val="Hyperlink"/>
            <w:rFonts w:ascii="Arial" w:hAnsi="Arial" w:cs="Arial"/>
            <w:sz w:val="18"/>
            <w:szCs w:val="18"/>
          </w:rPr>
          <w:t>Summer Budget 2015</w:t>
        </w:r>
      </w:hyperlink>
      <w:r>
        <w:rPr>
          <w:rFonts w:ascii="Arial" w:hAnsi="Arial" w:cs="Arial"/>
          <w:sz w:val="18"/>
          <w:szCs w:val="18"/>
        </w:rPr>
        <w:t>, July 2015, 56, 97.</w:t>
      </w:r>
    </w:p>
  </w:footnote>
  <w:footnote w:id="16">
    <w:p w14:paraId="4C12A559" w14:textId="0898DC36" w:rsidR="00BF4876" w:rsidRPr="00BF4876" w:rsidRDefault="00BF4876">
      <w:pPr>
        <w:pStyle w:val="FootnoteText"/>
        <w:rPr>
          <w:rFonts w:ascii="Arial" w:hAnsi="Arial" w:cs="Arial"/>
          <w:sz w:val="18"/>
          <w:szCs w:val="18"/>
        </w:rPr>
      </w:pPr>
      <w:r>
        <w:rPr>
          <w:rStyle w:val="FootnoteReference"/>
        </w:rPr>
        <w:footnoteRef/>
      </w:r>
      <w:r>
        <w:t xml:space="preserve"> </w:t>
      </w:r>
      <w:r>
        <w:rPr>
          <w:rFonts w:ascii="Arial" w:hAnsi="Arial" w:cs="Arial"/>
          <w:sz w:val="18"/>
          <w:szCs w:val="18"/>
        </w:rPr>
        <w:t xml:space="preserve">UK Department for Transport, </w:t>
      </w:r>
      <w:hyperlink r:id="rId12" w:history="1">
        <w:r w:rsidRPr="00BF4876">
          <w:rPr>
            <w:rStyle w:val="Hyperlink"/>
            <w:rFonts w:ascii="Arial" w:hAnsi="Arial" w:cs="Arial"/>
            <w:sz w:val="18"/>
            <w:szCs w:val="18"/>
          </w:rPr>
          <w:t>Case for creation of a new public body in place of the Highways Agency</w:t>
        </w:r>
      </w:hyperlink>
      <w:r>
        <w:rPr>
          <w:rFonts w:ascii="Arial" w:hAnsi="Arial" w:cs="Arial"/>
          <w:sz w:val="18"/>
          <w:szCs w:val="18"/>
        </w:rPr>
        <w:t>, April 2014, 9.</w:t>
      </w:r>
    </w:p>
  </w:footnote>
  <w:footnote w:id="17">
    <w:p w14:paraId="31229E20" w14:textId="4ED9271F" w:rsidR="004A7C5C" w:rsidRDefault="004A7C5C">
      <w:pPr>
        <w:pStyle w:val="FootnoteText"/>
      </w:pPr>
      <w:r>
        <w:rPr>
          <w:rStyle w:val="FootnoteReference"/>
        </w:rPr>
        <w:footnoteRef/>
      </w:r>
      <w:r>
        <w:t xml:space="preserve"> </w:t>
      </w:r>
      <w:r>
        <w:rPr>
          <w:rFonts w:ascii="Arial" w:hAnsi="Arial" w:cs="Arial"/>
          <w:sz w:val="18"/>
          <w:szCs w:val="18"/>
        </w:rPr>
        <w:t xml:space="preserve">Productivity Commission, </w:t>
      </w:r>
      <w:hyperlink r:id="rId13" w:history="1">
        <w:r w:rsidRPr="00731BED">
          <w:rPr>
            <w:rStyle w:val="Hyperlink"/>
            <w:rFonts w:ascii="Arial" w:hAnsi="Arial" w:cs="Arial"/>
            <w:sz w:val="18"/>
            <w:szCs w:val="18"/>
          </w:rPr>
          <w:t>Public Infrastructure</w:t>
        </w:r>
      </w:hyperlink>
      <w:r>
        <w:rPr>
          <w:rFonts w:ascii="Arial" w:hAnsi="Arial" w:cs="Arial"/>
          <w:sz w:val="18"/>
          <w:szCs w:val="18"/>
        </w:rPr>
        <w:t>, May 2014, 303.</w:t>
      </w:r>
    </w:p>
  </w:footnote>
  <w:footnote w:id="18">
    <w:p w14:paraId="350D7C75" w14:textId="4E578F2D" w:rsidR="00DB4A57" w:rsidRPr="00DB4A57" w:rsidRDefault="00DB4A57">
      <w:pPr>
        <w:pStyle w:val="FootnoteText"/>
        <w:rPr>
          <w:rFonts w:ascii="Arial" w:hAnsi="Arial" w:cs="Arial"/>
          <w:sz w:val="18"/>
          <w:szCs w:val="18"/>
        </w:rPr>
      </w:pPr>
      <w:r>
        <w:rPr>
          <w:rStyle w:val="FootnoteReference"/>
        </w:rPr>
        <w:footnoteRef/>
      </w:r>
      <w:r>
        <w:t xml:space="preserve"> </w:t>
      </w:r>
      <w:r>
        <w:rPr>
          <w:rFonts w:ascii="Arial" w:hAnsi="Arial" w:cs="Arial"/>
          <w:sz w:val="18"/>
          <w:szCs w:val="18"/>
        </w:rPr>
        <w:t xml:space="preserve">Infrastructure Australia, </w:t>
      </w:r>
      <w:hyperlink r:id="rId14" w:history="1">
        <w:r w:rsidRPr="00DB4A57">
          <w:rPr>
            <w:rStyle w:val="Hyperlink"/>
            <w:rFonts w:ascii="Arial" w:hAnsi="Arial" w:cs="Arial"/>
            <w:sz w:val="18"/>
            <w:szCs w:val="18"/>
          </w:rPr>
          <w:t>Infrastructure Australia Statement of Intent 2015-2017</w:t>
        </w:r>
      </w:hyperlink>
      <w:r>
        <w:rPr>
          <w:rFonts w:ascii="Arial" w:hAnsi="Arial" w:cs="Arial"/>
          <w:sz w:val="18"/>
          <w:szCs w:val="18"/>
        </w:rPr>
        <w:t>, 2015, 3</w:t>
      </w:r>
      <w:r w:rsidR="001D2ED9">
        <w:rPr>
          <w:rFonts w:ascii="Arial" w:hAnsi="Arial" w:cs="Arial"/>
          <w:sz w:val="18"/>
          <w:szCs w:val="18"/>
        </w:rPr>
        <w:t xml:space="preserve"> &amp; </w:t>
      </w:r>
      <w:r>
        <w:rPr>
          <w:rFonts w:ascii="Arial" w:hAnsi="Arial" w:cs="Arial"/>
          <w:sz w:val="18"/>
          <w:szCs w:val="18"/>
        </w:rPr>
        <w:t>5.</w:t>
      </w:r>
    </w:p>
  </w:footnote>
  <w:footnote w:id="19">
    <w:p w14:paraId="7A4D0289" w14:textId="077286F0" w:rsidR="00573350" w:rsidRPr="00573350" w:rsidRDefault="00573350">
      <w:pPr>
        <w:pStyle w:val="FootnoteText"/>
        <w:rPr>
          <w:rFonts w:ascii="Arial" w:hAnsi="Arial" w:cs="Arial"/>
          <w:sz w:val="18"/>
          <w:szCs w:val="18"/>
        </w:rPr>
      </w:pPr>
      <w:r>
        <w:rPr>
          <w:rStyle w:val="FootnoteReference"/>
        </w:rPr>
        <w:footnoteRef/>
      </w:r>
      <w:r>
        <w:t xml:space="preserve"> </w:t>
      </w:r>
      <w:r>
        <w:rPr>
          <w:rFonts w:ascii="Arial" w:hAnsi="Arial" w:cs="Arial"/>
          <w:sz w:val="18"/>
          <w:szCs w:val="18"/>
        </w:rPr>
        <w:t xml:space="preserve">Joint announcement by the Prime Minister and WA Premier, </w:t>
      </w:r>
      <w:hyperlink r:id="rId15" w:history="1">
        <w:r w:rsidRPr="00573350">
          <w:rPr>
            <w:rStyle w:val="Hyperlink"/>
            <w:rFonts w:ascii="Arial" w:hAnsi="Arial" w:cs="Arial"/>
            <w:sz w:val="18"/>
            <w:szCs w:val="18"/>
          </w:rPr>
          <w:t>$2.3 billion jobs and infrastructure boost for Western Australia</w:t>
        </w:r>
      </w:hyperlink>
      <w:r>
        <w:rPr>
          <w:rFonts w:ascii="Arial" w:hAnsi="Arial" w:cs="Arial"/>
          <w:sz w:val="18"/>
          <w:szCs w:val="18"/>
        </w:rPr>
        <w:t>, 7 May 2017.</w:t>
      </w:r>
    </w:p>
  </w:footnote>
  <w:footnote w:id="20">
    <w:p w14:paraId="38320C34" w14:textId="587A6254" w:rsidR="004A7C5C" w:rsidRDefault="004A7C5C">
      <w:pPr>
        <w:pStyle w:val="FootnoteText"/>
      </w:pPr>
      <w:r>
        <w:rPr>
          <w:rStyle w:val="FootnoteReference"/>
        </w:rPr>
        <w:footnoteRef/>
      </w:r>
      <w:r>
        <w:t xml:space="preserve"> </w:t>
      </w:r>
      <w:r w:rsidRPr="00BF4876">
        <w:rPr>
          <w:rFonts w:ascii="Arial" w:hAnsi="Arial" w:cs="Arial"/>
          <w:sz w:val="18"/>
          <w:szCs w:val="18"/>
        </w:rPr>
        <w:t xml:space="preserve">Austroads, </w:t>
      </w:r>
      <w:hyperlink r:id="rId16" w:history="1">
        <w:r w:rsidRPr="00BF4876">
          <w:rPr>
            <w:rStyle w:val="Hyperlink"/>
            <w:rFonts w:ascii="Arial" w:hAnsi="Arial" w:cs="Arial"/>
            <w:sz w:val="18"/>
            <w:szCs w:val="18"/>
          </w:rPr>
          <w:t>Reforming Remote and Regional Road Funding in Australia</w:t>
        </w:r>
      </w:hyperlink>
      <w:r>
        <w:rPr>
          <w:rFonts w:ascii="Arial" w:hAnsi="Arial" w:cs="Arial"/>
          <w:sz w:val="18"/>
          <w:szCs w:val="18"/>
        </w:rPr>
        <w:t>, August 2016, 48</w:t>
      </w:r>
      <w:r w:rsidRPr="00BF4876">
        <w:rPr>
          <w:rFonts w:ascii="Arial" w:hAnsi="Arial" w:cs="Arial"/>
          <w:sz w:val="18"/>
          <w:szCs w:val="18"/>
        </w:rPr>
        <w:t>.</w:t>
      </w:r>
    </w:p>
  </w:footnote>
  <w:footnote w:id="21">
    <w:p w14:paraId="3FFD8857" w14:textId="3FC9A1A6" w:rsidR="00115737" w:rsidRPr="00115737" w:rsidRDefault="00115737">
      <w:pPr>
        <w:pStyle w:val="FootnoteText"/>
        <w:rPr>
          <w:rFonts w:ascii="Arial" w:hAnsi="Arial" w:cs="Arial"/>
          <w:sz w:val="18"/>
          <w:szCs w:val="18"/>
        </w:rPr>
      </w:pPr>
      <w:r>
        <w:rPr>
          <w:rStyle w:val="FootnoteReference"/>
        </w:rPr>
        <w:footnoteRef/>
      </w:r>
      <w:r>
        <w:t xml:space="preserve"> </w:t>
      </w:r>
      <w:r>
        <w:rPr>
          <w:rFonts w:ascii="Arial" w:hAnsi="Arial" w:cs="Arial"/>
          <w:sz w:val="18"/>
          <w:szCs w:val="18"/>
        </w:rPr>
        <w:t xml:space="preserve">Victorian Auditor-General, </w:t>
      </w:r>
      <w:hyperlink r:id="rId17" w:history="1">
        <w:r w:rsidRPr="00BF4876">
          <w:rPr>
            <w:rStyle w:val="Hyperlink"/>
            <w:rFonts w:ascii="Arial" w:hAnsi="Arial" w:cs="Arial"/>
            <w:sz w:val="18"/>
            <w:szCs w:val="18"/>
          </w:rPr>
          <w:t>Maintaining State-Controlled Roadways</w:t>
        </w:r>
      </w:hyperlink>
      <w:r>
        <w:rPr>
          <w:rFonts w:ascii="Arial" w:hAnsi="Arial" w:cs="Arial"/>
          <w:sz w:val="18"/>
          <w:szCs w:val="18"/>
        </w:rPr>
        <w:t>, June 2017.</w:t>
      </w:r>
    </w:p>
  </w:footnote>
  <w:footnote w:id="22">
    <w:p w14:paraId="7A514000" w14:textId="6170A737" w:rsidR="00115737" w:rsidRPr="00115737" w:rsidRDefault="00115737">
      <w:pPr>
        <w:pStyle w:val="FootnoteText"/>
        <w:rPr>
          <w:rFonts w:ascii="Arial" w:hAnsi="Arial" w:cs="Arial"/>
          <w:sz w:val="18"/>
          <w:szCs w:val="18"/>
        </w:rPr>
      </w:pPr>
      <w:r w:rsidRPr="00115737">
        <w:rPr>
          <w:rStyle w:val="FootnoteReference"/>
          <w:rFonts w:ascii="Arial" w:hAnsi="Arial" w:cs="Arial"/>
          <w:sz w:val="18"/>
          <w:szCs w:val="18"/>
        </w:rPr>
        <w:footnoteRef/>
      </w:r>
      <w:r w:rsidRPr="00115737">
        <w:rPr>
          <w:rFonts w:ascii="Arial" w:hAnsi="Arial" w:cs="Arial"/>
          <w:sz w:val="18"/>
          <w:szCs w:val="18"/>
        </w:rPr>
        <w:t xml:space="preserve"> NZ Transport Agency, </w:t>
      </w:r>
      <w:hyperlink r:id="rId18" w:history="1">
        <w:r w:rsidRPr="00115737">
          <w:rPr>
            <w:rStyle w:val="Hyperlink"/>
            <w:rFonts w:ascii="Arial" w:hAnsi="Arial" w:cs="Arial"/>
            <w:sz w:val="18"/>
            <w:szCs w:val="18"/>
          </w:rPr>
          <w:t>National Land Transport Programme 2015-18</w:t>
        </w:r>
      </w:hyperlink>
      <w:r w:rsidRPr="00115737">
        <w:rPr>
          <w:rFonts w:ascii="Arial" w:hAnsi="Arial" w:cs="Arial"/>
          <w:sz w:val="18"/>
          <w:szCs w:val="18"/>
        </w:rPr>
        <w:t>, 3.</w:t>
      </w:r>
    </w:p>
  </w:footnote>
  <w:footnote w:id="23">
    <w:p w14:paraId="2D7413FB" w14:textId="5A3A96F0" w:rsidR="00115737" w:rsidRDefault="00115737">
      <w:pPr>
        <w:pStyle w:val="FootnoteText"/>
      </w:pPr>
      <w:r>
        <w:rPr>
          <w:rStyle w:val="FootnoteReference"/>
        </w:rPr>
        <w:footnoteRef/>
      </w:r>
      <w:r>
        <w:t xml:space="preserve"> </w:t>
      </w:r>
      <w:r w:rsidRPr="00115737">
        <w:rPr>
          <w:rFonts w:ascii="Arial" w:hAnsi="Arial" w:cs="Arial"/>
          <w:sz w:val="18"/>
          <w:szCs w:val="18"/>
        </w:rPr>
        <w:t xml:space="preserve">NZ Ministry of Transport, </w:t>
      </w:r>
      <w:hyperlink r:id="rId19" w:history="1">
        <w:r w:rsidRPr="00115737">
          <w:rPr>
            <w:rStyle w:val="Hyperlink"/>
            <w:rFonts w:ascii="Arial" w:hAnsi="Arial" w:cs="Arial"/>
            <w:sz w:val="18"/>
            <w:szCs w:val="18"/>
          </w:rPr>
          <w:t>Government Policy Statement on land transport 2018 Questions and Answers</w:t>
        </w:r>
      </w:hyperlink>
      <w:r w:rsidRPr="00115737">
        <w:rPr>
          <w:rFonts w:ascii="Arial" w:hAnsi="Arial" w:cs="Arial"/>
          <w:sz w:val="18"/>
          <w:szCs w:val="18"/>
        </w:rPr>
        <w:t>, February 2017.</w:t>
      </w:r>
    </w:p>
  </w:footnote>
  <w:footnote w:id="24">
    <w:p w14:paraId="7CB9265E" w14:textId="0A3EC99D" w:rsidR="00731BED" w:rsidRPr="00115737" w:rsidRDefault="00731BED">
      <w:pPr>
        <w:pStyle w:val="FootnoteText"/>
        <w:rPr>
          <w:rFonts w:ascii="Arial" w:hAnsi="Arial" w:cs="Arial"/>
          <w:sz w:val="18"/>
          <w:szCs w:val="18"/>
        </w:rPr>
      </w:pPr>
      <w:r w:rsidRPr="00115737">
        <w:rPr>
          <w:rStyle w:val="FootnoteReference"/>
          <w:rFonts w:ascii="Arial" w:hAnsi="Arial" w:cs="Arial"/>
          <w:sz w:val="18"/>
          <w:szCs w:val="18"/>
        </w:rPr>
        <w:footnoteRef/>
      </w:r>
      <w:r w:rsidRPr="00115737">
        <w:rPr>
          <w:rFonts w:ascii="Arial" w:hAnsi="Arial" w:cs="Arial"/>
          <w:sz w:val="18"/>
          <w:szCs w:val="18"/>
        </w:rPr>
        <w:t xml:space="preserve"> </w:t>
      </w:r>
      <w:r w:rsidR="00115737">
        <w:rPr>
          <w:rFonts w:ascii="Arial" w:hAnsi="Arial" w:cs="Arial"/>
          <w:sz w:val="18"/>
          <w:szCs w:val="18"/>
        </w:rPr>
        <w:t xml:space="preserve">Infrastructure Australia, </w:t>
      </w:r>
      <w:hyperlink r:id="rId20" w:history="1">
        <w:r w:rsidR="00115737" w:rsidRPr="00115737">
          <w:rPr>
            <w:rStyle w:val="Hyperlink"/>
            <w:rFonts w:ascii="Arial" w:hAnsi="Arial" w:cs="Arial"/>
            <w:sz w:val="18"/>
            <w:szCs w:val="18"/>
          </w:rPr>
          <w:t>Corridor Protection: Planning and investing for the long term</w:t>
        </w:r>
      </w:hyperlink>
      <w:r w:rsidR="00115737">
        <w:rPr>
          <w:rFonts w:ascii="Arial" w:hAnsi="Arial" w:cs="Arial"/>
          <w:sz w:val="18"/>
          <w:szCs w:val="18"/>
        </w:rPr>
        <w:t>, July 2017, 2-3.</w:t>
      </w:r>
    </w:p>
  </w:footnote>
  <w:footnote w:id="25">
    <w:p w14:paraId="358C20E3" w14:textId="5C9B7743" w:rsidR="00AF043D" w:rsidRPr="00AF043D" w:rsidRDefault="00AF043D">
      <w:pPr>
        <w:pStyle w:val="FootnoteText"/>
        <w:rPr>
          <w:rFonts w:ascii="Arial" w:hAnsi="Arial" w:cs="Arial"/>
          <w:sz w:val="18"/>
          <w:szCs w:val="18"/>
        </w:rPr>
      </w:pPr>
      <w:r>
        <w:rPr>
          <w:rStyle w:val="FootnoteReference"/>
        </w:rPr>
        <w:footnoteRef/>
      </w:r>
      <w:r>
        <w:t xml:space="preserve"> </w:t>
      </w:r>
      <w:r>
        <w:rPr>
          <w:rFonts w:ascii="Arial" w:hAnsi="Arial" w:cs="Arial"/>
          <w:sz w:val="18"/>
          <w:szCs w:val="18"/>
        </w:rPr>
        <w:t xml:space="preserve">Infrastructure Australia, </w:t>
      </w:r>
      <w:hyperlink r:id="rId21" w:history="1">
        <w:r w:rsidRPr="00AF043D">
          <w:rPr>
            <w:rStyle w:val="Hyperlink"/>
            <w:rFonts w:ascii="Arial" w:hAnsi="Arial" w:cs="Arial"/>
            <w:sz w:val="18"/>
            <w:szCs w:val="18"/>
          </w:rPr>
          <w:t>Northern Australia Audit</w:t>
        </w:r>
      </w:hyperlink>
      <w:r>
        <w:rPr>
          <w:rFonts w:ascii="Arial" w:hAnsi="Arial" w:cs="Arial"/>
          <w:sz w:val="18"/>
          <w:szCs w:val="18"/>
        </w:rPr>
        <w:t>, January 2015, 111-114.</w:t>
      </w:r>
    </w:p>
  </w:footnote>
  <w:footnote w:id="26">
    <w:p w14:paraId="7514FCB5" w14:textId="77777777" w:rsidR="00AF043D" w:rsidRDefault="00AF043D" w:rsidP="00AF043D">
      <w:pPr>
        <w:pStyle w:val="FootnoteText"/>
      </w:pPr>
      <w:r>
        <w:rPr>
          <w:rStyle w:val="FootnoteReference"/>
        </w:rPr>
        <w:footnoteRef/>
      </w:r>
      <w:r>
        <w:t xml:space="preserve"> </w:t>
      </w:r>
      <w:r w:rsidRPr="00BF4876">
        <w:rPr>
          <w:rFonts w:ascii="Arial" w:hAnsi="Arial" w:cs="Arial"/>
          <w:sz w:val="18"/>
          <w:szCs w:val="18"/>
        </w:rPr>
        <w:t xml:space="preserve">Austroads, </w:t>
      </w:r>
      <w:hyperlink r:id="rId22" w:history="1">
        <w:r w:rsidRPr="00BF4876">
          <w:rPr>
            <w:rStyle w:val="Hyperlink"/>
            <w:rFonts w:ascii="Arial" w:hAnsi="Arial" w:cs="Arial"/>
            <w:sz w:val="18"/>
            <w:szCs w:val="18"/>
          </w:rPr>
          <w:t>Reforming Remote and Regional Road Funding in Australia</w:t>
        </w:r>
      </w:hyperlink>
      <w:r>
        <w:rPr>
          <w:rFonts w:ascii="Arial" w:hAnsi="Arial" w:cs="Arial"/>
          <w:sz w:val="18"/>
          <w:szCs w:val="18"/>
        </w:rPr>
        <w:t>, August 2016, 45-75.</w:t>
      </w:r>
    </w:p>
  </w:footnote>
  <w:footnote w:id="27">
    <w:p w14:paraId="40C08CCA" w14:textId="0033E45D" w:rsidR="00AF043D" w:rsidRDefault="00AF043D">
      <w:pPr>
        <w:pStyle w:val="FootnoteText"/>
      </w:pPr>
      <w:r>
        <w:rPr>
          <w:rStyle w:val="FootnoteReference"/>
        </w:rPr>
        <w:footnoteRef/>
      </w:r>
      <w:r>
        <w:t xml:space="preserve"> </w:t>
      </w:r>
      <w:r w:rsidRPr="00AF043D">
        <w:rPr>
          <w:rFonts w:ascii="Arial" w:hAnsi="Arial" w:cs="Arial"/>
          <w:sz w:val="18"/>
          <w:szCs w:val="18"/>
        </w:rPr>
        <w:t>Ibid, 59-60.</w:t>
      </w:r>
    </w:p>
  </w:footnote>
  <w:footnote w:id="28">
    <w:p w14:paraId="32E857B0" w14:textId="5C435D7D" w:rsidR="000405D6" w:rsidRPr="000405D6" w:rsidRDefault="000405D6">
      <w:pPr>
        <w:pStyle w:val="FootnoteText"/>
        <w:rPr>
          <w:rFonts w:ascii="Arial" w:hAnsi="Arial" w:cs="Arial"/>
          <w:sz w:val="18"/>
          <w:szCs w:val="18"/>
        </w:rPr>
      </w:pPr>
      <w:r>
        <w:rPr>
          <w:rStyle w:val="FootnoteReference"/>
        </w:rPr>
        <w:footnoteRef/>
      </w:r>
      <w:r>
        <w:t xml:space="preserve"> </w:t>
      </w:r>
      <w:r>
        <w:rPr>
          <w:rFonts w:ascii="Arial" w:hAnsi="Arial" w:cs="Arial"/>
          <w:sz w:val="18"/>
          <w:szCs w:val="18"/>
        </w:rPr>
        <w:t xml:space="preserve">Productivity Commission, </w:t>
      </w:r>
      <w:hyperlink r:id="rId23" w:history="1">
        <w:r w:rsidRPr="000405D6">
          <w:rPr>
            <w:rStyle w:val="Hyperlink"/>
            <w:rFonts w:ascii="Arial" w:hAnsi="Arial" w:cs="Arial"/>
            <w:sz w:val="18"/>
            <w:szCs w:val="18"/>
          </w:rPr>
          <w:t>Public Infrastructure</w:t>
        </w:r>
      </w:hyperlink>
      <w:r>
        <w:rPr>
          <w:rFonts w:ascii="Arial" w:hAnsi="Arial" w:cs="Arial"/>
          <w:sz w:val="18"/>
          <w:szCs w:val="18"/>
        </w:rPr>
        <w:t xml:space="preserve">. 27 May 2014, </w:t>
      </w:r>
      <w:r w:rsidR="000565AF">
        <w:rPr>
          <w:rFonts w:ascii="Arial" w:hAnsi="Arial" w:cs="Arial"/>
          <w:sz w:val="18"/>
          <w:szCs w:val="18"/>
        </w:rPr>
        <w:t xml:space="preserve">94, </w:t>
      </w:r>
      <w:r>
        <w:rPr>
          <w:rFonts w:ascii="Arial" w:hAnsi="Arial" w:cs="Arial"/>
          <w:sz w:val="18"/>
          <w:szCs w:val="18"/>
        </w:rPr>
        <w:t>103.</w:t>
      </w:r>
    </w:p>
  </w:footnote>
  <w:footnote w:id="29">
    <w:p w14:paraId="0E67D2BB" w14:textId="287CDF22" w:rsidR="00550750" w:rsidRDefault="00550750">
      <w:pPr>
        <w:pStyle w:val="FootnoteText"/>
      </w:pPr>
      <w:r>
        <w:rPr>
          <w:rStyle w:val="FootnoteReference"/>
        </w:rPr>
        <w:footnoteRef/>
      </w:r>
      <w:r>
        <w:t xml:space="preserve"> </w:t>
      </w:r>
      <w:r w:rsidRPr="00550750">
        <w:rPr>
          <w:rFonts w:ascii="Arial" w:hAnsi="Arial" w:cs="Arial"/>
          <w:sz w:val="18"/>
          <w:szCs w:val="18"/>
        </w:rPr>
        <w:t xml:space="preserve">Austroads, </w:t>
      </w:r>
      <w:hyperlink r:id="rId24" w:history="1">
        <w:r w:rsidRPr="00550750">
          <w:rPr>
            <w:rStyle w:val="Hyperlink"/>
            <w:rFonts w:ascii="Arial" w:hAnsi="Arial" w:cs="Arial"/>
            <w:sz w:val="18"/>
            <w:szCs w:val="18"/>
          </w:rPr>
          <w:t>Assessment of key road operator actions to support automated vehicles</w:t>
        </w:r>
      </w:hyperlink>
      <w:r w:rsidRPr="00550750">
        <w:rPr>
          <w:rFonts w:ascii="Arial" w:hAnsi="Arial" w:cs="Arial"/>
          <w:sz w:val="18"/>
          <w:szCs w:val="18"/>
        </w:rPr>
        <w:t>. Research report AP-R543-17, May 2017.</w:t>
      </w:r>
    </w:p>
  </w:footnote>
  <w:footnote w:id="30">
    <w:p w14:paraId="4B15D752" w14:textId="77777777" w:rsidR="00817671" w:rsidRPr="007E1703" w:rsidRDefault="00817671" w:rsidP="00817671">
      <w:pPr>
        <w:pStyle w:val="FootnoteText"/>
        <w:rPr>
          <w:rFonts w:ascii="Arial" w:hAnsi="Arial" w:cs="Arial"/>
          <w:sz w:val="18"/>
          <w:szCs w:val="18"/>
        </w:rPr>
      </w:pPr>
      <w:r>
        <w:rPr>
          <w:rStyle w:val="FootnoteReference"/>
        </w:rPr>
        <w:footnoteRef/>
      </w:r>
      <w:r>
        <w:t xml:space="preserve"> </w:t>
      </w:r>
      <w:r>
        <w:rPr>
          <w:rFonts w:ascii="Arial" w:hAnsi="Arial" w:cs="Arial"/>
          <w:sz w:val="18"/>
          <w:szCs w:val="18"/>
        </w:rPr>
        <w:t xml:space="preserve">Department of Communications and the Arts, </w:t>
      </w:r>
      <w:hyperlink r:id="rId25" w:history="1">
        <w:r w:rsidRPr="007E1703">
          <w:rPr>
            <w:rStyle w:val="Hyperlink"/>
            <w:rFonts w:ascii="Arial" w:hAnsi="Arial" w:cs="Arial"/>
            <w:sz w:val="18"/>
            <w:szCs w:val="18"/>
          </w:rPr>
          <w:t>Mobile Black Spot Program</w:t>
        </w:r>
      </w:hyperlink>
      <w:r>
        <w:rPr>
          <w:rFonts w:ascii="Arial" w:hAnsi="Arial" w:cs="Arial"/>
          <w:sz w:val="18"/>
          <w:szCs w:val="18"/>
        </w:rPr>
        <w:t>, website accessed on 19 July 2017.</w:t>
      </w:r>
    </w:p>
  </w:footnote>
  <w:footnote w:id="31">
    <w:p w14:paraId="164B02EA" w14:textId="3381FDC1" w:rsidR="00731BED" w:rsidRDefault="00731BED" w:rsidP="003D3192">
      <w:pPr>
        <w:pStyle w:val="FootnoteText"/>
      </w:pPr>
      <w:r>
        <w:rPr>
          <w:rStyle w:val="FootnoteReference"/>
        </w:rPr>
        <w:footnoteRef/>
      </w:r>
      <w:r w:rsidRPr="00AF043D">
        <w:rPr>
          <w:rFonts w:ascii="Arial" w:hAnsi="Arial" w:cs="Arial"/>
          <w:sz w:val="18"/>
          <w:szCs w:val="18"/>
        </w:rPr>
        <w:t xml:space="preserve"> </w:t>
      </w:r>
      <w:r w:rsidR="00AF043D">
        <w:rPr>
          <w:rFonts w:ascii="Arial" w:hAnsi="Arial" w:cs="Arial"/>
          <w:sz w:val="18"/>
          <w:szCs w:val="18"/>
        </w:rPr>
        <w:t xml:space="preserve">Infrastructure Australia, </w:t>
      </w:r>
      <w:hyperlink r:id="rId26" w:history="1">
        <w:r w:rsidR="00AF043D" w:rsidRPr="00AF043D">
          <w:rPr>
            <w:rStyle w:val="Hyperlink"/>
            <w:rFonts w:ascii="Arial" w:hAnsi="Arial" w:cs="Arial"/>
            <w:sz w:val="18"/>
            <w:szCs w:val="18"/>
          </w:rPr>
          <w:t>Australian Infrastructure Plan</w:t>
        </w:r>
      </w:hyperlink>
      <w:r w:rsidR="00AF043D">
        <w:rPr>
          <w:rFonts w:ascii="Arial" w:hAnsi="Arial" w:cs="Arial"/>
          <w:sz w:val="18"/>
          <w:szCs w:val="18"/>
        </w:rPr>
        <w:t xml:space="preserve">, February 2016, </w:t>
      </w:r>
      <w:r w:rsidRPr="00AF043D">
        <w:rPr>
          <w:rFonts w:ascii="Arial" w:hAnsi="Arial" w:cs="Arial"/>
          <w:sz w:val="18"/>
          <w:szCs w:val="18"/>
        </w:rPr>
        <w:t>20</w:t>
      </w:r>
    </w:p>
  </w:footnote>
  <w:footnote w:id="32">
    <w:p w14:paraId="397D24F9" w14:textId="77777777" w:rsidR="00550750" w:rsidRPr="007E1703" w:rsidRDefault="00550750" w:rsidP="00550750">
      <w:pPr>
        <w:pStyle w:val="FootnoteText"/>
        <w:rPr>
          <w:rFonts w:ascii="Arial" w:hAnsi="Arial" w:cs="Arial"/>
          <w:sz w:val="18"/>
          <w:szCs w:val="18"/>
        </w:rPr>
      </w:pPr>
      <w:r>
        <w:rPr>
          <w:rStyle w:val="FootnoteReference"/>
        </w:rPr>
        <w:footnoteRef/>
      </w:r>
      <w:r>
        <w:t xml:space="preserve"> </w:t>
      </w:r>
      <w:r>
        <w:rPr>
          <w:rFonts w:ascii="Arial" w:hAnsi="Arial" w:cs="Arial"/>
          <w:sz w:val="18"/>
          <w:szCs w:val="18"/>
        </w:rPr>
        <w:t>Ibid,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5FCDF" w14:textId="77777777" w:rsidR="00731BED" w:rsidRPr="00E8056B" w:rsidRDefault="00731BED" w:rsidP="001C3659">
    <w:pPr>
      <w:jc w:val="right"/>
      <w:rPr>
        <w:rFonts w:ascii="Arial" w:hAnsi="Arial" w:cs="Arial"/>
        <w:color w:val="FF0000"/>
        <w:sz w:val="18"/>
        <w:szCs w:val="18"/>
      </w:rPr>
    </w:pPr>
    <w:r w:rsidRPr="00E8056B">
      <w:rPr>
        <w:rFonts w:ascii="Arial" w:hAnsi="Arial" w:cs="Arial"/>
        <w:color w:val="000064"/>
        <w:sz w:val="18"/>
        <w:szCs w:val="18"/>
      </w:rPr>
      <w:t xml:space="preserve">AUSTRALIAN TRUCKING </w:t>
    </w:r>
    <w:r w:rsidRPr="00E8056B">
      <w:rPr>
        <w:rFonts w:ascii="Arial" w:hAnsi="Arial" w:cs="Arial"/>
        <w:color w:val="FF0000"/>
        <w:sz w:val="18"/>
        <w:szCs w:val="18"/>
      </w:rPr>
      <w:t>ASSOCIATION</w:t>
    </w:r>
  </w:p>
  <w:p w14:paraId="6B72BC78" w14:textId="77777777" w:rsidR="00731BED" w:rsidRDefault="00731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4F0C2" w14:textId="77777777" w:rsidR="00731BED" w:rsidRDefault="00731B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9C9E9" w14:textId="77777777" w:rsidR="00731BED" w:rsidRPr="0019542E" w:rsidRDefault="00731BED" w:rsidP="00986804">
    <w:pPr>
      <w:jc w:val="right"/>
      <w:rPr>
        <w:sz w:val="4"/>
        <w:szCs w:val="4"/>
      </w:rPr>
    </w:pPr>
    <w:r w:rsidRPr="00565F92">
      <w:rPr>
        <w:rFonts w:ascii="Arial" w:hAnsi="Arial" w:cs="Arial"/>
        <w:color w:val="000064"/>
        <w:sz w:val="18"/>
        <w:szCs w:val="18"/>
      </w:rPr>
      <w:t xml:space="preserve">AUSTRALIAN TRUCKING </w:t>
    </w:r>
    <w:r w:rsidRPr="00565F92">
      <w:rPr>
        <w:rFonts w:ascii="Arial" w:hAnsi="Arial" w:cs="Arial"/>
        <w:color w:val="FF0000"/>
        <w:sz w:val="18"/>
        <w:szCs w:val="18"/>
      </w:rPr>
      <w:t>ASSOCIATION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034EF" w14:textId="77777777" w:rsidR="00731BED" w:rsidRDefault="00731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73E"/>
    <w:multiLevelType w:val="hybridMultilevel"/>
    <w:tmpl w:val="A49C9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D84064"/>
    <w:multiLevelType w:val="hybridMultilevel"/>
    <w:tmpl w:val="FBC2E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72361E"/>
    <w:multiLevelType w:val="hybridMultilevel"/>
    <w:tmpl w:val="917CB640"/>
    <w:lvl w:ilvl="0" w:tplc="5CFCC3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F1F0146"/>
    <w:multiLevelType w:val="hybridMultilevel"/>
    <w:tmpl w:val="2EB64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0F32A0"/>
    <w:multiLevelType w:val="hybridMultilevel"/>
    <w:tmpl w:val="BF9EB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503235"/>
    <w:multiLevelType w:val="hybridMultilevel"/>
    <w:tmpl w:val="C160F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A35423"/>
    <w:multiLevelType w:val="hybridMultilevel"/>
    <w:tmpl w:val="8968C0E4"/>
    <w:lvl w:ilvl="0" w:tplc="815878FA">
      <w:start w:val="1"/>
      <w:numFmt w:val="decimal"/>
      <w:pStyle w:val="RecommendationStyle"/>
      <w:lvlText w:val="Recommendation %1"/>
      <w:lvlJc w:val="left"/>
      <w:pPr>
        <w:tabs>
          <w:tab w:val="num" w:pos="1192"/>
        </w:tabs>
      </w:pPr>
      <w:rPr>
        <w:rFonts w:ascii="Arial" w:hAnsi="Arial" w:cs="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93D7D4A"/>
    <w:multiLevelType w:val="hybridMultilevel"/>
    <w:tmpl w:val="88048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AC28E0"/>
    <w:multiLevelType w:val="hybridMultilevel"/>
    <w:tmpl w:val="9E8E42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4D4E715B"/>
    <w:multiLevelType w:val="hybridMultilevel"/>
    <w:tmpl w:val="FDFE9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E504ED"/>
    <w:multiLevelType w:val="hybridMultilevel"/>
    <w:tmpl w:val="42145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284F6A"/>
    <w:multiLevelType w:val="hybridMultilevel"/>
    <w:tmpl w:val="C1AC8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554ED9"/>
    <w:multiLevelType w:val="multilevel"/>
    <w:tmpl w:val="652E1C90"/>
    <w:lvl w:ilvl="0">
      <w:start w:val="1"/>
      <w:numFmt w:val="decimal"/>
      <w:pStyle w:val="Heading1"/>
      <w:lvlText w:val="%1."/>
      <w:lvlJc w:val="left"/>
      <w:pPr>
        <w:ind w:left="643" w:hanging="360"/>
      </w:pPr>
      <w:rPr>
        <w:rFonts w:cs="Times New Roman" w:hint="default"/>
      </w:rPr>
    </w:lvl>
    <w:lvl w:ilvl="1">
      <w:start w:val="1"/>
      <w:numFmt w:val="decimal"/>
      <w:pStyle w:val="ATAHeading2"/>
      <w:lvlText w:val="%1.%2."/>
      <w:lvlJc w:val="left"/>
      <w:pPr>
        <w:ind w:left="290" w:hanging="432"/>
      </w:pPr>
      <w:rPr>
        <w:rFonts w:cs="Times New Roman" w:hint="default"/>
      </w:rPr>
    </w:lvl>
    <w:lvl w:ilvl="2">
      <w:start w:val="1"/>
      <w:numFmt w:val="decimal"/>
      <w:pStyle w:val="ATAHeading3"/>
      <w:lvlText w:val="%1.%2.%3."/>
      <w:lvlJc w:val="left"/>
      <w:pPr>
        <w:ind w:left="798" w:hanging="504"/>
      </w:pPr>
      <w:rPr>
        <w:rFonts w:cs="Times New Roman" w:hint="default"/>
        <w:b/>
        <w:color w:val="000064"/>
      </w:rPr>
    </w:lvl>
    <w:lvl w:ilvl="3">
      <w:start w:val="1"/>
      <w:numFmt w:val="decimal"/>
      <w:lvlText w:val="%1.%2.%3.%4."/>
      <w:lvlJc w:val="left"/>
      <w:pPr>
        <w:ind w:left="1302" w:hanging="648"/>
      </w:pPr>
      <w:rPr>
        <w:rFonts w:cs="Times New Roman" w:hint="default"/>
      </w:rPr>
    </w:lvl>
    <w:lvl w:ilvl="4">
      <w:start w:val="1"/>
      <w:numFmt w:val="decimal"/>
      <w:lvlText w:val="%1.%2.%3.%4.%5."/>
      <w:lvlJc w:val="left"/>
      <w:pPr>
        <w:ind w:left="1806" w:hanging="792"/>
      </w:pPr>
      <w:rPr>
        <w:rFonts w:cs="Times New Roman" w:hint="default"/>
      </w:rPr>
    </w:lvl>
    <w:lvl w:ilvl="5">
      <w:start w:val="1"/>
      <w:numFmt w:val="decimal"/>
      <w:lvlText w:val="%1.%2.%3.%4.%5.%6."/>
      <w:lvlJc w:val="left"/>
      <w:pPr>
        <w:ind w:left="2310" w:hanging="936"/>
      </w:pPr>
      <w:rPr>
        <w:rFonts w:cs="Times New Roman" w:hint="default"/>
      </w:rPr>
    </w:lvl>
    <w:lvl w:ilvl="6">
      <w:start w:val="1"/>
      <w:numFmt w:val="decimal"/>
      <w:lvlText w:val="%1.%2.%3.%4.%5.%6.%7."/>
      <w:lvlJc w:val="left"/>
      <w:pPr>
        <w:ind w:left="2814" w:hanging="1080"/>
      </w:pPr>
      <w:rPr>
        <w:rFonts w:cs="Times New Roman" w:hint="default"/>
      </w:rPr>
    </w:lvl>
    <w:lvl w:ilvl="7">
      <w:start w:val="1"/>
      <w:numFmt w:val="decimal"/>
      <w:lvlText w:val="%1.%2.%3.%4.%5.%6.%7.%8."/>
      <w:lvlJc w:val="left"/>
      <w:pPr>
        <w:ind w:left="3318" w:hanging="1224"/>
      </w:pPr>
      <w:rPr>
        <w:rFonts w:cs="Times New Roman" w:hint="default"/>
      </w:rPr>
    </w:lvl>
    <w:lvl w:ilvl="8">
      <w:start w:val="1"/>
      <w:numFmt w:val="decimal"/>
      <w:lvlText w:val="%1.%2.%3.%4.%5.%6.%7.%8.%9."/>
      <w:lvlJc w:val="left"/>
      <w:pPr>
        <w:ind w:left="3894" w:hanging="1440"/>
      </w:pPr>
      <w:rPr>
        <w:rFonts w:cs="Times New Roman" w:hint="default"/>
      </w:rPr>
    </w:lvl>
  </w:abstractNum>
  <w:abstractNum w:abstractNumId="13" w15:restartNumberingAfterBreak="0">
    <w:nsid w:val="60EF712A"/>
    <w:multiLevelType w:val="hybridMultilevel"/>
    <w:tmpl w:val="63784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D03968"/>
    <w:multiLevelType w:val="hybridMultilevel"/>
    <w:tmpl w:val="F5566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69144B"/>
    <w:multiLevelType w:val="hybridMultilevel"/>
    <w:tmpl w:val="6CCE9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664E87"/>
    <w:multiLevelType w:val="hybridMultilevel"/>
    <w:tmpl w:val="B77C9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D26114"/>
    <w:multiLevelType w:val="hybridMultilevel"/>
    <w:tmpl w:val="1E0872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C12C78"/>
    <w:multiLevelType w:val="hybridMultilevel"/>
    <w:tmpl w:val="47F281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0"/>
  </w:num>
  <w:num w:numId="4">
    <w:abstractNumId w:val="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8"/>
  </w:num>
  <w:num w:numId="9">
    <w:abstractNumId w:val="16"/>
  </w:num>
  <w:num w:numId="10">
    <w:abstractNumId w:val="13"/>
  </w:num>
  <w:num w:numId="11">
    <w:abstractNumId w:val="5"/>
  </w:num>
  <w:num w:numId="12">
    <w:abstractNumId w:val="14"/>
  </w:num>
  <w:num w:numId="13">
    <w:abstractNumId w:val="1"/>
  </w:num>
  <w:num w:numId="14">
    <w:abstractNumId w:val="9"/>
  </w:num>
  <w:num w:numId="15">
    <w:abstractNumId w:val="4"/>
  </w:num>
  <w:num w:numId="16">
    <w:abstractNumId w:val="11"/>
  </w:num>
  <w:num w:numId="17">
    <w:abstractNumId w:val="18"/>
  </w:num>
  <w:num w:numId="18">
    <w:abstractNumId w:val="15"/>
  </w:num>
  <w:num w:numId="19">
    <w:abstractNumId w:val="7"/>
  </w:num>
  <w:num w:numId="20">
    <w:abstractNumId w:val="10"/>
  </w:num>
  <w:num w:numId="2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revisionView w:inkAnnotations="0"/>
  <w:defaultTabStop w:val="72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8E9"/>
    <w:rsid w:val="0000052A"/>
    <w:rsid w:val="00000CE3"/>
    <w:rsid w:val="00001E4D"/>
    <w:rsid w:val="00002A51"/>
    <w:rsid w:val="0000435D"/>
    <w:rsid w:val="00005A35"/>
    <w:rsid w:val="00005E0D"/>
    <w:rsid w:val="00006079"/>
    <w:rsid w:val="00006297"/>
    <w:rsid w:val="00006C53"/>
    <w:rsid w:val="00007723"/>
    <w:rsid w:val="00007CA7"/>
    <w:rsid w:val="00011661"/>
    <w:rsid w:val="00012205"/>
    <w:rsid w:val="00012DC3"/>
    <w:rsid w:val="00013F22"/>
    <w:rsid w:val="00014ACF"/>
    <w:rsid w:val="000156D1"/>
    <w:rsid w:val="000169A5"/>
    <w:rsid w:val="00020B9C"/>
    <w:rsid w:val="00021886"/>
    <w:rsid w:val="00021D7D"/>
    <w:rsid w:val="0002564A"/>
    <w:rsid w:val="00027E86"/>
    <w:rsid w:val="00030025"/>
    <w:rsid w:val="0003251D"/>
    <w:rsid w:val="000342F9"/>
    <w:rsid w:val="000349FA"/>
    <w:rsid w:val="00034E87"/>
    <w:rsid w:val="000350A8"/>
    <w:rsid w:val="00035304"/>
    <w:rsid w:val="00035CD9"/>
    <w:rsid w:val="00035CFC"/>
    <w:rsid w:val="000363E4"/>
    <w:rsid w:val="0003681B"/>
    <w:rsid w:val="0003685B"/>
    <w:rsid w:val="00037DF7"/>
    <w:rsid w:val="000405D6"/>
    <w:rsid w:val="0004081E"/>
    <w:rsid w:val="00040876"/>
    <w:rsid w:val="00040B35"/>
    <w:rsid w:val="000416A0"/>
    <w:rsid w:val="000447B1"/>
    <w:rsid w:val="000447DA"/>
    <w:rsid w:val="00044FFF"/>
    <w:rsid w:val="000456D8"/>
    <w:rsid w:val="00046251"/>
    <w:rsid w:val="00047723"/>
    <w:rsid w:val="00047B01"/>
    <w:rsid w:val="00050538"/>
    <w:rsid w:val="00050AC8"/>
    <w:rsid w:val="00050CE6"/>
    <w:rsid w:val="00051B12"/>
    <w:rsid w:val="00052E54"/>
    <w:rsid w:val="00052E9C"/>
    <w:rsid w:val="00053C20"/>
    <w:rsid w:val="00053DCB"/>
    <w:rsid w:val="0005427F"/>
    <w:rsid w:val="00054F0E"/>
    <w:rsid w:val="000558FB"/>
    <w:rsid w:val="00056113"/>
    <w:rsid w:val="000565AF"/>
    <w:rsid w:val="00056A74"/>
    <w:rsid w:val="00060365"/>
    <w:rsid w:val="00060651"/>
    <w:rsid w:val="000619B0"/>
    <w:rsid w:val="00061ABF"/>
    <w:rsid w:val="00061E3C"/>
    <w:rsid w:val="0006283B"/>
    <w:rsid w:val="00063D15"/>
    <w:rsid w:val="000647A7"/>
    <w:rsid w:val="00067698"/>
    <w:rsid w:val="00070737"/>
    <w:rsid w:val="0007104C"/>
    <w:rsid w:val="00071272"/>
    <w:rsid w:val="00071A71"/>
    <w:rsid w:val="00072CCE"/>
    <w:rsid w:val="00073E8C"/>
    <w:rsid w:val="0007542B"/>
    <w:rsid w:val="00075811"/>
    <w:rsid w:val="00075C01"/>
    <w:rsid w:val="00075E7B"/>
    <w:rsid w:val="00077364"/>
    <w:rsid w:val="00081098"/>
    <w:rsid w:val="00082EA9"/>
    <w:rsid w:val="0008303D"/>
    <w:rsid w:val="00083959"/>
    <w:rsid w:val="00083C15"/>
    <w:rsid w:val="000841E5"/>
    <w:rsid w:val="000848A1"/>
    <w:rsid w:val="00085185"/>
    <w:rsid w:val="00086A56"/>
    <w:rsid w:val="00087208"/>
    <w:rsid w:val="000874AC"/>
    <w:rsid w:val="00087B84"/>
    <w:rsid w:val="0009056B"/>
    <w:rsid w:val="000916AB"/>
    <w:rsid w:val="00091EB9"/>
    <w:rsid w:val="00093679"/>
    <w:rsid w:val="000937A9"/>
    <w:rsid w:val="0009386C"/>
    <w:rsid w:val="00094FE3"/>
    <w:rsid w:val="00095C3B"/>
    <w:rsid w:val="00096B02"/>
    <w:rsid w:val="0009718D"/>
    <w:rsid w:val="00097329"/>
    <w:rsid w:val="000976B9"/>
    <w:rsid w:val="0009785A"/>
    <w:rsid w:val="000A01D0"/>
    <w:rsid w:val="000A2163"/>
    <w:rsid w:val="000A21FE"/>
    <w:rsid w:val="000A2996"/>
    <w:rsid w:val="000A2BCF"/>
    <w:rsid w:val="000A2C1A"/>
    <w:rsid w:val="000A4EB0"/>
    <w:rsid w:val="000A5734"/>
    <w:rsid w:val="000A6499"/>
    <w:rsid w:val="000A7570"/>
    <w:rsid w:val="000B0410"/>
    <w:rsid w:val="000B069A"/>
    <w:rsid w:val="000B1819"/>
    <w:rsid w:val="000B2A56"/>
    <w:rsid w:val="000B496C"/>
    <w:rsid w:val="000B5ED2"/>
    <w:rsid w:val="000B698F"/>
    <w:rsid w:val="000C049C"/>
    <w:rsid w:val="000C0C35"/>
    <w:rsid w:val="000C0F58"/>
    <w:rsid w:val="000C251B"/>
    <w:rsid w:val="000C35F6"/>
    <w:rsid w:val="000C4A62"/>
    <w:rsid w:val="000C7BBC"/>
    <w:rsid w:val="000D0076"/>
    <w:rsid w:val="000D033C"/>
    <w:rsid w:val="000D0774"/>
    <w:rsid w:val="000D48DD"/>
    <w:rsid w:val="000D5E4E"/>
    <w:rsid w:val="000D633B"/>
    <w:rsid w:val="000D6EF5"/>
    <w:rsid w:val="000D7B94"/>
    <w:rsid w:val="000D7CD4"/>
    <w:rsid w:val="000E00E4"/>
    <w:rsid w:val="000E35C1"/>
    <w:rsid w:val="000E3DA9"/>
    <w:rsid w:val="000E7B14"/>
    <w:rsid w:val="000F099E"/>
    <w:rsid w:val="000F0F7B"/>
    <w:rsid w:val="000F314E"/>
    <w:rsid w:val="000F34E0"/>
    <w:rsid w:val="000F3593"/>
    <w:rsid w:val="000F3ACC"/>
    <w:rsid w:val="000F3ADB"/>
    <w:rsid w:val="000F3D9F"/>
    <w:rsid w:val="000F49AC"/>
    <w:rsid w:val="000F53C2"/>
    <w:rsid w:val="000F545B"/>
    <w:rsid w:val="000F566E"/>
    <w:rsid w:val="000F5BB5"/>
    <w:rsid w:val="000F5E0C"/>
    <w:rsid w:val="000F7F6F"/>
    <w:rsid w:val="00100A35"/>
    <w:rsid w:val="00103E24"/>
    <w:rsid w:val="00103E63"/>
    <w:rsid w:val="00104DDB"/>
    <w:rsid w:val="001051CB"/>
    <w:rsid w:val="00106D24"/>
    <w:rsid w:val="00106FC6"/>
    <w:rsid w:val="00107B26"/>
    <w:rsid w:val="00110610"/>
    <w:rsid w:val="00110711"/>
    <w:rsid w:val="00110A53"/>
    <w:rsid w:val="00111CDA"/>
    <w:rsid w:val="001121A8"/>
    <w:rsid w:val="0011347C"/>
    <w:rsid w:val="00114941"/>
    <w:rsid w:val="00114FC5"/>
    <w:rsid w:val="00115314"/>
    <w:rsid w:val="00115737"/>
    <w:rsid w:val="00116567"/>
    <w:rsid w:val="001167BC"/>
    <w:rsid w:val="001176CB"/>
    <w:rsid w:val="00121A4F"/>
    <w:rsid w:val="00121A53"/>
    <w:rsid w:val="00122285"/>
    <w:rsid w:val="00124231"/>
    <w:rsid w:val="00124E0A"/>
    <w:rsid w:val="00125009"/>
    <w:rsid w:val="00125023"/>
    <w:rsid w:val="00126A32"/>
    <w:rsid w:val="0013041A"/>
    <w:rsid w:val="001311B5"/>
    <w:rsid w:val="001320D2"/>
    <w:rsid w:val="00132E36"/>
    <w:rsid w:val="00133207"/>
    <w:rsid w:val="001335A6"/>
    <w:rsid w:val="00134E0D"/>
    <w:rsid w:val="001356F2"/>
    <w:rsid w:val="0013571B"/>
    <w:rsid w:val="00135DA9"/>
    <w:rsid w:val="001368EB"/>
    <w:rsid w:val="00140AC8"/>
    <w:rsid w:val="00141274"/>
    <w:rsid w:val="00141395"/>
    <w:rsid w:val="0014179F"/>
    <w:rsid w:val="00142A90"/>
    <w:rsid w:val="0014300C"/>
    <w:rsid w:val="001431E4"/>
    <w:rsid w:val="001434D3"/>
    <w:rsid w:val="00145B71"/>
    <w:rsid w:val="0014683D"/>
    <w:rsid w:val="00146FF7"/>
    <w:rsid w:val="00147B58"/>
    <w:rsid w:val="00150065"/>
    <w:rsid w:val="0015008C"/>
    <w:rsid w:val="00150435"/>
    <w:rsid w:val="0015062F"/>
    <w:rsid w:val="0015211C"/>
    <w:rsid w:val="00152A71"/>
    <w:rsid w:val="001531B2"/>
    <w:rsid w:val="001532EC"/>
    <w:rsid w:val="001533F1"/>
    <w:rsid w:val="0015359E"/>
    <w:rsid w:val="0015386B"/>
    <w:rsid w:val="00154AD7"/>
    <w:rsid w:val="001552BC"/>
    <w:rsid w:val="00160FE3"/>
    <w:rsid w:val="001611AB"/>
    <w:rsid w:val="001623CC"/>
    <w:rsid w:val="00162425"/>
    <w:rsid w:val="00162AFB"/>
    <w:rsid w:val="00163879"/>
    <w:rsid w:val="00163979"/>
    <w:rsid w:val="00163EDD"/>
    <w:rsid w:val="00165127"/>
    <w:rsid w:val="00166CBD"/>
    <w:rsid w:val="00167142"/>
    <w:rsid w:val="00167289"/>
    <w:rsid w:val="00170BFC"/>
    <w:rsid w:val="00172801"/>
    <w:rsid w:val="00172FC4"/>
    <w:rsid w:val="00174273"/>
    <w:rsid w:val="00175A33"/>
    <w:rsid w:val="00176C09"/>
    <w:rsid w:val="0017728E"/>
    <w:rsid w:val="00177BE9"/>
    <w:rsid w:val="00177FCF"/>
    <w:rsid w:val="001807A8"/>
    <w:rsid w:val="001811B8"/>
    <w:rsid w:val="001822CF"/>
    <w:rsid w:val="00182B6D"/>
    <w:rsid w:val="00182D31"/>
    <w:rsid w:val="0018381C"/>
    <w:rsid w:val="001855CD"/>
    <w:rsid w:val="00185B28"/>
    <w:rsid w:val="0018607D"/>
    <w:rsid w:val="001868D8"/>
    <w:rsid w:val="00190FF5"/>
    <w:rsid w:val="0019200A"/>
    <w:rsid w:val="00193930"/>
    <w:rsid w:val="0019542E"/>
    <w:rsid w:val="00195A7F"/>
    <w:rsid w:val="00195C1B"/>
    <w:rsid w:val="001976EC"/>
    <w:rsid w:val="0019774B"/>
    <w:rsid w:val="00197A36"/>
    <w:rsid w:val="00197B9E"/>
    <w:rsid w:val="001A05D5"/>
    <w:rsid w:val="001A0DC3"/>
    <w:rsid w:val="001A0DEF"/>
    <w:rsid w:val="001A24BE"/>
    <w:rsid w:val="001A3A47"/>
    <w:rsid w:val="001A57AA"/>
    <w:rsid w:val="001A6510"/>
    <w:rsid w:val="001A6D98"/>
    <w:rsid w:val="001A7687"/>
    <w:rsid w:val="001B0529"/>
    <w:rsid w:val="001B0E57"/>
    <w:rsid w:val="001B2CD7"/>
    <w:rsid w:val="001B3675"/>
    <w:rsid w:val="001B36AC"/>
    <w:rsid w:val="001B3E52"/>
    <w:rsid w:val="001B4180"/>
    <w:rsid w:val="001B49D4"/>
    <w:rsid w:val="001B5390"/>
    <w:rsid w:val="001B738A"/>
    <w:rsid w:val="001C05C2"/>
    <w:rsid w:val="001C0C68"/>
    <w:rsid w:val="001C125D"/>
    <w:rsid w:val="001C33DE"/>
    <w:rsid w:val="001C3659"/>
    <w:rsid w:val="001C4C8D"/>
    <w:rsid w:val="001C5B41"/>
    <w:rsid w:val="001C692D"/>
    <w:rsid w:val="001D2D61"/>
    <w:rsid w:val="001D2ED9"/>
    <w:rsid w:val="001D31DD"/>
    <w:rsid w:val="001D4917"/>
    <w:rsid w:val="001D50C7"/>
    <w:rsid w:val="001D64FE"/>
    <w:rsid w:val="001D77A8"/>
    <w:rsid w:val="001D7817"/>
    <w:rsid w:val="001E023F"/>
    <w:rsid w:val="001E0A75"/>
    <w:rsid w:val="001E1BA9"/>
    <w:rsid w:val="001E3AC7"/>
    <w:rsid w:val="001E474C"/>
    <w:rsid w:val="001E4E95"/>
    <w:rsid w:val="001E5BE0"/>
    <w:rsid w:val="001E5C29"/>
    <w:rsid w:val="001E70A3"/>
    <w:rsid w:val="001F0C6E"/>
    <w:rsid w:val="001F1455"/>
    <w:rsid w:val="001F187C"/>
    <w:rsid w:val="001F3D36"/>
    <w:rsid w:val="001F6548"/>
    <w:rsid w:val="001F661A"/>
    <w:rsid w:val="001F7268"/>
    <w:rsid w:val="001F7F3C"/>
    <w:rsid w:val="00200A50"/>
    <w:rsid w:val="0020160D"/>
    <w:rsid w:val="00202910"/>
    <w:rsid w:val="0020303C"/>
    <w:rsid w:val="00203BE8"/>
    <w:rsid w:val="002041FF"/>
    <w:rsid w:val="002067C0"/>
    <w:rsid w:val="00207DE8"/>
    <w:rsid w:val="00210088"/>
    <w:rsid w:val="00211364"/>
    <w:rsid w:val="00211D0C"/>
    <w:rsid w:val="0021270C"/>
    <w:rsid w:val="0021283E"/>
    <w:rsid w:val="002137D3"/>
    <w:rsid w:val="00214282"/>
    <w:rsid w:val="0021536C"/>
    <w:rsid w:val="00215F0D"/>
    <w:rsid w:val="00216CE6"/>
    <w:rsid w:val="00217FA9"/>
    <w:rsid w:val="0022205C"/>
    <w:rsid w:val="00222A5F"/>
    <w:rsid w:val="00225B24"/>
    <w:rsid w:val="0022688F"/>
    <w:rsid w:val="00227090"/>
    <w:rsid w:val="002278E9"/>
    <w:rsid w:val="00230939"/>
    <w:rsid w:val="0023094F"/>
    <w:rsid w:val="00230C4F"/>
    <w:rsid w:val="00230DFC"/>
    <w:rsid w:val="00232F56"/>
    <w:rsid w:val="002333DB"/>
    <w:rsid w:val="002340EE"/>
    <w:rsid w:val="0023489F"/>
    <w:rsid w:val="00234C59"/>
    <w:rsid w:val="00236779"/>
    <w:rsid w:val="00237081"/>
    <w:rsid w:val="00241C15"/>
    <w:rsid w:val="0024248F"/>
    <w:rsid w:val="00242D21"/>
    <w:rsid w:val="0024360C"/>
    <w:rsid w:val="00243731"/>
    <w:rsid w:val="00247F5C"/>
    <w:rsid w:val="00250025"/>
    <w:rsid w:val="00250DCA"/>
    <w:rsid w:val="0025225E"/>
    <w:rsid w:val="002527BE"/>
    <w:rsid w:val="00252AA9"/>
    <w:rsid w:val="0025360A"/>
    <w:rsid w:val="002537F7"/>
    <w:rsid w:val="002542D1"/>
    <w:rsid w:val="00254301"/>
    <w:rsid w:val="002543DF"/>
    <w:rsid w:val="00254532"/>
    <w:rsid w:val="00255617"/>
    <w:rsid w:val="00255FC6"/>
    <w:rsid w:val="002575AA"/>
    <w:rsid w:val="00257D05"/>
    <w:rsid w:val="00260827"/>
    <w:rsid w:val="00262C0A"/>
    <w:rsid w:val="00262E08"/>
    <w:rsid w:val="00263A7C"/>
    <w:rsid w:val="0026435C"/>
    <w:rsid w:val="002647C3"/>
    <w:rsid w:val="002654B4"/>
    <w:rsid w:val="002656F8"/>
    <w:rsid w:val="00265EB9"/>
    <w:rsid w:val="00266325"/>
    <w:rsid w:val="00266881"/>
    <w:rsid w:val="00266915"/>
    <w:rsid w:val="00267A74"/>
    <w:rsid w:val="00267CAF"/>
    <w:rsid w:val="00267EA4"/>
    <w:rsid w:val="00270995"/>
    <w:rsid w:val="00271561"/>
    <w:rsid w:val="002729E5"/>
    <w:rsid w:val="002729F4"/>
    <w:rsid w:val="002741C1"/>
    <w:rsid w:val="00277981"/>
    <w:rsid w:val="00277D24"/>
    <w:rsid w:val="00282263"/>
    <w:rsid w:val="00282EF9"/>
    <w:rsid w:val="0028399D"/>
    <w:rsid w:val="00285274"/>
    <w:rsid w:val="002854B9"/>
    <w:rsid w:val="00287000"/>
    <w:rsid w:val="00291C6F"/>
    <w:rsid w:val="0029355B"/>
    <w:rsid w:val="002938B5"/>
    <w:rsid w:val="00294133"/>
    <w:rsid w:val="00295501"/>
    <w:rsid w:val="00296633"/>
    <w:rsid w:val="00296A47"/>
    <w:rsid w:val="00297173"/>
    <w:rsid w:val="002A061F"/>
    <w:rsid w:val="002A243F"/>
    <w:rsid w:val="002A2540"/>
    <w:rsid w:val="002A27B4"/>
    <w:rsid w:val="002A2B1D"/>
    <w:rsid w:val="002A329C"/>
    <w:rsid w:val="002A3F63"/>
    <w:rsid w:val="002A4201"/>
    <w:rsid w:val="002A4859"/>
    <w:rsid w:val="002A4F45"/>
    <w:rsid w:val="002A5C2E"/>
    <w:rsid w:val="002A6258"/>
    <w:rsid w:val="002A7CB7"/>
    <w:rsid w:val="002A7D7F"/>
    <w:rsid w:val="002B03A4"/>
    <w:rsid w:val="002B0559"/>
    <w:rsid w:val="002B0F48"/>
    <w:rsid w:val="002B172B"/>
    <w:rsid w:val="002B1FFC"/>
    <w:rsid w:val="002B31AF"/>
    <w:rsid w:val="002B3668"/>
    <w:rsid w:val="002B381D"/>
    <w:rsid w:val="002B3C02"/>
    <w:rsid w:val="002B44CF"/>
    <w:rsid w:val="002B54EF"/>
    <w:rsid w:val="002B72B0"/>
    <w:rsid w:val="002B7A60"/>
    <w:rsid w:val="002B7C87"/>
    <w:rsid w:val="002C015C"/>
    <w:rsid w:val="002C0499"/>
    <w:rsid w:val="002C1799"/>
    <w:rsid w:val="002C2485"/>
    <w:rsid w:val="002C5598"/>
    <w:rsid w:val="002D025E"/>
    <w:rsid w:val="002D1187"/>
    <w:rsid w:val="002D14C0"/>
    <w:rsid w:val="002D2386"/>
    <w:rsid w:val="002D2925"/>
    <w:rsid w:val="002D4E99"/>
    <w:rsid w:val="002D5328"/>
    <w:rsid w:val="002D592D"/>
    <w:rsid w:val="002D68C3"/>
    <w:rsid w:val="002E06F2"/>
    <w:rsid w:val="002E10D1"/>
    <w:rsid w:val="002E224A"/>
    <w:rsid w:val="002E226D"/>
    <w:rsid w:val="002E453E"/>
    <w:rsid w:val="002E4551"/>
    <w:rsid w:val="002E5D82"/>
    <w:rsid w:val="002E5F39"/>
    <w:rsid w:val="002E6075"/>
    <w:rsid w:val="002E7897"/>
    <w:rsid w:val="002E7F28"/>
    <w:rsid w:val="002F1EC1"/>
    <w:rsid w:val="002F2016"/>
    <w:rsid w:val="002F2F65"/>
    <w:rsid w:val="002F3241"/>
    <w:rsid w:val="002F438C"/>
    <w:rsid w:val="002F50FD"/>
    <w:rsid w:val="002F5370"/>
    <w:rsid w:val="002F5A71"/>
    <w:rsid w:val="002F632C"/>
    <w:rsid w:val="0030255E"/>
    <w:rsid w:val="00302E87"/>
    <w:rsid w:val="00302F92"/>
    <w:rsid w:val="003045DA"/>
    <w:rsid w:val="00304845"/>
    <w:rsid w:val="00304B46"/>
    <w:rsid w:val="00304DFA"/>
    <w:rsid w:val="00304E75"/>
    <w:rsid w:val="00304FB2"/>
    <w:rsid w:val="0030520C"/>
    <w:rsid w:val="003054ED"/>
    <w:rsid w:val="003068D5"/>
    <w:rsid w:val="00306FBF"/>
    <w:rsid w:val="00307FF7"/>
    <w:rsid w:val="003112DE"/>
    <w:rsid w:val="00312765"/>
    <w:rsid w:val="00313FF4"/>
    <w:rsid w:val="00314C5C"/>
    <w:rsid w:val="00314EA1"/>
    <w:rsid w:val="00315333"/>
    <w:rsid w:val="00316276"/>
    <w:rsid w:val="0032008B"/>
    <w:rsid w:val="00320150"/>
    <w:rsid w:val="003203EF"/>
    <w:rsid w:val="00320AC6"/>
    <w:rsid w:val="00320AFE"/>
    <w:rsid w:val="00321794"/>
    <w:rsid w:val="00321990"/>
    <w:rsid w:val="00321A43"/>
    <w:rsid w:val="0032280E"/>
    <w:rsid w:val="0032308F"/>
    <w:rsid w:val="00323316"/>
    <w:rsid w:val="00324142"/>
    <w:rsid w:val="00325A6C"/>
    <w:rsid w:val="003265BF"/>
    <w:rsid w:val="003268FC"/>
    <w:rsid w:val="003301E4"/>
    <w:rsid w:val="00330F29"/>
    <w:rsid w:val="00335D71"/>
    <w:rsid w:val="00336512"/>
    <w:rsid w:val="00336760"/>
    <w:rsid w:val="00336EBD"/>
    <w:rsid w:val="00336FF7"/>
    <w:rsid w:val="0033795B"/>
    <w:rsid w:val="003404BF"/>
    <w:rsid w:val="00341728"/>
    <w:rsid w:val="00341DBF"/>
    <w:rsid w:val="00342708"/>
    <w:rsid w:val="00342826"/>
    <w:rsid w:val="00343435"/>
    <w:rsid w:val="00345467"/>
    <w:rsid w:val="003467AB"/>
    <w:rsid w:val="00346942"/>
    <w:rsid w:val="003469C0"/>
    <w:rsid w:val="00350300"/>
    <w:rsid w:val="003513B5"/>
    <w:rsid w:val="00351556"/>
    <w:rsid w:val="00351657"/>
    <w:rsid w:val="00351D4B"/>
    <w:rsid w:val="003533CA"/>
    <w:rsid w:val="00354394"/>
    <w:rsid w:val="0035493A"/>
    <w:rsid w:val="00354DA6"/>
    <w:rsid w:val="00355658"/>
    <w:rsid w:val="003557EC"/>
    <w:rsid w:val="00356D3A"/>
    <w:rsid w:val="00360759"/>
    <w:rsid w:val="00360AD1"/>
    <w:rsid w:val="00362918"/>
    <w:rsid w:val="00363D5B"/>
    <w:rsid w:val="00364BA5"/>
    <w:rsid w:val="0036535E"/>
    <w:rsid w:val="003659E8"/>
    <w:rsid w:val="003662DC"/>
    <w:rsid w:val="00367FA4"/>
    <w:rsid w:val="00372137"/>
    <w:rsid w:val="0037439E"/>
    <w:rsid w:val="00374990"/>
    <w:rsid w:val="003769B7"/>
    <w:rsid w:val="00376E2F"/>
    <w:rsid w:val="003771E1"/>
    <w:rsid w:val="00380998"/>
    <w:rsid w:val="00380F11"/>
    <w:rsid w:val="00381599"/>
    <w:rsid w:val="003828AD"/>
    <w:rsid w:val="003833D2"/>
    <w:rsid w:val="00384772"/>
    <w:rsid w:val="00385F00"/>
    <w:rsid w:val="00385F9E"/>
    <w:rsid w:val="0039063B"/>
    <w:rsid w:val="00390696"/>
    <w:rsid w:val="003911E4"/>
    <w:rsid w:val="00391B9D"/>
    <w:rsid w:val="003939A2"/>
    <w:rsid w:val="0039442F"/>
    <w:rsid w:val="003A179E"/>
    <w:rsid w:val="003A17DE"/>
    <w:rsid w:val="003A223A"/>
    <w:rsid w:val="003A33D0"/>
    <w:rsid w:val="003A375B"/>
    <w:rsid w:val="003A4520"/>
    <w:rsid w:val="003A4906"/>
    <w:rsid w:val="003B13D4"/>
    <w:rsid w:val="003B18EA"/>
    <w:rsid w:val="003B1937"/>
    <w:rsid w:val="003B1BBB"/>
    <w:rsid w:val="003B2024"/>
    <w:rsid w:val="003B23CF"/>
    <w:rsid w:val="003B271E"/>
    <w:rsid w:val="003B56E7"/>
    <w:rsid w:val="003B6265"/>
    <w:rsid w:val="003B74E4"/>
    <w:rsid w:val="003B76E9"/>
    <w:rsid w:val="003B7C68"/>
    <w:rsid w:val="003C0F81"/>
    <w:rsid w:val="003C2311"/>
    <w:rsid w:val="003C2855"/>
    <w:rsid w:val="003C2DEE"/>
    <w:rsid w:val="003C42D2"/>
    <w:rsid w:val="003C4664"/>
    <w:rsid w:val="003C5298"/>
    <w:rsid w:val="003C6E58"/>
    <w:rsid w:val="003D0990"/>
    <w:rsid w:val="003D0AC3"/>
    <w:rsid w:val="003D1163"/>
    <w:rsid w:val="003D27E1"/>
    <w:rsid w:val="003D3192"/>
    <w:rsid w:val="003D3DC0"/>
    <w:rsid w:val="003D3E28"/>
    <w:rsid w:val="003D4281"/>
    <w:rsid w:val="003D4493"/>
    <w:rsid w:val="003D4C78"/>
    <w:rsid w:val="003D5C05"/>
    <w:rsid w:val="003D6CCE"/>
    <w:rsid w:val="003D6F49"/>
    <w:rsid w:val="003D75FC"/>
    <w:rsid w:val="003D7690"/>
    <w:rsid w:val="003E06E7"/>
    <w:rsid w:val="003E08B5"/>
    <w:rsid w:val="003E2B20"/>
    <w:rsid w:val="003E35D5"/>
    <w:rsid w:val="003E3B58"/>
    <w:rsid w:val="003E3D6A"/>
    <w:rsid w:val="003E4EFE"/>
    <w:rsid w:val="003E7053"/>
    <w:rsid w:val="003F0B5C"/>
    <w:rsid w:val="003F0F16"/>
    <w:rsid w:val="003F14C7"/>
    <w:rsid w:val="003F6CA9"/>
    <w:rsid w:val="003F77E6"/>
    <w:rsid w:val="00400142"/>
    <w:rsid w:val="004008C7"/>
    <w:rsid w:val="004008D8"/>
    <w:rsid w:val="00402138"/>
    <w:rsid w:val="00403823"/>
    <w:rsid w:val="00404392"/>
    <w:rsid w:val="00404731"/>
    <w:rsid w:val="00404820"/>
    <w:rsid w:val="004053D4"/>
    <w:rsid w:val="00406222"/>
    <w:rsid w:val="00406DBE"/>
    <w:rsid w:val="00407881"/>
    <w:rsid w:val="00407EF2"/>
    <w:rsid w:val="00410341"/>
    <w:rsid w:val="0041041B"/>
    <w:rsid w:val="00410901"/>
    <w:rsid w:val="004115B6"/>
    <w:rsid w:val="004115B8"/>
    <w:rsid w:val="00411625"/>
    <w:rsid w:val="004116D0"/>
    <w:rsid w:val="004116EA"/>
    <w:rsid w:val="00411877"/>
    <w:rsid w:val="004122EC"/>
    <w:rsid w:val="0041272C"/>
    <w:rsid w:val="004130C2"/>
    <w:rsid w:val="004137FE"/>
    <w:rsid w:val="00413868"/>
    <w:rsid w:val="00414BFC"/>
    <w:rsid w:val="00414E13"/>
    <w:rsid w:val="00415126"/>
    <w:rsid w:val="00420431"/>
    <w:rsid w:val="0042052C"/>
    <w:rsid w:val="004209B1"/>
    <w:rsid w:val="00420F75"/>
    <w:rsid w:val="00421306"/>
    <w:rsid w:val="00421AE3"/>
    <w:rsid w:val="00422BB7"/>
    <w:rsid w:val="00423CC7"/>
    <w:rsid w:val="00423CCC"/>
    <w:rsid w:val="00424D3E"/>
    <w:rsid w:val="0042557B"/>
    <w:rsid w:val="004263BE"/>
    <w:rsid w:val="004269FC"/>
    <w:rsid w:val="00430557"/>
    <w:rsid w:val="00432273"/>
    <w:rsid w:val="00432426"/>
    <w:rsid w:val="00432A56"/>
    <w:rsid w:val="00433FDB"/>
    <w:rsid w:val="004340EB"/>
    <w:rsid w:val="004353C2"/>
    <w:rsid w:val="00435626"/>
    <w:rsid w:val="00435BB4"/>
    <w:rsid w:val="004367EA"/>
    <w:rsid w:val="0043779B"/>
    <w:rsid w:val="00440231"/>
    <w:rsid w:val="00440D17"/>
    <w:rsid w:val="00441166"/>
    <w:rsid w:val="00442B07"/>
    <w:rsid w:val="00443123"/>
    <w:rsid w:val="004436D7"/>
    <w:rsid w:val="004436EB"/>
    <w:rsid w:val="00445CDC"/>
    <w:rsid w:val="00446F0B"/>
    <w:rsid w:val="0045026C"/>
    <w:rsid w:val="00450FF8"/>
    <w:rsid w:val="0045153A"/>
    <w:rsid w:val="00451BB7"/>
    <w:rsid w:val="00451BD9"/>
    <w:rsid w:val="0045287A"/>
    <w:rsid w:val="0045348D"/>
    <w:rsid w:val="00454D08"/>
    <w:rsid w:val="00455514"/>
    <w:rsid w:val="004601A8"/>
    <w:rsid w:val="00461596"/>
    <w:rsid w:val="00462423"/>
    <w:rsid w:val="004628E9"/>
    <w:rsid w:val="00463025"/>
    <w:rsid w:val="0046353B"/>
    <w:rsid w:val="004640D1"/>
    <w:rsid w:val="004640F4"/>
    <w:rsid w:val="00464958"/>
    <w:rsid w:val="0046608B"/>
    <w:rsid w:val="00466E7F"/>
    <w:rsid w:val="00467369"/>
    <w:rsid w:val="00473A75"/>
    <w:rsid w:val="00474AAC"/>
    <w:rsid w:val="004756F3"/>
    <w:rsid w:val="004757B8"/>
    <w:rsid w:val="00475C39"/>
    <w:rsid w:val="004762BA"/>
    <w:rsid w:val="00477FC5"/>
    <w:rsid w:val="0048225B"/>
    <w:rsid w:val="00483917"/>
    <w:rsid w:val="00483BAA"/>
    <w:rsid w:val="00483F2E"/>
    <w:rsid w:val="00484068"/>
    <w:rsid w:val="004847D2"/>
    <w:rsid w:val="00484C78"/>
    <w:rsid w:val="004854A3"/>
    <w:rsid w:val="00486867"/>
    <w:rsid w:val="004878CF"/>
    <w:rsid w:val="00487F0F"/>
    <w:rsid w:val="00490939"/>
    <w:rsid w:val="00490970"/>
    <w:rsid w:val="00491DE0"/>
    <w:rsid w:val="004932AD"/>
    <w:rsid w:val="00494FF8"/>
    <w:rsid w:val="004952A7"/>
    <w:rsid w:val="00495620"/>
    <w:rsid w:val="0049636E"/>
    <w:rsid w:val="004966B8"/>
    <w:rsid w:val="00496A24"/>
    <w:rsid w:val="004977DE"/>
    <w:rsid w:val="00497CD2"/>
    <w:rsid w:val="004A1075"/>
    <w:rsid w:val="004A11D6"/>
    <w:rsid w:val="004A2F6F"/>
    <w:rsid w:val="004A325F"/>
    <w:rsid w:val="004A758E"/>
    <w:rsid w:val="004A7B44"/>
    <w:rsid w:val="004A7C5C"/>
    <w:rsid w:val="004B0092"/>
    <w:rsid w:val="004B05EE"/>
    <w:rsid w:val="004B08E7"/>
    <w:rsid w:val="004B0BF5"/>
    <w:rsid w:val="004B26EB"/>
    <w:rsid w:val="004B2B19"/>
    <w:rsid w:val="004B2C36"/>
    <w:rsid w:val="004B3A1A"/>
    <w:rsid w:val="004B3EF6"/>
    <w:rsid w:val="004B4B20"/>
    <w:rsid w:val="004B4FFC"/>
    <w:rsid w:val="004B509F"/>
    <w:rsid w:val="004B5FA9"/>
    <w:rsid w:val="004B6187"/>
    <w:rsid w:val="004B64C9"/>
    <w:rsid w:val="004B6C90"/>
    <w:rsid w:val="004C1C6A"/>
    <w:rsid w:val="004C2120"/>
    <w:rsid w:val="004C2168"/>
    <w:rsid w:val="004C21BB"/>
    <w:rsid w:val="004C339B"/>
    <w:rsid w:val="004C3CC3"/>
    <w:rsid w:val="004C470E"/>
    <w:rsid w:val="004C51E3"/>
    <w:rsid w:val="004C55F0"/>
    <w:rsid w:val="004C754C"/>
    <w:rsid w:val="004C75CE"/>
    <w:rsid w:val="004C78A5"/>
    <w:rsid w:val="004C7AD5"/>
    <w:rsid w:val="004C7EE3"/>
    <w:rsid w:val="004D0C5A"/>
    <w:rsid w:val="004D109E"/>
    <w:rsid w:val="004D1163"/>
    <w:rsid w:val="004D2DE4"/>
    <w:rsid w:val="004D3774"/>
    <w:rsid w:val="004D42D0"/>
    <w:rsid w:val="004D59C1"/>
    <w:rsid w:val="004D615B"/>
    <w:rsid w:val="004D6BAD"/>
    <w:rsid w:val="004E0151"/>
    <w:rsid w:val="004E1EBB"/>
    <w:rsid w:val="004E5885"/>
    <w:rsid w:val="004E5EA3"/>
    <w:rsid w:val="004E729D"/>
    <w:rsid w:val="004E7B1D"/>
    <w:rsid w:val="004F0A9B"/>
    <w:rsid w:val="004F0C9F"/>
    <w:rsid w:val="004F112A"/>
    <w:rsid w:val="004F2FED"/>
    <w:rsid w:val="004F3875"/>
    <w:rsid w:val="004F38D2"/>
    <w:rsid w:val="004F3B07"/>
    <w:rsid w:val="004F500B"/>
    <w:rsid w:val="004F521F"/>
    <w:rsid w:val="004F6D2F"/>
    <w:rsid w:val="004F73D5"/>
    <w:rsid w:val="004F79DA"/>
    <w:rsid w:val="004F7DCF"/>
    <w:rsid w:val="00500BCF"/>
    <w:rsid w:val="00501270"/>
    <w:rsid w:val="005015F8"/>
    <w:rsid w:val="00502292"/>
    <w:rsid w:val="005022E4"/>
    <w:rsid w:val="005027B8"/>
    <w:rsid w:val="00503154"/>
    <w:rsid w:val="0050368F"/>
    <w:rsid w:val="005037E0"/>
    <w:rsid w:val="00503808"/>
    <w:rsid w:val="00503E01"/>
    <w:rsid w:val="00504573"/>
    <w:rsid w:val="00504707"/>
    <w:rsid w:val="00504A7C"/>
    <w:rsid w:val="00504C11"/>
    <w:rsid w:val="0050540D"/>
    <w:rsid w:val="005064E6"/>
    <w:rsid w:val="005071FC"/>
    <w:rsid w:val="00510952"/>
    <w:rsid w:val="00510A99"/>
    <w:rsid w:val="00511321"/>
    <w:rsid w:val="0051197A"/>
    <w:rsid w:val="00511BCF"/>
    <w:rsid w:val="00512B6D"/>
    <w:rsid w:val="00514C64"/>
    <w:rsid w:val="005168C1"/>
    <w:rsid w:val="005174A8"/>
    <w:rsid w:val="0052056E"/>
    <w:rsid w:val="005208A7"/>
    <w:rsid w:val="00520CFB"/>
    <w:rsid w:val="005211A5"/>
    <w:rsid w:val="00521988"/>
    <w:rsid w:val="005223FD"/>
    <w:rsid w:val="005224A2"/>
    <w:rsid w:val="0052323C"/>
    <w:rsid w:val="00523899"/>
    <w:rsid w:val="00525303"/>
    <w:rsid w:val="005267E4"/>
    <w:rsid w:val="00526D3C"/>
    <w:rsid w:val="00527C67"/>
    <w:rsid w:val="00527F99"/>
    <w:rsid w:val="0053137B"/>
    <w:rsid w:val="00531481"/>
    <w:rsid w:val="0053194E"/>
    <w:rsid w:val="0053236A"/>
    <w:rsid w:val="005326EB"/>
    <w:rsid w:val="00532904"/>
    <w:rsid w:val="00532BFB"/>
    <w:rsid w:val="00532EDD"/>
    <w:rsid w:val="00532F0A"/>
    <w:rsid w:val="00533381"/>
    <w:rsid w:val="00533467"/>
    <w:rsid w:val="00533DD1"/>
    <w:rsid w:val="005343F6"/>
    <w:rsid w:val="00534425"/>
    <w:rsid w:val="0053492E"/>
    <w:rsid w:val="00534F8E"/>
    <w:rsid w:val="0053506F"/>
    <w:rsid w:val="005350B5"/>
    <w:rsid w:val="00535155"/>
    <w:rsid w:val="00535863"/>
    <w:rsid w:val="005359BF"/>
    <w:rsid w:val="005365E0"/>
    <w:rsid w:val="0053694B"/>
    <w:rsid w:val="00536BEA"/>
    <w:rsid w:val="00540454"/>
    <w:rsid w:val="00540ABF"/>
    <w:rsid w:val="00542877"/>
    <w:rsid w:val="00542AA7"/>
    <w:rsid w:val="00543163"/>
    <w:rsid w:val="005434F6"/>
    <w:rsid w:val="0054477E"/>
    <w:rsid w:val="00544AD8"/>
    <w:rsid w:val="00545151"/>
    <w:rsid w:val="0054595D"/>
    <w:rsid w:val="00545CB8"/>
    <w:rsid w:val="00545E6C"/>
    <w:rsid w:val="00546459"/>
    <w:rsid w:val="00546664"/>
    <w:rsid w:val="00550256"/>
    <w:rsid w:val="00550750"/>
    <w:rsid w:val="005507D4"/>
    <w:rsid w:val="005520B3"/>
    <w:rsid w:val="00552289"/>
    <w:rsid w:val="005539F5"/>
    <w:rsid w:val="00554862"/>
    <w:rsid w:val="00554BF4"/>
    <w:rsid w:val="00554DEA"/>
    <w:rsid w:val="005551EA"/>
    <w:rsid w:val="00556B1E"/>
    <w:rsid w:val="005571CA"/>
    <w:rsid w:val="00557740"/>
    <w:rsid w:val="00561248"/>
    <w:rsid w:val="0056179B"/>
    <w:rsid w:val="0056479F"/>
    <w:rsid w:val="005648B3"/>
    <w:rsid w:val="00564DAA"/>
    <w:rsid w:val="00565F92"/>
    <w:rsid w:val="00566201"/>
    <w:rsid w:val="00566D20"/>
    <w:rsid w:val="00570127"/>
    <w:rsid w:val="0057019E"/>
    <w:rsid w:val="00570821"/>
    <w:rsid w:val="00570E9F"/>
    <w:rsid w:val="00571F8F"/>
    <w:rsid w:val="0057286E"/>
    <w:rsid w:val="00572943"/>
    <w:rsid w:val="00572DE9"/>
    <w:rsid w:val="00573350"/>
    <w:rsid w:val="00574A61"/>
    <w:rsid w:val="005751D7"/>
    <w:rsid w:val="0057591D"/>
    <w:rsid w:val="00575B6B"/>
    <w:rsid w:val="00576633"/>
    <w:rsid w:val="00576710"/>
    <w:rsid w:val="00576AB3"/>
    <w:rsid w:val="00576ED0"/>
    <w:rsid w:val="00576F0D"/>
    <w:rsid w:val="005773CF"/>
    <w:rsid w:val="0057783F"/>
    <w:rsid w:val="00577BEF"/>
    <w:rsid w:val="00577DFD"/>
    <w:rsid w:val="00580BDF"/>
    <w:rsid w:val="0058247C"/>
    <w:rsid w:val="00583369"/>
    <w:rsid w:val="00586A8B"/>
    <w:rsid w:val="00586A9B"/>
    <w:rsid w:val="00587C8F"/>
    <w:rsid w:val="00591A59"/>
    <w:rsid w:val="00593217"/>
    <w:rsid w:val="005935BA"/>
    <w:rsid w:val="00593980"/>
    <w:rsid w:val="0059482D"/>
    <w:rsid w:val="00595305"/>
    <w:rsid w:val="0059530D"/>
    <w:rsid w:val="00596872"/>
    <w:rsid w:val="00596DBF"/>
    <w:rsid w:val="00597162"/>
    <w:rsid w:val="00597854"/>
    <w:rsid w:val="005A2511"/>
    <w:rsid w:val="005A2A86"/>
    <w:rsid w:val="005A38CD"/>
    <w:rsid w:val="005A472C"/>
    <w:rsid w:val="005A49DD"/>
    <w:rsid w:val="005A4AF2"/>
    <w:rsid w:val="005A60AA"/>
    <w:rsid w:val="005A66F2"/>
    <w:rsid w:val="005A67F9"/>
    <w:rsid w:val="005B0230"/>
    <w:rsid w:val="005B0CD7"/>
    <w:rsid w:val="005B1179"/>
    <w:rsid w:val="005B34B7"/>
    <w:rsid w:val="005B3729"/>
    <w:rsid w:val="005B4CA8"/>
    <w:rsid w:val="005B4F21"/>
    <w:rsid w:val="005B5599"/>
    <w:rsid w:val="005B68E9"/>
    <w:rsid w:val="005B7FAD"/>
    <w:rsid w:val="005C0149"/>
    <w:rsid w:val="005C1B52"/>
    <w:rsid w:val="005C25AB"/>
    <w:rsid w:val="005C31A0"/>
    <w:rsid w:val="005C36D1"/>
    <w:rsid w:val="005C3C00"/>
    <w:rsid w:val="005C4492"/>
    <w:rsid w:val="005C473F"/>
    <w:rsid w:val="005C4952"/>
    <w:rsid w:val="005C61CC"/>
    <w:rsid w:val="005C63F7"/>
    <w:rsid w:val="005C6FFA"/>
    <w:rsid w:val="005C7729"/>
    <w:rsid w:val="005C77F4"/>
    <w:rsid w:val="005D00E8"/>
    <w:rsid w:val="005D2355"/>
    <w:rsid w:val="005D2445"/>
    <w:rsid w:val="005D2C9C"/>
    <w:rsid w:val="005D2D75"/>
    <w:rsid w:val="005D30FF"/>
    <w:rsid w:val="005D3BC8"/>
    <w:rsid w:val="005D3E69"/>
    <w:rsid w:val="005D4AB2"/>
    <w:rsid w:val="005D4BB0"/>
    <w:rsid w:val="005D52F3"/>
    <w:rsid w:val="005D5318"/>
    <w:rsid w:val="005D5899"/>
    <w:rsid w:val="005D630B"/>
    <w:rsid w:val="005D6A7C"/>
    <w:rsid w:val="005D6CD2"/>
    <w:rsid w:val="005D713D"/>
    <w:rsid w:val="005E117A"/>
    <w:rsid w:val="005E11FC"/>
    <w:rsid w:val="005E157B"/>
    <w:rsid w:val="005E20ED"/>
    <w:rsid w:val="005E23F5"/>
    <w:rsid w:val="005E28FB"/>
    <w:rsid w:val="005E4356"/>
    <w:rsid w:val="005E57AC"/>
    <w:rsid w:val="005E6294"/>
    <w:rsid w:val="005E661C"/>
    <w:rsid w:val="005E6ABC"/>
    <w:rsid w:val="005E6D8B"/>
    <w:rsid w:val="005F01B0"/>
    <w:rsid w:val="005F0429"/>
    <w:rsid w:val="005F06F7"/>
    <w:rsid w:val="005F1009"/>
    <w:rsid w:val="005F21D1"/>
    <w:rsid w:val="005F31DF"/>
    <w:rsid w:val="005F4FBC"/>
    <w:rsid w:val="005F528E"/>
    <w:rsid w:val="005F5ACC"/>
    <w:rsid w:val="005F69CC"/>
    <w:rsid w:val="00600132"/>
    <w:rsid w:val="006007D6"/>
    <w:rsid w:val="00600AC6"/>
    <w:rsid w:val="006014C4"/>
    <w:rsid w:val="00601B01"/>
    <w:rsid w:val="00602F81"/>
    <w:rsid w:val="00602F95"/>
    <w:rsid w:val="00603655"/>
    <w:rsid w:val="00604795"/>
    <w:rsid w:val="00605C2F"/>
    <w:rsid w:val="00605F3F"/>
    <w:rsid w:val="00605FB9"/>
    <w:rsid w:val="00606FFD"/>
    <w:rsid w:val="00607118"/>
    <w:rsid w:val="006109E9"/>
    <w:rsid w:val="00610CFE"/>
    <w:rsid w:val="006110D1"/>
    <w:rsid w:val="006123DD"/>
    <w:rsid w:val="00614369"/>
    <w:rsid w:val="00616B48"/>
    <w:rsid w:val="00617C9D"/>
    <w:rsid w:val="00620940"/>
    <w:rsid w:val="00621B0A"/>
    <w:rsid w:val="006220FC"/>
    <w:rsid w:val="006233B3"/>
    <w:rsid w:val="006233FC"/>
    <w:rsid w:val="006244DA"/>
    <w:rsid w:val="00625BAD"/>
    <w:rsid w:val="00625E9E"/>
    <w:rsid w:val="006278F6"/>
    <w:rsid w:val="00627F56"/>
    <w:rsid w:val="006308E9"/>
    <w:rsid w:val="00630FE7"/>
    <w:rsid w:val="00631CAD"/>
    <w:rsid w:val="0063291A"/>
    <w:rsid w:val="00632AA0"/>
    <w:rsid w:val="00632D04"/>
    <w:rsid w:val="00632EB0"/>
    <w:rsid w:val="006331D5"/>
    <w:rsid w:val="00633F5D"/>
    <w:rsid w:val="0063472C"/>
    <w:rsid w:val="00634824"/>
    <w:rsid w:val="0063609C"/>
    <w:rsid w:val="00636B25"/>
    <w:rsid w:val="0063713C"/>
    <w:rsid w:val="00640DAD"/>
    <w:rsid w:val="006410BD"/>
    <w:rsid w:val="006418C4"/>
    <w:rsid w:val="00643979"/>
    <w:rsid w:val="006458F3"/>
    <w:rsid w:val="0064632C"/>
    <w:rsid w:val="00646B21"/>
    <w:rsid w:val="006475C5"/>
    <w:rsid w:val="006479F1"/>
    <w:rsid w:val="00647FBE"/>
    <w:rsid w:val="006500E6"/>
    <w:rsid w:val="00650566"/>
    <w:rsid w:val="006509D3"/>
    <w:rsid w:val="00650CB3"/>
    <w:rsid w:val="00651339"/>
    <w:rsid w:val="006518D9"/>
    <w:rsid w:val="00651AE2"/>
    <w:rsid w:val="00651EE3"/>
    <w:rsid w:val="0065569F"/>
    <w:rsid w:val="00657A3F"/>
    <w:rsid w:val="00657AF4"/>
    <w:rsid w:val="0066270D"/>
    <w:rsid w:val="00662A4B"/>
    <w:rsid w:val="0066311D"/>
    <w:rsid w:val="00663AE8"/>
    <w:rsid w:val="00663CEF"/>
    <w:rsid w:val="00664D33"/>
    <w:rsid w:val="00664F8A"/>
    <w:rsid w:val="00665680"/>
    <w:rsid w:val="00666A1A"/>
    <w:rsid w:val="00667036"/>
    <w:rsid w:val="0066769B"/>
    <w:rsid w:val="006677C7"/>
    <w:rsid w:val="006708DE"/>
    <w:rsid w:val="00673E59"/>
    <w:rsid w:val="00675A91"/>
    <w:rsid w:val="00676023"/>
    <w:rsid w:val="006777FD"/>
    <w:rsid w:val="00682B89"/>
    <w:rsid w:val="006835D6"/>
    <w:rsid w:val="00683D7C"/>
    <w:rsid w:val="00685443"/>
    <w:rsid w:val="00685459"/>
    <w:rsid w:val="006856E9"/>
    <w:rsid w:val="006858FF"/>
    <w:rsid w:val="006859F7"/>
    <w:rsid w:val="00686470"/>
    <w:rsid w:val="00686678"/>
    <w:rsid w:val="00687FC9"/>
    <w:rsid w:val="0069019B"/>
    <w:rsid w:val="00692625"/>
    <w:rsid w:val="006927DB"/>
    <w:rsid w:val="006932F3"/>
    <w:rsid w:val="00693363"/>
    <w:rsid w:val="00693796"/>
    <w:rsid w:val="00693891"/>
    <w:rsid w:val="006939CC"/>
    <w:rsid w:val="00693E0E"/>
    <w:rsid w:val="0069483A"/>
    <w:rsid w:val="006949C9"/>
    <w:rsid w:val="00694C83"/>
    <w:rsid w:val="00694D82"/>
    <w:rsid w:val="00694F97"/>
    <w:rsid w:val="0069582B"/>
    <w:rsid w:val="006974D1"/>
    <w:rsid w:val="00697CE7"/>
    <w:rsid w:val="006A0105"/>
    <w:rsid w:val="006A1612"/>
    <w:rsid w:val="006A1F15"/>
    <w:rsid w:val="006A208A"/>
    <w:rsid w:val="006A4D0A"/>
    <w:rsid w:val="006A522F"/>
    <w:rsid w:val="006A52B8"/>
    <w:rsid w:val="006A52C4"/>
    <w:rsid w:val="006A63B2"/>
    <w:rsid w:val="006A6A27"/>
    <w:rsid w:val="006A7735"/>
    <w:rsid w:val="006A797E"/>
    <w:rsid w:val="006B1166"/>
    <w:rsid w:val="006B2259"/>
    <w:rsid w:val="006B261C"/>
    <w:rsid w:val="006B36C8"/>
    <w:rsid w:val="006B4B45"/>
    <w:rsid w:val="006B558F"/>
    <w:rsid w:val="006B72CE"/>
    <w:rsid w:val="006B7D6C"/>
    <w:rsid w:val="006C2B1A"/>
    <w:rsid w:val="006C2D2A"/>
    <w:rsid w:val="006C38AD"/>
    <w:rsid w:val="006C3EAF"/>
    <w:rsid w:val="006C428F"/>
    <w:rsid w:val="006C7A05"/>
    <w:rsid w:val="006D32A3"/>
    <w:rsid w:val="006D3950"/>
    <w:rsid w:val="006D4D41"/>
    <w:rsid w:val="006D7818"/>
    <w:rsid w:val="006E026F"/>
    <w:rsid w:val="006E05F0"/>
    <w:rsid w:val="006E0E88"/>
    <w:rsid w:val="006E1E75"/>
    <w:rsid w:val="006E26D5"/>
    <w:rsid w:val="006E2EB8"/>
    <w:rsid w:val="006E6761"/>
    <w:rsid w:val="006F050F"/>
    <w:rsid w:val="006F0BC5"/>
    <w:rsid w:val="006F0C79"/>
    <w:rsid w:val="006F0EA4"/>
    <w:rsid w:val="006F19E0"/>
    <w:rsid w:val="006F2588"/>
    <w:rsid w:val="006F26B9"/>
    <w:rsid w:val="006F2893"/>
    <w:rsid w:val="006F619A"/>
    <w:rsid w:val="006F6622"/>
    <w:rsid w:val="006F6C3C"/>
    <w:rsid w:val="006F73FB"/>
    <w:rsid w:val="00700742"/>
    <w:rsid w:val="00704823"/>
    <w:rsid w:val="00704E66"/>
    <w:rsid w:val="007060D1"/>
    <w:rsid w:val="007062D8"/>
    <w:rsid w:val="00706722"/>
    <w:rsid w:val="00710395"/>
    <w:rsid w:val="00710903"/>
    <w:rsid w:val="0071276D"/>
    <w:rsid w:val="00714204"/>
    <w:rsid w:val="007162A5"/>
    <w:rsid w:val="0071719F"/>
    <w:rsid w:val="0071762D"/>
    <w:rsid w:val="00717BAD"/>
    <w:rsid w:val="00720F08"/>
    <w:rsid w:val="00722464"/>
    <w:rsid w:val="007224BA"/>
    <w:rsid w:val="00723A46"/>
    <w:rsid w:val="00725BC0"/>
    <w:rsid w:val="00726607"/>
    <w:rsid w:val="00726797"/>
    <w:rsid w:val="007270C9"/>
    <w:rsid w:val="0072742E"/>
    <w:rsid w:val="007278BB"/>
    <w:rsid w:val="00727E38"/>
    <w:rsid w:val="00730015"/>
    <w:rsid w:val="007316FE"/>
    <w:rsid w:val="00731BED"/>
    <w:rsid w:val="00731C16"/>
    <w:rsid w:val="00731DC4"/>
    <w:rsid w:val="00732A1B"/>
    <w:rsid w:val="00732C25"/>
    <w:rsid w:val="00737149"/>
    <w:rsid w:val="00740005"/>
    <w:rsid w:val="00740DF8"/>
    <w:rsid w:val="00741304"/>
    <w:rsid w:val="0074670F"/>
    <w:rsid w:val="007468FB"/>
    <w:rsid w:val="00746BF5"/>
    <w:rsid w:val="007470CF"/>
    <w:rsid w:val="00747E51"/>
    <w:rsid w:val="00751235"/>
    <w:rsid w:val="00751BF0"/>
    <w:rsid w:val="00752043"/>
    <w:rsid w:val="00753F95"/>
    <w:rsid w:val="0075427A"/>
    <w:rsid w:val="00754EBD"/>
    <w:rsid w:val="007551E1"/>
    <w:rsid w:val="00756F64"/>
    <w:rsid w:val="00757C3B"/>
    <w:rsid w:val="00757C7F"/>
    <w:rsid w:val="0076023A"/>
    <w:rsid w:val="00761455"/>
    <w:rsid w:val="007619BD"/>
    <w:rsid w:val="0076304F"/>
    <w:rsid w:val="007635E4"/>
    <w:rsid w:val="00763C32"/>
    <w:rsid w:val="00764253"/>
    <w:rsid w:val="007656ED"/>
    <w:rsid w:val="00773733"/>
    <w:rsid w:val="00774DCC"/>
    <w:rsid w:val="00774FE0"/>
    <w:rsid w:val="0077582D"/>
    <w:rsid w:val="00776E81"/>
    <w:rsid w:val="007802E1"/>
    <w:rsid w:val="00780B21"/>
    <w:rsid w:val="00780FAD"/>
    <w:rsid w:val="0078106F"/>
    <w:rsid w:val="007813FB"/>
    <w:rsid w:val="00782256"/>
    <w:rsid w:val="0078585A"/>
    <w:rsid w:val="0079006C"/>
    <w:rsid w:val="00791216"/>
    <w:rsid w:val="00791617"/>
    <w:rsid w:val="00791F37"/>
    <w:rsid w:val="0079286C"/>
    <w:rsid w:val="007928B1"/>
    <w:rsid w:val="00792CEB"/>
    <w:rsid w:val="00793AD6"/>
    <w:rsid w:val="00793EA7"/>
    <w:rsid w:val="007940E8"/>
    <w:rsid w:val="00795047"/>
    <w:rsid w:val="00795962"/>
    <w:rsid w:val="00797CEC"/>
    <w:rsid w:val="007A4415"/>
    <w:rsid w:val="007A673A"/>
    <w:rsid w:val="007A69C1"/>
    <w:rsid w:val="007B03E4"/>
    <w:rsid w:val="007B3B54"/>
    <w:rsid w:val="007B3BE2"/>
    <w:rsid w:val="007B4B84"/>
    <w:rsid w:val="007B665E"/>
    <w:rsid w:val="007B6781"/>
    <w:rsid w:val="007B711A"/>
    <w:rsid w:val="007B7D45"/>
    <w:rsid w:val="007C19F7"/>
    <w:rsid w:val="007C385B"/>
    <w:rsid w:val="007C3DA3"/>
    <w:rsid w:val="007C3F49"/>
    <w:rsid w:val="007C4095"/>
    <w:rsid w:val="007C4870"/>
    <w:rsid w:val="007C5879"/>
    <w:rsid w:val="007C5AD5"/>
    <w:rsid w:val="007C746E"/>
    <w:rsid w:val="007C78DD"/>
    <w:rsid w:val="007C7FD7"/>
    <w:rsid w:val="007D0021"/>
    <w:rsid w:val="007D1C42"/>
    <w:rsid w:val="007D21E4"/>
    <w:rsid w:val="007D26E8"/>
    <w:rsid w:val="007D3D46"/>
    <w:rsid w:val="007D4DD3"/>
    <w:rsid w:val="007D57CA"/>
    <w:rsid w:val="007D608A"/>
    <w:rsid w:val="007D6E69"/>
    <w:rsid w:val="007D7F92"/>
    <w:rsid w:val="007E0773"/>
    <w:rsid w:val="007E0ABA"/>
    <w:rsid w:val="007E1703"/>
    <w:rsid w:val="007E1883"/>
    <w:rsid w:val="007E1D5C"/>
    <w:rsid w:val="007E2F7A"/>
    <w:rsid w:val="007E3FCC"/>
    <w:rsid w:val="007E60C8"/>
    <w:rsid w:val="007E6163"/>
    <w:rsid w:val="007E782D"/>
    <w:rsid w:val="007E7BC6"/>
    <w:rsid w:val="007E7F34"/>
    <w:rsid w:val="007F0554"/>
    <w:rsid w:val="007F0B30"/>
    <w:rsid w:val="007F15BB"/>
    <w:rsid w:val="007F2D2A"/>
    <w:rsid w:val="007F3589"/>
    <w:rsid w:val="007F3DC1"/>
    <w:rsid w:val="007F4404"/>
    <w:rsid w:val="007F44BE"/>
    <w:rsid w:val="007F4B03"/>
    <w:rsid w:val="007F4BE4"/>
    <w:rsid w:val="007F4C48"/>
    <w:rsid w:val="007F4E1E"/>
    <w:rsid w:val="007F6010"/>
    <w:rsid w:val="007F678F"/>
    <w:rsid w:val="007F7726"/>
    <w:rsid w:val="008010F3"/>
    <w:rsid w:val="0080203A"/>
    <w:rsid w:val="0080211A"/>
    <w:rsid w:val="008028C2"/>
    <w:rsid w:val="00803679"/>
    <w:rsid w:val="00803ED3"/>
    <w:rsid w:val="008045A8"/>
    <w:rsid w:val="00804638"/>
    <w:rsid w:val="008049F3"/>
    <w:rsid w:val="00804B17"/>
    <w:rsid w:val="008062BF"/>
    <w:rsid w:val="0080683E"/>
    <w:rsid w:val="00810ABA"/>
    <w:rsid w:val="00811F34"/>
    <w:rsid w:val="00812E17"/>
    <w:rsid w:val="0081411F"/>
    <w:rsid w:val="00814C62"/>
    <w:rsid w:val="00817671"/>
    <w:rsid w:val="00817B1B"/>
    <w:rsid w:val="00821537"/>
    <w:rsid w:val="00821C6B"/>
    <w:rsid w:val="00822D65"/>
    <w:rsid w:val="0082345F"/>
    <w:rsid w:val="00823880"/>
    <w:rsid w:val="008241D3"/>
    <w:rsid w:val="0082468F"/>
    <w:rsid w:val="00824B60"/>
    <w:rsid w:val="00824D91"/>
    <w:rsid w:val="00825673"/>
    <w:rsid w:val="008257C1"/>
    <w:rsid w:val="00825C08"/>
    <w:rsid w:val="00826B5E"/>
    <w:rsid w:val="00826CF0"/>
    <w:rsid w:val="00827AED"/>
    <w:rsid w:val="0083058C"/>
    <w:rsid w:val="00830A8A"/>
    <w:rsid w:val="00830AE4"/>
    <w:rsid w:val="00831AA7"/>
    <w:rsid w:val="00832C0D"/>
    <w:rsid w:val="0083341C"/>
    <w:rsid w:val="0083488D"/>
    <w:rsid w:val="008361ED"/>
    <w:rsid w:val="008361F6"/>
    <w:rsid w:val="00836304"/>
    <w:rsid w:val="0084064E"/>
    <w:rsid w:val="0084461D"/>
    <w:rsid w:val="00846848"/>
    <w:rsid w:val="00846C4C"/>
    <w:rsid w:val="008472E2"/>
    <w:rsid w:val="008478FF"/>
    <w:rsid w:val="008479ED"/>
    <w:rsid w:val="00847D7A"/>
    <w:rsid w:val="00850D33"/>
    <w:rsid w:val="00850D5A"/>
    <w:rsid w:val="00851072"/>
    <w:rsid w:val="00852672"/>
    <w:rsid w:val="00852A83"/>
    <w:rsid w:val="00853473"/>
    <w:rsid w:val="00854D3E"/>
    <w:rsid w:val="008561E9"/>
    <w:rsid w:val="00860723"/>
    <w:rsid w:val="00860DBE"/>
    <w:rsid w:val="00861D20"/>
    <w:rsid w:val="00862F8B"/>
    <w:rsid w:val="00863B20"/>
    <w:rsid w:val="00863DB1"/>
    <w:rsid w:val="008648BB"/>
    <w:rsid w:val="00864AE4"/>
    <w:rsid w:val="008653DE"/>
    <w:rsid w:val="008676D0"/>
    <w:rsid w:val="008679F8"/>
    <w:rsid w:val="0087010A"/>
    <w:rsid w:val="00870397"/>
    <w:rsid w:val="00871395"/>
    <w:rsid w:val="0087242A"/>
    <w:rsid w:val="00872E19"/>
    <w:rsid w:val="00873CA3"/>
    <w:rsid w:val="00874AAE"/>
    <w:rsid w:val="00875BF1"/>
    <w:rsid w:val="00875D00"/>
    <w:rsid w:val="00877395"/>
    <w:rsid w:val="00877FD8"/>
    <w:rsid w:val="00880483"/>
    <w:rsid w:val="0088052C"/>
    <w:rsid w:val="008808E3"/>
    <w:rsid w:val="00880C51"/>
    <w:rsid w:val="00880EEA"/>
    <w:rsid w:val="00881A97"/>
    <w:rsid w:val="00881D96"/>
    <w:rsid w:val="00882C09"/>
    <w:rsid w:val="00883178"/>
    <w:rsid w:val="00883640"/>
    <w:rsid w:val="00883881"/>
    <w:rsid w:val="00885151"/>
    <w:rsid w:val="00887729"/>
    <w:rsid w:val="00890346"/>
    <w:rsid w:val="00892354"/>
    <w:rsid w:val="008923F9"/>
    <w:rsid w:val="008929C1"/>
    <w:rsid w:val="00893728"/>
    <w:rsid w:val="00894FDA"/>
    <w:rsid w:val="0089532C"/>
    <w:rsid w:val="008979D4"/>
    <w:rsid w:val="008A1D8B"/>
    <w:rsid w:val="008A3948"/>
    <w:rsid w:val="008A5088"/>
    <w:rsid w:val="008A5348"/>
    <w:rsid w:val="008A5FC4"/>
    <w:rsid w:val="008A74F8"/>
    <w:rsid w:val="008B06D5"/>
    <w:rsid w:val="008B0EEF"/>
    <w:rsid w:val="008B123F"/>
    <w:rsid w:val="008B2A89"/>
    <w:rsid w:val="008B3178"/>
    <w:rsid w:val="008B4082"/>
    <w:rsid w:val="008B4A44"/>
    <w:rsid w:val="008B7312"/>
    <w:rsid w:val="008C09D2"/>
    <w:rsid w:val="008C10AA"/>
    <w:rsid w:val="008C1818"/>
    <w:rsid w:val="008C21E6"/>
    <w:rsid w:val="008C3592"/>
    <w:rsid w:val="008C38B7"/>
    <w:rsid w:val="008C52E6"/>
    <w:rsid w:val="008C66B0"/>
    <w:rsid w:val="008C6E07"/>
    <w:rsid w:val="008D0899"/>
    <w:rsid w:val="008D0A5D"/>
    <w:rsid w:val="008D0B92"/>
    <w:rsid w:val="008D3014"/>
    <w:rsid w:val="008D374B"/>
    <w:rsid w:val="008D3C61"/>
    <w:rsid w:val="008D3E3D"/>
    <w:rsid w:val="008D4130"/>
    <w:rsid w:val="008D429F"/>
    <w:rsid w:val="008D42D4"/>
    <w:rsid w:val="008D451E"/>
    <w:rsid w:val="008D49C3"/>
    <w:rsid w:val="008D4A41"/>
    <w:rsid w:val="008D51A9"/>
    <w:rsid w:val="008D535E"/>
    <w:rsid w:val="008D54BE"/>
    <w:rsid w:val="008D59D3"/>
    <w:rsid w:val="008D6B14"/>
    <w:rsid w:val="008D7A86"/>
    <w:rsid w:val="008E005F"/>
    <w:rsid w:val="008E09F4"/>
    <w:rsid w:val="008E0C8C"/>
    <w:rsid w:val="008E0E01"/>
    <w:rsid w:val="008E1721"/>
    <w:rsid w:val="008E290F"/>
    <w:rsid w:val="008E2AB0"/>
    <w:rsid w:val="008E3196"/>
    <w:rsid w:val="008E3264"/>
    <w:rsid w:val="008E3865"/>
    <w:rsid w:val="008E417C"/>
    <w:rsid w:val="008E48EE"/>
    <w:rsid w:val="008E4B38"/>
    <w:rsid w:val="008E51F4"/>
    <w:rsid w:val="008E5878"/>
    <w:rsid w:val="008E6CD0"/>
    <w:rsid w:val="008E78DA"/>
    <w:rsid w:val="008F09AB"/>
    <w:rsid w:val="008F0FB3"/>
    <w:rsid w:val="008F11A3"/>
    <w:rsid w:val="008F27FA"/>
    <w:rsid w:val="008F4306"/>
    <w:rsid w:val="008F4A75"/>
    <w:rsid w:val="008F7073"/>
    <w:rsid w:val="008F7601"/>
    <w:rsid w:val="008F7914"/>
    <w:rsid w:val="008F79E1"/>
    <w:rsid w:val="00901F9E"/>
    <w:rsid w:val="00902F10"/>
    <w:rsid w:val="0090378D"/>
    <w:rsid w:val="00904039"/>
    <w:rsid w:val="00904145"/>
    <w:rsid w:val="00905332"/>
    <w:rsid w:val="009059DF"/>
    <w:rsid w:val="00905BE0"/>
    <w:rsid w:val="00907971"/>
    <w:rsid w:val="00907A05"/>
    <w:rsid w:val="009100A8"/>
    <w:rsid w:val="00912187"/>
    <w:rsid w:val="009132E3"/>
    <w:rsid w:val="00913639"/>
    <w:rsid w:val="00913890"/>
    <w:rsid w:val="009148AC"/>
    <w:rsid w:val="00914C1D"/>
    <w:rsid w:val="009153A2"/>
    <w:rsid w:val="00915F3F"/>
    <w:rsid w:val="00916228"/>
    <w:rsid w:val="00916301"/>
    <w:rsid w:val="0091747C"/>
    <w:rsid w:val="009206BB"/>
    <w:rsid w:val="00922A9B"/>
    <w:rsid w:val="009231B2"/>
    <w:rsid w:val="00923ADD"/>
    <w:rsid w:val="00925758"/>
    <w:rsid w:val="00926155"/>
    <w:rsid w:val="009279F2"/>
    <w:rsid w:val="00931B2F"/>
    <w:rsid w:val="00932BAB"/>
    <w:rsid w:val="0093306C"/>
    <w:rsid w:val="009339FC"/>
    <w:rsid w:val="009349EF"/>
    <w:rsid w:val="009350CE"/>
    <w:rsid w:val="00935458"/>
    <w:rsid w:val="009360DA"/>
    <w:rsid w:val="00936935"/>
    <w:rsid w:val="00940B60"/>
    <w:rsid w:val="00940D05"/>
    <w:rsid w:val="00942722"/>
    <w:rsid w:val="009433C1"/>
    <w:rsid w:val="00943699"/>
    <w:rsid w:val="00943829"/>
    <w:rsid w:val="0094402B"/>
    <w:rsid w:val="00946124"/>
    <w:rsid w:val="00946DC5"/>
    <w:rsid w:val="00946E17"/>
    <w:rsid w:val="00947278"/>
    <w:rsid w:val="00951E18"/>
    <w:rsid w:val="009539FA"/>
    <w:rsid w:val="009544B3"/>
    <w:rsid w:val="0095646A"/>
    <w:rsid w:val="00960CCB"/>
    <w:rsid w:val="00960FE0"/>
    <w:rsid w:val="00961F77"/>
    <w:rsid w:val="00961FC1"/>
    <w:rsid w:val="0096247E"/>
    <w:rsid w:val="00963D1D"/>
    <w:rsid w:val="009640F4"/>
    <w:rsid w:val="00964284"/>
    <w:rsid w:val="00965069"/>
    <w:rsid w:val="00965FDF"/>
    <w:rsid w:val="00967AF5"/>
    <w:rsid w:val="00970E10"/>
    <w:rsid w:val="0097228C"/>
    <w:rsid w:val="00972339"/>
    <w:rsid w:val="00974F96"/>
    <w:rsid w:val="009757C6"/>
    <w:rsid w:val="00975C45"/>
    <w:rsid w:val="00977EEE"/>
    <w:rsid w:val="009801CA"/>
    <w:rsid w:val="009802CB"/>
    <w:rsid w:val="0098060E"/>
    <w:rsid w:val="00980EC9"/>
    <w:rsid w:val="0098465E"/>
    <w:rsid w:val="00985A2C"/>
    <w:rsid w:val="00985AD3"/>
    <w:rsid w:val="00985D31"/>
    <w:rsid w:val="009863C7"/>
    <w:rsid w:val="00986804"/>
    <w:rsid w:val="00986CFC"/>
    <w:rsid w:val="0099070F"/>
    <w:rsid w:val="00992CD7"/>
    <w:rsid w:val="00992F36"/>
    <w:rsid w:val="00993BAE"/>
    <w:rsid w:val="00993E39"/>
    <w:rsid w:val="0099546D"/>
    <w:rsid w:val="00996370"/>
    <w:rsid w:val="0099773B"/>
    <w:rsid w:val="00997EED"/>
    <w:rsid w:val="009A09E9"/>
    <w:rsid w:val="009A2455"/>
    <w:rsid w:val="009A375C"/>
    <w:rsid w:val="009A3780"/>
    <w:rsid w:val="009A3853"/>
    <w:rsid w:val="009A717D"/>
    <w:rsid w:val="009B0520"/>
    <w:rsid w:val="009B1DF3"/>
    <w:rsid w:val="009B2803"/>
    <w:rsid w:val="009B4220"/>
    <w:rsid w:val="009B5742"/>
    <w:rsid w:val="009B709C"/>
    <w:rsid w:val="009B73F5"/>
    <w:rsid w:val="009C0912"/>
    <w:rsid w:val="009C1439"/>
    <w:rsid w:val="009C3182"/>
    <w:rsid w:val="009C34F3"/>
    <w:rsid w:val="009C5367"/>
    <w:rsid w:val="009C5B87"/>
    <w:rsid w:val="009C6908"/>
    <w:rsid w:val="009C70A8"/>
    <w:rsid w:val="009D1601"/>
    <w:rsid w:val="009D250D"/>
    <w:rsid w:val="009D2A96"/>
    <w:rsid w:val="009D2F28"/>
    <w:rsid w:val="009D3398"/>
    <w:rsid w:val="009D3731"/>
    <w:rsid w:val="009D38A1"/>
    <w:rsid w:val="009D4186"/>
    <w:rsid w:val="009D52F7"/>
    <w:rsid w:val="009D64FE"/>
    <w:rsid w:val="009D7B89"/>
    <w:rsid w:val="009E2DC5"/>
    <w:rsid w:val="009E3C08"/>
    <w:rsid w:val="009E68C8"/>
    <w:rsid w:val="009E6C6B"/>
    <w:rsid w:val="009E76AA"/>
    <w:rsid w:val="009E77F2"/>
    <w:rsid w:val="009F0ACA"/>
    <w:rsid w:val="009F15E7"/>
    <w:rsid w:val="009F23BD"/>
    <w:rsid w:val="009F2808"/>
    <w:rsid w:val="009F593D"/>
    <w:rsid w:val="00A00503"/>
    <w:rsid w:val="00A0156A"/>
    <w:rsid w:val="00A01C6F"/>
    <w:rsid w:val="00A01DB2"/>
    <w:rsid w:val="00A023EA"/>
    <w:rsid w:val="00A02C9A"/>
    <w:rsid w:val="00A02ED6"/>
    <w:rsid w:val="00A04015"/>
    <w:rsid w:val="00A047CA"/>
    <w:rsid w:val="00A04A59"/>
    <w:rsid w:val="00A06086"/>
    <w:rsid w:val="00A06DFD"/>
    <w:rsid w:val="00A109D4"/>
    <w:rsid w:val="00A1166D"/>
    <w:rsid w:val="00A12D70"/>
    <w:rsid w:val="00A13885"/>
    <w:rsid w:val="00A1430A"/>
    <w:rsid w:val="00A1561C"/>
    <w:rsid w:val="00A15627"/>
    <w:rsid w:val="00A16057"/>
    <w:rsid w:val="00A16A2E"/>
    <w:rsid w:val="00A20934"/>
    <w:rsid w:val="00A21842"/>
    <w:rsid w:val="00A21925"/>
    <w:rsid w:val="00A21D45"/>
    <w:rsid w:val="00A2215A"/>
    <w:rsid w:val="00A229EA"/>
    <w:rsid w:val="00A23059"/>
    <w:rsid w:val="00A243B2"/>
    <w:rsid w:val="00A2623B"/>
    <w:rsid w:val="00A26B28"/>
    <w:rsid w:val="00A26BE4"/>
    <w:rsid w:val="00A26CB4"/>
    <w:rsid w:val="00A26CCC"/>
    <w:rsid w:val="00A300E2"/>
    <w:rsid w:val="00A308C9"/>
    <w:rsid w:val="00A31B61"/>
    <w:rsid w:val="00A323BD"/>
    <w:rsid w:val="00A33606"/>
    <w:rsid w:val="00A34465"/>
    <w:rsid w:val="00A35D7E"/>
    <w:rsid w:val="00A37A93"/>
    <w:rsid w:val="00A40847"/>
    <w:rsid w:val="00A40FCF"/>
    <w:rsid w:val="00A43444"/>
    <w:rsid w:val="00A43773"/>
    <w:rsid w:val="00A444A6"/>
    <w:rsid w:val="00A44995"/>
    <w:rsid w:val="00A45C33"/>
    <w:rsid w:val="00A466B6"/>
    <w:rsid w:val="00A46EE9"/>
    <w:rsid w:val="00A5128C"/>
    <w:rsid w:val="00A5234E"/>
    <w:rsid w:val="00A56A2C"/>
    <w:rsid w:val="00A5761D"/>
    <w:rsid w:val="00A57D2F"/>
    <w:rsid w:val="00A57DBC"/>
    <w:rsid w:val="00A57E79"/>
    <w:rsid w:val="00A57EC2"/>
    <w:rsid w:val="00A60114"/>
    <w:rsid w:val="00A6094F"/>
    <w:rsid w:val="00A63158"/>
    <w:rsid w:val="00A64F9C"/>
    <w:rsid w:val="00A674D0"/>
    <w:rsid w:val="00A71BAA"/>
    <w:rsid w:val="00A72B0F"/>
    <w:rsid w:val="00A74122"/>
    <w:rsid w:val="00A75DA7"/>
    <w:rsid w:val="00A76443"/>
    <w:rsid w:val="00A76495"/>
    <w:rsid w:val="00A77660"/>
    <w:rsid w:val="00A80D65"/>
    <w:rsid w:val="00A8447E"/>
    <w:rsid w:val="00A86B24"/>
    <w:rsid w:val="00A87317"/>
    <w:rsid w:val="00A903D9"/>
    <w:rsid w:val="00A90C07"/>
    <w:rsid w:val="00A91411"/>
    <w:rsid w:val="00A9188B"/>
    <w:rsid w:val="00A931E9"/>
    <w:rsid w:val="00A93511"/>
    <w:rsid w:val="00A94647"/>
    <w:rsid w:val="00A9687E"/>
    <w:rsid w:val="00A96CFA"/>
    <w:rsid w:val="00A97A9E"/>
    <w:rsid w:val="00A97C36"/>
    <w:rsid w:val="00A97D79"/>
    <w:rsid w:val="00AA089C"/>
    <w:rsid w:val="00AA0C5A"/>
    <w:rsid w:val="00AA1879"/>
    <w:rsid w:val="00AA2D57"/>
    <w:rsid w:val="00AA3E70"/>
    <w:rsid w:val="00AA41D5"/>
    <w:rsid w:val="00AA4CB7"/>
    <w:rsid w:val="00AA4EF1"/>
    <w:rsid w:val="00AA6BA4"/>
    <w:rsid w:val="00AA7670"/>
    <w:rsid w:val="00AA7C25"/>
    <w:rsid w:val="00AB094C"/>
    <w:rsid w:val="00AB2DCC"/>
    <w:rsid w:val="00AB3269"/>
    <w:rsid w:val="00AB3826"/>
    <w:rsid w:val="00AB3C78"/>
    <w:rsid w:val="00AB4126"/>
    <w:rsid w:val="00AB54C3"/>
    <w:rsid w:val="00AB65DA"/>
    <w:rsid w:val="00AB6D11"/>
    <w:rsid w:val="00AC0045"/>
    <w:rsid w:val="00AC00B3"/>
    <w:rsid w:val="00AC0C16"/>
    <w:rsid w:val="00AC1AE8"/>
    <w:rsid w:val="00AC1B66"/>
    <w:rsid w:val="00AC45CF"/>
    <w:rsid w:val="00AC4A34"/>
    <w:rsid w:val="00AC5B44"/>
    <w:rsid w:val="00AC6679"/>
    <w:rsid w:val="00AD0197"/>
    <w:rsid w:val="00AD0AFE"/>
    <w:rsid w:val="00AD0C0F"/>
    <w:rsid w:val="00AD0FD4"/>
    <w:rsid w:val="00AD17BC"/>
    <w:rsid w:val="00AD206B"/>
    <w:rsid w:val="00AD281B"/>
    <w:rsid w:val="00AD29E4"/>
    <w:rsid w:val="00AD3BCD"/>
    <w:rsid w:val="00AD51CE"/>
    <w:rsid w:val="00AD6FA9"/>
    <w:rsid w:val="00AD7650"/>
    <w:rsid w:val="00AE07CE"/>
    <w:rsid w:val="00AE0F43"/>
    <w:rsid w:val="00AE132C"/>
    <w:rsid w:val="00AE1886"/>
    <w:rsid w:val="00AE1BC2"/>
    <w:rsid w:val="00AE2118"/>
    <w:rsid w:val="00AE27B7"/>
    <w:rsid w:val="00AE2D32"/>
    <w:rsid w:val="00AE2DD6"/>
    <w:rsid w:val="00AE3B7B"/>
    <w:rsid w:val="00AE4A80"/>
    <w:rsid w:val="00AE4F03"/>
    <w:rsid w:val="00AE67D0"/>
    <w:rsid w:val="00AE71A5"/>
    <w:rsid w:val="00AE7959"/>
    <w:rsid w:val="00AF043D"/>
    <w:rsid w:val="00AF0FB5"/>
    <w:rsid w:val="00AF1D10"/>
    <w:rsid w:val="00AF214A"/>
    <w:rsid w:val="00AF2921"/>
    <w:rsid w:val="00AF3FA6"/>
    <w:rsid w:val="00AF3FFC"/>
    <w:rsid w:val="00AF404A"/>
    <w:rsid w:val="00AF440E"/>
    <w:rsid w:val="00AF4BA1"/>
    <w:rsid w:val="00AF78BC"/>
    <w:rsid w:val="00B00132"/>
    <w:rsid w:val="00B01A6B"/>
    <w:rsid w:val="00B01C81"/>
    <w:rsid w:val="00B02086"/>
    <w:rsid w:val="00B028B9"/>
    <w:rsid w:val="00B02FF3"/>
    <w:rsid w:val="00B030B3"/>
    <w:rsid w:val="00B041D7"/>
    <w:rsid w:val="00B04D35"/>
    <w:rsid w:val="00B05820"/>
    <w:rsid w:val="00B05F83"/>
    <w:rsid w:val="00B064C6"/>
    <w:rsid w:val="00B0792B"/>
    <w:rsid w:val="00B115A2"/>
    <w:rsid w:val="00B1248E"/>
    <w:rsid w:val="00B12789"/>
    <w:rsid w:val="00B13AC3"/>
    <w:rsid w:val="00B13B6B"/>
    <w:rsid w:val="00B14623"/>
    <w:rsid w:val="00B15CA5"/>
    <w:rsid w:val="00B17B97"/>
    <w:rsid w:val="00B200F2"/>
    <w:rsid w:val="00B210F4"/>
    <w:rsid w:val="00B21270"/>
    <w:rsid w:val="00B22406"/>
    <w:rsid w:val="00B233FA"/>
    <w:rsid w:val="00B241DF"/>
    <w:rsid w:val="00B25703"/>
    <w:rsid w:val="00B2698D"/>
    <w:rsid w:val="00B27F76"/>
    <w:rsid w:val="00B300E9"/>
    <w:rsid w:val="00B31461"/>
    <w:rsid w:val="00B31649"/>
    <w:rsid w:val="00B316CA"/>
    <w:rsid w:val="00B319BF"/>
    <w:rsid w:val="00B33310"/>
    <w:rsid w:val="00B34069"/>
    <w:rsid w:val="00B344FD"/>
    <w:rsid w:val="00B3586B"/>
    <w:rsid w:val="00B3706D"/>
    <w:rsid w:val="00B40005"/>
    <w:rsid w:val="00B4177C"/>
    <w:rsid w:val="00B41E03"/>
    <w:rsid w:val="00B42C45"/>
    <w:rsid w:val="00B43117"/>
    <w:rsid w:val="00B43A28"/>
    <w:rsid w:val="00B43BDF"/>
    <w:rsid w:val="00B43E2A"/>
    <w:rsid w:val="00B440EB"/>
    <w:rsid w:val="00B45BE5"/>
    <w:rsid w:val="00B46272"/>
    <w:rsid w:val="00B47A01"/>
    <w:rsid w:val="00B53589"/>
    <w:rsid w:val="00B556A9"/>
    <w:rsid w:val="00B56443"/>
    <w:rsid w:val="00B568A2"/>
    <w:rsid w:val="00B5778E"/>
    <w:rsid w:val="00B57F53"/>
    <w:rsid w:val="00B612B6"/>
    <w:rsid w:val="00B636DC"/>
    <w:rsid w:val="00B637D4"/>
    <w:rsid w:val="00B639E5"/>
    <w:rsid w:val="00B65C57"/>
    <w:rsid w:val="00B67019"/>
    <w:rsid w:val="00B700C3"/>
    <w:rsid w:val="00B73BC9"/>
    <w:rsid w:val="00B744E2"/>
    <w:rsid w:val="00B74C0E"/>
    <w:rsid w:val="00B76718"/>
    <w:rsid w:val="00B76D00"/>
    <w:rsid w:val="00B80447"/>
    <w:rsid w:val="00B80AEB"/>
    <w:rsid w:val="00B81003"/>
    <w:rsid w:val="00B81826"/>
    <w:rsid w:val="00B818D7"/>
    <w:rsid w:val="00B81B23"/>
    <w:rsid w:val="00B82008"/>
    <w:rsid w:val="00B82F75"/>
    <w:rsid w:val="00B84F11"/>
    <w:rsid w:val="00B85678"/>
    <w:rsid w:val="00B867DD"/>
    <w:rsid w:val="00B90C7B"/>
    <w:rsid w:val="00B90EA0"/>
    <w:rsid w:val="00B91BAA"/>
    <w:rsid w:val="00B91BC8"/>
    <w:rsid w:val="00B91E60"/>
    <w:rsid w:val="00B92538"/>
    <w:rsid w:val="00B9273A"/>
    <w:rsid w:val="00B92C39"/>
    <w:rsid w:val="00B9320E"/>
    <w:rsid w:val="00B9378E"/>
    <w:rsid w:val="00B93F58"/>
    <w:rsid w:val="00B94DCE"/>
    <w:rsid w:val="00B952B5"/>
    <w:rsid w:val="00B95985"/>
    <w:rsid w:val="00B97330"/>
    <w:rsid w:val="00B9742B"/>
    <w:rsid w:val="00B97F4F"/>
    <w:rsid w:val="00BA01D2"/>
    <w:rsid w:val="00BA0CE8"/>
    <w:rsid w:val="00BA19BE"/>
    <w:rsid w:val="00BA1DFD"/>
    <w:rsid w:val="00BA1F1D"/>
    <w:rsid w:val="00BA286E"/>
    <w:rsid w:val="00BA2A76"/>
    <w:rsid w:val="00BA374F"/>
    <w:rsid w:val="00BA4A46"/>
    <w:rsid w:val="00BA69D3"/>
    <w:rsid w:val="00BA711F"/>
    <w:rsid w:val="00BB0DA2"/>
    <w:rsid w:val="00BB0E21"/>
    <w:rsid w:val="00BB2221"/>
    <w:rsid w:val="00BB26DF"/>
    <w:rsid w:val="00BB3CAE"/>
    <w:rsid w:val="00BB48FA"/>
    <w:rsid w:val="00BB5312"/>
    <w:rsid w:val="00BB55E4"/>
    <w:rsid w:val="00BB6606"/>
    <w:rsid w:val="00BC1B68"/>
    <w:rsid w:val="00BC3608"/>
    <w:rsid w:val="00BC3700"/>
    <w:rsid w:val="00BC5ACA"/>
    <w:rsid w:val="00BC5E7C"/>
    <w:rsid w:val="00BC5ECE"/>
    <w:rsid w:val="00BC6314"/>
    <w:rsid w:val="00BC67A2"/>
    <w:rsid w:val="00BC6F66"/>
    <w:rsid w:val="00BD0BA3"/>
    <w:rsid w:val="00BD1B5E"/>
    <w:rsid w:val="00BD20CA"/>
    <w:rsid w:val="00BD25C3"/>
    <w:rsid w:val="00BD26FC"/>
    <w:rsid w:val="00BD2EF9"/>
    <w:rsid w:val="00BD44B9"/>
    <w:rsid w:val="00BD49FC"/>
    <w:rsid w:val="00BD4A08"/>
    <w:rsid w:val="00BD65E2"/>
    <w:rsid w:val="00BD75B3"/>
    <w:rsid w:val="00BD7ACB"/>
    <w:rsid w:val="00BE030A"/>
    <w:rsid w:val="00BE0BD4"/>
    <w:rsid w:val="00BE1057"/>
    <w:rsid w:val="00BE1435"/>
    <w:rsid w:val="00BE1AB1"/>
    <w:rsid w:val="00BE391B"/>
    <w:rsid w:val="00BE46AC"/>
    <w:rsid w:val="00BE4804"/>
    <w:rsid w:val="00BE639D"/>
    <w:rsid w:val="00BE69AC"/>
    <w:rsid w:val="00BF33B0"/>
    <w:rsid w:val="00BF340A"/>
    <w:rsid w:val="00BF4664"/>
    <w:rsid w:val="00BF4876"/>
    <w:rsid w:val="00BF4B1A"/>
    <w:rsid w:val="00BF5839"/>
    <w:rsid w:val="00BF59B2"/>
    <w:rsid w:val="00BF7FAF"/>
    <w:rsid w:val="00C00DC1"/>
    <w:rsid w:val="00C01514"/>
    <w:rsid w:val="00C01C18"/>
    <w:rsid w:val="00C02BBF"/>
    <w:rsid w:val="00C0480E"/>
    <w:rsid w:val="00C061E3"/>
    <w:rsid w:val="00C06240"/>
    <w:rsid w:val="00C07345"/>
    <w:rsid w:val="00C07770"/>
    <w:rsid w:val="00C119C2"/>
    <w:rsid w:val="00C141DF"/>
    <w:rsid w:val="00C14967"/>
    <w:rsid w:val="00C14B25"/>
    <w:rsid w:val="00C157E6"/>
    <w:rsid w:val="00C15FEE"/>
    <w:rsid w:val="00C1627A"/>
    <w:rsid w:val="00C16F8A"/>
    <w:rsid w:val="00C17198"/>
    <w:rsid w:val="00C1777A"/>
    <w:rsid w:val="00C20E15"/>
    <w:rsid w:val="00C222AC"/>
    <w:rsid w:val="00C226A0"/>
    <w:rsid w:val="00C24C12"/>
    <w:rsid w:val="00C24FC3"/>
    <w:rsid w:val="00C252E8"/>
    <w:rsid w:val="00C26E47"/>
    <w:rsid w:val="00C3083F"/>
    <w:rsid w:val="00C309AE"/>
    <w:rsid w:val="00C30B76"/>
    <w:rsid w:val="00C3179A"/>
    <w:rsid w:val="00C31B7A"/>
    <w:rsid w:val="00C322A1"/>
    <w:rsid w:val="00C32962"/>
    <w:rsid w:val="00C32E9F"/>
    <w:rsid w:val="00C33404"/>
    <w:rsid w:val="00C338CE"/>
    <w:rsid w:val="00C33BEE"/>
    <w:rsid w:val="00C34E14"/>
    <w:rsid w:val="00C364D6"/>
    <w:rsid w:val="00C366BB"/>
    <w:rsid w:val="00C36873"/>
    <w:rsid w:val="00C36C16"/>
    <w:rsid w:val="00C40350"/>
    <w:rsid w:val="00C40D2C"/>
    <w:rsid w:val="00C414E8"/>
    <w:rsid w:val="00C42AAC"/>
    <w:rsid w:val="00C42CE4"/>
    <w:rsid w:val="00C43034"/>
    <w:rsid w:val="00C43191"/>
    <w:rsid w:val="00C43619"/>
    <w:rsid w:val="00C43AF5"/>
    <w:rsid w:val="00C43DAE"/>
    <w:rsid w:val="00C46AC4"/>
    <w:rsid w:val="00C47053"/>
    <w:rsid w:val="00C47CF2"/>
    <w:rsid w:val="00C51A84"/>
    <w:rsid w:val="00C52F0C"/>
    <w:rsid w:val="00C531DC"/>
    <w:rsid w:val="00C532F8"/>
    <w:rsid w:val="00C533DC"/>
    <w:rsid w:val="00C533FE"/>
    <w:rsid w:val="00C5376C"/>
    <w:rsid w:val="00C53978"/>
    <w:rsid w:val="00C53F60"/>
    <w:rsid w:val="00C54162"/>
    <w:rsid w:val="00C549B7"/>
    <w:rsid w:val="00C54C55"/>
    <w:rsid w:val="00C56B0A"/>
    <w:rsid w:val="00C60208"/>
    <w:rsid w:val="00C61020"/>
    <w:rsid w:val="00C62631"/>
    <w:rsid w:val="00C6293B"/>
    <w:rsid w:val="00C63972"/>
    <w:rsid w:val="00C63C18"/>
    <w:rsid w:val="00C65241"/>
    <w:rsid w:val="00C655A3"/>
    <w:rsid w:val="00C66CB0"/>
    <w:rsid w:val="00C676E5"/>
    <w:rsid w:val="00C723B8"/>
    <w:rsid w:val="00C74E29"/>
    <w:rsid w:val="00C756A8"/>
    <w:rsid w:val="00C7661F"/>
    <w:rsid w:val="00C76787"/>
    <w:rsid w:val="00C76829"/>
    <w:rsid w:val="00C772E3"/>
    <w:rsid w:val="00C803E7"/>
    <w:rsid w:val="00C83A4F"/>
    <w:rsid w:val="00C84379"/>
    <w:rsid w:val="00C84D05"/>
    <w:rsid w:val="00C85644"/>
    <w:rsid w:val="00C8621A"/>
    <w:rsid w:val="00C86F60"/>
    <w:rsid w:val="00C87641"/>
    <w:rsid w:val="00C87BB9"/>
    <w:rsid w:val="00C9189B"/>
    <w:rsid w:val="00C926AD"/>
    <w:rsid w:val="00C92826"/>
    <w:rsid w:val="00C93453"/>
    <w:rsid w:val="00C93D5F"/>
    <w:rsid w:val="00C95379"/>
    <w:rsid w:val="00C9539E"/>
    <w:rsid w:val="00C957C2"/>
    <w:rsid w:val="00C95EB2"/>
    <w:rsid w:val="00C96889"/>
    <w:rsid w:val="00CA04DC"/>
    <w:rsid w:val="00CA0ADF"/>
    <w:rsid w:val="00CA3EB9"/>
    <w:rsid w:val="00CA5938"/>
    <w:rsid w:val="00CA5C45"/>
    <w:rsid w:val="00CA5DEE"/>
    <w:rsid w:val="00CB0E55"/>
    <w:rsid w:val="00CB10FD"/>
    <w:rsid w:val="00CB19C7"/>
    <w:rsid w:val="00CB1B9C"/>
    <w:rsid w:val="00CB22F1"/>
    <w:rsid w:val="00CB2530"/>
    <w:rsid w:val="00CB30A4"/>
    <w:rsid w:val="00CB32C7"/>
    <w:rsid w:val="00CB3837"/>
    <w:rsid w:val="00CB38F2"/>
    <w:rsid w:val="00CB3CB5"/>
    <w:rsid w:val="00CB3DBD"/>
    <w:rsid w:val="00CB4D57"/>
    <w:rsid w:val="00CB57FE"/>
    <w:rsid w:val="00CB7123"/>
    <w:rsid w:val="00CB73A3"/>
    <w:rsid w:val="00CB7F0D"/>
    <w:rsid w:val="00CC1DF7"/>
    <w:rsid w:val="00CC20F1"/>
    <w:rsid w:val="00CC28C6"/>
    <w:rsid w:val="00CC3585"/>
    <w:rsid w:val="00CC3A47"/>
    <w:rsid w:val="00CC4808"/>
    <w:rsid w:val="00CC4BC8"/>
    <w:rsid w:val="00CC750B"/>
    <w:rsid w:val="00CC7D66"/>
    <w:rsid w:val="00CD0055"/>
    <w:rsid w:val="00CD0400"/>
    <w:rsid w:val="00CD211F"/>
    <w:rsid w:val="00CD28C6"/>
    <w:rsid w:val="00CD305B"/>
    <w:rsid w:val="00CD3987"/>
    <w:rsid w:val="00CD44A5"/>
    <w:rsid w:val="00CD61F9"/>
    <w:rsid w:val="00CD64FC"/>
    <w:rsid w:val="00CE02CC"/>
    <w:rsid w:val="00CE0D2C"/>
    <w:rsid w:val="00CE0F53"/>
    <w:rsid w:val="00CE1B8A"/>
    <w:rsid w:val="00CE1F0B"/>
    <w:rsid w:val="00CE2156"/>
    <w:rsid w:val="00CE25CA"/>
    <w:rsid w:val="00CE2B32"/>
    <w:rsid w:val="00CE2DD0"/>
    <w:rsid w:val="00CE30AB"/>
    <w:rsid w:val="00CE3510"/>
    <w:rsid w:val="00CE419A"/>
    <w:rsid w:val="00CE4936"/>
    <w:rsid w:val="00CE4CC0"/>
    <w:rsid w:val="00CE5257"/>
    <w:rsid w:val="00CE530D"/>
    <w:rsid w:val="00CE6205"/>
    <w:rsid w:val="00CE6BF8"/>
    <w:rsid w:val="00CE7A1E"/>
    <w:rsid w:val="00CF1398"/>
    <w:rsid w:val="00CF27C4"/>
    <w:rsid w:val="00CF46D9"/>
    <w:rsid w:val="00D02716"/>
    <w:rsid w:val="00D02D13"/>
    <w:rsid w:val="00D0456C"/>
    <w:rsid w:val="00D06F27"/>
    <w:rsid w:val="00D07114"/>
    <w:rsid w:val="00D073F4"/>
    <w:rsid w:val="00D105FD"/>
    <w:rsid w:val="00D1102D"/>
    <w:rsid w:val="00D13DF0"/>
    <w:rsid w:val="00D1418F"/>
    <w:rsid w:val="00D143AC"/>
    <w:rsid w:val="00D14486"/>
    <w:rsid w:val="00D1569F"/>
    <w:rsid w:val="00D22284"/>
    <w:rsid w:val="00D22FC3"/>
    <w:rsid w:val="00D23583"/>
    <w:rsid w:val="00D2449C"/>
    <w:rsid w:val="00D244C9"/>
    <w:rsid w:val="00D24520"/>
    <w:rsid w:val="00D25BF8"/>
    <w:rsid w:val="00D262EA"/>
    <w:rsid w:val="00D26D11"/>
    <w:rsid w:val="00D27CFB"/>
    <w:rsid w:val="00D30A63"/>
    <w:rsid w:val="00D30F6D"/>
    <w:rsid w:val="00D31703"/>
    <w:rsid w:val="00D31C43"/>
    <w:rsid w:val="00D322A6"/>
    <w:rsid w:val="00D32D1E"/>
    <w:rsid w:val="00D36774"/>
    <w:rsid w:val="00D36B98"/>
    <w:rsid w:val="00D40AAD"/>
    <w:rsid w:val="00D43642"/>
    <w:rsid w:val="00D43BB8"/>
    <w:rsid w:val="00D45728"/>
    <w:rsid w:val="00D4767A"/>
    <w:rsid w:val="00D47ACC"/>
    <w:rsid w:val="00D5064E"/>
    <w:rsid w:val="00D51FE7"/>
    <w:rsid w:val="00D54B01"/>
    <w:rsid w:val="00D5603B"/>
    <w:rsid w:val="00D56DD8"/>
    <w:rsid w:val="00D56EC5"/>
    <w:rsid w:val="00D57274"/>
    <w:rsid w:val="00D600F0"/>
    <w:rsid w:val="00D6034D"/>
    <w:rsid w:val="00D61332"/>
    <w:rsid w:val="00D6194F"/>
    <w:rsid w:val="00D61F8A"/>
    <w:rsid w:val="00D6226B"/>
    <w:rsid w:val="00D6239E"/>
    <w:rsid w:val="00D624EF"/>
    <w:rsid w:val="00D640D7"/>
    <w:rsid w:val="00D64A4B"/>
    <w:rsid w:val="00D64F1B"/>
    <w:rsid w:val="00D653AD"/>
    <w:rsid w:val="00D6548B"/>
    <w:rsid w:val="00D66A48"/>
    <w:rsid w:val="00D67432"/>
    <w:rsid w:val="00D67E9C"/>
    <w:rsid w:val="00D70374"/>
    <w:rsid w:val="00D71175"/>
    <w:rsid w:val="00D711C5"/>
    <w:rsid w:val="00D71A85"/>
    <w:rsid w:val="00D72318"/>
    <w:rsid w:val="00D7260B"/>
    <w:rsid w:val="00D729B1"/>
    <w:rsid w:val="00D730B5"/>
    <w:rsid w:val="00D73129"/>
    <w:rsid w:val="00D735FF"/>
    <w:rsid w:val="00D73A3C"/>
    <w:rsid w:val="00D7483C"/>
    <w:rsid w:val="00D74FD2"/>
    <w:rsid w:val="00D75CC5"/>
    <w:rsid w:val="00D762ED"/>
    <w:rsid w:val="00D77CD3"/>
    <w:rsid w:val="00D80B2D"/>
    <w:rsid w:val="00D813C5"/>
    <w:rsid w:val="00D818F3"/>
    <w:rsid w:val="00D83406"/>
    <w:rsid w:val="00D83999"/>
    <w:rsid w:val="00D839BC"/>
    <w:rsid w:val="00D84ABE"/>
    <w:rsid w:val="00D84F60"/>
    <w:rsid w:val="00D86004"/>
    <w:rsid w:val="00D87B35"/>
    <w:rsid w:val="00D901FE"/>
    <w:rsid w:val="00D9098B"/>
    <w:rsid w:val="00D9164E"/>
    <w:rsid w:val="00D91B3F"/>
    <w:rsid w:val="00D91BC7"/>
    <w:rsid w:val="00D91FC5"/>
    <w:rsid w:val="00D921E7"/>
    <w:rsid w:val="00D92690"/>
    <w:rsid w:val="00D9288B"/>
    <w:rsid w:val="00D9376C"/>
    <w:rsid w:val="00D93EA3"/>
    <w:rsid w:val="00D95A10"/>
    <w:rsid w:val="00D96E03"/>
    <w:rsid w:val="00D97AD0"/>
    <w:rsid w:val="00DA068C"/>
    <w:rsid w:val="00DA1731"/>
    <w:rsid w:val="00DA2373"/>
    <w:rsid w:val="00DA2FEA"/>
    <w:rsid w:val="00DA628E"/>
    <w:rsid w:val="00DA6E18"/>
    <w:rsid w:val="00DA6F20"/>
    <w:rsid w:val="00DB17ED"/>
    <w:rsid w:val="00DB35B2"/>
    <w:rsid w:val="00DB3FD3"/>
    <w:rsid w:val="00DB4087"/>
    <w:rsid w:val="00DB452E"/>
    <w:rsid w:val="00DB4755"/>
    <w:rsid w:val="00DB4A57"/>
    <w:rsid w:val="00DC07A6"/>
    <w:rsid w:val="00DC153D"/>
    <w:rsid w:val="00DC22B8"/>
    <w:rsid w:val="00DC3E21"/>
    <w:rsid w:val="00DC4046"/>
    <w:rsid w:val="00DC428F"/>
    <w:rsid w:val="00DC48FC"/>
    <w:rsid w:val="00DC4A34"/>
    <w:rsid w:val="00DC793A"/>
    <w:rsid w:val="00DC7F55"/>
    <w:rsid w:val="00DD04B4"/>
    <w:rsid w:val="00DD0FBB"/>
    <w:rsid w:val="00DD2866"/>
    <w:rsid w:val="00DD2EAD"/>
    <w:rsid w:val="00DD332A"/>
    <w:rsid w:val="00DD3C36"/>
    <w:rsid w:val="00DD3E03"/>
    <w:rsid w:val="00DD4AB2"/>
    <w:rsid w:val="00DD4BA5"/>
    <w:rsid w:val="00DD536D"/>
    <w:rsid w:val="00DD5672"/>
    <w:rsid w:val="00DD6283"/>
    <w:rsid w:val="00DD638B"/>
    <w:rsid w:val="00DD6622"/>
    <w:rsid w:val="00DD725B"/>
    <w:rsid w:val="00DE0CFB"/>
    <w:rsid w:val="00DE1245"/>
    <w:rsid w:val="00DE16B2"/>
    <w:rsid w:val="00DE17F9"/>
    <w:rsid w:val="00DE1EE8"/>
    <w:rsid w:val="00DE30EB"/>
    <w:rsid w:val="00DE33F9"/>
    <w:rsid w:val="00DE35C1"/>
    <w:rsid w:val="00DE3A75"/>
    <w:rsid w:val="00DE3B0B"/>
    <w:rsid w:val="00DE49A3"/>
    <w:rsid w:val="00DE4B5E"/>
    <w:rsid w:val="00DE4C92"/>
    <w:rsid w:val="00DE6050"/>
    <w:rsid w:val="00DE65EC"/>
    <w:rsid w:val="00DE6F23"/>
    <w:rsid w:val="00DE7094"/>
    <w:rsid w:val="00DF2171"/>
    <w:rsid w:val="00DF2EC9"/>
    <w:rsid w:val="00DF3272"/>
    <w:rsid w:val="00DF5393"/>
    <w:rsid w:val="00DF54C2"/>
    <w:rsid w:val="00DF5787"/>
    <w:rsid w:val="00DF57AB"/>
    <w:rsid w:val="00DF6AAA"/>
    <w:rsid w:val="00DF74BE"/>
    <w:rsid w:val="00DF74E3"/>
    <w:rsid w:val="00DF794F"/>
    <w:rsid w:val="00E02336"/>
    <w:rsid w:val="00E023AA"/>
    <w:rsid w:val="00E02DF9"/>
    <w:rsid w:val="00E05993"/>
    <w:rsid w:val="00E059CE"/>
    <w:rsid w:val="00E07B27"/>
    <w:rsid w:val="00E07EEF"/>
    <w:rsid w:val="00E10391"/>
    <w:rsid w:val="00E12228"/>
    <w:rsid w:val="00E133A6"/>
    <w:rsid w:val="00E138C3"/>
    <w:rsid w:val="00E15852"/>
    <w:rsid w:val="00E15EAA"/>
    <w:rsid w:val="00E1630A"/>
    <w:rsid w:val="00E165CA"/>
    <w:rsid w:val="00E16B90"/>
    <w:rsid w:val="00E177EE"/>
    <w:rsid w:val="00E20A4D"/>
    <w:rsid w:val="00E20C25"/>
    <w:rsid w:val="00E21452"/>
    <w:rsid w:val="00E23208"/>
    <w:rsid w:val="00E23A7E"/>
    <w:rsid w:val="00E23ABD"/>
    <w:rsid w:val="00E24A0D"/>
    <w:rsid w:val="00E24A15"/>
    <w:rsid w:val="00E24F4E"/>
    <w:rsid w:val="00E25699"/>
    <w:rsid w:val="00E275BB"/>
    <w:rsid w:val="00E275CC"/>
    <w:rsid w:val="00E3023E"/>
    <w:rsid w:val="00E320BF"/>
    <w:rsid w:val="00E325CC"/>
    <w:rsid w:val="00E32F40"/>
    <w:rsid w:val="00E34333"/>
    <w:rsid w:val="00E34B78"/>
    <w:rsid w:val="00E34BD0"/>
    <w:rsid w:val="00E35F2E"/>
    <w:rsid w:val="00E37029"/>
    <w:rsid w:val="00E37E2C"/>
    <w:rsid w:val="00E42F1F"/>
    <w:rsid w:val="00E446B6"/>
    <w:rsid w:val="00E44E27"/>
    <w:rsid w:val="00E44E2E"/>
    <w:rsid w:val="00E45A6B"/>
    <w:rsid w:val="00E45DBB"/>
    <w:rsid w:val="00E464E0"/>
    <w:rsid w:val="00E508F9"/>
    <w:rsid w:val="00E50E0A"/>
    <w:rsid w:val="00E51369"/>
    <w:rsid w:val="00E51FE7"/>
    <w:rsid w:val="00E520C5"/>
    <w:rsid w:val="00E52747"/>
    <w:rsid w:val="00E5274C"/>
    <w:rsid w:val="00E53E66"/>
    <w:rsid w:val="00E540E3"/>
    <w:rsid w:val="00E54235"/>
    <w:rsid w:val="00E548FC"/>
    <w:rsid w:val="00E54F20"/>
    <w:rsid w:val="00E55EC9"/>
    <w:rsid w:val="00E5657E"/>
    <w:rsid w:val="00E56921"/>
    <w:rsid w:val="00E60D4B"/>
    <w:rsid w:val="00E61488"/>
    <w:rsid w:val="00E6207F"/>
    <w:rsid w:val="00E62D6D"/>
    <w:rsid w:val="00E62F37"/>
    <w:rsid w:val="00E63547"/>
    <w:rsid w:val="00E63814"/>
    <w:rsid w:val="00E6499B"/>
    <w:rsid w:val="00E651B3"/>
    <w:rsid w:val="00E6654E"/>
    <w:rsid w:val="00E71B47"/>
    <w:rsid w:val="00E71CB8"/>
    <w:rsid w:val="00E73CC6"/>
    <w:rsid w:val="00E73E8E"/>
    <w:rsid w:val="00E7447A"/>
    <w:rsid w:val="00E75151"/>
    <w:rsid w:val="00E765F2"/>
    <w:rsid w:val="00E77018"/>
    <w:rsid w:val="00E8056B"/>
    <w:rsid w:val="00E80729"/>
    <w:rsid w:val="00E80CF1"/>
    <w:rsid w:val="00E816A2"/>
    <w:rsid w:val="00E82664"/>
    <w:rsid w:val="00E82AA0"/>
    <w:rsid w:val="00E83CBE"/>
    <w:rsid w:val="00E86E35"/>
    <w:rsid w:val="00E875D7"/>
    <w:rsid w:val="00E903EE"/>
    <w:rsid w:val="00E91E84"/>
    <w:rsid w:val="00E924CE"/>
    <w:rsid w:val="00E9279A"/>
    <w:rsid w:val="00E92F9D"/>
    <w:rsid w:val="00E94DFC"/>
    <w:rsid w:val="00E960DD"/>
    <w:rsid w:val="00E96BDF"/>
    <w:rsid w:val="00E974BD"/>
    <w:rsid w:val="00E97A17"/>
    <w:rsid w:val="00EA0246"/>
    <w:rsid w:val="00EA14FE"/>
    <w:rsid w:val="00EA1831"/>
    <w:rsid w:val="00EA2204"/>
    <w:rsid w:val="00EA2537"/>
    <w:rsid w:val="00EA257F"/>
    <w:rsid w:val="00EA2A85"/>
    <w:rsid w:val="00EA3251"/>
    <w:rsid w:val="00EA3322"/>
    <w:rsid w:val="00EA36BD"/>
    <w:rsid w:val="00EA3F83"/>
    <w:rsid w:val="00EA5B6C"/>
    <w:rsid w:val="00EA607E"/>
    <w:rsid w:val="00EA6150"/>
    <w:rsid w:val="00EA6D50"/>
    <w:rsid w:val="00EB05BC"/>
    <w:rsid w:val="00EB0C47"/>
    <w:rsid w:val="00EB2D70"/>
    <w:rsid w:val="00EB3E6E"/>
    <w:rsid w:val="00EB4B62"/>
    <w:rsid w:val="00EB6ED1"/>
    <w:rsid w:val="00EB73AB"/>
    <w:rsid w:val="00EB7837"/>
    <w:rsid w:val="00EC02B0"/>
    <w:rsid w:val="00EC042B"/>
    <w:rsid w:val="00EC27C3"/>
    <w:rsid w:val="00EC4A38"/>
    <w:rsid w:val="00EC5964"/>
    <w:rsid w:val="00EC7A14"/>
    <w:rsid w:val="00ED0C35"/>
    <w:rsid w:val="00ED0E44"/>
    <w:rsid w:val="00ED185A"/>
    <w:rsid w:val="00ED19EB"/>
    <w:rsid w:val="00ED1D0D"/>
    <w:rsid w:val="00ED2995"/>
    <w:rsid w:val="00ED39AB"/>
    <w:rsid w:val="00ED68B6"/>
    <w:rsid w:val="00ED7159"/>
    <w:rsid w:val="00EE02B2"/>
    <w:rsid w:val="00EE08B9"/>
    <w:rsid w:val="00EE1FFF"/>
    <w:rsid w:val="00EE2127"/>
    <w:rsid w:val="00EE22F2"/>
    <w:rsid w:val="00EE2D7E"/>
    <w:rsid w:val="00EE4129"/>
    <w:rsid w:val="00EE4526"/>
    <w:rsid w:val="00EE49F2"/>
    <w:rsid w:val="00EE51AD"/>
    <w:rsid w:val="00EE65C7"/>
    <w:rsid w:val="00EE6D70"/>
    <w:rsid w:val="00EE7143"/>
    <w:rsid w:val="00EE74B4"/>
    <w:rsid w:val="00EF081A"/>
    <w:rsid w:val="00EF5F37"/>
    <w:rsid w:val="00EF74E8"/>
    <w:rsid w:val="00EF7AB3"/>
    <w:rsid w:val="00EF7D57"/>
    <w:rsid w:val="00F020D5"/>
    <w:rsid w:val="00F03AB9"/>
    <w:rsid w:val="00F03D77"/>
    <w:rsid w:val="00F04185"/>
    <w:rsid w:val="00F0432B"/>
    <w:rsid w:val="00F04376"/>
    <w:rsid w:val="00F04548"/>
    <w:rsid w:val="00F100A9"/>
    <w:rsid w:val="00F10133"/>
    <w:rsid w:val="00F14B69"/>
    <w:rsid w:val="00F154C1"/>
    <w:rsid w:val="00F15F22"/>
    <w:rsid w:val="00F165B2"/>
    <w:rsid w:val="00F16C2D"/>
    <w:rsid w:val="00F17E6F"/>
    <w:rsid w:val="00F2072F"/>
    <w:rsid w:val="00F2165E"/>
    <w:rsid w:val="00F21CE8"/>
    <w:rsid w:val="00F22192"/>
    <w:rsid w:val="00F22F5E"/>
    <w:rsid w:val="00F24FD9"/>
    <w:rsid w:val="00F25484"/>
    <w:rsid w:val="00F254C0"/>
    <w:rsid w:val="00F255D5"/>
    <w:rsid w:val="00F26132"/>
    <w:rsid w:val="00F2650A"/>
    <w:rsid w:val="00F3294F"/>
    <w:rsid w:val="00F32DC1"/>
    <w:rsid w:val="00F32F01"/>
    <w:rsid w:val="00F33008"/>
    <w:rsid w:val="00F33089"/>
    <w:rsid w:val="00F33FD1"/>
    <w:rsid w:val="00F34678"/>
    <w:rsid w:val="00F35870"/>
    <w:rsid w:val="00F377D3"/>
    <w:rsid w:val="00F41352"/>
    <w:rsid w:val="00F4251D"/>
    <w:rsid w:val="00F42FE4"/>
    <w:rsid w:val="00F448AE"/>
    <w:rsid w:val="00F4543E"/>
    <w:rsid w:val="00F46B82"/>
    <w:rsid w:val="00F46D54"/>
    <w:rsid w:val="00F477F7"/>
    <w:rsid w:val="00F50495"/>
    <w:rsid w:val="00F51B8C"/>
    <w:rsid w:val="00F52310"/>
    <w:rsid w:val="00F52883"/>
    <w:rsid w:val="00F5399F"/>
    <w:rsid w:val="00F5516D"/>
    <w:rsid w:val="00F56FD2"/>
    <w:rsid w:val="00F6195A"/>
    <w:rsid w:val="00F6200B"/>
    <w:rsid w:val="00F635F4"/>
    <w:rsid w:val="00F66724"/>
    <w:rsid w:val="00F670BF"/>
    <w:rsid w:val="00F671B4"/>
    <w:rsid w:val="00F67A7A"/>
    <w:rsid w:val="00F70531"/>
    <w:rsid w:val="00F73ACC"/>
    <w:rsid w:val="00F73C76"/>
    <w:rsid w:val="00F756A8"/>
    <w:rsid w:val="00F7709E"/>
    <w:rsid w:val="00F77876"/>
    <w:rsid w:val="00F77C1D"/>
    <w:rsid w:val="00F811F7"/>
    <w:rsid w:val="00F81EED"/>
    <w:rsid w:val="00F820F3"/>
    <w:rsid w:val="00F8275D"/>
    <w:rsid w:val="00F82BBB"/>
    <w:rsid w:val="00F8425A"/>
    <w:rsid w:val="00F84D4F"/>
    <w:rsid w:val="00F85E0E"/>
    <w:rsid w:val="00F90F87"/>
    <w:rsid w:val="00F92721"/>
    <w:rsid w:val="00F92938"/>
    <w:rsid w:val="00F938F6"/>
    <w:rsid w:val="00F93B9A"/>
    <w:rsid w:val="00F946DC"/>
    <w:rsid w:val="00F96568"/>
    <w:rsid w:val="00F96E99"/>
    <w:rsid w:val="00F97116"/>
    <w:rsid w:val="00F971D6"/>
    <w:rsid w:val="00F972D9"/>
    <w:rsid w:val="00F9761A"/>
    <w:rsid w:val="00F9777A"/>
    <w:rsid w:val="00F97FDE"/>
    <w:rsid w:val="00FA1D75"/>
    <w:rsid w:val="00FA2450"/>
    <w:rsid w:val="00FA2486"/>
    <w:rsid w:val="00FA30CF"/>
    <w:rsid w:val="00FA321F"/>
    <w:rsid w:val="00FA56D3"/>
    <w:rsid w:val="00FA593F"/>
    <w:rsid w:val="00FA6CB0"/>
    <w:rsid w:val="00FB0BD1"/>
    <w:rsid w:val="00FB1459"/>
    <w:rsid w:val="00FB1DEC"/>
    <w:rsid w:val="00FB3215"/>
    <w:rsid w:val="00FB5CCE"/>
    <w:rsid w:val="00FB7B56"/>
    <w:rsid w:val="00FC027F"/>
    <w:rsid w:val="00FC0370"/>
    <w:rsid w:val="00FC1125"/>
    <w:rsid w:val="00FC1291"/>
    <w:rsid w:val="00FC1708"/>
    <w:rsid w:val="00FC2E35"/>
    <w:rsid w:val="00FC3859"/>
    <w:rsid w:val="00FC4EB5"/>
    <w:rsid w:val="00FC54E7"/>
    <w:rsid w:val="00FC57B4"/>
    <w:rsid w:val="00FC6DBB"/>
    <w:rsid w:val="00FC7369"/>
    <w:rsid w:val="00FD0152"/>
    <w:rsid w:val="00FD016B"/>
    <w:rsid w:val="00FD3FFC"/>
    <w:rsid w:val="00FD4E53"/>
    <w:rsid w:val="00FD4FEB"/>
    <w:rsid w:val="00FD5E00"/>
    <w:rsid w:val="00FD7129"/>
    <w:rsid w:val="00FD74A6"/>
    <w:rsid w:val="00FE2E58"/>
    <w:rsid w:val="00FE2EC4"/>
    <w:rsid w:val="00FE3DE2"/>
    <w:rsid w:val="00FE4A10"/>
    <w:rsid w:val="00FE5861"/>
    <w:rsid w:val="00FE6FC6"/>
    <w:rsid w:val="00FE75E5"/>
    <w:rsid w:val="00FF0E35"/>
    <w:rsid w:val="00FF28BE"/>
    <w:rsid w:val="00FF4F15"/>
    <w:rsid w:val="00FF66DB"/>
    <w:rsid w:val="00FF7835"/>
    <w:rsid w:val="00FF79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7585"/>
    <o:shapelayout v:ext="edit">
      <o:idmap v:ext="edit" data="1"/>
    </o:shapelayout>
  </w:shapeDefaults>
  <w:decimalSymbol w:val="."/>
  <w:listSeparator w:val=","/>
  <w14:docId w14:val="2CF99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AA0"/>
    <w:rPr>
      <w:sz w:val="22"/>
      <w:szCs w:val="22"/>
      <w:lang w:eastAsia="en-US"/>
    </w:rPr>
  </w:style>
  <w:style w:type="paragraph" w:styleId="Heading1">
    <w:name w:val="heading 1"/>
    <w:aliases w:val="ATA Submission Heading 1"/>
    <w:basedOn w:val="Normal"/>
    <w:next w:val="Normal"/>
    <w:link w:val="Heading1Char"/>
    <w:uiPriority w:val="99"/>
    <w:qFormat/>
    <w:rsid w:val="003B74E4"/>
    <w:pPr>
      <w:numPr>
        <w:numId w:val="1"/>
      </w:numPr>
      <w:outlineLvl w:val="0"/>
    </w:pPr>
    <w:rPr>
      <w:rFonts w:ascii="Arial" w:hAnsi="Arial" w:cs="Arial"/>
      <w:b/>
      <w:color w:val="000064"/>
      <w:sz w:val="28"/>
      <w:szCs w:val="28"/>
    </w:rPr>
  </w:style>
  <w:style w:type="paragraph" w:styleId="Heading2">
    <w:name w:val="heading 2"/>
    <w:basedOn w:val="Normal"/>
    <w:next w:val="Normal"/>
    <w:link w:val="Heading2Char"/>
    <w:unhideWhenUsed/>
    <w:qFormat/>
    <w:locked/>
    <w:rsid w:val="006859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0F53C2"/>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TA Submission Heading 1 Char"/>
    <w:basedOn w:val="DefaultParagraphFont"/>
    <w:link w:val="Heading1"/>
    <w:uiPriority w:val="99"/>
    <w:locked/>
    <w:rsid w:val="003B74E4"/>
    <w:rPr>
      <w:rFonts w:ascii="Arial" w:hAnsi="Arial" w:cs="Arial"/>
      <w:b/>
      <w:color w:val="000064"/>
      <w:sz w:val="28"/>
      <w:szCs w:val="28"/>
      <w:lang w:eastAsia="en-US"/>
    </w:rPr>
  </w:style>
  <w:style w:type="character" w:customStyle="1" w:styleId="Heading2Char">
    <w:name w:val="Heading 2 Char"/>
    <w:basedOn w:val="DefaultParagraphFont"/>
    <w:link w:val="Heading2"/>
    <w:rsid w:val="006859F7"/>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9"/>
    <w:locked/>
    <w:rsid w:val="000F53C2"/>
    <w:rPr>
      <w:rFonts w:ascii="Cambria" w:hAnsi="Cambria" w:cs="Times New Roman"/>
      <w:b/>
      <w:bCs/>
      <w:sz w:val="26"/>
      <w:szCs w:val="26"/>
      <w:lang w:eastAsia="en-US"/>
    </w:rPr>
  </w:style>
  <w:style w:type="table" w:styleId="TableGrid">
    <w:name w:val="Table Grid"/>
    <w:basedOn w:val="TableNormal"/>
    <w:uiPriority w:val="39"/>
    <w:rsid w:val="00C162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semiHidden/>
    <w:rsid w:val="004B6187"/>
    <w:rPr>
      <w:rFonts w:ascii="Arial" w:eastAsia="Times New Roman" w:hAnsi="Arial" w:cs="Arial"/>
      <w:b/>
      <w:bCs/>
      <w:szCs w:val="20"/>
    </w:rPr>
  </w:style>
  <w:style w:type="character" w:customStyle="1" w:styleId="BodyText2Char">
    <w:name w:val="Body Text 2 Char"/>
    <w:basedOn w:val="DefaultParagraphFont"/>
    <w:link w:val="BodyText2"/>
    <w:uiPriority w:val="99"/>
    <w:semiHidden/>
    <w:locked/>
    <w:rsid w:val="004B6187"/>
    <w:rPr>
      <w:rFonts w:ascii="Arial" w:hAnsi="Arial" w:cs="Arial"/>
      <w:b/>
      <w:bCs/>
      <w:sz w:val="20"/>
      <w:szCs w:val="20"/>
    </w:rPr>
  </w:style>
  <w:style w:type="paragraph" w:styleId="Header">
    <w:name w:val="header"/>
    <w:basedOn w:val="Normal"/>
    <w:link w:val="HeaderChar"/>
    <w:uiPriority w:val="99"/>
    <w:rsid w:val="000F3D9F"/>
    <w:pPr>
      <w:tabs>
        <w:tab w:val="center" w:pos="4513"/>
        <w:tab w:val="right" w:pos="9026"/>
      </w:tabs>
    </w:pPr>
  </w:style>
  <w:style w:type="character" w:customStyle="1" w:styleId="HeaderChar">
    <w:name w:val="Header Char"/>
    <w:basedOn w:val="DefaultParagraphFont"/>
    <w:link w:val="Header"/>
    <w:uiPriority w:val="99"/>
    <w:locked/>
    <w:rsid w:val="000F3D9F"/>
    <w:rPr>
      <w:rFonts w:cs="Times New Roman"/>
      <w:sz w:val="22"/>
      <w:szCs w:val="22"/>
      <w:lang w:eastAsia="en-US"/>
    </w:rPr>
  </w:style>
  <w:style w:type="paragraph" w:styleId="Footer">
    <w:name w:val="footer"/>
    <w:basedOn w:val="Normal"/>
    <w:link w:val="FooterChar"/>
    <w:uiPriority w:val="99"/>
    <w:rsid w:val="000F3D9F"/>
    <w:pPr>
      <w:tabs>
        <w:tab w:val="center" w:pos="4513"/>
        <w:tab w:val="right" w:pos="9026"/>
      </w:tabs>
    </w:pPr>
  </w:style>
  <w:style w:type="character" w:customStyle="1" w:styleId="FooterChar">
    <w:name w:val="Footer Char"/>
    <w:basedOn w:val="DefaultParagraphFont"/>
    <w:link w:val="Footer"/>
    <w:uiPriority w:val="99"/>
    <w:locked/>
    <w:rsid w:val="000F3D9F"/>
    <w:rPr>
      <w:rFonts w:cs="Times New Roman"/>
      <w:sz w:val="22"/>
      <w:szCs w:val="22"/>
      <w:lang w:eastAsia="en-US"/>
    </w:rPr>
  </w:style>
  <w:style w:type="paragraph" w:styleId="ListParagraph">
    <w:name w:val="List Paragraph"/>
    <w:basedOn w:val="Normal"/>
    <w:uiPriority w:val="34"/>
    <w:qFormat/>
    <w:rsid w:val="000F53C2"/>
    <w:pPr>
      <w:spacing w:after="200" w:line="276" w:lineRule="auto"/>
      <w:ind w:left="720"/>
      <w:contextualSpacing/>
    </w:pPr>
  </w:style>
  <w:style w:type="paragraph" w:styleId="FootnoteText">
    <w:name w:val="footnote text"/>
    <w:basedOn w:val="Normal"/>
    <w:link w:val="FootnoteTextChar"/>
    <w:uiPriority w:val="99"/>
    <w:rsid w:val="000F53C2"/>
    <w:rPr>
      <w:sz w:val="20"/>
      <w:szCs w:val="20"/>
    </w:rPr>
  </w:style>
  <w:style w:type="character" w:customStyle="1" w:styleId="FootnoteTextChar">
    <w:name w:val="Footnote Text Char"/>
    <w:basedOn w:val="DefaultParagraphFont"/>
    <w:link w:val="FootnoteText"/>
    <w:uiPriority w:val="99"/>
    <w:locked/>
    <w:rsid w:val="000F53C2"/>
    <w:rPr>
      <w:rFonts w:cs="Times New Roman"/>
      <w:lang w:eastAsia="en-US"/>
    </w:rPr>
  </w:style>
  <w:style w:type="character" w:styleId="FootnoteReference">
    <w:name w:val="footnote reference"/>
    <w:basedOn w:val="DefaultParagraphFont"/>
    <w:uiPriority w:val="99"/>
    <w:rsid w:val="000F53C2"/>
    <w:rPr>
      <w:rFonts w:cs="Times New Roman"/>
      <w:vertAlign w:val="superscript"/>
    </w:rPr>
  </w:style>
  <w:style w:type="paragraph" w:customStyle="1" w:styleId="Default">
    <w:name w:val="Default"/>
    <w:link w:val="DefaultChar"/>
    <w:rsid w:val="000F53C2"/>
    <w:pPr>
      <w:autoSpaceDE w:val="0"/>
      <w:autoSpaceDN w:val="0"/>
      <w:adjustRightInd w:val="0"/>
    </w:pPr>
    <w:rPr>
      <w:rFonts w:ascii="Times New Roman" w:hAnsi="Times New Roman"/>
      <w:color w:val="000000"/>
      <w:sz w:val="24"/>
      <w:szCs w:val="24"/>
    </w:rPr>
  </w:style>
  <w:style w:type="character" w:customStyle="1" w:styleId="DefaultChar">
    <w:name w:val="Default Char"/>
    <w:basedOn w:val="DefaultParagraphFont"/>
    <w:link w:val="Default"/>
    <w:uiPriority w:val="99"/>
    <w:locked/>
    <w:rsid w:val="000F53C2"/>
    <w:rPr>
      <w:rFonts w:ascii="Times New Roman" w:hAnsi="Times New Roman"/>
      <w:color w:val="000000"/>
      <w:sz w:val="24"/>
      <w:szCs w:val="24"/>
      <w:lang w:val="en-AU" w:eastAsia="en-AU" w:bidi="ar-SA"/>
    </w:rPr>
  </w:style>
  <w:style w:type="paragraph" w:customStyle="1" w:styleId="ATAHeading2">
    <w:name w:val="ATA Heading 2"/>
    <w:basedOn w:val="Normal"/>
    <w:link w:val="ATAHeading2Char"/>
    <w:uiPriority w:val="99"/>
    <w:rsid w:val="00B13B6B"/>
    <w:pPr>
      <w:numPr>
        <w:ilvl w:val="1"/>
        <w:numId w:val="1"/>
      </w:numPr>
      <w:spacing w:before="120" w:after="120" w:line="276" w:lineRule="auto"/>
    </w:pPr>
    <w:rPr>
      <w:rFonts w:ascii="Arial" w:hAnsi="Arial" w:cs="Arial"/>
      <w:b/>
      <w:color w:val="000064"/>
      <w:sz w:val="26"/>
      <w:szCs w:val="26"/>
    </w:rPr>
  </w:style>
  <w:style w:type="character" w:customStyle="1" w:styleId="ATAHeading2Char">
    <w:name w:val="ATA Heading 2 Char"/>
    <w:basedOn w:val="DefaultParagraphFont"/>
    <w:link w:val="ATAHeading2"/>
    <w:uiPriority w:val="99"/>
    <w:locked/>
    <w:rsid w:val="00B13B6B"/>
    <w:rPr>
      <w:rFonts w:ascii="Arial" w:hAnsi="Arial" w:cs="Arial"/>
      <w:b/>
      <w:color w:val="000064"/>
      <w:sz w:val="26"/>
      <w:szCs w:val="26"/>
      <w:lang w:eastAsia="en-US"/>
    </w:rPr>
  </w:style>
  <w:style w:type="paragraph" w:customStyle="1" w:styleId="ATAHeading3">
    <w:name w:val="ATA Heading 3"/>
    <w:basedOn w:val="ATAHeading2"/>
    <w:link w:val="ATAHeading3Char"/>
    <w:uiPriority w:val="99"/>
    <w:rsid w:val="00D40AAD"/>
    <w:pPr>
      <w:numPr>
        <w:ilvl w:val="2"/>
      </w:numPr>
      <w:tabs>
        <w:tab w:val="left" w:pos="992"/>
      </w:tabs>
    </w:pPr>
    <w:rPr>
      <w:i/>
      <w:color w:val="0D0D0D" w:themeColor="text1" w:themeTint="F2"/>
      <w:sz w:val="22"/>
      <w:szCs w:val="22"/>
    </w:rPr>
  </w:style>
  <w:style w:type="character" w:customStyle="1" w:styleId="ATAHeading3Char">
    <w:name w:val="ATA Heading 3 Char"/>
    <w:basedOn w:val="DefaultParagraphFont"/>
    <w:link w:val="ATAHeading3"/>
    <w:uiPriority w:val="99"/>
    <w:locked/>
    <w:rsid w:val="00D40AAD"/>
    <w:rPr>
      <w:rFonts w:ascii="Arial" w:hAnsi="Arial" w:cs="Arial"/>
      <w:b/>
      <w:i/>
      <w:color w:val="0D0D0D" w:themeColor="text1" w:themeTint="F2"/>
      <w:sz w:val="22"/>
      <w:szCs w:val="22"/>
      <w:lang w:eastAsia="en-US"/>
    </w:rPr>
  </w:style>
  <w:style w:type="paragraph" w:customStyle="1" w:styleId="Quotes">
    <w:name w:val="Quotes"/>
    <w:basedOn w:val="Default"/>
    <w:link w:val="QuotesChar"/>
    <w:uiPriority w:val="99"/>
    <w:rsid w:val="000F53C2"/>
    <w:pPr>
      <w:ind w:left="851"/>
    </w:pPr>
    <w:rPr>
      <w:sz w:val="22"/>
      <w:szCs w:val="22"/>
    </w:rPr>
  </w:style>
  <w:style w:type="character" w:customStyle="1" w:styleId="QuotesChar">
    <w:name w:val="Quotes Char"/>
    <w:basedOn w:val="DefaultChar"/>
    <w:link w:val="Quotes"/>
    <w:uiPriority w:val="99"/>
    <w:locked/>
    <w:rsid w:val="000F53C2"/>
    <w:rPr>
      <w:rFonts w:ascii="Times New Roman" w:hAnsi="Times New Roman"/>
      <w:color w:val="000000"/>
      <w:sz w:val="22"/>
      <w:szCs w:val="22"/>
      <w:lang w:val="en-AU" w:eastAsia="en-AU" w:bidi="ar-SA"/>
    </w:rPr>
  </w:style>
  <w:style w:type="paragraph" w:customStyle="1" w:styleId="ATARecommendationHeading">
    <w:name w:val="ATA Recommendation Heading"/>
    <w:basedOn w:val="Normal"/>
    <w:link w:val="ATARecommendationHeadingChar"/>
    <w:uiPriority w:val="99"/>
    <w:rsid w:val="00740005"/>
    <w:rPr>
      <w:rFonts w:ascii="Arial" w:hAnsi="Arial" w:cs="Arial"/>
      <w:i/>
    </w:rPr>
  </w:style>
  <w:style w:type="character" w:customStyle="1" w:styleId="ATARecommendationHeadingChar">
    <w:name w:val="ATA Recommendation Heading Char"/>
    <w:basedOn w:val="DefaultParagraphFont"/>
    <w:link w:val="ATARecommendationHeading"/>
    <w:uiPriority w:val="99"/>
    <w:rsid w:val="006859F7"/>
    <w:rPr>
      <w:rFonts w:ascii="Arial" w:hAnsi="Arial" w:cs="Arial"/>
      <w:i/>
      <w:sz w:val="22"/>
      <w:szCs w:val="22"/>
      <w:lang w:eastAsia="en-US"/>
    </w:rPr>
  </w:style>
  <w:style w:type="paragraph" w:styleId="BalloonText">
    <w:name w:val="Balloon Text"/>
    <w:basedOn w:val="Normal"/>
    <w:link w:val="BalloonTextChar"/>
    <w:uiPriority w:val="99"/>
    <w:semiHidden/>
    <w:rsid w:val="007400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0005"/>
    <w:rPr>
      <w:rFonts w:ascii="Tahoma" w:hAnsi="Tahoma" w:cs="Tahoma"/>
      <w:sz w:val="16"/>
      <w:szCs w:val="16"/>
      <w:lang w:eastAsia="en-US"/>
    </w:rPr>
  </w:style>
  <w:style w:type="character" w:styleId="Strong">
    <w:name w:val="Strong"/>
    <w:basedOn w:val="DefaultParagraphFont"/>
    <w:uiPriority w:val="22"/>
    <w:qFormat/>
    <w:locked/>
    <w:rsid w:val="00960FE0"/>
    <w:rPr>
      <w:b/>
      <w:bCs/>
    </w:rPr>
  </w:style>
  <w:style w:type="paragraph" w:styleId="EndnoteText">
    <w:name w:val="endnote text"/>
    <w:basedOn w:val="Normal"/>
    <w:link w:val="EndnoteTextChar"/>
    <w:uiPriority w:val="99"/>
    <w:semiHidden/>
    <w:unhideWhenUsed/>
    <w:rsid w:val="00EE4129"/>
    <w:rPr>
      <w:sz w:val="20"/>
      <w:szCs w:val="20"/>
    </w:rPr>
  </w:style>
  <w:style w:type="character" w:customStyle="1" w:styleId="EndnoteTextChar">
    <w:name w:val="Endnote Text Char"/>
    <w:basedOn w:val="DefaultParagraphFont"/>
    <w:link w:val="EndnoteText"/>
    <w:uiPriority w:val="99"/>
    <w:semiHidden/>
    <w:rsid w:val="00EE4129"/>
    <w:rPr>
      <w:lang w:eastAsia="en-US"/>
    </w:rPr>
  </w:style>
  <w:style w:type="character" w:styleId="EndnoteReference">
    <w:name w:val="endnote reference"/>
    <w:basedOn w:val="DefaultParagraphFont"/>
    <w:uiPriority w:val="99"/>
    <w:semiHidden/>
    <w:unhideWhenUsed/>
    <w:rsid w:val="00EE4129"/>
    <w:rPr>
      <w:vertAlign w:val="superscript"/>
    </w:rPr>
  </w:style>
  <w:style w:type="paragraph" w:styleId="TOC1">
    <w:name w:val="toc 1"/>
    <w:basedOn w:val="Normal"/>
    <w:next w:val="Normal"/>
    <w:autoRedefine/>
    <w:uiPriority w:val="39"/>
    <w:locked/>
    <w:rsid w:val="00D13DF0"/>
    <w:pPr>
      <w:tabs>
        <w:tab w:val="right" w:leader="dot" w:pos="9628"/>
      </w:tabs>
      <w:spacing w:before="360" w:after="100"/>
    </w:pPr>
    <w:rPr>
      <w:rFonts w:ascii="Arial" w:hAnsi="Arial" w:cs="Arial"/>
      <w:b/>
      <w:noProof/>
      <w:sz w:val="20"/>
      <w:szCs w:val="20"/>
    </w:rPr>
  </w:style>
  <w:style w:type="paragraph" w:styleId="TOC2">
    <w:name w:val="toc 2"/>
    <w:basedOn w:val="Normal"/>
    <w:next w:val="Normal"/>
    <w:autoRedefine/>
    <w:uiPriority w:val="39"/>
    <w:locked/>
    <w:rsid w:val="00907971"/>
    <w:pPr>
      <w:tabs>
        <w:tab w:val="right" w:leader="dot" w:pos="9628"/>
      </w:tabs>
      <w:spacing w:after="120"/>
      <w:ind w:left="221"/>
    </w:pPr>
    <w:rPr>
      <w:rFonts w:ascii="Arial" w:hAnsi="Arial"/>
      <w:sz w:val="20"/>
    </w:rPr>
  </w:style>
  <w:style w:type="paragraph" w:customStyle="1" w:styleId="RecommendationStyle">
    <w:name w:val="Recommendation Style"/>
    <w:basedOn w:val="ATARecommendationHeading"/>
    <w:link w:val="RecommendationStyleChar"/>
    <w:qFormat/>
    <w:rsid w:val="00907971"/>
    <w:pPr>
      <w:numPr>
        <w:numId w:val="2"/>
      </w:numPr>
      <w:tabs>
        <w:tab w:val="left" w:pos="2098"/>
      </w:tabs>
      <w:spacing w:before="240" w:after="120"/>
    </w:pPr>
    <w:rPr>
      <w:b/>
      <w:sz w:val="20"/>
      <w:szCs w:val="20"/>
    </w:rPr>
  </w:style>
  <w:style w:type="character" w:customStyle="1" w:styleId="RecommendationStyleChar">
    <w:name w:val="Recommendation Style Char"/>
    <w:basedOn w:val="ATARecommendationHeadingChar"/>
    <w:link w:val="RecommendationStyle"/>
    <w:rsid w:val="00907971"/>
    <w:rPr>
      <w:rFonts w:ascii="Arial" w:hAnsi="Arial" w:cs="Arial"/>
      <w:b/>
      <w:i/>
      <w:sz w:val="22"/>
      <w:szCs w:val="22"/>
      <w:lang w:eastAsia="en-US"/>
    </w:rPr>
  </w:style>
  <w:style w:type="paragraph" w:customStyle="1" w:styleId="RecommendationStyle2">
    <w:name w:val="Recommendation Style 2"/>
    <w:basedOn w:val="Normal"/>
    <w:link w:val="RecommendationStyle2Char"/>
    <w:qFormat/>
    <w:rsid w:val="006859F7"/>
    <w:pPr>
      <w:jc w:val="both"/>
    </w:pPr>
    <w:rPr>
      <w:rFonts w:ascii="Arial" w:hAnsi="Arial" w:cs="Arial"/>
      <w:b/>
      <w:sz w:val="20"/>
      <w:szCs w:val="20"/>
    </w:rPr>
  </w:style>
  <w:style w:type="character" w:customStyle="1" w:styleId="RecommendationStyle2Char">
    <w:name w:val="Recommendation Style 2 Char"/>
    <w:basedOn w:val="DefaultParagraphFont"/>
    <w:link w:val="RecommendationStyle2"/>
    <w:rsid w:val="006859F7"/>
    <w:rPr>
      <w:rFonts w:ascii="Arial" w:hAnsi="Arial" w:cs="Arial"/>
      <w:b/>
      <w:lang w:eastAsia="en-US"/>
    </w:rPr>
  </w:style>
  <w:style w:type="character" w:styleId="Hyperlink">
    <w:name w:val="Hyperlink"/>
    <w:basedOn w:val="DefaultParagraphFont"/>
    <w:uiPriority w:val="99"/>
    <w:unhideWhenUsed/>
    <w:rsid w:val="009E77F2"/>
    <w:rPr>
      <w:color w:val="0000FF" w:themeColor="hyperlink"/>
      <w:u w:val="single"/>
    </w:rPr>
  </w:style>
  <w:style w:type="paragraph" w:customStyle="1" w:styleId="RecommendationStyle3">
    <w:name w:val="Recommendation Style 3"/>
    <w:basedOn w:val="RecommendationStyle2"/>
    <w:link w:val="RecommendationStyle3Char"/>
    <w:qFormat/>
    <w:rsid w:val="00907971"/>
    <w:rPr>
      <w:color w:val="FFFFFF" w:themeColor="background1"/>
    </w:rPr>
  </w:style>
  <w:style w:type="paragraph" w:styleId="TOC3">
    <w:name w:val="toc 3"/>
    <w:basedOn w:val="Normal"/>
    <w:next w:val="Normal"/>
    <w:autoRedefine/>
    <w:uiPriority w:val="39"/>
    <w:locked/>
    <w:rsid w:val="00907971"/>
    <w:pPr>
      <w:tabs>
        <w:tab w:val="right" w:leader="dot" w:pos="9628"/>
      </w:tabs>
      <w:ind w:left="442"/>
    </w:pPr>
    <w:rPr>
      <w:noProof/>
      <w:color w:val="FFFFFF" w:themeColor="background1"/>
    </w:rPr>
  </w:style>
  <w:style w:type="character" w:customStyle="1" w:styleId="RecommendationStyle3Char">
    <w:name w:val="Recommendation Style 3 Char"/>
    <w:basedOn w:val="RecommendationStyle2Char"/>
    <w:link w:val="RecommendationStyle3"/>
    <w:rsid w:val="00907971"/>
    <w:rPr>
      <w:rFonts w:ascii="Arial" w:hAnsi="Arial" w:cs="Arial"/>
      <w:b/>
      <w:color w:val="FFFFFF" w:themeColor="background1"/>
      <w:lang w:eastAsia="en-US"/>
    </w:rPr>
  </w:style>
  <w:style w:type="paragraph" w:customStyle="1" w:styleId="ATASubHead1">
    <w:name w:val="ATASubHead1"/>
    <w:basedOn w:val="Normal"/>
    <w:link w:val="ATASubHead1Char"/>
    <w:qFormat/>
    <w:rsid w:val="004008C7"/>
    <w:pPr>
      <w:tabs>
        <w:tab w:val="left" w:pos="851"/>
      </w:tabs>
      <w:spacing w:before="240" w:after="120"/>
    </w:pPr>
    <w:rPr>
      <w:rFonts w:ascii="Arial" w:hAnsi="Arial" w:cs="Arial"/>
      <w:b/>
      <w:color w:val="000064"/>
      <w:sz w:val="28"/>
      <w:szCs w:val="28"/>
    </w:rPr>
  </w:style>
  <w:style w:type="character" w:customStyle="1" w:styleId="ATASubHead1Char">
    <w:name w:val="ATASubHead1 Char"/>
    <w:link w:val="ATASubHead1"/>
    <w:rsid w:val="004008C7"/>
    <w:rPr>
      <w:rFonts w:ascii="Arial" w:hAnsi="Arial" w:cs="Arial"/>
      <w:b/>
      <w:color w:val="000064"/>
      <w:sz w:val="28"/>
      <w:szCs w:val="28"/>
      <w:lang w:eastAsia="en-US"/>
    </w:rPr>
  </w:style>
  <w:style w:type="table" w:customStyle="1" w:styleId="LightList-Accent11">
    <w:name w:val="Light List - Accent 11"/>
    <w:basedOn w:val="TableNormal"/>
    <w:uiPriority w:val="61"/>
    <w:rsid w:val="004008C7"/>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893728"/>
    <w:pPr>
      <w:spacing w:before="100" w:beforeAutospacing="1" w:after="100" w:afterAutospacing="1"/>
    </w:pPr>
    <w:rPr>
      <w:rFonts w:ascii="Times New Roman" w:eastAsia="Times New Roman" w:hAnsi="Times New Roman"/>
      <w:sz w:val="24"/>
      <w:szCs w:val="24"/>
      <w:lang w:eastAsia="en-AU"/>
    </w:rPr>
  </w:style>
  <w:style w:type="character" w:customStyle="1" w:styleId="author-name2">
    <w:name w:val="author-name2"/>
    <w:basedOn w:val="DefaultParagraphFont"/>
    <w:rsid w:val="00FC1291"/>
    <w:rPr>
      <w:b/>
      <w:bCs/>
    </w:rPr>
  </w:style>
  <w:style w:type="character" w:customStyle="1" w:styleId="source-name5">
    <w:name w:val="source-name5"/>
    <w:basedOn w:val="DefaultParagraphFont"/>
    <w:rsid w:val="00FC1291"/>
    <w:rPr>
      <w:i/>
      <w:iCs/>
    </w:rPr>
  </w:style>
  <w:style w:type="character" w:customStyle="1" w:styleId="publish-date5">
    <w:name w:val="publish-date5"/>
    <w:basedOn w:val="DefaultParagraphFont"/>
    <w:rsid w:val="00FC1291"/>
    <w:rPr>
      <w:i/>
      <w:iCs/>
      <w:sz w:val="14"/>
      <w:szCs w:val="14"/>
    </w:rPr>
  </w:style>
  <w:style w:type="character" w:styleId="FollowedHyperlink">
    <w:name w:val="FollowedHyperlink"/>
    <w:basedOn w:val="DefaultParagraphFont"/>
    <w:uiPriority w:val="99"/>
    <w:semiHidden/>
    <w:unhideWhenUsed/>
    <w:rsid w:val="007C746E"/>
    <w:rPr>
      <w:color w:val="800080" w:themeColor="followedHyperlink"/>
      <w:u w:val="single"/>
    </w:rPr>
  </w:style>
  <w:style w:type="paragraph" w:customStyle="1" w:styleId="ATAPreMnorm">
    <w:name w:val="ATAPreM norm"/>
    <w:basedOn w:val="Normal"/>
    <w:link w:val="ATAPreMnormChar"/>
    <w:qFormat/>
    <w:rsid w:val="00F2072F"/>
    <w:rPr>
      <w:rFonts w:ascii="Arial" w:eastAsia="Times New Roman" w:hAnsi="Arial" w:cs="Arial"/>
      <w:i/>
      <w:color w:val="000000"/>
      <w:sz w:val="20"/>
      <w:szCs w:val="20"/>
      <w:lang w:eastAsia="en-AU"/>
    </w:rPr>
  </w:style>
  <w:style w:type="paragraph" w:customStyle="1" w:styleId="ATAPervMHeading">
    <w:name w:val="ATAPervMHeading"/>
    <w:basedOn w:val="Normal"/>
    <w:link w:val="ATAPervMHeadingChar"/>
    <w:qFormat/>
    <w:rsid w:val="00F2072F"/>
    <w:pPr>
      <w:tabs>
        <w:tab w:val="left" w:pos="851"/>
      </w:tabs>
      <w:ind w:left="851" w:hanging="851"/>
    </w:pPr>
    <w:rPr>
      <w:rFonts w:ascii="Arial" w:hAnsi="Arial" w:cs="Arial"/>
      <w:b/>
      <w:i/>
      <w:sz w:val="20"/>
      <w:szCs w:val="20"/>
    </w:rPr>
  </w:style>
  <w:style w:type="character" w:customStyle="1" w:styleId="ATAPreMnormChar">
    <w:name w:val="ATAPreM norm Char"/>
    <w:basedOn w:val="DefaultParagraphFont"/>
    <w:link w:val="ATAPreMnorm"/>
    <w:rsid w:val="00F2072F"/>
    <w:rPr>
      <w:rFonts w:ascii="Arial" w:eastAsia="Times New Roman" w:hAnsi="Arial" w:cs="Arial"/>
      <w:i/>
      <w:color w:val="000000"/>
    </w:rPr>
  </w:style>
  <w:style w:type="character" w:customStyle="1" w:styleId="ATAPervMHeadingChar">
    <w:name w:val="ATAPervMHeading Char"/>
    <w:basedOn w:val="DefaultParagraphFont"/>
    <w:link w:val="ATAPervMHeading"/>
    <w:rsid w:val="00F2072F"/>
    <w:rPr>
      <w:rFonts w:ascii="Arial" w:hAnsi="Arial" w:cs="Arial"/>
      <w:b/>
      <w:i/>
      <w:lang w:eastAsia="en-US"/>
    </w:rPr>
  </w:style>
  <w:style w:type="character" w:styleId="CommentReference">
    <w:name w:val="annotation reference"/>
    <w:basedOn w:val="DefaultParagraphFont"/>
    <w:uiPriority w:val="99"/>
    <w:semiHidden/>
    <w:unhideWhenUsed/>
    <w:rsid w:val="00603655"/>
    <w:rPr>
      <w:sz w:val="16"/>
      <w:szCs w:val="16"/>
    </w:rPr>
  </w:style>
  <w:style w:type="paragraph" w:styleId="CommentText">
    <w:name w:val="annotation text"/>
    <w:basedOn w:val="Normal"/>
    <w:link w:val="CommentTextChar"/>
    <w:uiPriority w:val="99"/>
    <w:semiHidden/>
    <w:unhideWhenUsed/>
    <w:rsid w:val="00603655"/>
    <w:rPr>
      <w:sz w:val="20"/>
      <w:szCs w:val="20"/>
    </w:rPr>
  </w:style>
  <w:style w:type="character" w:customStyle="1" w:styleId="CommentTextChar">
    <w:name w:val="Comment Text Char"/>
    <w:basedOn w:val="DefaultParagraphFont"/>
    <w:link w:val="CommentText"/>
    <w:uiPriority w:val="99"/>
    <w:semiHidden/>
    <w:rsid w:val="00603655"/>
    <w:rPr>
      <w:lang w:eastAsia="en-US"/>
    </w:rPr>
  </w:style>
  <w:style w:type="paragraph" w:styleId="CommentSubject">
    <w:name w:val="annotation subject"/>
    <w:basedOn w:val="CommentText"/>
    <w:next w:val="CommentText"/>
    <w:link w:val="CommentSubjectChar"/>
    <w:uiPriority w:val="99"/>
    <w:semiHidden/>
    <w:unhideWhenUsed/>
    <w:rsid w:val="00603655"/>
    <w:rPr>
      <w:b/>
      <w:bCs/>
    </w:rPr>
  </w:style>
  <w:style w:type="character" w:customStyle="1" w:styleId="CommentSubjectChar">
    <w:name w:val="Comment Subject Char"/>
    <w:basedOn w:val="CommentTextChar"/>
    <w:link w:val="CommentSubject"/>
    <w:uiPriority w:val="99"/>
    <w:semiHidden/>
    <w:rsid w:val="00603655"/>
    <w:rPr>
      <w:b/>
      <w:bCs/>
      <w:lang w:eastAsia="en-US"/>
    </w:rPr>
  </w:style>
  <w:style w:type="paragraph" w:styleId="PlainText">
    <w:name w:val="Plain Text"/>
    <w:basedOn w:val="Normal"/>
    <w:link w:val="PlainTextChar"/>
    <w:uiPriority w:val="99"/>
    <w:unhideWhenUsed/>
    <w:rsid w:val="00040B35"/>
    <w:rPr>
      <w:rFonts w:ascii="Consolas" w:eastAsiaTheme="minorHAnsi" w:hAnsi="Consolas" w:cs="Consolas"/>
      <w:sz w:val="21"/>
      <w:szCs w:val="21"/>
      <w:lang w:eastAsia="en-AU"/>
    </w:rPr>
  </w:style>
  <w:style w:type="character" w:customStyle="1" w:styleId="PlainTextChar">
    <w:name w:val="Plain Text Char"/>
    <w:basedOn w:val="DefaultParagraphFont"/>
    <w:link w:val="PlainText"/>
    <w:uiPriority w:val="99"/>
    <w:rsid w:val="00040B35"/>
    <w:rPr>
      <w:rFonts w:ascii="Consolas" w:eastAsiaTheme="minorHAnsi" w:hAnsi="Consolas" w:cs="Consolas"/>
      <w:sz w:val="21"/>
      <w:szCs w:val="21"/>
    </w:rPr>
  </w:style>
  <w:style w:type="paragraph" w:styleId="NoSpacing">
    <w:name w:val="No Spacing"/>
    <w:basedOn w:val="Normal"/>
    <w:uiPriority w:val="1"/>
    <w:qFormat/>
    <w:rsid w:val="005C4492"/>
    <w:rPr>
      <w:rFonts w:eastAsiaTheme="minorHAnsi"/>
      <w:color w:val="404040"/>
      <w:sz w:val="19"/>
      <w:szCs w:val="19"/>
      <w:lang w:eastAsia="en-AU"/>
    </w:rPr>
  </w:style>
  <w:style w:type="character" w:customStyle="1" w:styleId="apple-converted-space">
    <w:name w:val="apple-converted-space"/>
    <w:basedOn w:val="DefaultParagraphFont"/>
    <w:rsid w:val="00DF2EC9"/>
  </w:style>
  <w:style w:type="character" w:customStyle="1" w:styleId="filesize">
    <w:name w:val="filesize"/>
    <w:basedOn w:val="DefaultParagraphFont"/>
    <w:rsid w:val="00DF2EC9"/>
  </w:style>
  <w:style w:type="table" w:customStyle="1" w:styleId="TableGrid1">
    <w:name w:val="Table Grid1"/>
    <w:basedOn w:val="TableNormal"/>
    <w:next w:val="TableGrid"/>
    <w:uiPriority w:val="39"/>
    <w:rsid w:val="0000772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 1"/>
    <w:basedOn w:val="Normal"/>
    <w:rsid w:val="005D5899"/>
    <w:pPr>
      <w:suppressAutoHyphens/>
      <w:spacing w:before="240"/>
    </w:pPr>
    <w:rPr>
      <w:rFonts w:ascii="Arial" w:eastAsia="Times New Roman" w:hAnsi="Arial"/>
      <w:color w:val="00000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707">
      <w:bodyDiv w:val="1"/>
      <w:marLeft w:val="0"/>
      <w:marRight w:val="0"/>
      <w:marTop w:val="0"/>
      <w:marBottom w:val="0"/>
      <w:divBdr>
        <w:top w:val="none" w:sz="0" w:space="0" w:color="auto"/>
        <w:left w:val="none" w:sz="0" w:space="0" w:color="auto"/>
        <w:bottom w:val="none" w:sz="0" w:space="0" w:color="auto"/>
        <w:right w:val="none" w:sz="0" w:space="0" w:color="auto"/>
      </w:divBdr>
    </w:div>
    <w:div w:id="101345268">
      <w:bodyDiv w:val="1"/>
      <w:marLeft w:val="0"/>
      <w:marRight w:val="0"/>
      <w:marTop w:val="0"/>
      <w:marBottom w:val="0"/>
      <w:divBdr>
        <w:top w:val="none" w:sz="0" w:space="0" w:color="auto"/>
        <w:left w:val="none" w:sz="0" w:space="0" w:color="auto"/>
        <w:bottom w:val="none" w:sz="0" w:space="0" w:color="auto"/>
        <w:right w:val="none" w:sz="0" w:space="0" w:color="auto"/>
      </w:divBdr>
    </w:div>
    <w:div w:id="243534529">
      <w:bodyDiv w:val="1"/>
      <w:marLeft w:val="0"/>
      <w:marRight w:val="0"/>
      <w:marTop w:val="0"/>
      <w:marBottom w:val="0"/>
      <w:divBdr>
        <w:top w:val="none" w:sz="0" w:space="0" w:color="auto"/>
        <w:left w:val="none" w:sz="0" w:space="0" w:color="auto"/>
        <w:bottom w:val="none" w:sz="0" w:space="0" w:color="auto"/>
        <w:right w:val="none" w:sz="0" w:space="0" w:color="auto"/>
      </w:divBdr>
    </w:div>
    <w:div w:id="255788561">
      <w:bodyDiv w:val="1"/>
      <w:marLeft w:val="0"/>
      <w:marRight w:val="0"/>
      <w:marTop w:val="0"/>
      <w:marBottom w:val="0"/>
      <w:divBdr>
        <w:top w:val="none" w:sz="0" w:space="0" w:color="auto"/>
        <w:left w:val="none" w:sz="0" w:space="0" w:color="auto"/>
        <w:bottom w:val="none" w:sz="0" w:space="0" w:color="auto"/>
        <w:right w:val="none" w:sz="0" w:space="0" w:color="auto"/>
      </w:divBdr>
    </w:div>
    <w:div w:id="281620142">
      <w:bodyDiv w:val="1"/>
      <w:marLeft w:val="0"/>
      <w:marRight w:val="0"/>
      <w:marTop w:val="0"/>
      <w:marBottom w:val="0"/>
      <w:divBdr>
        <w:top w:val="none" w:sz="0" w:space="0" w:color="auto"/>
        <w:left w:val="none" w:sz="0" w:space="0" w:color="auto"/>
        <w:bottom w:val="none" w:sz="0" w:space="0" w:color="auto"/>
        <w:right w:val="none" w:sz="0" w:space="0" w:color="auto"/>
      </w:divBdr>
    </w:div>
    <w:div w:id="294872507">
      <w:bodyDiv w:val="1"/>
      <w:marLeft w:val="0"/>
      <w:marRight w:val="0"/>
      <w:marTop w:val="0"/>
      <w:marBottom w:val="0"/>
      <w:divBdr>
        <w:top w:val="none" w:sz="0" w:space="0" w:color="auto"/>
        <w:left w:val="none" w:sz="0" w:space="0" w:color="auto"/>
        <w:bottom w:val="none" w:sz="0" w:space="0" w:color="auto"/>
        <w:right w:val="none" w:sz="0" w:space="0" w:color="auto"/>
      </w:divBdr>
    </w:div>
    <w:div w:id="300501640">
      <w:bodyDiv w:val="1"/>
      <w:marLeft w:val="0"/>
      <w:marRight w:val="0"/>
      <w:marTop w:val="0"/>
      <w:marBottom w:val="0"/>
      <w:divBdr>
        <w:top w:val="none" w:sz="0" w:space="0" w:color="auto"/>
        <w:left w:val="none" w:sz="0" w:space="0" w:color="auto"/>
        <w:bottom w:val="none" w:sz="0" w:space="0" w:color="auto"/>
        <w:right w:val="none" w:sz="0" w:space="0" w:color="auto"/>
      </w:divBdr>
      <w:divsChild>
        <w:div w:id="1953660714">
          <w:marLeft w:val="0"/>
          <w:marRight w:val="0"/>
          <w:marTop w:val="0"/>
          <w:marBottom w:val="0"/>
          <w:divBdr>
            <w:top w:val="none" w:sz="0" w:space="0" w:color="auto"/>
            <w:left w:val="none" w:sz="0" w:space="0" w:color="auto"/>
            <w:bottom w:val="none" w:sz="0" w:space="0" w:color="auto"/>
            <w:right w:val="none" w:sz="0" w:space="0" w:color="auto"/>
          </w:divBdr>
          <w:divsChild>
            <w:div w:id="749893250">
              <w:marLeft w:val="0"/>
              <w:marRight w:val="0"/>
              <w:marTop w:val="0"/>
              <w:marBottom w:val="0"/>
              <w:divBdr>
                <w:top w:val="none" w:sz="0" w:space="0" w:color="auto"/>
                <w:left w:val="none" w:sz="0" w:space="0" w:color="auto"/>
                <w:bottom w:val="none" w:sz="0" w:space="0" w:color="auto"/>
                <w:right w:val="none" w:sz="0" w:space="0" w:color="auto"/>
              </w:divBdr>
              <w:divsChild>
                <w:div w:id="1990743551">
                  <w:marLeft w:val="0"/>
                  <w:marRight w:val="0"/>
                  <w:marTop w:val="0"/>
                  <w:marBottom w:val="0"/>
                  <w:divBdr>
                    <w:top w:val="none" w:sz="0" w:space="0" w:color="auto"/>
                    <w:left w:val="none" w:sz="0" w:space="0" w:color="auto"/>
                    <w:bottom w:val="none" w:sz="0" w:space="0" w:color="auto"/>
                    <w:right w:val="none" w:sz="0" w:space="0" w:color="auto"/>
                  </w:divBdr>
                  <w:divsChild>
                    <w:div w:id="1398744426">
                      <w:marLeft w:val="0"/>
                      <w:marRight w:val="0"/>
                      <w:marTop w:val="0"/>
                      <w:marBottom w:val="173"/>
                      <w:divBdr>
                        <w:top w:val="none" w:sz="0" w:space="0" w:color="auto"/>
                        <w:left w:val="none" w:sz="0" w:space="0" w:color="auto"/>
                        <w:bottom w:val="single" w:sz="12" w:space="0" w:color="auto"/>
                        <w:right w:val="none" w:sz="0" w:space="0" w:color="auto"/>
                      </w:divBdr>
                      <w:divsChild>
                        <w:div w:id="151719399">
                          <w:marLeft w:val="0"/>
                          <w:marRight w:val="0"/>
                          <w:marTop w:val="0"/>
                          <w:marBottom w:val="0"/>
                          <w:divBdr>
                            <w:top w:val="none" w:sz="0" w:space="0" w:color="auto"/>
                            <w:left w:val="none" w:sz="0" w:space="0" w:color="auto"/>
                            <w:bottom w:val="none" w:sz="0" w:space="0" w:color="auto"/>
                            <w:right w:val="none" w:sz="0" w:space="0" w:color="auto"/>
                          </w:divBdr>
                          <w:divsChild>
                            <w:div w:id="846868594">
                              <w:marLeft w:val="0"/>
                              <w:marRight w:val="0"/>
                              <w:marTop w:val="0"/>
                              <w:marBottom w:val="0"/>
                              <w:divBdr>
                                <w:top w:val="none" w:sz="0" w:space="0" w:color="auto"/>
                                <w:left w:val="none" w:sz="0" w:space="0" w:color="auto"/>
                                <w:bottom w:val="none" w:sz="0" w:space="0" w:color="auto"/>
                                <w:right w:val="none" w:sz="0" w:space="0" w:color="auto"/>
                              </w:divBdr>
                              <w:divsChild>
                                <w:div w:id="64375558">
                                  <w:marLeft w:val="0"/>
                                  <w:marRight w:val="0"/>
                                  <w:marTop w:val="0"/>
                                  <w:marBottom w:val="0"/>
                                  <w:divBdr>
                                    <w:top w:val="none" w:sz="0" w:space="0" w:color="auto"/>
                                    <w:left w:val="none" w:sz="0" w:space="0" w:color="auto"/>
                                    <w:bottom w:val="none" w:sz="0" w:space="0" w:color="auto"/>
                                    <w:right w:val="none" w:sz="0" w:space="0" w:color="auto"/>
                                  </w:divBdr>
                                  <w:divsChild>
                                    <w:div w:id="1638073701">
                                      <w:marLeft w:val="0"/>
                                      <w:marRight w:val="0"/>
                                      <w:marTop w:val="0"/>
                                      <w:marBottom w:val="0"/>
                                      <w:divBdr>
                                        <w:top w:val="none" w:sz="0" w:space="0" w:color="auto"/>
                                        <w:left w:val="none" w:sz="0" w:space="0" w:color="auto"/>
                                        <w:bottom w:val="none" w:sz="0" w:space="0" w:color="auto"/>
                                        <w:right w:val="none" w:sz="0" w:space="0" w:color="auto"/>
                                      </w:divBdr>
                                      <w:divsChild>
                                        <w:div w:id="38818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0063723">
      <w:bodyDiv w:val="1"/>
      <w:marLeft w:val="0"/>
      <w:marRight w:val="0"/>
      <w:marTop w:val="0"/>
      <w:marBottom w:val="0"/>
      <w:divBdr>
        <w:top w:val="none" w:sz="0" w:space="0" w:color="auto"/>
        <w:left w:val="none" w:sz="0" w:space="0" w:color="auto"/>
        <w:bottom w:val="none" w:sz="0" w:space="0" w:color="auto"/>
        <w:right w:val="none" w:sz="0" w:space="0" w:color="auto"/>
      </w:divBdr>
    </w:div>
    <w:div w:id="354112465">
      <w:bodyDiv w:val="1"/>
      <w:marLeft w:val="0"/>
      <w:marRight w:val="0"/>
      <w:marTop w:val="0"/>
      <w:marBottom w:val="0"/>
      <w:divBdr>
        <w:top w:val="none" w:sz="0" w:space="0" w:color="auto"/>
        <w:left w:val="none" w:sz="0" w:space="0" w:color="auto"/>
        <w:bottom w:val="none" w:sz="0" w:space="0" w:color="auto"/>
        <w:right w:val="none" w:sz="0" w:space="0" w:color="auto"/>
      </w:divBdr>
    </w:div>
    <w:div w:id="392852183">
      <w:bodyDiv w:val="1"/>
      <w:marLeft w:val="0"/>
      <w:marRight w:val="0"/>
      <w:marTop w:val="0"/>
      <w:marBottom w:val="0"/>
      <w:divBdr>
        <w:top w:val="none" w:sz="0" w:space="0" w:color="auto"/>
        <w:left w:val="none" w:sz="0" w:space="0" w:color="auto"/>
        <w:bottom w:val="none" w:sz="0" w:space="0" w:color="auto"/>
        <w:right w:val="none" w:sz="0" w:space="0" w:color="auto"/>
      </w:divBdr>
      <w:divsChild>
        <w:div w:id="1062757597">
          <w:marLeft w:val="0"/>
          <w:marRight w:val="0"/>
          <w:marTop w:val="0"/>
          <w:marBottom w:val="0"/>
          <w:divBdr>
            <w:top w:val="single" w:sz="2" w:space="0" w:color="999999"/>
            <w:left w:val="single" w:sz="4" w:space="0" w:color="999999"/>
            <w:bottom w:val="single" w:sz="2" w:space="0" w:color="999999"/>
            <w:right w:val="single" w:sz="4" w:space="0" w:color="999999"/>
          </w:divBdr>
          <w:divsChild>
            <w:div w:id="659891644">
              <w:marLeft w:val="0"/>
              <w:marRight w:val="0"/>
              <w:marTop w:val="0"/>
              <w:marBottom w:val="0"/>
              <w:divBdr>
                <w:top w:val="none" w:sz="0" w:space="0" w:color="auto"/>
                <w:left w:val="none" w:sz="0" w:space="0" w:color="auto"/>
                <w:bottom w:val="none" w:sz="0" w:space="0" w:color="auto"/>
                <w:right w:val="none" w:sz="0" w:space="0" w:color="auto"/>
              </w:divBdr>
              <w:divsChild>
                <w:div w:id="82847928">
                  <w:marLeft w:val="0"/>
                  <w:marRight w:val="230"/>
                  <w:marTop w:val="0"/>
                  <w:marBottom w:val="480"/>
                  <w:divBdr>
                    <w:top w:val="none" w:sz="0" w:space="0" w:color="auto"/>
                    <w:left w:val="none" w:sz="0" w:space="0" w:color="auto"/>
                    <w:bottom w:val="none" w:sz="0" w:space="0" w:color="auto"/>
                    <w:right w:val="none" w:sz="0" w:space="0" w:color="auto"/>
                  </w:divBdr>
                </w:div>
              </w:divsChild>
            </w:div>
          </w:divsChild>
        </w:div>
      </w:divsChild>
    </w:div>
    <w:div w:id="412705156">
      <w:bodyDiv w:val="1"/>
      <w:marLeft w:val="0"/>
      <w:marRight w:val="0"/>
      <w:marTop w:val="0"/>
      <w:marBottom w:val="0"/>
      <w:divBdr>
        <w:top w:val="none" w:sz="0" w:space="0" w:color="auto"/>
        <w:left w:val="none" w:sz="0" w:space="0" w:color="auto"/>
        <w:bottom w:val="none" w:sz="0" w:space="0" w:color="auto"/>
        <w:right w:val="none" w:sz="0" w:space="0" w:color="auto"/>
      </w:divBdr>
    </w:div>
    <w:div w:id="449204758">
      <w:bodyDiv w:val="1"/>
      <w:marLeft w:val="0"/>
      <w:marRight w:val="0"/>
      <w:marTop w:val="0"/>
      <w:marBottom w:val="0"/>
      <w:divBdr>
        <w:top w:val="none" w:sz="0" w:space="0" w:color="auto"/>
        <w:left w:val="none" w:sz="0" w:space="0" w:color="auto"/>
        <w:bottom w:val="none" w:sz="0" w:space="0" w:color="auto"/>
        <w:right w:val="none" w:sz="0" w:space="0" w:color="auto"/>
      </w:divBdr>
    </w:div>
    <w:div w:id="708993285">
      <w:bodyDiv w:val="1"/>
      <w:marLeft w:val="0"/>
      <w:marRight w:val="0"/>
      <w:marTop w:val="0"/>
      <w:marBottom w:val="0"/>
      <w:divBdr>
        <w:top w:val="none" w:sz="0" w:space="0" w:color="auto"/>
        <w:left w:val="none" w:sz="0" w:space="0" w:color="auto"/>
        <w:bottom w:val="none" w:sz="0" w:space="0" w:color="auto"/>
        <w:right w:val="none" w:sz="0" w:space="0" w:color="auto"/>
      </w:divBdr>
    </w:div>
    <w:div w:id="727071272">
      <w:bodyDiv w:val="1"/>
      <w:marLeft w:val="0"/>
      <w:marRight w:val="0"/>
      <w:marTop w:val="0"/>
      <w:marBottom w:val="0"/>
      <w:divBdr>
        <w:top w:val="none" w:sz="0" w:space="0" w:color="auto"/>
        <w:left w:val="none" w:sz="0" w:space="0" w:color="auto"/>
        <w:bottom w:val="none" w:sz="0" w:space="0" w:color="auto"/>
        <w:right w:val="none" w:sz="0" w:space="0" w:color="auto"/>
      </w:divBdr>
    </w:div>
    <w:div w:id="764347823">
      <w:bodyDiv w:val="1"/>
      <w:marLeft w:val="0"/>
      <w:marRight w:val="0"/>
      <w:marTop w:val="0"/>
      <w:marBottom w:val="0"/>
      <w:divBdr>
        <w:top w:val="none" w:sz="0" w:space="0" w:color="auto"/>
        <w:left w:val="none" w:sz="0" w:space="0" w:color="auto"/>
        <w:bottom w:val="none" w:sz="0" w:space="0" w:color="auto"/>
        <w:right w:val="none" w:sz="0" w:space="0" w:color="auto"/>
      </w:divBdr>
      <w:divsChild>
        <w:div w:id="1504861412">
          <w:marLeft w:val="0"/>
          <w:marRight w:val="0"/>
          <w:marTop w:val="0"/>
          <w:marBottom w:val="0"/>
          <w:divBdr>
            <w:top w:val="none" w:sz="0" w:space="0" w:color="auto"/>
            <w:left w:val="none" w:sz="0" w:space="0" w:color="auto"/>
            <w:bottom w:val="none" w:sz="0" w:space="0" w:color="auto"/>
            <w:right w:val="none" w:sz="0" w:space="0" w:color="auto"/>
          </w:divBdr>
          <w:divsChild>
            <w:div w:id="101927376">
              <w:marLeft w:val="0"/>
              <w:marRight w:val="0"/>
              <w:marTop w:val="0"/>
              <w:marBottom w:val="0"/>
              <w:divBdr>
                <w:top w:val="none" w:sz="0" w:space="0" w:color="auto"/>
                <w:left w:val="none" w:sz="0" w:space="0" w:color="auto"/>
                <w:bottom w:val="none" w:sz="0" w:space="0" w:color="auto"/>
                <w:right w:val="none" w:sz="0" w:space="0" w:color="auto"/>
              </w:divBdr>
              <w:divsChild>
                <w:div w:id="1142624037">
                  <w:marLeft w:val="0"/>
                  <w:marRight w:val="0"/>
                  <w:marTop w:val="100"/>
                  <w:marBottom w:val="100"/>
                  <w:divBdr>
                    <w:top w:val="none" w:sz="0" w:space="0" w:color="auto"/>
                    <w:left w:val="none" w:sz="0" w:space="0" w:color="auto"/>
                    <w:bottom w:val="none" w:sz="0" w:space="0" w:color="auto"/>
                    <w:right w:val="none" w:sz="0" w:space="0" w:color="auto"/>
                  </w:divBdr>
                  <w:divsChild>
                    <w:div w:id="1542476904">
                      <w:marLeft w:val="0"/>
                      <w:marRight w:val="0"/>
                      <w:marTop w:val="0"/>
                      <w:marBottom w:val="0"/>
                      <w:divBdr>
                        <w:top w:val="none" w:sz="0" w:space="0" w:color="auto"/>
                        <w:left w:val="none" w:sz="0" w:space="0" w:color="auto"/>
                        <w:bottom w:val="none" w:sz="0" w:space="0" w:color="auto"/>
                        <w:right w:val="none" w:sz="0" w:space="0" w:color="auto"/>
                      </w:divBdr>
                      <w:divsChild>
                        <w:div w:id="1721051084">
                          <w:marLeft w:val="0"/>
                          <w:marRight w:val="0"/>
                          <w:marTop w:val="0"/>
                          <w:marBottom w:val="0"/>
                          <w:divBdr>
                            <w:top w:val="none" w:sz="0" w:space="0" w:color="auto"/>
                            <w:left w:val="none" w:sz="0" w:space="0" w:color="auto"/>
                            <w:bottom w:val="none" w:sz="0" w:space="0" w:color="auto"/>
                            <w:right w:val="none" w:sz="0" w:space="0" w:color="auto"/>
                          </w:divBdr>
                          <w:divsChild>
                            <w:div w:id="658457871">
                              <w:marLeft w:val="0"/>
                              <w:marRight w:val="0"/>
                              <w:marTop w:val="0"/>
                              <w:marBottom w:val="0"/>
                              <w:divBdr>
                                <w:top w:val="none" w:sz="0" w:space="0" w:color="auto"/>
                                <w:left w:val="none" w:sz="0" w:space="0" w:color="auto"/>
                                <w:bottom w:val="none" w:sz="0" w:space="0" w:color="auto"/>
                                <w:right w:val="none" w:sz="0" w:space="0" w:color="auto"/>
                              </w:divBdr>
                              <w:divsChild>
                                <w:div w:id="13794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918695">
      <w:bodyDiv w:val="1"/>
      <w:marLeft w:val="0"/>
      <w:marRight w:val="0"/>
      <w:marTop w:val="0"/>
      <w:marBottom w:val="0"/>
      <w:divBdr>
        <w:top w:val="none" w:sz="0" w:space="0" w:color="auto"/>
        <w:left w:val="none" w:sz="0" w:space="0" w:color="auto"/>
        <w:bottom w:val="none" w:sz="0" w:space="0" w:color="auto"/>
        <w:right w:val="none" w:sz="0" w:space="0" w:color="auto"/>
      </w:divBdr>
    </w:div>
    <w:div w:id="815923983">
      <w:bodyDiv w:val="1"/>
      <w:marLeft w:val="0"/>
      <w:marRight w:val="0"/>
      <w:marTop w:val="0"/>
      <w:marBottom w:val="0"/>
      <w:divBdr>
        <w:top w:val="none" w:sz="0" w:space="0" w:color="auto"/>
        <w:left w:val="none" w:sz="0" w:space="0" w:color="auto"/>
        <w:bottom w:val="none" w:sz="0" w:space="0" w:color="auto"/>
        <w:right w:val="none" w:sz="0" w:space="0" w:color="auto"/>
      </w:divBdr>
    </w:div>
    <w:div w:id="828593103">
      <w:bodyDiv w:val="1"/>
      <w:marLeft w:val="0"/>
      <w:marRight w:val="0"/>
      <w:marTop w:val="0"/>
      <w:marBottom w:val="0"/>
      <w:divBdr>
        <w:top w:val="none" w:sz="0" w:space="0" w:color="auto"/>
        <w:left w:val="none" w:sz="0" w:space="0" w:color="auto"/>
        <w:bottom w:val="none" w:sz="0" w:space="0" w:color="auto"/>
        <w:right w:val="none" w:sz="0" w:space="0" w:color="auto"/>
      </w:divBdr>
    </w:div>
    <w:div w:id="900407637">
      <w:bodyDiv w:val="1"/>
      <w:marLeft w:val="0"/>
      <w:marRight w:val="0"/>
      <w:marTop w:val="0"/>
      <w:marBottom w:val="0"/>
      <w:divBdr>
        <w:top w:val="none" w:sz="0" w:space="0" w:color="auto"/>
        <w:left w:val="none" w:sz="0" w:space="0" w:color="auto"/>
        <w:bottom w:val="none" w:sz="0" w:space="0" w:color="auto"/>
        <w:right w:val="none" w:sz="0" w:space="0" w:color="auto"/>
      </w:divBdr>
    </w:div>
    <w:div w:id="1107240177">
      <w:bodyDiv w:val="1"/>
      <w:marLeft w:val="0"/>
      <w:marRight w:val="0"/>
      <w:marTop w:val="0"/>
      <w:marBottom w:val="0"/>
      <w:divBdr>
        <w:top w:val="none" w:sz="0" w:space="0" w:color="auto"/>
        <w:left w:val="none" w:sz="0" w:space="0" w:color="auto"/>
        <w:bottom w:val="none" w:sz="0" w:space="0" w:color="auto"/>
        <w:right w:val="none" w:sz="0" w:space="0" w:color="auto"/>
      </w:divBdr>
    </w:div>
    <w:div w:id="1124082810">
      <w:marLeft w:val="0"/>
      <w:marRight w:val="0"/>
      <w:marTop w:val="0"/>
      <w:marBottom w:val="0"/>
      <w:divBdr>
        <w:top w:val="none" w:sz="0" w:space="0" w:color="auto"/>
        <w:left w:val="none" w:sz="0" w:space="0" w:color="auto"/>
        <w:bottom w:val="none" w:sz="0" w:space="0" w:color="auto"/>
        <w:right w:val="none" w:sz="0" w:space="0" w:color="auto"/>
      </w:divBdr>
    </w:div>
    <w:div w:id="1124082811">
      <w:marLeft w:val="0"/>
      <w:marRight w:val="0"/>
      <w:marTop w:val="0"/>
      <w:marBottom w:val="0"/>
      <w:divBdr>
        <w:top w:val="none" w:sz="0" w:space="0" w:color="auto"/>
        <w:left w:val="none" w:sz="0" w:space="0" w:color="auto"/>
        <w:bottom w:val="none" w:sz="0" w:space="0" w:color="auto"/>
        <w:right w:val="none" w:sz="0" w:space="0" w:color="auto"/>
      </w:divBdr>
    </w:div>
    <w:div w:id="1126312516">
      <w:bodyDiv w:val="1"/>
      <w:marLeft w:val="0"/>
      <w:marRight w:val="0"/>
      <w:marTop w:val="0"/>
      <w:marBottom w:val="0"/>
      <w:divBdr>
        <w:top w:val="none" w:sz="0" w:space="0" w:color="auto"/>
        <w:left w:val="none" w:sz="0" w:space="0" w:color="auto"/>
        <w:bottom w:val="none" w:sz="0" w:space="0" w:color="auto"/>
        <w:right w:val="none" w:sz="0" w:space="0" w:color="auto"/>
      </w:divBdr>
      <w:divsChild>
        <w:div w:id="1500120403">
          <w:marLeft w:val="0"/>
          <w:marRight w:val="0"/>
          <w:marTop w:val="0"/>
          <w:marBottom w:val="0"/>
          <w:divBdr>
            <w:top w:val="single" w:sz="2" w:space="0" w:color="999999"/>
            <w:left w:val="single" w:sz="4" w:space="0" w:color="999999"/>
            <w:bottom w:val="single" w:sz="2" w:space="0" w:color="999999"/>
            <w:right w:val="single" w:sz="4" w:space="0" w:color="999999"/>
          </w:divBdr>
          <w:divsChild>
            <w:div w:id="2011176851">
              <w:marLeft w:val="0"/>
              <w:marRight w:val="0"/>
              <w:marTop w:val="0"/>
              <w:marBottom w:val="0"/>
              <w:divBdr>
                <w:top w:val="none" w:sz="0" w:space="0" w:color="auto"/>
                <w:left w:val="none" w:sz="0" w:space="0" w:color="auto"/>
                <w:bottom w:val="none" w:sz="0" w:space="0" w:color="auto"/>
                <w:right w:val="none" w:sz="0" w:space="0" w:color="auto"/>
              </w:divBdr>
              <w:divsChild>
                <w:div w:id="1592084198">
                  <w:marLeft w:val="0"/>
                  <w:marRight w:val="230"/>
                  <w:marTop w:val="0"/>
                  <w:marBottom w:val="480"/>
                  <w:divBdr>
                    <w:top w:val="none" w:sz="0" w:space="0" w:color="auto"/>
                    <w:left w:val="none" w:sz="0" w:space="0" w:color="auto"/>
                    <w:bottom w:val="none" w:sz="0" w:space="0" w:color="auto"/>
                    <w:right w:val="none" w:sz="0" w:space="0" w:color="auto"/>
                  </w:divBdr>
                </w:div>
              </w:divsChild>
            </w:div>
          </w:divsChild>
        </w:div>
      </w:divsChild>
    </w:div>
    <w:div w:id="1168668862">
      <w:bodyDiv w:val="1"/>
      <w:marLeft w:val="0"/>
      <w:marRight w:val="0"/>
      <w:marTop w:val="0"/>
      <w:marBottom w:val="0"/>
      <w:divBdr>
        <w:top w:val="none" w:sz="0" w:space="0" w:color="auto"/>
        <w:left w:val="none" w:sz="0" w:space="0" w:color="auto"/>
        <w:bottom w:val="none" w:sz="0" w:space="0" w:color="auto"/>
        <w:right w:val="none" w:sz="0" w:space="0" w:color="auto"/>
      </w:divBdr>
    </w:div>
    <w:div w:id="1177578316">
      <w:bodyDiv w:val="1"/>
      <w:marLeft w:val="0"/>
      <w:marRight w:val="0"/>
      <w:marTop w:val="0"/>
      <w:marBottom w:val="0"/>
      <w:divBdr>
        <w:top w:val="none" w:sz="0" w:space="0" w:color="auto"/>
        <w:left w:val="none" w:sz="0" w:space="0" w:color="auto"/>
        <w:bottom w:val="none" w:sz="0" w:space="0" w:color="auto"/>
        <w:right w:val="none" w:sz="0" w:space="0" w:color="auto"/>
      </w:divBdr>
    </w:div>
    <w:div w:id="1264221754">
      <w:bodyDiv w:val="1"/>
      <w:marLeft w:val="0"/>
      <w:marRight w:val="0"/>
      <w:marTop w:val="0"/>
      <w:marBottom w:val="0"/>
      <w:divBdr>
        <w:top w:val="none" w:sz="0" w:space="0" w:color="auto"/>
        <w:left w:val="none" w:sz="0" w:space="0" w:color="auto"/>
        <w:bottom w:val="none" w:sz="0" w:space="0" w:color="auto"/>
        <w:right w:val="none" w:sz="0" w:space="0" w:color="auto"/>
      </w:divBdr>
    </w:div>
    <w:div w:id="1266157425">
      <w:bodyDiv w:val="1"/>
      <w:marLeft w:val="0"/>
      <w:marRight w:val="0"/>
      <w:marTop w:val="0"/>
      <w:marBottom w:val="0"/>
      <w:divBdr>
        <w:top w:val="none" w:sz="0" w:space="0" w:color="auto"/>
        <w:left w:val="none" w:sz="0" w:space="0" w:color="auto"/>
        <w:bottom w:val="none" w:sz="0" w:space="0" w:color="auto"/>
        <w:right w:val="none" w:sz="0" w:space="0" w:color="auto"/>
      </w:divBdr>
    </w:div>
    <w:div w:id="1295284791">
      <w:bodyDiv w:val="1"/>
      <w:marLeft w:val="0"/>
      <w:marRight w:val="0"/>
      <w:marTop w:val="0"/>
      <w:marBottom w:val="0"/>
      <w:divBdr>
        <w:top w:val="none" w:sz="0" w:space="0" w:color="auto"/>
        <w:left w:val="none" w:sz="0" w:space="0" w:color="auto"/>
        <w:bottom w:val="none" w:sz="0" w:space="0" w:color="auto"/>
        <w:right w:val="none" w:sz="0" w:space="0" w:color="auto"/>
      </w:divBdr>
    </w:div>
    <w:div w:id="1343555153">
      <w:bodyDiv w:val="1"/>
      <w:marLeft w:val="0"/>
      <w:marRight w:val="0"/>
      <w:marTop w:val="0"/>
      <w:marBottom w:val="0"/>
      <w:divBdr>
        <w:top w:val="none" w:sz="0" w:space="0" w:color="auto"/>
        <w:left w:val="none" w:sz="0" w:space="0" w:color="auto"/>
        <w:bottom w:val="none" w:sz="0" w:space="0" w:color="auto"/>
        <w:right w:val="none" w:sz="0" w:space="0" w:color="auto"/>
      </w:divBdr>
    </w:div>
    <w:div w:id="1393885428">
      <w:bodyDiv w:val="1"/>
      <w:marLeft w:val="0"/>
      <w:marRight w:val="0"/>
      <w:marTop w:val="0"/>
      <w:marBottom w:val="0"/>
      <w:divBdr>
        <w:top w:val="none" w:sz="0" w:space="0" w:color="auto"/>
        <w:left w:val="none" w:sz="0" w:space="0" w:color="auto"/>
        <w:bottom w:val="none" w:sz="0" w:space="0" w:color="auto"/>
        <w:right w:val="none" w:sz="0" w:space="0" w:color="auto"/>
      </w:divBdr>
    </w:div>
    <w:div w:id="1401636624">
      <w:bodyDiv w:val="1"/>
      <w:marLeft w:val="0"/>
      <w:marRight w:val="0"/>
      <w:marTop w:val="0"/>
      <w:marBottom w:val="0"/>
      <w:divBdr>
        <w:top w:val="none" w:sz="0" w:space="0" w:color="auto"/>
        <w:left w:val="none" w:sz="0" w:space="0" w:color="auto"/>
        <w:bottom w:val="none" w:sz="0" w:space="0" w:color="auto"/>
        <w:right w:val="none" w:sz="0" w:space="0" w:color="auto"/>
      </w:divBdr>
    </w:div>
    <w:div w:id="1443845593">
      <w:bodyDiv w:val="1"/>
      <w:marLeft w:val="0"/>
      <w:marRight w:val="0"/>
      <w:marTop w:val="0"/>
      <w:marBottom w:val="0"/>
      <w:divBdr>
        <w:top w:val="none" w:sz="0" w:space="0" w:color="auto"/>
        <w:left w:val="none" w:sz="0" w:space="0" w:color="auto"/>
        <w:bottom w:val="none" w:sz="0" w:space="0" w:color="auto"/>
        <w:right w:val="none" w:sz="0" w:space="0" w:color="auto"/>
      </w:divBdr>
    </w:div>
    <w:div w:id="1468546323">
      <w:bodyDiv w:val="1"/>
      <w:marLeft w:val="0"/>
      <w:marRight w:val="0"/>
      <w:marTop w:val="0"/>
      <w:marBottom w:val="0"/>
      <w:divBdr>
        <w:top w:val="none" w:sz="0" w:space="0" w:color="auto"/>
        <w:left w:val="none" w:sz="0" w:space="0" w:color="auto"/>
        <w:bottom w:val="none" w:sz="0" w:space="0" w:color="auto"/>
        <w:right w:val="none" w:sz="0" w:space="0" w:color="auto"/>
      </w:divBdr>
    </w:div>
    <w:div w:id="1537545818">
      <w:bodyDiv w:val="1"/>
      <w:marLeft w:val="0"/>
      <w:marRight w:val="0"/>
      <w:marTop w:val="0"/>
      <w:marBottom w:val="0"/>
      <w:divBdr>
        <w:top w:val="none" w:sz="0" w:space="0" w:color="auto"/>
        <w:left w:val="none" w:sz="0" w:space="0" w:color="auto"/>
        <w:bottom w:val="none" w:sz="0" w:space="0" w:color="auto"/>
        <w:right w:val="none" w:sz="0" w:space="0" w:color="auto"/>
      </w:divBdr>
    </w:div>
    <w:div w:id="1553227382">
      <w:bodyDiv w:val="1"/>
      <w:marLeft w:val="0"/>
      <w:marRight w:val="0"/>
      <w:marTop w:val="0"/>
      <w:marBottom w:val="0"/>
      <w:divBdr>
        <w:top w:val="none" w:sz="0" w:space="0" w:color="auto"/>
        <w:left w:val="none" w:sz="0" w:space="0" w:color="auto"/>
        <w:bottom w:val="none" w:sz="0" w:space="0" w:color="auto"/>
        <w:right w:val="none" w:sz="0" w:space="0" w:color="auto"/>
      </w:divBdr>
    </w:div>
    <w:div w:id="1604262358">
      <w:bodyDiv w:val="1"/>
      <w:marLeft w:val="0"/>
      <w:marRight w:val="0"/>
      <w:marTop w:val="0"/>
      <w:marBottom w:val="0"/>
      <w:divBdr>
        <w:top w:val="none" w:sz="0" w:space="0" w:color="auto"/>
        <w:left w:val="none" w:sz="0" w:space="0" w:color="auto"/>
        <w:bottom w:val="none" w:sz="0" w:space="0" w:color="auto"/>
        <w:right w:val="none" w:sz="0" w:space="0" w:color="auto"/>
      </w:divBdr>
    </w:div>
    <w:div w:id="1634410312">
      <w:bodyDiv w:val="1"/>
      <w:marLeft w:val="0"/>
      <w:marRight w:val="0"/>
      <w:marTop w:val="0"/>
      <w:marBottom w:val="0"/>
      <w:divBdr>
        <w:top w:val="none" w:sz="0" w:space="0" w:color="auto"/>
        <w:left w:val="none" w:sz="0" w:space="0" w:color="auto"/>
        <w:bottom w:val="none" w:sz="0" w:space="0" w:color="auto"/>
        <w:right w:val="none" w:sz="0" w:space="0" w:color="auto"/>
      </w:divBdr>
      <w:divsChild>
        <w:div w:id="44764707">
          <w:marLeft w:val="0"/>
          <w:marRight w:val="0"/>
          <w:marTop w:val="0"/>
          <w:marBottom w:val="0"/>
          <w:divBdr>
            <w:top w:val="none" w:sz="0" w:space="0" w:color="auto"/>
            <w:left w:val="none" w:sz="0" w:space="0" w:color="auto"/>
            <w:bottom w:val="none" w:sz="0" w:space="0" w:color="auto"/>
            <w:right w:val="none" w:sz="0" w:space="0" w:color="auto"/>
          </w:divBdr>
        </w:div>
        <w:div w:id="1933010898">
          <w:marLeft w:val="0"/>
          <w:marRight w:val="0"/>
          <w:marTop w:val="0"/>
          <w:marBottom w:val="0"/>
          <w:divBdr>
            <w:top w:val="none" w:sz="0" w:space="0" w:color="auto"/>
            <w:left w:val="none" w:sz="0" w:space="0" w:color="auto"/>
            <w:bottom w:val="none" w:sz="0" w:space="0" w:color="auto"/>
            <w:right w:val="none" w:sz="0" w:space="0" w:color="auto"/>
          </w:divBdr>
        </w:div>
        <w:div w:id="161356897">
          <w:marLeft w:val="0"/>
          <w:marRight w:val="0"/>
          <w:marTop w:val="0"/>
          <w:marBottom w:val="0"/>
          <w:divBdr>
            <w:top w:val="none" w:sz="0" w:space="0" w:color="auto"/>
            <w:left w:val="none" w:sz="0" w:space="0" w:color="auto"/>
            <w:bottom w:val="none" w:sz="0" w:space="0" w:color="auto"/>
            <w:right w:val="none" w:sz="0" w:space="0" w:color="auto"/>
          </w:divBdr>
        </w:div>
        <w:div w:id="1020546311">
          <w:marLeft w:val="0"/>
          <w:marRight w:val="0"/>
          <w:marTop w:val="0"/>
          <w:marBottom w:val="0"/>
          <w:divBdr>
            <w:top w:val="none" w:sz="0" w:space="0" w:color="auto"/>
            <w:left w:val="none" w:sz="0" w:space="0" w:color="auto"/>
            <w:bottom w:val="none" w:sz="0" w:space="0" w:color="auto"/>
            <w:right w:val="none" w:sz="0" w:space="0" w:color="auto"/>
          </w:divBdr>
        </w:div>
        <w:div w:id="732509541">
          <w:marLeft w:val="0"/>
          <w:marRight w:val="0"/>
          <w:marTop w:val="0"/>
          <w:marBottom w:val="0"/>
          <w:divBdr>
            <w:top w:val="none" w:sz="0" w:space="0" w:color="auto"/>
            <w:left w:val="none" w:sz="0" w:space="0" w:color="auto"/>
            <w:bottom w:val="none" w:sz="0" w:space="0" w:color="auto"/>
            <w:right w:val="none" w:sz="0" w:space="0" w:color="auto"/>
          </w:divBdr>
        </w:div>
        <w:div w:id="24448622">
          <w:marLeft w:val="0"/>
          <w:marRight w:val="0"/>
          <w:marTop w:val="0"/>
          <w:marBottom w:val="0"/>
          <w:divBdr>
            <w:top w:val="none" w:sz="0" w:space="0" w:color="auto"/>
            <w:left w:val="none" w:sz="0" w:space="0" w:color="auto"/>
            <w:bottom w:val="none" w:sz="0" w:space="0" w:color="auto"/>
            <w:right w:val="none" w:sz="0" w:space="0" w:color="auto"/>
          </w:divBdr>
        </w:div>
        <w:div w:id="222256918">
          <w:marLeft w:val="0"/>
          <w:marRight w:val="0"/>
          <w:marTop w:val="0"/>
          <w:marBottom w:val="0"/>
          <w:divBdr>
            <w:top w:val="none" w:sz="0" w:space="0" w:color="auto"/>
            <w:left w:val="none" w:sz="0" w:space="0" w:color="auto"/>
            <w:bottom w:val="none" w:sz="0" w:space="0" w:color="auto"/>
            <w:right w:val="none" w:sz="0" w:space="0" w:color="auto"/>
          </w:divBdr>
        </w:div>
      </w:divsChild>
    </w:div>
    <w:div w:id="1683775583">
      <w:bodyDiv w:val="1"/>
      <w:marLeft w:val="0"/>
      <w:marRight w:val="0"/>
      <w:marTop w:val="0"/>
      <w:marBottom w:val="0"/>
      <w:divBdr>
        <w:top w:val="none" w:sz="0" w:space="0" w:color="auto"/>
        <w:left w:val="none" w:sz="0" w:space="0" w:color="auto"/>
        <w:bottom w:val="none" w:sz="0" w:space="0" w:color="auto"/>
        <w:right w:val="none" w:sz="0" w:space="0" w:color="auto"/>
      </w:divBdr>
    </w:div>
    <w:div w:id="1691907395">
      <w:bodyDiv w:val="1"/>
      <w:marLeft w:val="0"/>
      <w:marRight w:val="0"/>
      <w:marTop w:val="0"/>
      <w:marBottom w:val="0"/>
      <w:divBdr>
        <w:top w:val="none" w:sz="0" w:space="0" w:color="auto"/>
        <w:left w:val="none" w:sz="0" w:space="0" w:color="auto"/>
        <w:bottom w:val="none" w:sz="0" w:space="0" w:color="auto"/>
        <w:right w:val="none" w:sz="0" w:space="0" w:color="auto"/>
      </w:divBdr>
    </w:div>
    <w:div w:id="1752509115">
      <w:bodyDiv w:val="1"/>
      <w:marLeft w:val="0"/>
      <w:marRight w:val="0"/>
      <w:marTop w:val="0"/>
      <w:marBottom w:val="0"/>
      <w:divBdr>
        <w:top w:val="none" w:sz="0" w:space="0" w:color="auto"/>
        <w:left w:val="none" w:sz="0" w:space="0" w:color="auto"/>
        <w:bottom w:val="none" w:sz="0" w:space="0" w:color="auto"/>
        <w:right w:val="none" w:sz="0" w:space="0" w:color="auto"/>
      </w:divBdr>
    </w:div>
    <w:div w:id="1754155689">
      <w:bodyDiv w:val="1"/>
      <w:marLeft w:val="0"/>
      <w:marRight w:val="0"/>
      <w:marTop w:val="0"/>
      <w:marBottom w:val="0"/>
      <w:divBdr>
        <w:top w:val="none" w:sz="0" w:space="0" w:color="auto"/>
        <w:left w:val="none" w:sz="0" w:space="0" w:color="auto"/>
        <w:bottom w:val="none" w:sz="0" w:space="0" w:color="auto"/>
        <w:right w:val="none" w:sz="0" w:space="0" w:color="auto"/>
      </w:divBdr>
    </w:div>
    <w:div w:id="1819109594">
      <w:bodyDiv w:val="1"/>
      <w:marLeft w:val="0"/>
      <w:marRight w:val="0"/>
      <w:marTop w:val="0"/>
      <w:marBottom w:val="0"/>
      <w:divBdr>
        <w:top w:val="none" w:sz="0" w:space="0" w:color="auto"/>
        <w:left w:val="none" w:sz="0" w:space="0" w:color="auto"/>
        <w:bottom w:val="none" w:sz="0" w:space="0" w:color="auto"/>
        <w:right w:val="none" w:sz="0" w:space="0" w:color="auto"/>
      </w:divBdr>
    </w:div>
    <w:div w:id="1840342848">
      <w:bodyDiv w:val="1"/>
      <w:marLeft w:val="0"/>
      <w:marRight w:val="0"/>
      <w:marTop w:val="0"/>
      <w:marBottom w:val="0"/>
      <w:divBdr>
        <w:top w:val="none" w:sz="0" w:space="0" w:color="auto"/>
        <w:left w:val="none" w:sz="0" w:space="0" w:color="auto"/>
        <w:bottom w:val="none" w:sz="0" w:space="0" w:color="auto"/>
        <w:right w:val="none" w:sz="0" w:space="0" w:color="auto"/>
      </w:divBdr>
    </w:div>
    <w:div w:id="1939948211">
      <w:bodyDiv w:val="1"/>
      <w:marLeft w:val="0"/>
      <w:marRight w:val="0"/>
      <w:marTop w:val="0"/>
      <w:marBottom w:val="0"/>
      <w:divBdr>
        <w:top w:val="none" w:sz="0" w:space="0" w:color="auto"/>
        <w:left w:val="none" w:sz="0" w:space="0" w:color="auto"/>
        <w:bottom w:val="none" w:sz="0" w:space="0" w:color="auto"/>
        <w:right w:val="none" w:sz="0" w:space="0" w:color="auto"/>
      </w:divBdr>
    </w:div>
    <w:div w:id="1943995235">
      <w:bodyDiv w:val="1"/>
      <w:marLeft w:val="0"/>
      <w:marRight w:val="0"/>
      <w:marTop w:val="0"/>
      <w:marBottom w:val="0"/>
      <w:divBdr>
        <w:top w:val="none" w:sz="0" w:space="0" w:color="auto"/>
        <w:left w:val="none" w:sz="0" w:space="0" w:color="auto"/>
        <w:bottom w:val="none" w:sz="0" w:space="0" w:color="auto"/>
        <w:right w:val="none" w:sz="0" w:space="0" w:color="auto"/>
      </w:divBdr>
    </w:div>
    <w:div w:id="2090688085">
      <w:bodyDiv w:val="1"/>
      <w:marLeft w:val="0"/>
      <w:marRight w:val="0"/>
      <w:marTop w:val="0"/>
      <w:marBottom w:val="0"/>
      <w:divBdr>
        <w:top w:val="none" w:sz="0" w:space="0" w:color="auto"/>
        <w:left w:val="none" w:sz="0" w:space="0" w:color="auto"/>
        <w:bottom w:val="none" w:sz="0" w:space="0" w:color="auto"/>
        <w:right w:val="none" w:sz="0" w:space="0" w:color="auto"/>
      </w:divBdr>
      <w:divsChild>
        <w:div w:id="1767379168">
          <w:marLeft w:val="0"/>
          <w:marRight w:val="0"/>
          <w:marTop w:val="300"/>
          <w:marBottom w:val="525"/>
          <w:divBdr>
            <w:top w:val="single" w:sz="6" w:space="9" w:color="CCCCCC"/>
            <w:left w:val="none" w:sz="0" w:space="0" w:color="auto"/>
            <w:bottom w:val="single" w:sz="6" w:space="9" w:color="CCCCCC"/>
            <w:right w:val="none" w:sz="0" w:space="0" w:color="auto"/>
          </w:divBdr>
        </w:div>
      </w:divsChild>
    </w:div>
    <w:div w:id="2139952694">
      <w:bodyDiv w:val="1"/>
      <w:marLeft w:val="0"/>
      <w:marRight w:val="0"/>
      <w:marTop w:val="0"/>
      <w:marBottom w:val="0"/>
      <w:divBdr>
        <w:top w:val="none" w:sz="0" w:space="0" w:color="auto"/>
        <w:left w:val="none" w:sz="0" w:space="0" w:color="auto"/>
        <w:bottom w:val="none" w:sz="0" w:space="0" w:color="auto"/>
        <w:right w:val="none" w:sz="0" w:space="0" w:color="auto"/>
      </w:divBdr>
    </w:div>
    <w:div w:id="214534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muel.marks@truck.net.a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www.austroads.com.au/news-events/item/362-reforming-remote-and-regional-road-funding" TargetMode="External"/><Relationship Id="rId13" Type="http://schemas.openxmlformats.org/officeDocument/2006/relationships/hyperlink" Target="http://www.pc.gov.au/inquiries/completed/infrastructure/report" TargetMode="External"/><Relationship Id="rId18" Type="http://schemas.openxmlformats.org/officeDocument/2006/relationships/hyperlink" Target="https://www.nzta.govt.nz/assets/resources/national-land-transport-programme/2015-18/2015-18-nltp-highlights.pdf" TargetMode="External"/><Relationship Id="rId26" Type="http://schemas.openxmlformats.org/officeDocument/2006/relationships/hyperlink" Target="http://infrastructureaustralia.gov.au/policy-publications/publications/files/Australian_Infrastructure_Plan.pdf" TargetMode="External"/><Relationship Id="rId3" Type="http://schemas.openxmlformats.org/officeDocument/2006/relationships/hyperlink" Target="https://www.google.com.au/url?sa=t&amp;rct=j&amp;q=&amp;esrc=s&amp;source=web&amp;cd=5&amp;cad=rja&amp;uact=8&amp;ved=0ahUKEwjHzbOlhIXVAhWCFJQKHWIFBPcQFgg-MAQ&amp;url=http%3A%2F%2Fwww.asx.com.au%2Fasxpdf%2F20170207%2Fpdf%2F43ftmyv5ccc7zz.pdf&amp;usg=AFQjCNHOFjCLwUQDzStttjgdy0dyVRenKA" TargetMode="External"/><Relationship Id="rId21" Type="http://schemas.openxmlformats.org/officeDocument/2006/relationships/hyperlink" Target="http://infrastructureaustralia.gov.au/policy-publications/publications/files/IA_Northern_Australia_Audit.pdf" TargetMode="External"/><Relationship Id="rId7" Type="http://schemas.openxmlformats.org/officeDocument/2006/relationships/hyperlink" Target="http://www.pc.gov.au/inquiries/completed/infrastructure/report" TargetMode="External"/><Relationship Id="rId12" Type="http://schemas.openxmlformats.org/officeDocument/2006/relationships/hyperlink" Target="https://www.gov.uk/government/uploads/system/uploads/attachment_data/file/315772/ha-reform-business_case.pdf" TargetMode="External"/><Relationship Id="rId17" Type="http://schemas.openxmlformats.org/officeDocument/2006/relationships/hyperlink" Target="https://www.audit.vic.gov.au/sites/default/files/20170622-Maintaining-Roadways.pdf" TargetMode="External"/><Relationship Id="rId25" Type="http://schemas.openxmlformats.org/officeDocument/2006/relationships/hyperlink" Target="https://www.communications.gov.au/what-we-do/phone/mobile-services-and-coverage/mobile-black-spot-program" TargetMode="External"/><Relationship Id="rId2" Type="http://schemas.openxmlformats.org/officeDocument/2006/relationships/hyperlink" Target="http://www.theage.com.au/victoria/big-rise-in-citylink-truck-tolls-tipped-to-push-heavy-vehicles-onto-local-roads-20170129-gu0vz3.html" TargetMode="External"/><Relationship Id="rId16" Type="http://schemas.openxmlformats.org/officeDocument/2006/relationships/hyperlink" Target="http://www.austroads.com.au/news-events/item/362-reforming-remote-and-regional-road-funding" TargetMode="External"/><Relationship Id="rId20" Type="http://schemas.openxmlformats.org/officeDocument/2006/relationships/hyperlink" Target="http://infrastructureaustralia.gov.au/policy-publications/publications/files/CorridorProtection.pdf" TargetMode="External"/><Relationship Id="rId1" Type="http://schemas.openxmlformats.org/officeDocument/2006/relationships/hyperlink" Target="http://www.pc.gov.au/inquiries/completed/freight/report/freight.pdf" TargetMode="External"/><Relationship Id="rId6" Type="http://schemas.openxmlformats.org/officeDocument/2006/relationships/hyperlink" Target="https://www.nswports.com.au/news/article/nsw-ports-statement-re-port-botany-stevedore-rents" TargetMode="External"/><Relationship Id="rId11" Type="http://schemas.openxmlformats.org/officeDocument/2006/relationships/hyperlink" Target="https://www.gov.uk/government/uploads/system/uploads/attachment_data/file/443232/50325_Summer_Budget_15_Web_Accessible.pdf" TargetMode="External"/><Relationship Id="rId24" Type="http://schemas.openxmlformats.org/officeDocument/2006/relationships/hyperlink" Target="https://www.onlinepublications.austroads.com.au/items/AP-R543-17" TargetMode="External"/><Relationship Id="rId5" Type="http://schemas.openxmlformats.org/officeDocument/2006/relationships/hyperlink" Target="http://www.qube.com.au/downloads/announcements/Patrick_Terminals_Infrastructure_Surcharge.pdf" TargetMode="External"/><Relationship Id="rId15" Type="http://schemas.openxmlformats.org/officeDocument/2006/relationships/hyperlink" Target="http://www.pm.gov.au/media/2017-05-07/23-billion-jobs-and-infrastructure-boost-western-australia" TargetMode="External"/><Relationship Id="rId23" Type="http://schemas.openxmlformats.org/officeDocument/2006/relationships/hyperlink" Target="http://www.pc.gov.au/__data/assets/pdf_file/0003/137280/infrastructure-volume1.pdf" TargetMode="External"/><Relationship Id="rId10" Type="http://schemas.openxmlformats.org/officeDocument/2006/relationships/hyperlink" Target="https://www.gov.uk/government/uploads/system/uploads/attachment_data/file/508505/road-investment-strategy-post-2020-planning-ahead.pdf" TargetMode="External"/><Relationship Id="rId19" Type="http://schemas.openxmlformats.org/officeDocument/2006/relationships/hyperlink" Target="http://www.transport.govt.nz/assets/Uploads/Our-Work/Documents/Draft-GPS-2018-QA.pdf" TargetMode="External"/><Relationship Id="rId4" Type="http://schemas.openxmlformats.org/officeDocument/2006/relationships/hyperlink" Target="http://www.roadfreightnsw.com.au/media-release-true-cost-dp-worlds-crippling-port-tax/" TargetMode="External"/><Relationship Id="rId9" Type="http://schemas.openxmlformats.org/officeDocument/2006/relationships/hyperlink" Target="https://www.audit.vic.gov.au/sites/default/files/20170622-Maintaining-Roadways.pdf" TargetMode="External"/><Relationship Id="rId14" Type="http://schemas.openxmlformats.org/officeDocument/2006/relationships/hyperlink" Target="http://infrastructureaustralia.gov.au/about/files/IA-Statement-of-Intent-2015-17.pdf" TargetMode="External"/><Relationship Id="rId22" Type="http://schemas.openxmlformats.org/officeDocument/2006/relationships/hyperlink" Target="http://www.austroads.com.au/news-events/item/362-reforming-remote-and-regional-road-fu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CC0C4-3712-4398-94DE-7E1C9BEC9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5930</Words>
  <Characters>34560</Characters>
  <Application>Microsoft Office Word</Application>
  <DocSecurity>4</DocSecurity>
  <Lines>288</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2017-07-27T01:06:00Z</dcterms:created>
  <dcterms:modified xsi:type="dcterms:W3CDTF">2017-07-27T01:06:00Z</dcterms:modified>
  <cp:contentStatus/>
</cp:coreProperties>
</file>