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4E" w:rsidRDefault="0094124E" w:rsidP="0094124E">
      <w:pPr>
        <w:ind w:left="-1418"/>
        <w:sectPr w:rsidR="0094124E"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bookmarkStart w:id="0" w:name="_GoBack"/>
      <w:bookmarkEnd w:id="0"/>
      <w:r>
        <w:rPr>
          <w:noProof/>
          <w:lang w:eastAsia="en-AU"/>
        </w:rPr>
        <w:drawing>
          <wp:inline distT="0" distB="0" distL="0" distR="0" wp14:anchorId="7ED13843" wp14:editId="7ED13844">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rsidR="002117E6" w:rsidRDefault="00F9616F" w:rsidP="002117E6">
      <w:pPr>
        <w:pStyle w:val="Heading1"/>
      </w:pPr>
      <w:r w:rsidRPr="00740A9C">
        <w:t>International Telecommunication Union Plenipotentiary Conference 2018 (PP</w:t>
      </w:r>
      <w:r w:rsidRPr="00740A9C">
        <w:noBreakHyphen/>
        <w:t>18)</w:t>
      </w:r>
      <w:r>
        <w:t xml:space="preserve"> Stakeholder I</w:t>
      </w:r>
      <w:r w:rsidRPr="00740A9C">
        <w:t xml:space="preserve">nformation </w:t>
      </w:r>
      <w:r>
        <w:t>P</w:t>
      </w:r>
      <w:r w:rsidRPr="00740A9C">
        <w:t>aper</w:t>
      </w:r>
    </w:p>
    <w:p w:rsidR="00400E77" w:rsidRDefault="00F9616F" w:rsidP="00EB40A5">
      <w:pPr>
        <w:rPr>
          <w:lang w:eastAsia="en-US"/>
        </w:rPr>
      </w:pPr>
      <w:r>
        <w:t>June 2018</w:t>
      </w:r>
    </w:p>
    <w:p w:rsidR="00400E77" w:rsidRDefault="00400E77" w:rsidP="00625397">
      <w:pPr>
        <w:rPr>
          <w:lang w:eastAsia="en-US"/>
        </w:rPr>
      </w:pPr>
      <w:r>
        <w:rPr>
          <w:lang w:eastAsia="en-US"/>
        </w:rPr>
        <w:br w:type="page"/>
      </w:r>
    </w:p>
    <w:p w:rsidR="00625397" w:rsidRPr="00BE07A7" w:rsidRDefault="00625397" w:rsidP="00625397">
      <w:pPr>
        <w:pStyle w:val="Heading2-notshowing"/>
      </w:pPr>
      <w:r w:rsidRPr="00BE07A7">
        <w:lastRenderedPageBreak/>
        <w:t>Disclaimer</w:t>
      </w:r>
    </w:p>
    <w:p w:rsidR="00F9616F" w:rsidRPr="00BE07A7" w:rsidRDefault="00F9616F" w:rsidP="00F9616F">
      <w:pPr>
        <w:spacing w:after="120"/>
      </w:pPr>
      <w:r w:rsidRPr="00BE07A7">
        <w:t xml:space="preserve">The material in </w:t>
      </w:r>
      <w:r>
        <w:t>this information paper</w:t>
      </w:r>
      <w:r w:rsidRPr="00BE07A7">
        <w:t xml:space="preserve"> is of a general nature and should not be regarded as legal advice or relied on for assistance in any particular circumstance or emergency situation. In any important matter, you should seek appropriate independent professional advice in relation to your own circumstances.</w:t>
      </w:r>
      <w:r>
        <w:t xml:space="preserve"> </w:t>
      </w:r>
      <w:r w:rsidRPr="00BE07A7">
        <w:t xml:space="preserve">The Commonwealth accepts no responsibility or liability for any damage, loss or expense incurred as a result of the reliance on information contained in </w:t>
      </w:r>
      <w:r>
        <w:t>this information paper</w:t>
      </w:r>
      <w:r w:rsidRPr="00BE07A7">
        <w:t>.</w:t>
      </w:r>
    </w:p>
    <w:p w:rsidR="00F9616F" w:rsidRPr="00BE07A7" w:rsidRDefault="00F9616F" w:rsidP="00F9616F">
      <w:pPr>
        <w:spacing w:after="120"/>
      </w:pPr>
      <w:r>
        <w:t xml:space="preserve">This information paper has </w:t>
      </w:r>
      <w:r w:rsidRPr="00BE07A7">
        <w:t xml:space="preserve">been prepared for consultation purposes only and does not indicate the Commonwealth’s commitment to a particular course of action. Additionally, any third party views or recommendations included in </w:t>
      </w:r>
      <w:r>
        <w:t>this information paper</w:t>
      </w:r>
      <w:r w:rsidRPr="00BE07A7">
        <w:t xml:space="preserve"> do</w:t>
      </w:r>
      <w:r>
        <w:t>es</w:t>
      </w:r>
      <w:r w:rsidRPr="00BE07A7">
        <w:t xml:space="preserve"> not reflect the views of the Commonwealth, or indicate its commitment to a particular course of action.</w:t>
      </w:r>
    </w:p>
    <w:p w:rsidR="00F9616F" w:rsidRPr="00BE07A7" w:rsidRDefault="00F9616F" w:rsidP="00F9616F">
      <w:pPr>
        <w:pStyle w:val="Heading2-notshowing"/>
      </w:pPr>
      <w:r w:rsidRPr="00BE07A7">
        <w:t>Copyright</w:t>
      </w:r>
    </w:p>
    <w:p w:rsidR="00F9616F" w:rsidRPr="00BE07A7" w:rsidRDefault="00F9616F" w:rsidP="00F9616F">
      <w:pPr>
        <w:spacing w:after="120"/>
      </w:pPr>
      <w:r w:rsidRPr="00BE07A7">
        <w:t xml:space="preserve">© Commonwealth of Australia </w:t>
      </w:r>
      <w:r>
        <w:t>2018</w:t>
      </w:r>
    </w:p>
    <w:p w:rsidR="00F9616F" w:rsidRPr="00BE07A7" w:rsidRDefault="00F9616F" w:rsidP="00F9616F">
      <w:pPr>
        <w:spacing w:after="120"/>
      </w:pPr>
      <w:r w:rsidRPr="00BE07A7">
        <w:rPr>
          <w:noProof/>
          <w:lang w:eastAsia="en-AU"/>
        </w:rPr>
        <w:drawing>
          <wp:inline distT="0" distB="0" distL="0" distR="0" wp14:anchorId="5E1C8B4F" wp14:editId="0819468C">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Pr="00BE07A7">
        <w:t xml:space="preserve">  The material in </w:t>
      </w:r>
      <w:r>
        <w:t>this information paper</w:t>
      </w:r>
      <w:r w:rsidRPr="00BE07A7">
        <w:t xml:space="preserve"> is licensed under a Creative Commons Attribution—4.0 International licen</w:t>
      </w:r>
      <w:r>
        <w:t>c</w:t>
      </w:r>
      <w:r w:rsidRPr="00BE07A7">
        <w:t>e, with the exception of:</w:t>
      </w:r>
    </w:p>
    <w:p w:rsidR="00F9616F" w:rsidRPr="00BE07A7" w:rsidRDefault="00F9616F" w:rsidP="00F9616F">
      <w:pPr>
        <w:pStyle w:val="Bulletlevel1"/>
      </w:pPr>
      <w:r w:rsidRPr="00BE07A7">
        <w:t>the Commonwealth Coat of Arms</w:t>
      </w:r>
    </w:p>
    <w:p w:rsidR="00F9616F" w:rsidRPr="00BE07A7" w:rsidRDefault="00F9616F" w:rsidP="00F9616F">
      <w:pPr>
        <w:pStyle w:val="Bulletlevel1"/>
      </w:pPr>
      <w:r w:rsidRPr="00BE07A7">
        <w:t>this Department’s logo</w:t>
      </w:r>
    </w:p>
    <w:p w:rsidR="00F9616F" w:rsidRPr="00BE07A7" w:rsidRDefault="00F9616F" w:rsidP="00F9616F">
      <w:pPr>
        <w:pStyle w:val="Bulletlevel1"/>
      </w:pPr>
      <w:r w:rsidRPr="00BE07A7">
        <w:t>any third party material</w:t>
      </w:r>
    </w:p>
    <w:p w:rsidR="00F9616F" w:rsidRPr="00BE07A7" w:rsidRDefault="00F9616F" w:rsidP="00F9616F">
      <w:pPr>
        <w:pStyle w:val="Bulletlevel1"/>
      </w:pPr>
      <w:r w:rsidRPr="00BE07A7">
        <w:t>any material protected by a trademark, and</w:t>
      </w:r>
    </w:p>
    <w:p w:rsidR="00F9616F" w:rsidRPr="00BE07A7" w:rsidRDefault="00F9616F" w:rsidP="00F9616F">
      <w:pPr>
        <w:pStyle w:val="Bulletlevel1"/>
      </w:pPr>
      <w:r w:rsidRPr="00BE07A7">
        <w:t>any images and/or photographs.</w:t>
      </w:r>
    </w:p>
    <w:p w:rsidR="00F9616F" w:rsidRPr="00BE07A7" w:rsidRDefault="00F9616F" w:rsidP="00F9616F">
      <w:pPr>
        <w:spacing w:after="120"/>
      </w:pPr>
      <w:r w:rsidRPr="00BE07A7">
        <w:t>More information on this CC BY licen</w:t>
      </w:r>
      <w:r>
        <w:t>c</w:t>
      </w:r>
      <w:r w:rsidRPr="00BE07A7">
        <w:t>e is set out as follows:</w:t>
      </w:r>
    </w:p>
    <w:p w:rsidR="00F9616F" w:rsidRPr="00BE07A7" w:rsidRDefault="00F9616F" w:rsidP="00F9616F">
      <w:pPr>
        <w:pStyle w:val="Bulletlevel1"/>
      </w:pPr>
      <w:r w:rsidRPr="00BE07A7">
        <w:t>Creative Commons website—</w:t>
      </w:r>
      <w:hyperlink r:id="rId17" w:history="1">
        <w:r w:rsidRPr="00BE07A7">
          <w:rPr>
            <w:rStyle w:val="Hyperlink"/>
          </w:rPr>
          <w:t>www.creativecommons.org</w:t>
        </w:r>
      </w:hyperlink>
    </w:p>
    <w:p w:rsidR="00F9616F" w:rsidRPr="00BE07A7" w:rsidRDefault="00F9616F" w:rsidP="00F9616F">
      <w:pPr>
        <w:pStyle w:val="Bulletlevel1"/>
        <w:spacing w:after="120"/>
      </w:pPr>
      <w:r w:rsidRPr="00BE07A7">
        <w:t>Attribution 4.0 international (CC by 4.0)—</w:t>
      </w:r>
      <w:hyperlink r:id="rId18" w:history="1">
        <w:r w:rsidRPr="005C73E4">
          <w:rPr>
            <w:rStyle w:val="Hyperlink"/>
          </w:rPr>
          <w:t>www.creativecommons.org/licenses/by/4.0</w:t>
        </w:r>
      </w:hyperlink>
      <w:r w:rsidRPr="00BE07A7">
        <w:t>.</w:t>
      </w:r>
    </w:p>
    <w:p w:rsidR="00F9616F" w:rsidRPr="00BE07A7" w:rsidRDefault="00F9616F" w:rsidP="00F9616F">
      <w:pPr>
        <w:spacing w:after="120"/>
      </w:pPr>
      <w:r w:rsidRPr="00BE07A7">
        <w:t>Enquiries about this licen</w:t>
      </w:r>
      <w:r>
        <w:t>c</w:t>
      </w:r>
      <w:r w:rsidRPr="00BE07A7">
        <w:t xml:space="preserve">e and any use of this discussion paper can be sent to: </w:t>
      </w:r>
      <w:hyperlink r:id="rId19" w:history="1">
        <w:r w:rsidRPr="00BE07A7">
          <w:rPr>
            <w:rStyle w:val="Hyperlink"/>
          </w:rPr>
          <w:t>copyright@communications.gov.au</w:t>
        </w:r>
      </w:hyperlink>
      <w:r w:rsidRPr="00BE07A7">
        <w:t>.</w:t>
      </w:r>
    </w:p>
    <w:p w:rsidR="00F9616F" w:rsidRPr="00BE07A7" w:rsidRDefault="00F9616F" w:rsidP="00F9616F">
      <w:pPr>
        <w:pStyle w:val="Heading3-notshowing"/>
      </w:pPr>
      <w:bookmarkStart w:id="1" w:name="_Toc490666776"/>
      <w:bookmarkStart w:id="2" w:name="_Toc490744403"/>
      <w:r w:rsidRPr="00BE07A7">
        <w:t>Third party copyright</w:t>
      </w:r>
    </w:p>
    <w:p w:rsidR="00F9616F" w:rsidRPr="00BE07A7" w:rsidRDefault="00F9616F" w:rsidP="00F9616F">
      <w:pPr>
        <w:spacing w:after="120"/>
      </w:pPr>
      <w:r w:rsidRPr="00BE07A7">
        <w:t>The Department has made all reasonable efforts to clearly identify material where the copyright is owned by a third party. Permission may need to be obtained from third parties to re-use their material.</w:t>
      </w:r>
    </w:p>
    <w:p w:rsidR="00F9616F" w:rsidRPr="00BE07A7" w:rsidRDefault="00F9616F" w:rsidP="00F9616F">
      <w:pPr>
        <w:pStyle w:val="Heading3-notshowing"/>
      </w:pPr>
      <w:r w:rsidRPr="00BE07A7">
        <w:t>Attribution</w:t>
      </w:r>
      <w:bookmarkEnd w:id="1"/>
      <w:bookmarkEnd w:id="2"/>
    </w:p>
    <w:p w:rsidR="00F9616F" w:rsidRPr="00BE07A7" w:rsidRDefault="00F9616F" w:rsidP="00F9616F">
      <w:pPr>
        <w:spacing w:after="120"/>
      </w:pPr>
      <w:bookmarkStart w:id="3" w:name="_Toc356292522"/>
      <w:r w:rsidRPr="00BE07A7">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3"/>
    <w:p w:rsidR="00F9616F" w:rsidRPr="00BE07A7" w:rsidRDefault="00F9616F" w:rsidP="00F9616F">
      <w:pPr>
        <w:spacing w:after="120"/>
        <w:ind w:left="567"/>
      </w:pPr>
      <w:r w:rsidRPr="00BE07A7">
        <w:t>Licensed from the Commonwealth of Australia under a Creative Commons Attribution 4.0 International licence.</w:t>
      </w:r>
    </w:p>
    <w:p w:rsidR="00F9616F" w:rsidRPr="00BE07A7" w:rsidRDefault="00F9616F" w:rsidP="00F9616F">
      <w:pPr>
        <w:spacing w:after="120"/>
      </w:pPr>
      <w:r w:rsidRPr="00BE07A7">
        <w:t>Enquiries about the use of any material in this publication can be sent to</w:t>
      </w:r>
      <w:r>
        <w:t>:</w:t>
      </w:r>
      <w:r w:rsidRPr="00BE07A7">
        <w:t xml:space="preserve"> </w:t>
      </w:r>
      <w:hyperlink r:id="rId20" w:history="1">
        <w:r w:rsidRPr="00BE07A7">
          <w:rPr>
            <w:rStyle w:val="Hyperlink"/>
          </w:rPr>
          <w:t>copyright@communications.gov.au</w:t>
        </w:r>
      </w:hyperlink>
      <w:r w:rsidRPr="00BE07A7">
        <w:t>.</w:t>
      </w:r>
    </w:p>
    <w:p w:rsidR="00F9616F" w:rsidRPr="00BE07A7" w:rsidRDefault="00F9616F" w:rsidP="00F9616F">
      <w:pPr>
        <w:pStyle w:val="Heading2-notshowing"/>
      </w:pPr>
      <w:r w:rsidRPr="00BE07A7">
        <w:t>Using the Commonwealth Coat of Arms</w:t>
      </w:r>
    </w:p>
    <w:p w:rsidR="00597F9B" w:rsidRDefault="00F9616F" w:rsidP="00F9616F">
      <w:pPr>
        <w:spacing w:after="120"/>
        <w:rPr>
          <w:lang w:eastAsia="en-US"/>
        </w:rPr>
      </w:pPr>
      <w:r w:rsidRPr="00BE07A7">
        <w:t>Guidelines for using the Commonwealth Coat of Arms are available from the Department of Prime Minister and Cabinet website at</w:t>
      </w:r>
      <w:r w:rsidRPr="002F3895">
        <w:t xml:space="preserve"> </w:t>
      </w:r>
      <w:hyperlink r:id="rId21" w:history="1">
        <w:r w:rsidRPr="005C73E4">
          <w:rPr>
            <w:rStyle w:val="Hyperlink"/>
          </w:rPr>
          <w:t>www.pmc.gov.au/government/its-honour</w:t>
        </w:r>
      </w:hyperlink>
      <w:r w:rsidRPr="00BE07A7">
        <w:t>.</w:t>
      </w:r>
      <w:r w:rsidR="00597F9B">
        <w:rPr>
          <w:lang w:eastAsia="en-US"/>
        </w:rPr>
        <w:br w:type="page"/>
      </w:r>
    </w:p>
    <w:p w:rsidR="00400E77" w:rsidRDefault="00597F9B" w:rsidP="00597F9B">
      <w:pPr>
        <w:pStyle w:val="Heading2-notshowing"/>
      </w:pPr>
      <w:r>
        <w:lastRenderedPageBreak/>
        <w:t>Contents</w:t>
      </w:r>
    </w:p>
    <w:p w:rsidR="00E14131" w:rsidRDefault="00597F9B">
      <w:pPr>
        <w:pStyle w:val="TOC1"/>
        <w:rPr>
          <w:b w:val="0"/>
          <w:noProof/>
          <w:color w:val="auto"/>
          <w:sz w:val="22"/>
          <w:lang w:eastAsia="en-AU"/>
        </w:rPr>
      </w:pPr>
      <w:r>
        <w:rPr>
          <w:lang w:eastAsia="en-US"/>
        </w:rPr>
        <w:fldChar w:fldCharType="begin"/>
      </w:r>
      <w:r>
        <w:rPr>
          <w:lang w:eastAsia="en-US"/>
        </w:rPr>
        <w:instrText xml:space="preserve"> TOC \h \z \t "Heading 2,1,Heading 3,2,Heading 4,3" </w:instrText>
      </w:r>
      <w:r>
        <w:rPr>
          <w:lang w:eastAsia="en-US"/>
        </w:rPr>
        <w:fldChar w:fldCharType="separate"/>
      </w:r>
      <w:hyperlink w:anchor="_Toc515983862" w:history="1">
        <w:r w:rsidR="00E14131" w:rsidRPr="000D7FE2">
          <w:rPr>
            <w:rStyle w:val="Hyperlink"/>
            <w:noProof/>
          </w:rPr>
          <w:t>1. Introduction</w:t>
        </w:r>
        <w:r w:rsidR="00E14131">
          <w:rPr>
            <w:noProof/>
            <w:webHidden/>
          </w:rPr>
          <w:tab/>
        </w:r>
        <w:r w:rsidR="00E14131">
          <w:rPr>
            <w:noProof/>
            <w:webHidden/>
          </w:rPr>
          <w:fldChar w:fldCharType="begin"/>
        </w:r>
        <w:r w:rsidR="00E14131">
          <w:rPr>
            <w:noProof/>
            <w:webHidden/>
          </w:rPr>
          <w:instrText xml:space="preserve"> PAGEREF _Toc515983862 \h </w:instrText>
        </w:r>
        <w:r w:rsidR="00E14131">
          <w:rPr>
            <w:noProof/>
            <w:webHidden/>
          </w:rPr>
        </w:r>
        <w:r w:rsidR="00E14131">
          <w:rPr>
            <w:noProof/>
            <w:webHidden/>
          </w:rPr>
          <w:fldChar w:fldCharType="separate"/>
        </w:r>
        <w:r w:rsidR="00E14131">
          <w:rPr>
            <w:noProof/>
            <w:webHidden/>
          </w:rPr>
          <w:t>4</w:t>
        </w:r>
        <w:r w:rsidR="00E14131">
          <w:rPr>
            <w:noProof/>
            <w:webHidden/>
          </w:rPr>
          <w:fldChar w:fldCharType="end"/>
        </w:r>
      </w:hyperlink>
    </w:p>
    <w:p w:rsidR="00E14131" w:rsidRDefault="0002490F">
      <w:pPr>
        <w:pStyle w:val="TOC2"/>
        <w:rPr>
          <w:noProof/>
          <w:lang w:eastAsia="en-AU"/>
        </w:rPr>
      </w:pPr>
      <w:hyperlink w:anchor="_Toc515983863" w:history="1">
        <w:r w:rsidR="00E14131" w:rsidRPr="000D7FE2">
          <w:rPr>
            <w:rStyle w:val="Hyperlink"/>
            <w:noProof/>
          </w:rPr>
          <w:t>a. Purpose</w:t>
        </w:r>
        <w:r w:rsidR="00E14131">
          <w:rPr>
            <w:noProof/>
            <w:webHidden/>
          </w:rPr>
          <w:tab/>
        </w:r>
        <w:r w:rsidR="00E14131">
          <w:rPr>
            <w:noProof/>
            <w:webHidden/>
          </w:rPr>
          <w:fldChar w:fldCharType="begin"/>
        </w:r>
        <w:r w:rsidR="00E14131">
          <w:rPr>
            <w:noProof/>
            <w:webHidden/>
          </w:rPr>
          <w:instrText xml:space="preserve"> PAGEREF _Toc515983863 \h </w:instrText>
        </w:r>
        <w:r w:rsidR="00E14131">
          <w:rPr>
            <w:noProof/>
            <w:webHidden/>
          </w:rPr>
        </w:r>
        <w:r w:rsidR="00E14131">
          <w:rPr>
            <w:noProof/>
            <w:webHidden/>
          </w:rPr>
          <w:fldChar w:fldCharType="separate"/>
        </w:r>
        <w:r w:rsidR="00E14131">
          <w:rPr>
            <w:noProof/>
            <w:webHidden/>
          </w:rPr>
          <w:t>4</w:t>
        </w:r>
        <w:r w:rsidR="00E14131">
          <w:rPr>
            <w:noProof/>
            <w:webHidden/>
          </w:rPr>
          <w:fldChar w:fldCharType="end"/>
        </w:r>
      </w:hyperlink>
    </w:p>
    <w:p w:rsidR="00E14131" w:rsidRDefault="0002490F">
      <w:pPr>
        <w:pStyle w:val="TOC2"/>
        <w:rPr>
          <w:noProof/>
          <w:lang w:eastAsia="en-AU"/>
        </w:rPr>
      </w:pPr>
      <w:hyperlink w:anchor="_Toc515983864" w:history="1">
        <w:r w:rsidR="00E14131" w:rsidRPr="000D7FE2">
          <w:rPr>
            <w:rStyle w:val="Hyperlink"/>
            <w:noProof/>
          </w:rPr>
          <w:t>b. Background</w:t>
        </w:r>
        <w:r w:rsidR="00E14131">
          <w:rPr>
            <w:noProof/>
            <w:webHidden/>
          </w:rPr>
          <w:tab/>
        </w:r>
        <w:r w:rsidR="00E14131">
          <w:rPr>
            <w:noProof/>
            <w:webHidden/>
          </w:rPr>
          <w:fldChar w:fldCharType="begin"/>
        </w:r>
        <w:r w:rsidR="00E14131">
          <w:rPr>
            <w:noProof/>
            <w:webHidden/>
          </w:rPr>
          <w:instrText xml:space="preserve"> PAGEREF _Toc515983864 \h </w:instrText>
        </w:r>
        <w:r w:rsidR="00E14131">
          <w:rPr>
            <w:noProof/>
            <w:webHidden/>
          </w:rPr>
        </w:r>
        <w:r w:rsidR="00E14131">
          <w:rPr>
            <w:noProof/>
            <w:webHidden/>
          </w:rPr>
          <w:fldChar w:fldCharType="separate"/>
        </w:r>
        <w:r w:rsidR="00E14131">
          <w:rPr>
            <w:noProof/>
            <w:webHidden/>
          </w:rPr>
          <w:t>4</w:t>
        </w:r>
        <w:r w:rsidR="00E14131">
          <w:rPr>
            <w:noProof/>
            <w:webHidden/>
          </w:rPr>
          <w:fldChar w:fldCharType="end"/>
        </w:r>
      </w:hyperlink>
    </w:p>
    <w:p w:rsidR="00E14131" w:rsidRDefault="0002490F">
      <w:pPr>
        <w:pStyle w:val="TOC2"/>
        <w:rPr>
          <w:noProof/>
          <w:lang w:eastAsia="en-AU"/>
        </w:rPr>
      </w:pPr>
      <w:hyperlink w:anchor="_Toc515983865" w:history="1">
        <w:r w:rsidR="00E14131" w:rsidRPr="000D7FE2">
          <w:rPr>
            <w:rStyle w:val="Hyperlink"/>
            <w:noProof/>
          </w:rPr>
          <w:t>c. Preparatory process</w:t>
        </w:r>
        <w:r w:rsidR="00E14131">
          <w:rPr>
            <w:noProof/>
            <w:webHidden/>
          </w:rPr>
          <w:tab/>
        </w:r>
        <w:r w:rsidR="00E14131">
          <w:rPr>
            <w:noProof/>
            <w:webHidden/>
          </w:rPr>
          <w:fldChar w:fldCharType="begin"/>
        </w:r>
        <w:r w:rsidR="00E14131">
          <w:rPr>
            <w:noProof/>
            <w:webHidden/>
          </w:rPr>
          <w:instrText xml:space="preserve"> PAGEREF _Toc515983865 \h </w:instrText>
        </w:r>
        <w:r w:rsidR="00E14131">
          <w:rPr>
            <w:noProof/>
            <w:webHidden/>
          </w:rPr>
        </w:r>
        <w:r w:rsidR="00E14131">
          <w:rPr>
            <w:noProof/>
            <w:webHidden/>
          </w:rPr>
          <w:fldChar w:fldCharType="separate"/>
        </w:r>
        <w:r w:rsidR="00E14131">
          <w:rPr>
            <w:noProof/>
            <w:webHidden/>
          </w:rPr>
          <w:t>5</w:t>
        </w:r>
        <w:r w:rsidR="00E14131">
          <w:rPr>
            <w:noProof/>
            <w:webHidden/>
          </w:rPr>
          <w:fldChar w:fldCharType="end"/>
        </w:r>
      </w:hyperlink>
    </w:p>
    <w:p w:rsidR="00E14131" w:rsidRDefault="0002490F">
      <w:pPr>
        <w:pStyle w:val="TOC3"/>
        <w:rPr>
          <w:noProof/>
          <w:lang w:eastAsia="en-AU"/>
        </w:rPr>
      </w:pPr>
      <w:hyperlink w:anchor="_Toc515983866" w:history="1">
        <w:r w:rsidR="00E14131" w:rsidRPr="000D7FE2">
          <w:rPr>
            <w:rStyle w:val="Hyperlink"/>
            <w:noProof/>
          </w:rPr>
          <w:t>Domestic stakeholder consultation</w:t>
        </w:r>
        <w:r w:rsidR="00E14131">
          <w:rPr>
            <w:noProof/>
            <w:webHidden/>
          </w:rPr>
          <w:tab/>
        </w:r>
        <w:r w:rsidR="00E14131">
          <w:rPr>
            <w:noProof/>
            <w:webHidden/>
          </w:rPr>
          <w:fldChar w:fldCharType="begin"/>
        </w:r>
        <w:r w:rsidR="00E14131">
          <w:rPr>
            <w:noProof/>
            <w:webHidden/>
          </w:rPr>
          <w:instrText xml:space="preserve"> PAGEREF _Toc515983866 \h </w:instrText>
        </w:r>
        <w:r w:rsidR="00E14131">
          <w:rPr>
            <w:noProof/>
            <w:webHidden/>
          </w:rPr>
        </w:r>
        <w:r w:rsidR="00E14131">
          <w:rPr>
            <w:noProof/>
            <w:webHidden/>
          </w:rPr>
          <w:fldChar w:fldCharType="separate"/>
        </w:r>
        <w:r w:rsidR="00E14131">
          <w:rPr>
            <w:noProof/>
            <w:webHidden/>
          </w:rPr>
          <w:t>5</w:t>
        </w:r>
        <w:r w:rsidR="00E14131">
          <w:rPr>
            <w:noProof/>
            <w:webHidden/>
          </w:rPr>
          <w:fldChar w:fldCharType="end"/>
        </w:r>
      </w:hyperlink>
    </w:p>
    <w:p w:rsidR="00E14131" w:rsidRDefault="0002490F">
      <w:pPr>
        <w:pStyle w:val="TOC3"/>
        <w:rPr>
          <w:noProof/>
          <w:lang w:eastAsia="en-AU"/>
        </w:rPr>
      </w:pPr>
      <w:hyperlink w:anchor="_Toc515983867" w:history="1">
        <w:r w:rsidR="00E14131" w:rsidRPr="000D7FE2">
          <w:rPr>
            <w:rStyle w:val="Hyperlink"/>
            <w:noProof/>
          </w:rPr>
          <w:t>Regional preparatory process</w:t>
        </w:r>
        <w:r w:rsidR="00E14131">
          <w:rPr>
            <w:noProof/>
            <w:webHidden/>
          </w:rPr>
          <w:tab/>
        </w:r>
        <w:r w:rsidR="00E14131">
          <w:rPr>
            <w:noProof/>
            <w:webHidden/>
          </w:rPr>
          <w:fldChar w:fldCharType="begin"/>
        </w:r>
        <w:r w:rsidR="00E14131">
          <w:rPr>
            <w:noProof/>
            <w:webHidden/>
          </w:rPr>
          <w:instrText xml:space="preserve"> PAGEREF _Toc515983867 \h </w:instrText>
        </w:r>
        <w:r w:rsidR="00E14131">
          <w:rPr>
            <w:noProof/>
            <w:webHidden/>
          </w:rPr>
        </w:r>
        <w:r w:rsidR="00E14131">
          <w:rPr>
            <w:noProof/>
            <w:webHidden/>
          </w:rPr>
          <w:fldChar w:fldCharType="separate"/>
        </w:r>
        <w:r w:rsidR="00E14131">
          <w:rPr>
            <w:noProof/>
            <w:webHidden/>
          </w:rPr>
          <w:t>5</w:t>
        </w:r>
        <w:r w:rsidR="00E14131">
          <w:rPr>
            <w:noProof/>
            <w:webHidden/>
          </w:rPr>
          <w:fldChar w:fldCharType="end"/>
        </w:r>
      </w:hyperlink>
    </w:p>
    <w:p w:rsidR="00E14131" w:rsidRDefault="0002490F">
      <w:pPr>
        <w:pStyle w:val="TOC2"/>
        <w:rPr>
          <w:noProof/>
          <w:lang w:eastAsia="en-AU"/>
        </w:rPr>
      </w:pPr>
      <w:hyperlink w:anchor="_Toc515983868" w:history="1">
        <w:r w:rsidR="00E14131" w:rsidRPr="000D7FE2">
          <w:rPr>
            <w:rStyle w:val="Hyperlink"/>
            <w:noProof/>
            <w:lang w:val="en-US"/>
          </w:rPr>
          <w:t>d. Comments</w:t>
        </w:r>
        <w:r w:rsidR="00E14131">
          <w:rPr>
            <w:noProof/>
            <w:webHidden/>
          </w:rPr>
          <w:tab/>
        </w:r>
        <w:r w:rsidR="00E14131">
          <w:rPr>
            <w:noProof/>
            <w:webHidden/>
          </w:rPr>
          <w:fldChar w:fldCharType="begin"/>
        </w:r>
        <w:r w:rsidR="00E14131">
          <w:rPr>
            <w:noProof/>
            <w:webHidden/>
          </w:rPr>
          <w:instrText xml:space="preserve"> PAGEREF _Toc515983868 \h </w:instrText>
        </w:r>
        <w:r w:rsidR="00E14131">
          <w:rPr>
            <w:noProof/>
            <w:webHidden/>
          </w:rPr>
        </w:r>
        <w:r w:rsidR="00E14131">
          <w:rPr>
            <w:noProof/>
            <w:webHidden/>
          </w:rPr>
          <w:fldChar w:fldCharType="separate"/>
        </w:r>
        <w:r w:rsidR="00E14131">
          <w:rPr>
            <w:noProof/>
            <w:webHidden/>
          </w:rPr>
          <w:t>6</w:t>
        </w:r>
        <w:r w:rsidR="00E14131">
          <w:rPr>
            <w:noProof/>
            <w:webHidden/>
          </w:rPr>
          <w:fldChar w:fldCharType="end"/>
        </w:r>
      </w:hyperlink>
    </w:p>
    <w:p w:rsidR="00E14131" w:rsidRDefault="0002490F">
      <w:pPr>
        <w:pStyle w:val="TOC1"/>
        <w:rPr>
          <w:b w:val="0"/>
          <w:noProof/>
          <w:color w:val="auto"/>
          <w:sz w:val="22"/>
          <w:lang w:eastAsia="en-AU"/>
        </w:rPr>
      </w:pPr>
      <w:hyperlink w:anchor="_Toc515983869" w:history="1">
        <w:r w:rsidR="00E14131" w:rsidRPr="000D7FE2">
          <w:rPr>
            <w:rStyle w:val="Hyperlink"/>
            <w:noProof/>
          </w:rPr>
          <w:t>2. Potential key issues for the PP-18</w:t>
        </w:r>
        <w:r w:rsidR="00E14131">
          <w:rPr>
            <w:noProof/>
            <w:webHidden/>
          </w:rPr>
          <w:tab/>
        </w:r>
        <w:r w:rsidR="00E14131">
          <w:rPr>
            <w:noProof/>
            <w:webHidden/>
          </w:rPr>
          <w:fldChar w:fldCharType="begin"/>
        </w:r>
        <w:r w:rsidR="00E14131">
          <w:rPr>
            <w:noProof/>
            <w:webHidden/>
          </w:rPr>
          <w:instrText xml:space="preserve"> PAGEREF _Toc515983869 \h </w:instrText>
        </w:r>
        <w:r w:rsidR="00E14131">
          <w:rPr>
            <w:noProof/>
            <w:webHidden/>
          </w:rPr>
        </w:r>
        <w:r w:rsidR="00E14131">
          <w:rPr>
            <w:noProof/>
            <w:webHidden/>
          </w:rPr>
          <w:fldChar w:fldCharType="separate"/>
        </w:r>
        <w:r w:rsidR="00E14131">
          <w:rPr>
            <w:noProof/>
            <w:webHidden/>
          </w:rPr>
          <w:t>6</w:t>
        </w:r>
        <w:r w:rsidR="00E14131">
          <w:rPr>
            <w:noProof/>
            <w:webHidden/>
          </w:rPr>
          <w:fldChar w:fldCharType="end"/>
        </w:r>
      </w:hyperlink>
    </w:p>
    <w:p w:rsidR="00E14131" w:rsidRDefault="0002490F">
      <w:pPr>
        <w:pStyle w:val="TOC2"/>
        <w:rPr>
          <w:noProof/>
          <w:lang w:eastAsia="en-AU"/>
        </w:rPr>
      </w:pPr>
      <w:hyperlink w:anchor="_Toc515983870" w:history="1">
        <w:r w:rsidR="00E14131" w:rsidRPr="000D7FE2">
          <w:rPr>
            <w:rStyle w:val="Hyperlink"/>
            <w:noProof/>
          </w:rPr>
          <w:t>a. ITU Constitution and Convention</w:t>
        </w:r>
        <w:r w:rsidR="00E14131">
          <w:rPr>
            <w:noProof/>
            <w:webHidden/>
          </w:rPr>
          <w:tab/>
        </w:r>
        <w:r w:rsidR="00E14131">
          <w:rPr>
            <w:noProof/>
            <w:webHidden/>
          </w:rPr>
          <w:fldChar w:fldCharType="begin"/>
        </w:r>
        <w:r w:rsidR="00E14131">
          <w:rPr>
            <w:noProof/>
            <w:webHidden/>
          </w:rPr>
          <w:instrText xml:space="preserve"> PAGEREF _Toc515983870 \h </w:instrText>
        </w:r>
        <w:r w:rsidR="00E14131">
          <w:rPr>
            <w:noProof/>
            <w:webHidden/>
          </w:rPr>
        </w:r>
        <w:r w:rsidR="00E14131">
          <w:rPr>
            <w:noProof/>
            <w:webHidden/>
          </w:rPr>
          <w:fldChar w:fldCharType="separate"/>
        </w:r>
        <w:r w:rsidR="00E14131">
          <w:rPr>
            <w:noProof/>
            <w:webHidden/>
          </w:rPr>
          <w:t>6</w:t>
        </w:r>
        <w:r w:rsidR="00E14131">
          <w:rPr>
            <w:noProof/>
            <w:webHidden/>
          </w:rPr>
          <w:fldChar w:fldCharType="end"/>
        </w:r>
      </w:hyperlink>
    </w:p>
    <w:p w:rsidR="00E14131" w:rsidRDefault="0002490F">
      <w:pPr>
        <w:pStyle w:val="TOC2"/>
        <w:rPr>
          <w:noProof/>
          <w:lang w:eastAsia="en-AU"/>
        </w:rPr>
      </w:pPr>
      <w:hyperlink w:anchor="_Toc515983871" w:history="1">
        <w:r w:rsidR="00E14131" w:rsidRPr="000D7FE2">
          <w:rPr>
            <w:rStyle w:val="Hyperlink"/>
            <w:noProof/>
            <w:lang w:val="en-US"/>
          </w:rPr>
          <w:t>b. International Internet-related public policy issues</w:t>
        </w:r>
        <w:r w:rsidR="00E14131">
          <w:rPr>
            <w:noProof/>
            <w:webHidden/>
          </w:rPr>
          <w:tab/>
        </w:r>
        <w:r w:rsidR="00E14131">
          <w:rPr>
            <w:noProof/>
            <w:webHidden/>
          </w:rPr>
          <w:fldChar w:fldCharType="begin"/>
        </w:r>
        <w:r w:rsidR="00E14131">
          <w:rPr>
            <w:noProof/>
            <w:webHidden/>
          </w:rPr>
          <w:instrText xml:space="preserve"> PAGEREF _Toc515983871 \h </w:instrText>
        </w:r>
        <w:r w:rsidR="00E14131">
          <w:rPr>
            <w:noProof/>
            <w:webHidden/>
          </w:rPr>
        </w:r>
        <w:r w:rsidR="00E14131">
          <w:rPr>
            <w:noProof/>
            <w:webHidden/>
          </w:rPr>
          <w:fldChar w:fldCharType="separate"/>
        </w:r>
        <w:r w:rsidR="00E14131">
          <w:rPr>
            <w:noProof/>
            <w:webHidden/>
          </w:rPr>
          <w:t>6</w:t>
        </w:r>
        <w:r w:rsidR="00E14131">
          <w:rPr>
            <w:noProof/>
            <w:webHidden/>
          </w:rPr>
          <w:fldChar w:fldCharType="end"/>
        </w:r>
      </w:hyperlink>
    </w:p>
    <w:p w:rsidR="00E14131" w:rsidRDefault="0002490F">
      <w:pPr>
        <w:pStyle w:val="TOC2"/>
        <w:rPr>
          <w:noProof/>
          <w:lang w:eastAsia="en-AU"/>
        </w:rPr>
      </w:pPr>
      <w:hyperlink w:anchor="_Toc515983872" w:history="1">
        <w:r w:rsidR="00E14131" w:rsidRPr="000D7FE2">
          <w:rPr>
            <w:rStyle w:val="Hyperlink"/>
            <w:noProof/>
            <w:lang w:val="en-US"/>
          </w:rPr>
          <w:t>c. Cyber security</w:t>
        </w:r>
        <w:r w:rsidR="00E14131">
          <w:rPr>
            <w:noProof/>
            <w:webHidden/>
          </w:rPr>
          <w:tab/>
        </w:r>
        <w:r w:rsidR="00E14131">
          <w:rPr>
            <w:noProof/>
            <w:webHidden/>
          </w:rPr>
          <w:fldChar w:fldCharType="begin"/>
        </w:r>
        <w:r w:rsidR="00E14131">
          <w:rPr>
            <w:noProof/>
            <w:webHidden/>
          </w:rPr>
          <w:instrText xml:space="preserve"> PAGEREF _Toc515983872 \h </w:instrText>
        </w:r>
        <w:r w:rsidR="00E14131">
          <w:rPr>
            <w:noProof/>
            <w:webHidden/>
          </w:rPr>
        </w:r>
        <w:r w:rsidR="00E14131">
          <w:rPr>
            <w:noProof/>
            <w:webHidden/>
          </w:rPr>
          <w:fldChar w:fldCharType="separate"/>
        </w:r>
        <w:r w:rsidR="00E14131">
          <w:rPr>
            <w:noProof/>
            <w:webHidden/>
          </w:rPr>
          <w:t>7</w:t>
        </w:r>
        <w:r w:rsidR="00E14131">
          <w:rPr>
            <w:noProof/>
            <w:webHidden/>
          </w:rPr>
          <w:fldChar w:fldCharType="end"/>
        </w:r>
      </w:hyperlink>
    </w:p>
    <w:p w:rsidR="00E14131" w:rsidRDefault="0002490F">
      <w:pPr>
        <w:pStyle w:val="TOC2"/>
        <w:rPr>
          <w:noProof/>
          <w:lang w:eastAsia="en-AU"/>
        </w:rPr>
      </w:pPr>
      <w:hyperlink w:anchor="_Toc515983873" w:history="1">
        <w:r w:rsidR="00E14131" w:rsidRPr="000D7FE2">
          <w:rPr>
            <w:rStyle w:val="Hyperlink"/>
            <w:noProof/>
          </w:rPr>
          <w:t>d. Strategic and Financial plans</w:t>
        </w:r>
        <w:r w:rsidR="00E14131">
          <w:rPr>
            <w:noProof/>
            <w:webHidden/>
          </w:rPr>
          <w:tab/>
        </w:r>
        <w:r w:rsidR="00E14131">
          <w:rPr>
            <w:noProof/>
            <w:webHidden/>
          </w:rPr>
          <w:fldChar w:fldCharType="begin"/>
        </w:r>
        <w:r w:rsidR="00E14131">
          <w:rPr>
            <w:noProof/>
            <w:webHidden/>
          </w:rPr>
          <w:instrText xml:space="preserve"> PAGEREF _Toc515983873 \h </w:instrText>
        </w:r>
        <w:r w:rsidR="00E14131">
          <w:rPr>
            <w:noProof/>
            <w:webHidden/>
          </w:rPr>
        </w:r>
        <w:r w:rsidR="00E14131">
          <w:rPr>
            <w:noProof/>
            <w:webHidden/>
          </w:rPr>
          <w:fldChar w:fldCharType="separate"/>
        </w:r>
        <w:r w:rsidR="00E14131">
          <w:rPr>
            <w:noProof/>
            <w:webHidden/>
          </w:rPr>
          <w:t>7</w:t>
        </w:r>
        <w:r w:rsidR="00E14131">
          <w:rPr>
            <w:noProof/>
            <w:webHidden/>
          </w:rPr>
          <w:fldChar w:fldCharType="end"/>
        </w:r>
      </w:hyperlink>
    </w:p>
    <w:p w:rsidR="00E14131" w:rsidRDefault="0002490F">
      <w:pPr>
        <w:pStyle w:val="TOC2"/>
        <w:rPr>
          <w:noProof/>
          <w:lang w:eastAsia="en-AU"/>
        </w:rPr>
      </w:pPr>
      <w:hyperlink w:anchor="_Toc515983874" w:history="1">
        <w:r w:rsidR="00E14131" w:rsidRPr="000D7FE2">
          <w:rPr>
            <w:rStyle w:val="Hyperlink"/>
            <w:noProof/>
          </w:rPr>
          <w:t>e. Review of the ITRs</w:t>
        </w:r>
        <w:r w:rsidR="00E14131">
          <w:rPr>
            <w:noProof/>
            <w:webHidden/>
          </w:rPr>
          <w:tab/>
        </w:r>
        <w:r w:rsidR="00E14131">
          <w:rPr>
            <w:noProof/>
            <w:webHidden/>
          </w:rPr>
          <w:fldChar w:fldCharType="begin"/>
        </w:r>
        <w:r w:rsidR="00E14131">
          <w:rPr>
            <w:noProof/>
            <w:webHidden/>
          </w:rPr>
          <w:instrText xml:space="preserve"> PAGEREF _Toc515983874 \h </w:instrText>
        </w:r>
        <w:r w:rsidR="00E14131">
          <w:rPr>
            <w:noProof/>
            <w:webHidden/>
          </w:rPr>
        </w:r>
        <w:r w:rsidR="00E14131">
          <w:rPr>
            <w:noProof/>
            <w:webHidden/>
          </w:rPr>
          <w:fldChar w:fldCharType="separate"/>
        </w:r>
        <w:r w:rsidR="00E14131">
          <w:rPr>
            <w:noProof/>
            <w:webHidden/>
          </w:rPr>
          <w:t>7</w:t>
        </w:r>
        <w:r w:rsidR="00E14131">
          <w:rPr>
            <w:noProof/>
            <w:webHidden/>
          </w:rPr>
          <w:fldChar w:fldCharType="end"/>
        </w:r>
      </w:hyperlink>
    </w:p>
    <w:p w:rsidR="00E14131" w:rsidRDefault="0002490F">
      <w:pPr>
        <w:pStyle w:val="TOC2"/>
        <w:rPr>
          <w:noProof/>
          <w:lang w:eastAsia="en-AU"/>
        </w:rPr>
      </w:pPr>
      <w:hyperlink w:anchor="_Toc515983875" w:history="1">
        <w:r w:rsidR="00E14131" w:rsidRPr="000D7FE2">
          <w:rPr>
            <w:rStyle w:val="Hyperlink"/>
            <w:noProof/>
          </w:rPr>
          <w:t>f. Sustainable Development Goals</w:t>
        </w:r>
        <w:r w:rsidR="00E14131">
          <w:rPr>
            <w:noProof/>
            <w:webHidden/>
          </w:rPr>
          <w:tab/>
        </w:r>
        <w:r w:rsidR="00E14131">
          <w:rPr>
            <w:noProof/>
            <w:webHidden/>
          </w:rPr>
          <w:fldChar w:fldCharType="begin"/>
        </w:r>
        <w:r w:rsidR="00E14131">
          <w:rPr>
            <w:noProof/>
            <w:webHidden/>
          </w:rPr>
          <w:instrText xml:space="preserve"> PAGEREF _Toc515983875 \h </w:instrText>
        </w:r>
        <w:r w:rsidR="00E14131">
          <w:rPr>
            <w:noProof/>
            <w:webHidden/>
          </w:rPr>
        </w:r>
        <w:r w:rsidR="00E14131">
          <w:rPr>
            <w:noProof/>
            <w:webHidden/>
          </w:rPr>
          <w:fldChar w:fldCharType="separate"/>
        </w:r>
        <w:r w:rsidR="00E14131">
          <w:rPr>
            <w:noProof/>
            <w:webHidden/>
          </w:rPr>
          <w:t>8</w:t>
        </w:r>
        <w:r w:rsidR="00E14131">
          <w:rPr>
            <w:noProof/>
            <w:webHidden/>
          </w:rPr>
          <w:fldChar w:fldCharType="end"/>
        </w:r>
      </w:hyperlink>
    </w:p>
    <w:p w:rsidR="00E14131" w:rsidRDefault="0002490F">
      <w:pPr>
        <w:pStyle w:val="TOC2"/>
        <w:rPr>
          <w:noProof/>
          <w:lang w:eastAsia="en-AU"/>
        </w:rPr>
      </w:pPr>
      <w:hyperlink w:anchor="_Toc515983876" w:history="1">
        <w:r w:rsidR="00E14131" w:rsidRPr="000D7FE2">
          <w:rPr>
            <w:rStyle w:val="Hyperlink"/>
            <w:noProof/>
          </w:rPr>
          <w:t>g. Radiocommunication Sector</w:t>
        </w:r>
        <w:r w:rsidR="00E14131">
          <w:rPr>
            <w:noProof/>
            <w:webHidden/>
          </w:rPr>
          <w:tab/>
        </w:r>
        <w:r w:rsidR="00E14131">
          <w:rPr>
            <w:noProof/>
            <w:webHidden/>
          </w:rPr>
          <w:fldChar w:fldCharType="begin"/>
        </w:r>
        <w:r w:rsidR="00E14131">
          <w:rPr>
            <w:noProof/>
            <w:webHidden/>
          </w:rPr>
          <w:instrText xml:space="preserve"> PAGEREF _Toc515983876 \h </w:instrText>
        </w:r>
        <w:r w:rsidR="00E14131">
          <w:rPr>
            <w:noProof/>
            <w:webHidden/>
          </w:rPr>
        </w:r>
        <w:r w:rsidR="00E14131">
          <w:rPr>
            <w:noProof/>
            <w:webHidden/>
          </w:rPr>
          <w:fldChar w:fldCharType="separate"/>
        </w:r>
        <w:r w:rsidR="00E14131">
          <w:rPr>
            <w:noProof/>
            <w:webHidden/>
          </w:rPr>
          <w:t>8</w:t>
        </w:r>
        <w:r w:rsidR="00E14131">
          <w:rPr>
            <w:noProof/>
            <w:webHidden/>
          </w:rPr>
          <w:fldChar w:fldCharType="end"/>
        </w:r>
      </w:hyperlink>
    </w:p>
    <w:p w:rsidR="00E14131" w:rsidRDefault="0002490F">
      <w:pPr>
        <w:pStyle w:val="TOC2"/>
        <w:rPr>
          <w:noProof/>
          <w:lang w:eastAsia="en-AU"/>
        </w:rPr>
      </w:pPr>
      <w:hyperlink w:anchor="_Toc515983877" w:history="1">
        <w:r w:rsidR="00E14131" w:rsidRPr="000D7FE2">
          <w:rPr>
            <w:rStyle w:val="Hyperlink"/>
            <w:noProof/>
          </w:rPr>
          <w:t>h. UNDROIT Space Protocol</w:t>
        </w:r>
        <w:r w:rsidR="00E14131">
          <w:rPr>
            <w:noProof/>
            <w:webHidden/>
          </w:rPr>
          <w:tab/>
        </w:r>
        <w:r w:rsidR="00E14131">
          <w:rPr>
            <w:noProof/>
            <w:webHidden/>
          </w:rPr>
          <w:fldChar w:fldCharType="begin"/>
        </w:r>
        <w:r w:rsidR="00E14131">
          <w:rPr>
            <w:noProof/>
            <w:webHidden/>
          </w:rPr>
          <w:instrText xml:space="preserve"> PAGEREF _Toc515983877 \h </w:instrText>
        </w:r>
        <w:r w:rsidR="00E14131">
          <w:rPr>
            <w:noProof/>
            <w:webHidden/>
          </w:rPr>
        </w:r>
        <w:r w:rsidR="00E14131">
          <w:rPr>
            <w:noProof/>
            <w:webHidden/>
          </w:rPr>
          <w:fldChar w:fldCharType="separate"/>
        </w:r>
        <w:r w:rsidR="00E14131">
          <w:rPr>
            <w:noProof/>
            <w:webHidden/>
          </w:rPr>
          <w:t>8</w:t>
        </w:r>
        <w:r w:rsidR="00E14131">
          <w:rPr>
            <w:noProof/>
            <w:webHidden/>
          </w:rPr>
          <w:fldChar w:fldCharType="end"/>
        </w:r>
      </w:hyperlink>
    </w:p>
    <w:p w:rsidR="00E14131" w:rsidRDefault="0002490F">
      <w:pPr>
        <w:pStyle w:val="TOC2"/>
        <w:rPr>
          <w:noProof/>
          <w:lang w:eastAsia="en-AU"/>
        </w:rPr>
      </w:pPr>
      <w:hyperlink w:anchor="_Toc515983878" w:history="1">
        <w:r w:rsidR="00E14131" w:rsidRPr="000D7FE2">
          <w:rPr>
            <w:rStyle w:val="Hyperlink"/>
            <w:noProof/>
          </w:rPr>
          <w:t>i. Digital economy</w:t>
        </w:r>
        <w:r w:rsidR="00E14131">
          <w:rPr>
            <w:noProof/>
            <w:webHidden/>
          </w:rPr>
          <w:tab/>
        </w:r>
        <w:r w:rsidR="00E14131">
          <w:rPr>
            <w:noProof/>
            <w:webHidden/>
          </w:rPr>
          <w:fldChar w:fldCharType="begin"/>
        </w:r>
        <w:r w:rsidR="00E14131">
          <w:rPr>
            <w:noProof/>
            <w:webHidden/>
          </w:rPr>
          <w:instrText xml:space="preserve"> PAGEREF _Toc515983878 \h </w:instrText>
        </w:r>
        <w:r w:rsidR="00E14131">
          <w:rPr>
            <w:noProof/>
            <w:webHidden/>
          </w:rPr>
        </w:r>
        <w:r w:rsidR="00E14131">
          <w:rPr>
            <w:noProof/>
            <w:webHidden/>
          </w:rPr>
          <w:fldChar w:fldCharType="separate"/>
        </w:r>
        <w:r w:rsidR="00E14131">
          <w:rPr>
            <w:noProof/>
            <w:webHidden/>
          </w:rPr>
          <w:t>8</w:t>
        </w:r>
        <w:r w:rsidR="00E14131">
          <w:rPr>
            <w:noProof/>
            <w:webHidden/>
          </w:rPr>
          <w:fldChar w:fldCharType="end"/>
        </w:r>
      </w:hyperlink>
    </w:p>
    <w:p w:rsidR="00E14131" w:rsidRDefault="0002490F">
      <w:pPr>
        <w:pStyle w:val="TOC2"/>
        <w:rPr>
          <w:noProof/>
          <w:lang w:eastAsia="en-AU"/>
        </w:rPr>
      </w:pPr>
      <w:hyperlink w:anchor="_Toc515983879" w:history="1">
        <w:r w:rsidR="00E14131" w:rsidRPr="000D7FE2">
          <w:rPr>
            <w:rStyle w:val="Hyperlink"/>
            <w:noProof/>
          </w:rPr>
          <w:t>j. ITU management reform</w:t>
        </w:r>
        <w:r w:rsidR="00E14131">
          <w:rPr>
            <w:noProof/>
            <w:webHidden/>
          </w:rPr>
          <w:tab/>
        </w:r>
        <w:r w:rsidR="00E14131">
          <w:rPr>
            <w:noProof/>
            <w:webHidden/>
          </w:rPr>
          <w:fldChar w:fldCharType="begin"/>
        </w:r>
        <w:r w:rsidR="00E14131">
          <w:rPr>
            <w:noProof/>
            <w:webHidden/>
          </w:rPr>
          <w:instrText xml:space="preserve"> PAGEREF _Toc515983879 \h </w:instrText>
        </w:r>
        <w:r w:rsidR="00E14131">
          <w:rPr>
            <w:noProof/>
            <w:webHidden/>
          </w:rPr>
        </w:r>
        <w:r w:rsidR="00E14131">
          <w:rPr>
            <w:noProof/>
            <w:webHidden/>
          </w:rPr>
          <w:fldChar w:fldCharType="separate"/>
        </w:r>
        <w:r w:rsidR="00E14131">
          <w:rPr>
            <w:noProof/>
            <w:webHidden/>
          </w:rPr>
          <w:t>9</w:t>
        </w:r>
        <w:r w:rsidR="00E14131">
          <w:rPr>
            <w:noProof/>
            <w:webHidden/>
          </w:rPr>
          <w:fldChar w:fldCharType="end"/>
        </w:r>
      </w:hyperlink>
    </w:p>
    <w:p w:rsidR="00E14131" w:rsidRDefault="0002490F">
      <w:pPr>
        <w:pStyle w:val="TOC2"/>
        <w:rPr>
          <w:noProof/>
          <w:lang w:eastAsia="en-AU"/>
        </w:rPr>
      </w:pPr>
      <w:hyperlink w:anchor="_Toc515983880" w:history="1">
        <w:r w:rsidR="00E14131" w:rsidRPr="000D7FE2">
          <w:rPr>
            <w:rStyle w:val="Hyperlink"/>
            <w:noProof/>
          </w:rPr>
          <w:t>k. Other issues</w:t>
        </w:r>
        <w:r w:rsidR="00E14131">
          <w:rPr>
            <w:noProof/>
            <w:webHidden/>
          </w:rPr>
          <w:tab/>
        </w:r>
        <w:r w:rsidR="00E14131">
          <w:rPr>
            <w:noProof/>
            <w:webHidden/>
          </w:rPr>
          <w:fldChar w:fldCharType="begin"/>
        </w:r>
        <w:r w:rsidR="00E14131">
          <w:rPr>
            <w:noProof/>
            <w:webHidden/>
          </w:rPr>
          <w:instrText xml:space="preserve"> PAGEREF _Toc515983880 \h </w:instrText>
        </w:r>
        <w:r w:rsidR="00E14131">
          <w:rPr>
            <w:noProof/>
            <w:webHidden/>
          </w:rPr>
        </w:r>
        <w:r w:rsidR="00E14131">
          <w:rPr>
            <w:noProof/>
            <w:webHidden/>
          </w:rPr>
          <w:fldChar w:fldCharType="separate"/>
        </w:r>
        <w:r w:rsidR="00E14131">
          <w:rPr>
            <w:noProof/>
            <w:webHidden/>
          </w:rPr>
          <w:t>9</w:t>
        </w:r>
        <w:r w:rsidR="00E14131">
          <w:rPr>
            <w:noProof/>
            <w:webHidden/>
          </w:rPr>
          <w:fldChar w:fldCharType="end"/>
        </w:r>
      </w:hyperlink>
    </w:p>
    <w:p w:rsidR="00E14131" w:rsidRDefault="0002490F">
      <w:pPr>
        <w:pStyle w:val="TOC2"/>
        <w:rPr>
          <w:noProof/>
          <w:lang w:eastAsia="en-AU"/>
        </w:rPr>
      </w:pPr>
      <w:hyperlink w:anchor="_Toc515983881" w:history="1">
        <w:r w:rsidR="00E14131" w:rsidRPr="000D7FE2">
          <w:rPr>
            <w:rStyle w:val="Hyperlink"/>
            <w:noProof/>
          </w:rPr>
          <w:t>Questions for stakeholders</w:t>
        </w:r>
        <w:r w:rsidR="00E14131">
          <w:rPr>
            <w:noProof/>
            <w:webHidden/>
          </w:rPr>
          <w:tab/>
        </w:r>
        <w:r w:rsidR="00E14131">
          <w:rPr>
            <w:noProof/>
            <w:webHidden/>
          </w:rPr>
          <w:fldChar w:fldCharType="begin"/>
        </w:r>
        <w:r w:rsidR="00E14131">
          <w:rPr>
            <w:noProof/>
            <w:webHidden/>
          </w:rPr>
          <w:instrText xml:space="preserve"> PAGEREF _Toc515983881 \h </w:instrText>
        </w:r>
        <w:r w:rsidR="00E14131">
          <w:rPr>
            <w:noProof/>
            <w:webHidden/>
          </w:rPr>
        </w:r>
        <w:r w:rsidR="00E14131">
          <w:rPr>
            <w:noProof/>
            <w:webHidden/>
          </w:rPr>
          <w:fldChar w:fldCharType="separate"/>
        </w:r>
        <w:r w:rsidR="00E14131">
          <w:rPr>
            <w:noProof/>
            <w:webHidden/>
          </w:rPr>
          <w:t>9</w:t>
        </w:r>
        <w:r w:rsidR="00E14131">
          <w:rPr>
            <w:noProof/>
            <w:webHidden/>
          </w:rPr>
          <w:fldChar w:fldCharType="end"/>
        </w:r>
      </w:hyperlink>
    </w:p>
    <w:p w:rsidR="00E14131" w:rsidRDefault="0002490F">
      <w:pPr>
        <w:pStyle w:val="TOC1"/>
        <w:rPr>
          <w:b w:val="0"/>
          <w:noProof/>
          <w:color w:val="auto"/>
          <w:sz w:val="22"/>
          <w:lang w:eastAsia="en-AU"/>
        </w:rPr>
      </w:pPr>
      <w:hyperlink w:anchor="_Toc515983882" w:history="1">
        <w:r w:rsidR="00E14131" w:rsidRPr="000D7FE2">
          <w:rPr>
            <w:rStyle w:val="Hyperlink"/>
            <w:noProof/>
          </w:rPr>
          <w:t>3. Election to the ITU Council</w:t>
        </w:r>
        <w:r w:rsidR="00E14131">
          <w:rPr>
            <w:noProof/>
            <w:webHidden/>
          </w:rPr>
          <w:tab/>
        </w:r>
        <w:r w:rsidR="00E14131">
          <w:rPr>
            <w:noProof/>
            <w:webHidden/>
          </w:rPr>
          <w:fldChar w:fldCharType="begin"/>
        </w:r>
        <w:r w:rsidR="00E14131">
          <w:rPr>
            <w:noProof/>
            <w:webHidden/>
          </w:rPr>
          <w:instrText xml:space="preserve"> PAGEREF _Toc515983882 \h </w:instrText>
        </w:r>
        <w:r w:rsidR="00E14131">
          <w:rPr>
            <w:noProof/>
            <w:webHidden/>
          </w:rPr>
        </w:r>
        <w:r w:rsidR="00E14131">
          <w:rPr>
            <w:noProof/>
            <w:webHidden/>
          </w:rPr>
          <w:fldChar w:fldCharType="separate"/>
        </w:r>
        <w:r w:rsidR="00E14131">
          <w:rPr>
            <w:noProof/>
            <w:webHidden/>
          </w:rPr>
          <w:t>9</w:t>
        </w:r>
        <w:r w:rsidR="00E14131">
          <w:rPr>
            <w:noProof/>
            <w:webHidden/>
          </w:rPr>
          <w:fldChar w:fldCharType="end"/>
        </w:r>
      </w:hyperlink>
    </w:p>
    <w:p w:rsidR="00E14131" w:rsidRDefault="0002490F">
      <w:pPr>
        <w:pStyle w:val="TOC2"/>
        <w:rPr>
          <w:noProof/>
          <w:lang w:eastAsia="en-AU"/>
        </w:rPr>
      </w:pPr>
      <w:hyperlink w:anchor="_Toc515983883" w:history="1">
        <w:r w:rsidR="00E14131" w:rsidRPr="000D7FE2">
          <w:rPr>
            <w:rStyle w:val="Hyperlink"/>
            <w:noProof/>
          </w:rPr>
          <w:t>Questions for stakeholders</w:t>
        </w:r>
        <w:r w:rsidR="00E14131">
          <w:rPr>
            <w:noProof/>
            <w:webHidden/>
          </w:rPr>
          <w:tab/>
        </w:r>
        <w:r w:rsidR="00E14131">
          <w:rPr>
            <w:noProof/>
            <w:webHidden/>
          </w:rPr>
          <w:fldChar w:fldCharType="begin"/>
        </w:r>
        <w:r w:rsidR="00E14131">
          <w:rPr>
            <w:noProof/>
            <w:webHidden/>
          </w:rPr>
          <w:instrText xml:space="preserve"> PAGEREF _Toc515983883 \h </w:instrText>
        </w:r>
        <w:r w:rsidR="00E14131">
          <w:rPr>
            <w:noProof/>
            <w:webHidden/>
          </w:rPr>
        </w:r>
        <w:r w:rsidR="00E14131">
          <w:rPr>
            <w:noProof/>
            <w:webHidden/>
          </w:rPr>
          <w:fldChar w:fldCharType="separate"/>
        </w:r>
        <w:r w:rsidR="00E14131">
          <w:rPr>
            <w:noProof/>
            <w:webHidden/>
          </w:rPr>
          <w:t>10</w:t>
        </w:r>
        <w:r w:rsidR="00E14131">
          <w:rPr>
            <w:noProof/>
            <w:webHidden/>
          </w:rPr>
          <w:fldChar w:fldCharType="end"/>
        </w:r>
      </w:hyperlink>
    </w:p>
    <w:p w:rsidR="00E14131" w:rsidRDefault="0002490F">
      <w:pPr>
        <w:pStyle w:val="TOC1"/>
        <w:rPr>
          <w:b w:val="0"/>
          <w:noProof/>
          <w:color w:val="auto"/>
          <w:sz w:val="22"/>
          <w:lang w:eastAsia="en-AU"/>
        </w:rPr>
      </w:pPr>
      <w:hyperlink w:anchor="_Toc515983884" w:history="1">
        <w:r w:rsidR="00E14131" w:rsidRPr="000D7FE2">
          <w:rPr>
            <w:rStyle w:val="Hyperlink"/>
            <w:noProof/>
          </w:rPr>
          <w:t>Attachment A: Key meetings and activities leading up to PP-18</w:t>
        </w:r>
        <w:r w:rsidR="00E14131">
          <w:rPr>
            <w:noProof/>
            <w:webHidden/>
          </w:rPr>
          <w:tab/>
        </w:r>
        <w:r w:rsidR="00E14131">
          <w:rPr>
            <w:noProof/>
            <w:webHidden/>
          </w:rPr>
          <w:fldChar w:fldCharType="begin"/>
        </w:r>
        <w:r w:rsidR="00E14131">
          <w:rPr>
            <w:noProof/>
            <w:webHidden/>
          </w:rPr>
          <w:instrText xml:space="preserve"> PAGEREF _Toc515983884 \h </w:instrText>
        </w:r>
        <w:r w:rsidR="00E14131">
          <w:rPr>
            <w:noProof/>
            <w:webHidden/>
          </w:rPr>
        </w:r>
        <w:r w:rsidR="00E14131">
          <w:rPr>
            <w:noProof/>
            <w:webHidden/>
          </w:rPr>
          <w:fldChar w:fldCharType="separate"/>
        </w:r>
        <w:r w:rsidR="00E14131">
          <w:rPr>
            <w:noProof/>
            <w:webHidden/>
          </w:rPr>
          <w:t>11</w:t>
        </w:r>
        <w:r w:rsidR="00E14131">
          <w:rPr>
            <w:noProof/>
            <w:webHidden/>
          </w:rPr>
          <w:fldChar w:fldCharType="end"/>
        </w:r>
      </w:hyperlink>
    </w:p>
    <w:p w:rsidR="00E14131" w:rsidRDefault="0002490F">
      <w:pPr>
        <w:pStyle w:val="TOC1"/>
        <w:rPr>
          <w:b w:val="0"/>
          <w:noProof/>
          <w:color w:val="auto"/>
          <w:sz w:val="22"/>
          <w:lang w:eastAsia="en-AU"/>
        </w:rPr>
      </w:pPr>
      <w:hyperlink w:anchor="_Toc515983885" w:history="1">
        <w:r w:rsidR="00E14131" w:rsidRPr="000D7FE2">
          <w:rPr>
            <w:rStyle w:val="Hyperlink"/>
            <w:noProof/>
          </w:rPr>
          <w:t>Attachment B: Australia’s financial contribution to the ITU</w:t>
        </w:r>
        <w:r w:rsidR="00E14131">
          <w:rPr>
            <w:noProof/>
            <w:webHidden/>
          </w:rPr>
          <w:tab/>
        </w:r>
        <w:r w:rsidR="00E14131">
          <w:rPr>
            <w:noProof/>
            <w:webHidden/>
          </w:rPr>
          <w:fldChar w:fldCharType="begin"/>
        </w:r>
        <w:r w:rsidR="00E14131">
          <w:rPr>
            <w:noProof/>
            <w:webHidden/>
          </w:rPr>
          <w:instrText xml:space="preserve"> PAGEREF _Toc515983885 \h </w:instrText>
        </w:r>
        <w:r w:rsidR="00E14131">
          <w:rPr>
            <w:noProof/>
            <w:webHidden/>
          </w:rPr>
        </w:r>
        <w:r w:rsidR="00E14131">
          <w:rPr>
            <w:noProof/>
            <w:webHidden/>
          </w:rPr>
          <w:fldChar w:fldCharType="separate"/>
        </w:r>
        <w:r w:rsidR="00E14131">
          <w:rPr>
            <w:noProof/>
            <w:webHidden/>
          </w:rPr>
          <w:t>12</w:t>
        </w:r>
        <w:r w:rsidR="00E14131">
          <w:rPr>
            <w:noProof/>
            <w:webHidden/>
          </w:rPr>
          <w:fldChar w:fldCharType="end"/>
        </w:r>
      </w:hyperlink>
    </w:p>
    <w:p w:rsidR="00E14131" w:rsidRDefault="0002490F">
      <w:pPr>
        <w:pStyle w:val="TOC1"/>
        <w:rPr>
          <w:b w:val="0"/>
          <w:noProof/>
          <w:color w:val="auto"/>
          <w:sz w:val="22"/>
          <w:lang w:eastAsia="en-AU"/>
        </w:rPr>
      </w:pPr>
      <w:hyperlink w:anchor="_Toc515983886" w:history="1">
        <w:r w:rsidR="00E14131" w:rsidRPr="000D7FE2">
          <w:rPr>
            <w:rStyle w:val="Hyperlink"/>
            <w:noProof/>
          </w:rPr>
          <w:t>Attachment C: Candidates for the Senior Management positions</w:t>
        </w:r>
        <w:r w:rsidR="00E14131">
          <w:rPr>
            <w:noProof/>
            <w:webHidden/>
          </w:rPr>
          <w:tab/>
        </w:r>
        <w:r w:rsidR="00E14131">
          <w:rPr>
            <w:noProof/>
            <w:webHidden/>
          </w:rPr>
          <w:fldChar w:fldCharType="begin"/>
        </w:r>
        <w:r w:rsidR="00E14131">
          <w:rPr>
            <w:noProof/>
            <w:webHidden/>
          </w:rPr>
          <w:instrText xml:space="preserve"> PAGEREF _Toc515983886 \h </w:instrText>
        </w:r>
        <w:r w:rsidR="00E14131">
          <w:rPr>
            <w:noProof/>
            <w:webHidden/>
          </w:rPr>
        </w:r>
        <w:r w:rsidR="00E14131">
          <w:rPr>
            <w:noProof/>
            <w:webHidden/>
          </w:rPr>
          <w:fldChar w:fldCharType="separate"/>
        </w:r>
        <w:r w:rsidR="00E14131">
          <w:rPr>
            <w:noProof/>
            <w:webHidden/>
          </w:rPr>
          <w:t>13</w:t>
        </w:r>
        <w:r w:rsidR="00E14131">
          <w:rPr>
            <w:noProof/>
            <w:webHidden/>
          </w:rPr>
          <w:fldChar w:fldCharType="end"/>
        </w:r>
      </w:hyperlink>
    </w:p>
    <w:p w:rsidR="00E14131" w:rsidRDefault="0002490F">
      <w:pPr>
        <w:pStyle w:val="TOC1"/>
        <w:rPr>
          <w:b w:val="0"/>
          <w:noProof/>
          <w:color w:val="auto"/>
          <w:sz w:val="22"/>
          <w:lang w:eastAsia="en-AU"/>
        </w:rPr>
      </w:pPr>
      <w:hyperlink w:anchor="_Toc515983887" w:history="1">
        <w:r w:rsidR="00E14131" w:rsidRPr="000D7FE2">
          <w:rPr>
            <w:rStyle w:val="Hyperlink"/>
            <w:noProof/>
          </w:rPr>
          <w:t>Attachment D: Candidates for the Radio Regulations Board</w:t>
        </w:r>
        <w:r w:rsidR="00E14131">
          <w:rPr>
            <w:noProof/>
            <w:webHidden/>
          </w:rPr>
          <w:tab/>
        </w:r>
        <w:r w:rsidR="00E14131">
          <w:rPr>
            <w:noProof/>
            <w:webHidden/>
          </w:rPr>
          <w:fldChar w:fldCharType="begin"/>
        </w:r>
        <w:r w:rsidR="00E14131">
          <w:rPr>
            <w:noProof/>
            <w:webHidden/>
          </w:rPr>
          <w:instrText xml:space="preserve"> PAGEREF _Toc515983887 \h </w:instrText>
        </w:r>
        <w:r w:rsidR="00E14131">
          <w:rPr>
            <w:noProof/>
            <w:webHidden/>
          </w:rPr>
        </w:r>
        <w:r w:rsidR="00E14131">
          <w:rPr>
            <w:noProof/>
            <w:webHidden/>
          </w:rPr>
          <w:fldChar w:fldCharType="separate"/>
        </w:r>
        <w:r w:rsidR="00E14131">
          <w:rPr>
            <w:noProof/>
            <w:webHidden/>
          </w:rPr>
          <w:t>14</w:t>
        </w:r>
        <w:r w:rsidR="00E14131">
          <w:rPr>
            <w:noProof/>
            <w:webHidden/>
          </w:rPr>
          <w:fldChar w:fldCharType="end"/>
        </w:r>
      </w:hyperlink>
    </w:p>
    <w:p w:rsidR="00597F9B" w:rsidRDefault="00597F9B" w:rsidP="00400E77">
      <w:pPr>
        <w:rPr>
          <w:lang w:eastAsia="en-US"/>
        </w:rPr>
      </w:pPr>
      <w:r>
        <w:rPr>
          <w:lang w:eastAsia="en-US"/>
        </w:rPr>
        <w:fldChar w:fldCharType="end"/>
      </w:r>
    </w:p>
    <w:p w:rsidR="00597F9B" w:rsidRDefault="00705B86" w:rsidP="00705B86">
      <w:pPr>
        <w:pStyle w:val="Heading2-notshowing"/>
      </w:pPr>
      <w:r>
        <w:t>Tables / images</w:t>
      </w:r>
    </w:p>
    <w:p w:rsidR="00E14131" w:rsidRDefault="00705B86">
      <w:pPr>
        <w:pStyle w:val="TOC4"/>
        <w:rPr>
          <w:noProof/>
          <w:lang w:eastAsia="en-AU"/>
        </w:rPr>
      </w:pPr>
      <w:r>
        <w:rPr>
          <w:lang w:eastAsia="en-US"/>
        </w:rPr>
        <w:fldChar w:fldCharType="begin"/>
      </w:r>
      <w:r>
        <w:rPr>
          <w:lang w:eastAsia="en-US"/>
        </w:rPr>
        <w:instrText xml:space="preserve"> TOC \h \z \t "Table/figure heading,4,Table heading,4" </w:instrText>
      </w:r>
      <w:r>
        <w:rPr>
          <w:lang w:eastAsia="en-US"/>
        </w:rPr>
        <w:fldChar w:fldCharType="separate"/>
      </w:r>
      <w:hyperlink w:anchor="_Toc515983888" w:history="1">
        <w:r w:rsidR="00E14131" w:rsidRPr="00AE4977">
          <w:rPr>
            <w:rStyle w:val="Hyperlink"/>
            <w:noProof/>
          </w:rPr>
          <w:t>Table 1: Largest Member State contributions to the ITU in 2018</w:t>
        </w:r>
        <w:r w:rsidR="00E14131">
          <w:rPr>
            <w:noProof/>
            <w:webHidden/>
          </w:rPr>
          <w:tab/>
        </w:r>
        <w:r w:rsidR="00E14131">
          <w:rPr>
            <w:noProof/>
            <w:webHidden/>
          </w:rPr>
          <w:fldChar w:fldCharType="begin"/>
        </w:r>
        <w:r w:rsidR="00E14131">
          <w:rPr>
            <w:noProof/>
            <w:webHidden/>
          </w:rPr>
          <w:instrText xml:space="preserve"> PAGEREF _Toc515983888 \h </w:instrText>
        </w:r>
        <w:r w:rsidR="00E14131">
          <w:rPr>
            <w:noProof/>
            <w:webHidden/>
          </w:rPr>
        </w:r>
        <w:r w:rsidR="00E14131">
          <w:rPr>
            <w:noProof/>
            <w:webHidden/>
          </w:rPr>
          <w:fldChar w:fldCharType="separate"/>
        </w:r>
        <w:r w:rsidR="00E14131">
          <w:rPr>
            <w:noProof/>
            <w:webHidden/>
          </w:rPr>
          <w:t>12</w:t>
        </w:r>
        <w:r w:rsidR="00E14131">
          <w:rPr>
            <w:noProof/>
            <w:webHidden/>
          </w:rPr>
          <w:fldChar w:fldCharType="end"/>
        </w:r>
      </w:hyperlink>
    </w:p>
    <w:p w:rsidR="00597F9B" w:rsidRDefault="00705B86" w:rsidP="00400E77">
      <w:pPr>
        <w:rPr>
          <w:lang w:eastAsia="en-US"/>
        </w:rPr>
      </w:pPr>
      <w:r>
        <w:rPr>
          <w:lang w:eastAsia="en-US"/>
        </w:rPr>
        <w:fldChar w:fldCharType="end"/>
      </w:r>
    </w:p>
    <w:p w:rsidR="00F9616F" w:rsidRPr="000302DC" w:rsidRDefault="00400E77" w:rsidP="00F9616F">
      <w:pPr>
        <w:pStyle w:val="Heading2"/>
      </w:pPr>
      <w:r>
        <w:br w:type="page"/>
      </w:r>
      <w:bookmarkStart w:id="4" w:name="_Toc351973494"/>
      <w:bookmarkStart w:id="5" w:name="_Toc356381565"/>
      <w:bookmarkStart w:id="6" w:name="_Toc515977856"/>
      <w:bookmarkStart w:id="7" w:name="_Toc515983862"/>
      <w:r w:rsidR="00F9616F">
        <w:t xml:space="preserve">1. </w:t>
      </w:r>
      <w:r w:rsidR="00F9616F" w:rsidRPr="000302DC">
        <w:t>Introduction</w:t>
      </w:r>
      <w:bookmarkEnd w:id="4"/>
      <w:bookmarkEnd w:id="5"/>
      <w:bookmarkEnd w:id="6"/>
      <w:bookmarkEnd w:id="7"/>
    </w:p>
    <w:p w:rsidR="00F9616F" w:rsidRPr="00C240AE" w:rsidRDefault="00F9616F" w:rsidP="00F9616F">
      <w:pPr>
        <w:pStyle w:val="Heading3"/>
      </w:pPr>
      <w:bookmarkStart w:id="8" w:name="_Toc356381568"/>
      <w:bookmarkStart w:id="9" w:name="_Toc515977857"/>
      <w:bookmarkStart w:id="10" w:name="_Toc515983863"/>
      <w:bookmarkStart w:id="11" w:name="_Toc356381566"/>
      <w:r>
        <w:t xml:space="preserve">a. </w:t>
      </w:r>
      <w:r w:rsidRPr="000302DC">
        <w:t>Purpose</w:t>
      </w:r>
      <w:bookmarkEnd w:id="8"/>
      <w:bookmarkEnd w:id="9"/>
      <w:bookmarkEnd w:id="10"/>
    </w:p>
    <w:p w:rsidR="00F9616F" w:rsidRPr="000302DC" w:rsidRDefault="00F9616F" w:rsidP="00F9616F">
      <w:pPr>
        <w:contextualSpacing/>
        <w:rPr>
          <w:rFonts w:ascii="Calibri" w:hAnsi="Calibri" w:cs="Calibri"/>
          <w:color w:val="000000"/>
        </w:rPr>
      </w:pPr>
      <w:r w:rsidRPr="000302DC">
        <w:rPr>
          <w:rFonts w:ascii="Calibri" w:hAnsi="Calibri" w:cs="Calibri"/>
          <w:color w:val="000000"/>
        </w:rPr>
        <w:t xml:space="preserve">This </w:t>
      </w:r>
      <w:r>
        <w:rPr>
          <w:rFonts w:ascii="Calibri" w:hAnsi="Calibri" w:cs="Calibri"/>
          <w:color w:val="000000"/>
        </w:rPr>
        <w:t>information</w:t>
      </w:r>
      <w:r w:rsidRPr="000302DC">
        <w:rPr>
          <w:rFonts w:ascii="Calibri" w:hAnsi="Calibri" w:cs="Calibri"/>
          <w:color w:val="000000"/>
        </w:rPr>
        <w:t xml:space="preserve"> paper</w:t>
      </w:r>
      <w:r>
        <w:rPr>
          <w:rFonts w:ascii="Calibri" w:hAnsi="Calibri" w:cs="Calibri"/>
          <w:color w:val="000000"/>
        </w:rPr>
        <w:t xml:space="preserve"> supports</w:t>
      </w:r>
      <w:r w:rsidRPr="000302DC">
        <w:rPr>
          <w:rFonts w:ascii="Calibri" w:hAnsi="Calibri" w:cs="Calibri"/>
          <w:color w:val="000000"/>
        </w:rPr>
        <w:t xml:space="preserve"> the Australian preparations for the International Telecommunication Union (ITU) Plenipotentiary Conference. The paper outlines the preparatory process, and invites comments on </w:t>
      </w:r>
      <w:r>
        <w:rPr>
          <w:rFonts w:ascii="Calibri" w:hAnsi="Calibri" w:cs="Calibri"/>
          <w:color w:val="000000"/>
        </w:rPr>
        <w:t>key</w:t>
      </w:r>
      <w:r w:rsidRPr="000302DC">
        <w:rPr>
          <w:rFonts w:ascii="Calibri" w:hAnsi="Calibri" w:cs="Calibri"/>
          <w:color w:val="000000"/>
        </w:rPr>
        <w:t xml:space="preserve"> policy issues.</w:t>
      </w:r>
    </w:p>
    <w:p w:rsidR="00F9616F" w:rsidRPr="00C240AE" w:rsidRDefault="00F9616F" w:rsidP="00F9616F">
      <w:pPr>
        <w:pStyle w:val="Heading3"/>
      </w:pPr>
      <w:bookmarkStart w:id="12" w:name="_Toc515977858"/>
      <w:bookmarkStart w:id="13" w:name="_Toc515983864"/>
      <w:r>
        <w:t xml:space="preserve">b. </w:t>
      </w:r>
      <w:r w:rsidRPr="000302DC">
        <w:t>Background</w:t>
      </w:r>
      <w:bookmarkEnd w:id="11"/>
      <w:bookmarkEnd w:id="12"/>
      <w:bookmarkEnd w:id="13"/>
    </w:p>
    <w:p w:rsidR="00F9616F" w:rsidRDefault="00F9616F" w:rsidP="00F9616F">
      <w:pPr>
        <w:spacing w:after="120"/>
        <w:rPr>
          <w:rFonts w:ascii="Calibri" w:hAnsi="Calibri" w:cs="Calibri"/>
          <w:color w:val="000000"/>
          <w:szCs w:val="24"/>
        </w:rPr>
      </w:pPr>
      <w:r w:rsidRPr="000302DC">
        <w:rPr>
          <w:rFonts w:ascii="Calibri" w:hAnsi="Calibri" w:cs="Calibri"/>
          <w:color w:val="000000"/>
          <w:szCs w:val="24"/>
        </w:rPr>
        <w:t xml:space="preserve">The ITU is the specialised agency of the United Nations concerned with international cooperation in the use of telecommunications and radio frequency spectrum. One of the principal functions of the ITU is the development of </w:t>
      </w:r>
      <w:r>
        <w:rPr>
          <w:rFonts w:ascii="Calibri" w:hAnsi="Calibri" w:cs="Calibri"/>
          <w:color w:val="000000"/>
          <w:szCs w:val="24"/>
        </w:rPr>
        <w:t>global</w:t>
      </w:r>
      <w:r w:rsidRPr="000302DC">
        <w:rPr>
          <w:rFonts w:ascii="Calibri" w:hAnsi="Calibri" w:cs="Calibri"/>
          <w:color w:val="000000"/>
          <w:szCs w:val="24"/>
        </w:rPr>
        <w:t xml:space="preserve"> standards for telecommunications and coordinating the arrangements for radiocommunication services. Discussions within the ITU framework influence and in some cases determine arrangements for:</w:t>
      </w:r>
    </w:p>
    <w:p w:rsidR="00F9616F" w:rsidRPr="000302DC" w:rsidRDefault="00F9616F" w:rsidP="00F9616F">
      <w:pPr>
        <w:pStyle w:val="Bulletlevel1"/>
        <w:rPr>
          <w:bCs/>
        </w:rPr>
      </w:pPr>
      <w:r w:rsidRPr="000302DC">
        <w:t>the rational use of limited resources, such as radio frequency spectrum and satellite orbit positions (through the Radiocommunication sector)</w:t>
      </w:r>
    </w:p>
    <w:p w:rsidR="00F9616F" w:rsidRPr="000302DC" w:rsidRDefault="00F9616F" w:rsidP="00F9616F">
      <w:pPr>
        <w:pStyle w:val="Bulletlevel1"/>
        <w:rPr>
          <w:bCs/>
        </w:rPr>
      </w:pPr>
      <w:r w:rsidRPr="000302DC">
        <w:t>network interconnection and interoperability (through the Standardization sector)</w:t>
      </w:r>
    </w:p>
    <w:p w:rsidR="00F9616F" w:rsidRPr="000302DC" w:rsidRDefault="00F9616F" w:rsidP="00F9616F">
      <w:pPr>
        <w:pStyle w:val="Bulletlevel1"/>
        <w:rPr>
          <w:bCs/>
        </w:rPr>
      </w:pPr>
      <w:r w:rsidRPr="000302DC">
        <w:t xml:space="preserve">furthering the goal of access to ICTs and services in developing countries, including broadband (through the </w:t>
      </w:r>
      <w:r>
        <w:t xml:space="preserve">ICT </w:t>
      </w:r>
      <w:r w:rsidRPr="000302DC">
        <w:t>Development sector)</w:t>
      </w:r>
    </w:p>
    <w:p w:rsidR="00F9616F" w:rsidRPr="000302DC" w:rsidRDefault="00F9616F" w:rsidP="00F9616F">
      <w:pPr>
        <w:spacing w:after="120"/>
        <w:rPr>
          <w:rFonts w:ascii="Calibri" w:hAnsi="Calibri" w:cs="Calibri"/>
          <w:bCs/>
          <w:color w:val="000000"/>
          <w:szCs w:val="24"/>
        </w:rPr>
      </w:pPr>
      <w:r w:rsidRPr="000302DC">
        <w:rPr>
          <w:rFonts w:ascii="Calibri" w:hAnsi="Calibri" w:cs="Calibri"/>
          <w:bCs/>
          <w:color w:val="000000"/>
          <w:szCs w:val="24"/>
        </w:rPr>
        <w:t>The legal framework of the ITU consists of the following instruments which have treaty status</w:t>
      </w:r>
      <w:r>
        <w:rPr>
          <w:rFonts w:ascii="Calibri" w:hAnsi="Calibri" w:cs="Calibri"/>
          <w:bCs/>
          <w:color w:val="000000"/>
          <w:szCs w:val="24"/>
        </w:rPr>
        <w:t>, the</w:t>
      </w:r>
      <w:r w:rsidRPr="000302DC">
        <w:rPr>
          <w:rFonts w:ascii="Calibri" w:hAnsi="Calibri" w:cs="Calibri"/>
          <w:bCs/>
          <w:color w:val="000000"/>
          <w:szCs w:val="24"/>
        </w:rPr>
        <w:t>:</w:t>
      </w:r>
    </w:p>
    <w:p w:rsidR="00F9616F" w:rsidRPr="000302DC" w:rsidRDefault="00F9616F" w:rsidP="00F9616F">
      <w:pPr>
        <w:pStyle w:val="Bulletlevel1"/>
        <w:rPr>
          <w:bCs/>
        </w:rPr>
      </w:pPr>
      <w:r w:rsidRPr="000302DC">
        <w:rPr>
          <w:bCs/>
        </w:rPr>
        <w:t>Constitution and the Convention</w:t>
      </w:r>
      <w:r>
        <w:rPr>
          <w:bCs/>
        </w:rPr>
        <w:t>—</w:t>
      </w:r>
      <w:r w:rsidRPr="000302DC">
        <w:rPr>
          <w:lang w:val="en"/>
        </w:rPr>
        <w:t xml:space="preserve">sets </w:t>
      </w:r>
      <w:r>
        <w:rPr>
          <w:lang w:val="en"/>
        </w:rPr>
        <w:t xml:space="preserve">out </w:t>
      </w:r>
      <w:r w:rsidRPr="000302DC">
        <w:rPr>
          <w:lang w:val="en"/>
        </w:rPr>
        <w:t xml:space="preserve">the structure of the ITU, and establishes a </w:t>
      </w:r>
      <w:r w:rsidRPr="000302DC">
        <w:t>global framework for promoting international telecommunications</w:t>
      </w:r>
    </w:p>
    <w:p w:rsidR="00F9616F" w:rsidRPr="000302DC" w:rsidRDefault="00F9616F" w:rsidP="00F9616F">
      <w:pPr>
        <w:pStyle w:val="Bulletlevel1"/>
        <w:rPr>
          <w:bCs/>
        </w:rPr>
      </w:pPr>
      <w:r w:rsidRPr="000302DC">
        <w:rPr>
          <w:bCs/>
        </w:rPr>
        <w:t>Radio Regulations</w:t>
      </w:r>
      <w:r>
        <w:rPr>
          <w:bCs/>
        </w:rPr>
        <w:t>—</w:t>
      </w:r>
      <w:r w:rsidRPr="000302DC">
        <w:rPr>
          <w:lang w:val="en"/>
        </w:rPr>
        <w:t xml:space="preserve">harmonises the use of </w:t>
      </w:r>
      <w:r w:rsidRPr="000302DC">
        <w:t xml:space="preserve">radio-frequency spectrum </w:t>
      </w:r>
      <w:r>
        <w:t xml:space="preserve">and </w:t>
      </w:r>
      <w:r w:rsidRPr="000302DC">
        <w:t>satellite orbits</w:t>
      </w:r>
    </w:p>
    <w:p w:rsidR="00F9616F" w:rsidRPr="000302DC" w:rsidRDefault="00F9616F" w:rsidP="00F9616F">
      <w:pPr>
        <w:pStyle w:val="Bulletlevel1"/>
        <w:rPr>
          <w:bCs/>
        </w:rPr>
      </w:pPr>
      <w:r w:rsidRPr="000302DC">
        <w:rPr>
          <w:bCs/>
        </w:rPr>
        <w:t>International Telecommunication Regulations (ITRs)</w:t>
      </w:r>
      <w:r>
        <w:rPr>
          <w:bCs/>
        </w:rPr>
        <w:t>—</w:t>
      </w:r>
      <w:r w:rsidRPr="000302DC">
        <w:rPr>
          <w:lang w:val="en"/>
        </w:rPr>
        <w:t xml:space="preserve">outlines </w:t>
      </w:r>
      <w:r>
        <w:rPr>
          <w:lang w:val="en"/>
        </w:rPr>
        <w:t xml:space="preserve">the </w:t>
      </w:r>
      <w:r w:rsidRPr="000302DC">
        <w:rPr>
          <w:lang w:val="en"/>
        </w:rPr>
        <w:t>principles governing the way international telecommunications are handled</w:t>
      </w:r>
      <w:r>
        <w:rPr>
          <w:bCs/>
        </w:rPr>
        <w:t>.</w:t>
      </w:r>
    </w:p>
    <w:p w:rsidR="00F9616F" w:rsidRPr="000302DC" w:rsidRDefault="00F9616F" w:rsidP="00F9616F">
      <w:pPr>
        <w:rPr>
          <w:bCs/>
        </w:rPr>
      </w:pPr>
      <w:r w:rsidRPr="000302DC">
        <w:rPr>
          <w:bCs/>
        </w:rPr>
        <w:t>Held every four years, the Plenipotentiary Conference is the predominant treaty</w:t>
      </w:r>
      <w:r>
        <w:rPr>
          <w:bCs/>
        </w:rPr>
        <w:t>-</w:t>
      </w:r>
      <w:r w:rsidRPr="000302DC">
        <w:rPr>
          <w:bCs/>
        </w:rPr>
        <w:t xml:space="preserve">making conference of the ITU. </w:t>
      </w:r>
      <w:r w:rsidRPr="000302DC">
        <w:t xml:space="preserve">The next </w:t>
      </w:r>
      <w:r w:rsidRPr="000302DC">
        <w:rPr>
          <w:bCs/>
        </w:rPr>
        <w:t>Plenipotentiary C</w:t>
      </w:r>
      <w:r w:rsidRPr="000302DC">
        <w:t>onference (PP-18) is scheduled to be held in Dubai, United Arab Emirates, from 2</w:t>
      </w:r>
      <w:r>
        <w:t>9</w:t>
      </w:r>
      <w:r w:rsidRPr="000302DC">
        <w:t xml:space="preserve"> October to </w:t>
      </w:r>
      <w:r>
        <w:t xml:space="preserve">16 </w:t>
      </w:r>
      <w:r w:rsidRPr="000302DC">
        <w:t>November 201</w:t>
      </w:r>
      <w:r>
        <w:t>8</w:t>
      </w:r>
      <w:r w:rsidRPr="000302DC">
        <w:t xml:space="preserve">. It will have the </w:t>
      </w:r>
      <w:r w:rsidRPr="000302DC">
        <w:rPr>
          <w:bCs/>
        </w:rPr>
        <w:t>authority to amend the ITU Constitution and Convention</w:t>
      </w:r>
      <w:r w:rsidRPr="000302DC">
        <w:t xml:space="preserve">, and to </w:t>
      </w:r>
      <w:r w:rsidRPr="000302DC">
        <w:rPr>
          <w:bCs/>
        </w:rPr>
        <w:t xml:space="preserve">shape the ITU’s strategic and financial direction by adopting </w:t>
      </w:r>
      <w:r>
        <w:rPr>
          <w:bCs/>
        </w:rPr>
        <w:t>r</w:t>
      </w:r>
      <w:r w:rsidRPr="000302DC">
        <w:rPr>
          <w:bCs/>
        </w:rPr>
        <w:t xml:space="preserve">esolutions on a broad range of issues. The </w:t>
      </w:r>
      <w:r w:rsidRPr="000302DC">
        <w:t xml:space="preserve">Conference will also </w:t>
      </w:r>
      <w:r w:rsidRPr="000302DC">
        <w:rPr>
          <w:bCs/>
        </w:rPr>
        <w:t>elect the senior management team of the ITU, the members of Council and the members of the Radio Regulations Board (RRB</w:t>
      </w:r>
      <w:r>
        <w:rPr>
          <w:bCs/>
        </w:rPr>
        <w:t>).</w:t>
      </w:r>
    </w:p>
    <w:p w:rsidR="00F9616F" w:rsidRPr="000302DC" w:rsidRDefault="00F9616F" w:rsidP="00F9616F">
      <w:pPr>
        <w:rPr>
          <w:strike/>
        </w:rPr>
      </w:pPr>
      <w:r w:rsidRPr="000302DC">
        <w:t xml:space="preserve">In the interval between Plenipotentiary Conferences, the Council is delegated with powers to act as the governing body of the </w:t>
      </w:r>
      <w:r>
        <w:t>ITU</w:t>
      </w:r>
      <w:r w:rsidRPr="000302DC">
        <w:t xml:space="preserve">. The Council progresses discussions on </w:t>
      </w:r>
      <w:r w:rsidRPr="000302DC">
        <w:rPr>
          <w:rFonts w:eastAsia="Calibri"/>
          <w:lang w:eastAsia="en-US"/>
        </w:rPr>
        <w:t xml:space="preserve">telecommunication policy issues in accordance with the guidelines given by the Plenipotentiary Conference to ensure that the </w:t>
      </w:r>
      <w:r>
        <w:rPr>
          <w:rFonts w:eastAsia="Calibri"/>
          <w:lang w:eastAsia="en-US"/>
        </w:rPr>
        <w:t>ITU’s</w:t>
      </w:r>
      <w:r w:rsidRPr="000302DC">
        <w:rPr>
          <w:rFonts w:eastAsia="Calibri"/>
          <w:lang w:eastAsia="en-US"/>
        </w:rPr>
        <w:t xml:space="preserve"> policies and strategies respond to changes in the telecommunication environment. </w:t>
      </w:r>
      <w:r w:rsidRPr="000302DC">
        <w:rPr>
          <w:bCs/>
        </w:rPr>
        <w:t>Australia has been a member of the ITU Council since 1959</w:t>
      </w:r>
      <w:r>
        <w:rPr>
          <w:bCs/>
        </w:rPr>
        <w:t>.</w:t>
      </w:r>
    </w:p>
    <w:p w:rsidR="00F9616F" w:rsidRPr="000302DC" w:rsidRDefault="00F9616F" w:rsidP="00F9616F">
      <w:pPr>
        <w:rPr>
          <w:bCs/>
        </w:rPr>
      </w:pPr>
      <w:r w:rsidRPr="000302DC">
        <w:rPr>
          <w:bCs/>
        </w:rPr>
        <w:t xml:space="preserve">The RRB is </w:t>
      </w:r>
      <w:r w:rsidRPr="000302DC">
        <w:t>an independent body within the Radiocommunication sector that approves the Rules of Procedure used by the Radiocommunication Bureau</w:t>
      </w:r>
      <w:r w:rsidRPr="000302DC">
        <w:rPr>
          <w:lang w:val="en"/>
        </w:rPr>
        <w:t xml:space="preserve"> in the application of the Radio Regulations to register frequency assignments made by the Member States. It also considers matters that cannot be resolved through application of the Rules of Procedure and performs any additional duties allocated to it by a competent conference or by the Council.</w:t>
      </w:r>
    </w:p>
    <w:p w:rsidR="00F9616F" w:rsidRPr="000302DC" w:rsidRDefault="00F9616F" w:rsidP="00F9616F">
      <w:pPr>
        <w:keepNext/>
        <w:spacing w:after="120"/>
        <w:rPr>
          <w:bCs/>
        </w:rPr>
      </w:pPr>
      <w:r w:rsidRPr="000302DC">
        <w:rPr>
          <w:bCs/>
        </w:rPr>
        <w:t>The other ITU</w:t>
      </w:r>
      <w:r>
        <w:rPr>
          <w:bCs/>
        </w:rPr>
        <w:t xml:space="preserve"> treaty-making conferences are:</w:t>
      </w:r>
    </w:p>
    <w:p w:rsidR="00F9616F" w:rsidRPr="000302DC" w:rsidRDefault="00F9616F" w:rsidP="00F9616F">
      <w:pPr>
        <w:pStyle w:val="Bulletlevel1"/>
        <w:keepNext/>
      </w:pPr>
      <w:r w:rsidRPr="000302DC">
        <w:t>the World Radiocommunication Conference (WRC) which revises the Radio Regulations and is usually held</w:t>
      </w:r>
      <w:r>
        <w:t xml:space="preserve"> every three to four years, and</w:t>
      </w:r>
    </w:p>
    <w:p w:rsidR="00F9616F" w:rsidRPr="000302DC" w:rsidRDefault="00F9616F" w:rsidP="00F9616F">
      <w:pPr>
        <w:pStyle w:val="Bulletlevel1"/>
      </w:pPr>
      <w:r w:rsidRPr="000302DC">
        <w:t>the World Conference on International Telecommunications (WCIT) which was last held in 2012 after a period of 24 year</w:t>
      </w:r>
      <w:r>
        <w:t>s, and which revises the ITRs.</w:t>
      </w:r>
    </w:p>
    <w:p w:rsidR="00F9616F" w:rsidRPr="00F9616F" w:rsidRDefault="00F9616F" w:rsidP="00F9616F">
      <w:pPr>
        <w:tabs>
          <w:tab w:val="left" w:pos="0"/>
        </w:tabs>
        <w:rPr>
          <w:rFonts w:ascii="Calibri" w:hAnsi="Calibri" w:cs="Calibri"/>
          <w:bCs/>
          <w:color w:val="000000"/>
          <w:w w:val="96"/>
          <w:szCs w:val="24"/>
        </w:rPr>
      </w:pPr>
      <w:r w:rsidRPr="00F9616F">
        <w:rPr>
          <w:rFonts w:ascii="Calibri" w:hAnsi="Calibri" w:cs="Calibri"/>
          <w:bCs/>
          <w:color w:val="000000"/>
          <w:w w:val="96"/>
          <w:szCs w:val="24"/>
        </w:rPr>
        <w:t>The priorities of the three sectors are set by the outcomes of the Radiocommunication Assembly, the World Telecommunication Standardisation Assembly and the World Telecommunication Development Conference (WTDC). These outcomes can also inform and influence Plenipotentiary Conference discussions.</w:t>
      </w:r>
    </w:p>
    <w:p w:rsidR="00F9616F" w:rsidRPr="00C240AE" w:rsidRDefault="00F9616F" w:rsidP="00F9616F">
      <w:pPr>
        <w:pStyle w:val="Heading3"/>
      </w:pPr>
      <w:bookmarkStart w:id="14" w:name="_Toc356381567"/>
      <w:bookmarkStart w:id="15" w:name="_Toc515977859"/>
      <w:bookmarkStart w:id="16" w:name="_Toc515983865"/>
      <w:r>
        <w:t xml:space="preserve">c. </w:t>
      </w:r>
      <w:r w:rsidRPr="000302DC">
        <w:t>Preparatory process</w:t>
      </w:r>
      <w:bookmarkEnd w:id="14"/>
      <w:bookmarkEnd w:id="15"/>
      <w:bookmarkEnd w:id="16"/>
    </w:p>
    <w:p w:rsidR="00F9616F" w:rsidRPr="000302DC" w:rsidRDefault="00F9616F" w:rsidP="00F9616F">
      <w:pPr>
        <w:pStyle w:val="Heading4"/>
      </w:pPr>
      <w:bookmarkStart w:id="17" w:name="_Toc515977860"/>
      <w:bookmarkStart w:id="18" w:name="_Toc515983866"/>
      <w:r w:rsidRPr="000302DC">
        <w:t xml:space="preserve">Domestic </w:t>
      </w:r>
      <w:r>
        <w:t>stakeholder consultation</w:t>
      </w:r>
      <w:bookmarkEnd w:id="17"/>
      <w:bookmarkEnd w:id="18"/>
    </w:p>
    <w:p w:rsidR="00F9616F" w:rsidRPr="000302DC" w:rsidRDefault="00F9616F" w:rsidP="00F9616F">
      <w:pPr>
        <w:rPr>
          <w:rFonts w:ascii="Calibri" w:hAnsi="Calibri" w:cs="Calibri"/>
          <w:color w:val="000000"/>
        </w:rPr>
      </w:pPr>
      <w:r w:rsidRPr="000302DC">
        <w:rPr>
          <w:rFonts w:ascii="Calibri" w:hAnsi="Calibri" w:cs="Calibri"/>
          <w:color w:val="000000"/>
        </w:rPr>
        <w:t xml:space="preserve">The Department is </w:t>
      </w:r>
      <w:r>
        <w:rPr>
          <w:rFonts w:ascii="Calibri" w:hAnsi="Calibri" w:cs="Calibri"/>
          <w:color w:val="000000"/>
        </w:rPr>
        <w:t>seeking</w:t>
      </w:r>
      <w:r w:rsidRPr="000302DC">
        <w:rPr>
          <w:rFonts w:ascii="Calibri" w:hAnsi="Calibri" w:cs="Calibri"/>
          <w:color w:val="000000"/>
        </w:rPr>
        <w:t xml:space="preserve"> input from stakeholders on key policy issues in the lead-up to the PP-1</w:t>
      </w:r>
      <w:r>
        <w:rPr>
          <w:rFonts w:ascii="Calibri" w:hAnsi="Calibri" w:cs="Calibri"/>
          <w:color w:val="000000"/>
        </w:rPr>
        <w:t>8 to support development of</w:t>
      </w:r>
      <w:r w:rsidRPr="000302DC">
        <w:rPr>
          <w:rFonts w:ascii="Calibri" w:hAnsi="Calibri" w:cs="Calibri"/>
          <w:color w:val="000000"/>
        </w:rPr>
        <w:t xml:space="preserve"> </w:t>
      </w:r>
      <w:r>
        <w:rPr>
          <w:rFonts w:ascii="Calibri" w:hAnsi="Calibri" w:cs="Calibri"/>
          <w:color w:val="000000"/>
        </w:rPr>
        <w:t>Australian</w:t>
      </w:r>
      <w:r w:rsidRPr="000302DC">
        <w:rPr>
          <w:rFonts w:ascii="Calibri" w:hAnsi="Calibri" w:cs="Calibri"/>
          <w:color w:val="000000"/>
        </w:rPr>
        <w:t xml:space="preserve"> proposals, </w:t>
      </w:r>
      <w:r>
        <w:rPr>
          <w:rFonts w:ascii="Calibri" w:hAnsi="Calibri" w:cs="Calibri"/>
          <w:color w:val="000000"/>
        </w:rPr>
        <w:t>formulate</w:t>
      </w:r>
      <w:r w:rsidRPr="000302DC">
        <w:rPr>
          <w:rFonts w:ascii="Calibri" w:hAnsi="Calibri" w:cs="Calibri"/>
          <w:color w:val="000000"/>
        </w:rPr>
        <w:t xml:space="preserve"> positions on proposals put forward by other Member States and regional groups, and generate more in</w:t>
      </w:r>
      <w:r w:rsidRPr="000302DC">
        <w:rPr>
          <w:rFonts w:ascii="Calibri" w:hAnsi="Calibri" w:cs="Calibri"/>
          <w:color w:val="000000"/>
        </w:rPr>
        <w:noBreakHyphen/>
        <w:t xml:space="preserve">depth discussions on proposals and issues as they develop. The Department will circulate reports on outcomes of the </w:t>
      </w:r>
      <w:r>
        <w:rPr>
          <w:rFonts w:ascii="Calibri" w:hAnsi="Calibri" w:cs="Calibri"/>
          <w:color w:val="000000"/>
        </w:rPr>
        <w:t xml:space="preserve">two remaining </w:t>
      </w:r>
      <w:r w:rsidRPr="000302DC">
        <w:rPr>
          <w:rFonts w:ascii="Calibri" w:hAnsi="Calibri" w:cs="Calibri"/>
          <w:color w:val="000000"/>
        </w:rPr>
        <w:t>regional preparatory meetings and consult with stakeholders on relevant issues as new proposals arise.</w:t>
      </w:r>
    </w:p>
    <w:p w:rsidR="00F9616F" w:rsidRPr="000302DC" w:rsidRDefault="00F9616F" w:rsidP="00F9616F">
      <w:pPr>
        <w:rPr>
          <w:rFonts w:ascii="Calibri" w:hAnsi="Calibri" w:cs="Calibri"/>
          <w:color w:val="000000"/>
        </w:rPr>
      </w:pPr>
      <w:r>
        <w:rPr>
          <w:rFonts w:ascii="Calibri" w:hAnsi="Calibri" w:cs="Calibri"/>
        </w:rPr>
        <w:t>T</w:t>
      </w:r>
      <w:r w:rsidRPr="000302DC">
        <w:rPr>
          <w:rFonts w:ascii="Calibri" w:hAnsi="Calibri" w:cs="Calibri"/>
          <w:color w:val="000000"/>
        </w:rPr>
        <w:t xml:space="preserve">he Department is </w:t>
      </w:r>
      <w:r>
        <w:rPr>
          <w:rFonts w:ascii="Calibri" w:hAnsi="Calibri" w:cs="Calibri"/>
          <w:color w:val="000000"/>
        </w:rPr>
        <w:t xml:space="preserve">seeking feedback on the policy issues described in this information paper and will organise a </w:t>
      </w:r>
      <w:r w:rsidRPr="000302DC">
        <w:rPr>
          <w:rFonts w:ascii="Calibri" w:hAnsi="Calibri" w:cs="Calibri"/>
          <w:color w:val="000000"/>
        </w:rPr>
        <w:t xml:space="preserve">group videoconference </w:t>
      </w:r>
      <w:r>
        <w:rPr>
          <w:rFonts w:ascii="Calibri" w:hAnsi="Calibri" w:cs="Calibri"/>
          <w:color w:val="000000"/>
        </w:rPr>
        <w:t xml:space="preserve">in the lead up to the final regional preparatory process </w:t>
      </w:r>
      <w:r w:rsidRPr="000302DC">
        <w:rPr>
          <w:rFonts w:ascii="Calibri" w:hAnsi="Calibri" w:cs="Calibri"/>
          <w:color w:val="000000"/>
        </w:rPr>
        <w:t>for interested stakeholders to discuss the Australian position on specific proposals, including regional common proposals and positions.</w:t>
      </w:r>
      <w:r>
        <w:rPr>
          <w:rFonts w:ascii="Calibri" w:hAnsi="Calibri" w:cs="Calibri"/>
          <w:color w:val="000000"/>
        </w:rPr>
        <w:t xml:space="preserve"> T</w:t>
      </w:r>
      <w:r w:rsidRPr="000302DC">
        <w:rPr>
          <w:rFonts w:ascii="Calibri" w:hAnsi="Calibri" w:cs="Calibri"/>
          <w:color w:val="000000"/>
        </w:rPr>
        <w:t xml:space="preserve">he Department </w:t>
      </w:r>
      <w:r>
        <w:rPr>
          <w:rFonts w:ascii="Calibri" w:hAnsi="Calibri" w:cs="Calibri"/>
          <w:color w:val="000000"/>
        </w:rPr>
        <w:t>will also</w:t>
      </w:r>
      <w:r w:rsidRPr="000302DC">
        <w:rPr>
          <w:rFonts w:ascii="Calibri" w:hAnsi="Calibri" w:cs="Calibri"/>
          <w:color w:val="000000"/>
        </w:rPr>
        <w:t xml:space="preserve"> arrange targeted meetings to discuss specific issues of relevance to individual organisations.</w:t>
      </w:r>
    </w:p>
    <w:p w:rsidR="00F9616F" w:rsidRPr="000302DC" w:rsidRDefault="00F9616F" w:rsidP="00F9616F">
      <w:pPr>
        <w:pStyle w:val="Heading4"/>
      </w:pPr>
      <w:bookmarkStart w:id="19" w:name="_Toc515977861"/>
      <w:bookmarkStart w:id="20" w:name="_Toc515983867"/>
      <w:r w:rsidRPr="000302DC">
        <w:t>Regional preparatory process</w:t>
      </w:r>
      <w:bookmarkEnd w:id="19"/>
      <w:bookmarkEnd w:id="20"/>
    </w:p>
    <w:p w:rsidR="00F9616F" w:rsidRPr="000302DC" w:rsidRDefault="00F9616F" w:rsidP="00F9616F">
      <w:pPr>
        <w:rPr>
          <w:rFonts w:ascii="Calibri" w:hAnsi="Calibri" w:cs="Calibri"/>
          <w:color w:val="000000"/>
        </w:rPr>
      </w:pPr>
      <w:r>
        <w:rPr>
          <w:rFonts w:ascii="Calibri" w:hAnsi="Calibri" w:cs="Calibri"/>
          <w:lang w:val="en" w:eastAsia="ja-JP" w:bidi="th-TH"/>
        </w:rPr>
        <w:t>T</w:t>
      </w:r>
      <w:r w:rsidRPr="000302DC">
        <w:rPr>
          <w:rFonts w:ascii="Calibri" w:hAnsi="Calibri" w:cs="Calibri"/>
          <w:color w:val="000000"/>
          <w:lang w:val="en" w:eastAsia="ja-JP" w:bidi="th-TH"/>
        </w:rPr>
        <w:t xml:space="preserve">here are six preparatory groups that coordinate regional activities in the lead-up to key ITU conferences. Australia participates in the regional preparatory activities coordinated through the </w:t>
      </w:r>
      <w:r w:rsidRPr="000302DC">
        <w:rPr>
          <w:rFonts w:ascii="Calibri" w:hAnsi="Calibri" w:cs="Calibri"/>
          <w:color w:val="000000"/>
        </w:rPr>
        <w:t>Asia-Pacific Telecommunity (</w:t>
      </w:r>
      <w:r w:rsidRPr="000302DC">
        <w:rPr>
          <w:rFonts w:ascii="Calibri" w:hAnsi="Calibri" w:cs="Calibri"/>
          <w:color w:val="000000"/>
          <w:lang w:val="en" w:eastAsia="ja-JP" w:bidi="th-TH"/>
        </w:rPr>
        <w:t>APT). The APT is an intergovernmental organisation that focuses on ICT</w:t>
      </w:r>
      <w:r w:rsidRPr="000302DC">
        <w:rPr>
          <w:rFonts w:ascii="Calibri" w:hAnsi="Calibri" w:cs="Calibri"/>
          <w:color w:val="000000"/>
          <w:lang w:val="en" w:eastAsia="ja-JP" w:bidi="th-TH"/>
        </w:rPr>
        <w:noBreakHyphen/>
        <w:t xml:space="preserve">related issues in conjunction with telecom service providers, manufacturers of communications equipment, and research and development organizations. </w:t>
      </w:r>
      <w:r>
        <w:rPr>
          <w:rFonts w:ascii="Calibri" w:hAnsi="Calibri" w:cs="Calibri"/>
          <w:color w:val="000000"/>
          <w:lang w:val="en" w:eastAsia="ja-JP" w:bidi="th-TH"/>
        </w:rPr>
        <w:t xml:space="preserve">The </w:t>
      </w:r>
      <w:r w:rsidRPr="000302DC">
        <w:rPr>
          <w:rFonts w:ascii="Calibri" w:hAnsi="Calibri" w:cs="Calibri"/>
          <w:color w:val="000000"/>
        </w:rPr>
        <w:t xml:space="preserve">APT </w:t>
      </w:r>
      <w:r>
        <w:rPr>
          <w:rFonts w:ascii="Calibri" w:hAnsi="Calibri" w:cs="Calibri"/>
          <w:color w:val="000000"/>
        </w:rPr>
        <w:t>p</w:t>
      </w:r>
      <w:r w:rsidRPr="000302DC">
        <w:rPr>
          <w:rFonts w:ascii="Calibri" w:hAnsi="Calibri" w:cs="Calibri"/>
          <w:color w:val="000000"/>
        </w:rPr>
        <w:t xml:space="preserve">reparatory </w:t>
      </w:r>
      <w:r>
        <w:rPr>
          <w:rFonts w:ascii="Calibri" w:hAnsi="Calibri" w:cs="Calibri"/>
          <w:color w:val="000000"/>
        </w:rPr>
        <w:t>group</w:t>
      </w:r>
      <w:r w:rsidRPr="000302DC">
        <w:rPr>
          <w:rFonts w:ascii="Calibri" w:hAnsi="Calibri" w:cs="Calibri"/>
          <w:color w:val="000000"/>
        </w:rPr>
        <w:t xml:space="preserve"> for </w:t>
      </w:r>
      <w:r>
        <w:rPr>
          <w:rFonts w:ascii="Calibri" w:hAnsi="Calibri" w:cs="Calibri"/>
          <w:color w:val="000000"/>
        </w:rPr>
        <w:t>PP-18</w:t>
      </w:r>
      <w:r w:rsidRPr="000302DC">
        <w:rPr>
          <w:rFonts w:ascii="Calibri" w:hAnsi="Calibri" w:cs="Calibri"/>
          <w:color w:val="000000"/>
        </w:rPr>
        <w:t xml:space="preserve"> </w:t>
      </w:r>
      <w:r>
        <w:rPr>
          <w:rFonts w:ascii="Calibri" w:hAnsi="Calibri" w:cs="Calibri"/>
          <w:color w:val="000000"/>
        </w:rPr>
        <w:t xml:space="preserve">seeks </w:t>
      </w:r>
      <w:r w:rsidRPr="000302DC">
        <w:rPr>
          <w:rFonts w:ascii="Calibri" w:hAnsi="Calibri" w:cs="Calibri"/>
          <w:color w:val="000000"/>
        </w:rPr>
        <w:t xml:space="preserve">to consolidate regional views on common issues that members consider are priorities for the Asia-Pacific region. </w:t>
      </w:r>
    </w:p>
    <w:p w:rsidR="00F9616F" w:rsidRPr="000302DC" w:rsidRDefault="00F9616F" w:rsidP="00F9616F">
      <w:pPr>
        <w:rPr>
          <w:rFonts w:ascii="Calibri" w:hAnsi="Calibri" w:cs="Calibri"/>
          <w:color w:val="000000"/>
        </w:rPr>
      </w:pPr>
      <w:r w:rsidRPr="000302DC">
        <w:rPr>
          <w:rFonts w:ascii="Calibri" w:hAnsi="Calibri" w:cs="Calibri"/>
          <w:color w:val="000000"/>
        </w:rPr>
        <w:t xml:space="preserve">The APT </w:t>
      </w:r>
      <w:r>
        <w:rPr>
          <w:rFonts w:ascii="Calibri" w:hAnsi="Calibri" w:cs="Calibri"/>
          <w:color w:val="000000"/>
        </w:rPr>
        <w:t>preparatory group has been</w:t>
      </w:r>
      <w:r w:rsidRPr="000302DC">
        <w:rPr>
          <w:rFonts w:ascii="Calibri" w:hAnsi="Calibri" w:cs="Calibri"/>
          <w:color w:val="000000"/>
        </w:rPr>
        <w:t xml:space="preserve"> influential in shaping the </w:t>
      </w:r>
      <w:r>
        <w:rPr>
          <w:rFonts w:ascii="Calibri" w:hAnsi="Calibri" w:cs="Calibri"/>
          <w:color w:val="000000"/>
        </w:rPr>
        <w:t xml:space="preserve">outcomes at plenipotentiary conferences. </w:t>
      </w:r>
      <w:r w:rsidRPr="000302DC">
        <w:rPr>
          <w:rFonts w:ascii="Calibri" w:hAnsi="Calibri" w:cs="Calibri"/>
          <w:color w:val="000000"/>
          <w:szCs w:val="23"/>
        </w:rPr>
        <w:t>At the 201</w:t>
      </w:r>
      <w:r>
        <w:rPr>
          <w:rFonts w:ascii="Calibri" w:hAnsi="Calibri" w:cs="Calibri"/>
          <w:color w:val="000000"/>
          <w:szCs w:val="23"/>
        </w:rPr>
        <w:t>4</w:t>
      </w:r>
      <w:r w:rsidRPr="000302DC">
        <w:rPr>
          <w:rFonts w:ascii="Calibri" w:hAnsi="Calibri" w:cs="Calibri"/>
          <w:color w:val="000000"/>
          <w:szCs w:val="23"/>
        </w:rPr>
        <w:t xml:space="preserve"> Plenipotentiary Conference (PP-1</w:t>
      </w:r>
      <w:r>
        <w:rPr>
          <w:rFonts w:ascii="Calibri" w:hAnsi="Calibri" w:cs="Calibri"/>
          <w:color w:val="000000"/>
          <w:szCs w:val="23"/>
        </w:rPr>
        <w:t>4</w:t>
      </w:r>
      <w:r w:rsidRPr="000302DC">
        <w:rPr>
          <w:rFonts w:ascii="Calibri" w:hAnsi="Calibri" w:cs="Calibri"/>
          <w:color w:val="000000"/>
          <w:szCs w:val="23"/>
        </w:rPr>
        <w:t xml:space="preserve">), </w:t>
      </w:r>
      <w:r>
        <w:rPr>
          <w:rFonts w:ascii="Calibri" w:hAnsi="Calibri" w:cs="Calibri"/>
          <w:color w:val="000000"/>
          <w:szCs w:val="23"/>
        </w:rPr>
        <w:t>almost all</w:t>
      </w:r>
      <w:r w:rsidRPr="000302DC">
        <w:rPr>
          <w:rFonts w:ascii="Calibri" w:hAnsi="Calibri" w:cs="Calibri"/>
          <w:color w:val="000000"/>
          <w:szCs w:val="23"/>
        </w:rPr>
        <w:t xml:space="preserve"> APT common proposals were adopted by the Conference</w:t>
      </w:r>
      <w:r>
        <w:rPr>
          <w:rFonts w:ascii="Calibri" w:hAnsi="Calibri" w:cs="Calibri"/>
          <w:color w:val="000000"/>
          <w:szCs w:val="23"/>
        </w:rPr>
        <w:t>, in some cases</w:t>
      </w:r>
      <w:r w:rsidRPr="000302DC">
        <w:rPr>
          <w:rFonts w:ascii="Calibri" w:hAnsi="Calibri" w:cs="Calibri"/>
          <w:color w:val="000000"/>
          <w:szCs w:val="23"/>
        </w:rPr>
        <w:t xml:space="preserve"> with minor changes or as consolidated text with similar proposals from other regions. </w:t>
      </w:r>
      <w:r w:rsidRPr="000302DC">
        <w:rPr>
          <w:rFonts w:ascii="Calibri" w:hAnsi="Calibri" w:cs="Calibri"/>
          <w:color w:val="000000"/>
        </w:rPr>
        <w:t xml:space="preserve">The APT preparatory process is an opportunity to build regional consensus </w:t>
      </w:r>
      <w:r>
        <w:rPr>
          <w:rFonts w:ascii="Calibri" w:hAnsi="Calibri" w:cs="Calibri"/>
          <w:color w:val="000000"/>
        </w:rPr>
        <w:t>on</w:t>
      </w:r>
      <w:r w:rsidRPr="000302DC">
        <w:rPr>
          <w:rFonts w:ascii="Calibri" w:hAnsi="Calibri" w:cs="Calibri"/>
          <w:color w:val="000000"/>
        </w:rPr>
        <w:t xml:space="preserve"> Australian positions, to shape regional proposals in accordance with our strategic and commercial interests.</w:t>
      </w:r>
    </w:p>
    <w:p w:rsidR="00F9616F" w:rsidRPr="000302DC" w:rsidRDefault="00F9616F" w:rsidP="00F9616F">
      <w:pPr>
        <w:rPr>
          <w:rFonts w:ascii="Calibri" w:hAnsi="Calibri" w:cs="Calibri"/>
          <w:color w:val="000000"/>
        </w:rPr>
      </w:pPr>
      <w:r w:rsidRPr="000302DC">
        <w:rPr>
          <w:rFonts w:ascii="Calibri" w:hAnsi="Calibri" w:cs="Calibri"/>
          <w:color w:val="000000"/>
        </w:rPr>
        <w:t xml:space="preserve">The first </w:t>
      </w:r>
      <w:r>
        <w:rPr>
          <w:rFonts w:ascii="Calibri" w:hAnsi="Calibri" w:cs="Calibri"/>
          <w:color w:val="000000"/>
        </w:rPr>
        <w:t xml:space="preserve">meeting of the </w:t>
      </w:r>
      <w:r w:rsidRPr="000302DC">
        <w:rPr>
          <w:rFonts w:ascii="Calibri" w:hAnsi="Calibri" w:cs="Calibri"/>
          <w:color w:val="000000"/>
        </w:rPr>
        <w:t xml:space="preserve">APT Preparatory </w:t>
      </w:r>
      <w:r>
        <w:rPr>
          <w:rFonts w:ascii="Calibri" w:hAnsi="Calibri" w:cs="Calibri"/>
          <w:color w:val="000000"/>
        </w:rPr>
        <w:t>Group</w:t>
      </w:r>
      <w:r w:rsidRPr="000302DC">
        <w:rPr>
          <w:rFonts w:ascii="Calibri" w:hAnsi="Calibri" w:cs="Calibri"/>
          <w:color w:val="000000"/>
        </w:rPr>
        <w:t xml:space="preserve"> for PP-1</w:t>
      </w:r>
      <w:r>
        <w:rPr>
          <w:rFonts w:ascii="Calibri" w:hAnsi="Calibri" w:cs="Calibri"/>
          <w:color w:val="000000"/>
        </w:rPr>
        <w:t>8</w:t>
      </w:r>
      <w:r w:rsidRPr="000302DC">
        <w:rPr>
          <w:rFonts w:ascii="Calibri" w:hAnsi="Calibri" w:cs="Calibri"/>
          <w:color w:val="000000"/>
        </w:rPr>
        <w:t xml:space="preserve"> was held in </w:t>
      </w:r>
      <w:r>
        <w:rPr>
          <w:rFonts w:ascii="Calibri" w:hAnsi="Calibri" w:cs="Calibri"/>
          <w:color w:val="000000"/>
        </w:rPr>
        <w:t>Thailand</w:t>
      </w:r>
      <w:r w:rsidRPr="000302DC">
        <w:rPr>
          <w:rFonts w:ascii="Calibri" w:hAnsi="Calibri" w:cs="Calibri"/>
          <w:color w:val="000000"/>
        </w:rPr>
        <w:t xml:space="preserve"> </w:t>
      </w:r>
      <w:r>
        <w:rPr>
          <w:rFonts w:ascii="Calibri" w:hAnsi="Calibri" w:cs="Calibri"/>
          <w:color w:val="000000"/>
        </w:rPr>
        <w:t>on 8 June 2017</w:t>
      </w:r>
      <w:r w:rsidRPr="000302DC">
        <w:rPr>
          <w:rFonts w:ascii="Calibri" w:hAnsi="Calibri" w:cs="Calibri"/>
          <w:color w:val="000000"/>
        </w:rPr>
        <w:t xml:space="preserve">. The </w:t>
      </w:r>
      <w:r>
        <w:rPr>
          <w:rFonts w:ascii="Calibri" w:hAnsi="Calibri" w:cs="Calibri"/>
          <w:color w:val="000000"/>
        </w:rPr>
        <w:t xml:space="preserve">meeting </w:t>
      </w:r>
      <w:r w:rsidRPr="000302DC">
        <w:rPr>
          <w:rFonts w:ascii="Calibri" w:hAnsi="Calibri" w:cs="Calibri"/>
          <w:color w:val="000000"/>
        </w:rPr>
        <w:t>establish</w:t>
      </w:r>
      <w:r>
        <w:rPr>
          <w:rFonts w:ascii="Calibri" w:hAnsi="Calibri" w:cs="Calibri"/>
          <w:color w:val="000000"/>
        </w:rPr>
        <w:t>ed</w:t>
      </w:r>
      <w:r w:rsidRPr="000302DC">
        <w:rPr>
          <w:rFonts w:ascii="Calibri" w:hAnsi="Calibri" w:cs="Calibri"/>
          <w:color w:val="000000"/>
        </w:rPr>
        <w:t xml:space="preserve"> the office bearers for the APT PP-1</w:t>
      </w:r>
      <w:r>
        <w:rPr>
          <w:rFonts w:ascii="Calibri" w:hAnsi="Calibri" w:cs="Calibri"/>
          <w:color w:val="000000"/>
        </w:rPr>
        <w:t>8</w:t>
      </w:r>
      <w:r w:rsidRPr="000302DC">
        <w:rPr>
          <w:rFonts w:ascii="Calibri" w:hAnsi="Calibri" w:cs="Calibri"/>
          <w:color w:val="000000"/>
        </w:rPr>
        <w:t xml:space="preserve"> preparations, determined the structure, working methods and work plan for the preparatory </w:t>
      </w:r>
      <w:r>
        <w:rPr>
          <w:rFonts w:ascii="Calibri" w:hAnsi="Calibri" w:cs="Calibri"/>
          <w:color w:val="000000"/>
        </w:rPr>
        <w:t>group</w:t>
      </w:r>
      <w:r w:rsidRPr="000302DC">
        <w:rPr>
          <w:rFonts w:ascii="Calibri" w:hAnsi="Calibri" w:cs="Calibri"/>
          <w:color w:val="000000"/>
        </w:rPr>
        <w:t xml:space="preserve">. Australia </w:t>
      </w:r>
      <w:r>
        <w:rPr>
          <w:rFonts w:ascii="Calibri" w:hAnsi="Calibri" w:cs="Calibri"/>
          <w:color w:val="000000"/>
        </w:rPr>
        <w:t>was appointed</w:t>
      </w:r>
      <w:r w:rsidRPr="000302DC">
        <w:rPr>
          <w:rFonts w:ascii="Calibri" w:hAnsi="Calibri" w:cs="Calibri"/>
          <w:color w:val="000000"/>
        </w:rPr>
        <w:t xml:space="preserve"> </w:t>
      </w:r>
      <w:r>
        <w:rPr>
          <w:rFonts w:ascii="Calibri" w:hAnsi="Calibri" w:cs="Calibri"/>
          <w:color w:val="000000"/>
        </w:rPr>
        <w:t xml:space="preserve">to </w:t>
      </w:r>
      <w:r w:rsidRPr="000302DC">
        <w:rPr>
          <w:rFonts w:ascii="Calibri" w:hAnsi="Calibri" w:cs="Calibri"/>
          <w:color w:val="000000"/>
        </w:rPr>
        <w:t>chair one of the three working groups</w:t>
      </w:r>
      <w:r>
        <w:rPr>
          <w:rFonts w:ascii="Calibri" w:hAnsi="Calibri" w:cs="Calibri"/>
          <w:color w:val="000000"/>
        </w:rPr>
        <w:t xml:space="preserve"> established within the preparatory group. This working group will </w:t>
      </w:r>
      <w:r w:rsidRPr="000302DC">
        <w:rPr>
          <w:rFonts w:ascii="Calibri" w:hAnsi="Calibri" w:cs="Calibri"/>
          <w:color w:val="000000"/>
        </w:rPr>
        <w:t xml:space="preserve">consider </w:t>
      </w:r>
      <w:r>
        <w:rPr>
          <w:rFonts w:ascii="Calibri" w:hAnsi="Calibri" w:cs="Calibri"/>
          <w:color w:val="000000"/>
        </w:rPr>
        <w:t>issues related to international public policy</w:t>
      </w:r>
      <w:r w:rsidRPr="000302DC">
        <w:rPr>
          <w:rFonts w:ascii="Calibri" w:hAnsi="Calibri" w:cs="Calibri"/>
          <w:color w:val="000000"/>
        </w:rPr>
        <w:t>.</w:t>
      </w:r>
      <w:r>
        <w:rPr>
          <w:rFonts w:ascii="Calibri" w:hAnsi="Calibri" w:cs="Calibri"/>
          <w:color w:val="000000"/>
        </w:rPr>
        <w:t xml:space="preserve"> </w:t>
      </w:r>
      <w:r w:rsidRPr="00EA5F03">
        <w:rPr>
          <w:rFonts w:ascii="Calibri" w:hAnsi="Calibri" w:cs="Calibri"/>
          <w:color w:val="000000"/>
        </w:rPr>
        <w:t>The second preparatory meeting was held in Hanoi, Vietnam, and provide</w:t>
      </w:r>
      <w:r>
        <w:rPr>
          <w:rFonts w:ascii="Calibri" w:hAnsi="Calibri" w:cs="Calibri"/>
          <w:color w:val="000000"/>
        </w:rPr>
        <w:t>d</w:t>
      </w:r>
      <w:r w:rsidRPr="00EA5F03">
        <w:rPr>
          <w:rFonts w:ascii="Calibri" w:hAnsi="Calibri" w:cs="Calibri"/>
          <w:color w:val="000000"/>
        </w:rPr>
        <w:t xml:space="preserve"> an opportunity for members to share preliminary ideas for APT Common Proposals.</w:t>
      </w:r>
    </w:p>
    <w:p w:rsidR="00F9616F" w:rsidRPr="000302DC" w:rsidRDefault="00F9616F" w:rsidP="00F9616F">
      <w:r w:rsidRPr="000302DC">
        <w:t xml:space="preserve">The Department </w:t>
      </w:r>
      <w:r>
        <w:t>will</w:t>
      </w:r>
      <w:r w:rsidRPr="000302DC">
        <w:t xml:space="preserve"> host the </w:t>
      </w:r>
      <w:r>
        <w:t>third</w:t>
      </w:r>
      <w:r w:rsidRPr="000302DC">
        <w:t xml:space="preserve"> </w:t>
      </w:r>
      <w:r>
        <w:t xml:space="preserve">meeting of the </w:t>
      </w:r>
      <w:r w:rsidRPr="000302DC">
        <w:t xml:space="preserve">APT preparatory </w:t>
      </w:r>
      <w:r>
        <w:t>group on 18–21 June</w:t>
      </w:r>
      <w:r w:rsidRPr="000302DC">
        <w:t xml:space="preserve"> 201</w:t>
      </w:r>
      <w:r>
        <w:t>8, at the Crown Promenade, Melbourne</w:t>
      </w:r>
      <w:r w:rsidRPr="000302DC">
        <w:t xml:space="preserve">. </w:t>
      </w:r>
      <w:r>
        <w:t>S</w:t>
      </w:r>
      <w:r w:rsidRPr="000302DC">
        <w:t xml:space="preserve">takeholders are </w:t>
      </w:r>
      <w:r>
        <w:t>encouraged</w:t>
      </w:r>
      <w:r w:rsidRPr="000302DC">
        <w:t xml:space="preserve"> </w:t>
      </w:r>
      <w:r>
        <w:t xml:space="preserve">consider attending </w:t>
      </w:r>
      <w:r w:rsidRPr="000302DC">
        <w:t>all or part of this meetin</w:t>
      </w:r>
      <w:r>
        <w:t>g.</w:t>
      </w:r>
    </w:p>
    <w:p w:rsidR="00F9616F" w:rsidRPr="000302DC" w:rsidRDefault="00F9616F" w:rsidP="00F9616F">
      <w:r w:rsidRPr="000302DC">
        <w:t>Dates for key meetings</w:t>
      </w:r>
      <w:r>
        <w:t>/activities</w:t>
      </w:r>
      <w:r w:rsidRPr="000302DC">
        <w:t xml:space="preserve"> in the lead up to PP-1</w:t>
      </w:r>
      <w:r>
        <w:t>8</w:t>
      </w:r>
      <w:r w:rsidRPr="000302DC">
        <w:t xml:space="preserve"> are listed in </w:t>
      </w:r>
      <w:hyperlink w:anchor="_Attachment_A:_Key" w:history="1">
        <w:r w:rsidRPr="00F9616F">
          <w:rPr>
            <w:rStyle w:val="Hyperlink"/>
          </w:rPr>
          <w:t>Attachment A</w:t>
        </w:r>
      </w:hyperlink>
      <w:r w:rsidRPr="000302DC">
        <w:t>.</w:t>
      </w:r>
    </w:p>
    <w:p w:rsidR="00F9616F" w:rsidRPr="00C240AE" w:rsidRDefault="00F9616F" w:rsidP="00F9616F">
      <w:pPr>
        <w:pStyle w:val="Heading3"/>
        <w:rPr>
          <w:lang w:val="en-US"/>
        </w:rPr>
      </w:pPr>
      <w:bookmarkStart w:id="21" w:name="_Toc356381569"/>
      <w:bookmarkStart w:id="22" w:name="_Toc515977862"/>
      <w:bookmarkStart w:id="23" w:name="_Toc515983868"/>
      <w:r>
        <w:rPr>
          <w:lang w:val="en-US"/>
        </w:rPr>
        <w:t xml:space="preserve">d. </w:t>
      </w:r>
      <w:r w:rsidRPr="000302DC">
        <w:rPr>
          <w:lang w:val="en-US"/>
        </w:rPr>
        <w:t>Comments</w:t>
      </w:r>
      <w:bookmarkEnd w:id="21"/>
      <w:bookmarkEnd w:id="22"/>
      <w:bookmarkEnd w:id="23"/>
    </w:p>
    <w:p w:rsidR="00F9616F" w:rsidRPr="000302DC" w:rsidRDefault="00F9616F" w:rsidP="00F9616F">
      <w:pPr>
        <w:rPr>
          <w:rFonts w:ascii="Calibri" w:hAnsi="Calibri" w:cs="Calibri"/>
        </w:rPr>
      </w:pPr>
      <w:r w:rsidRPr="000302DC">
        <w:rPr>
          <w:rFonts w:ascii="Calibri" w:hAnsi="Calibri" w:cs="Calibri"/>
        </w:rPr>
        <w:t>The Department welcomes your comments on the matters raised in this paper via email to</w:t>
      </w:r>
      <w:r>
        <w:rPr>
          <w:rFonts w:ascii="Calibri" w:hAnsi="Calibri" w:cs="Calibri"/>
        </w:rPr>
        <w:t xml:space="preserve"> </w:t>
      </w:r>
      <w:hyperlink r:id="rId22" w:history="1">
        <w:r w:rsidRPr="00610A24">
          <w:rPr>
            <w:rStyle w:val="Hyperlink"/>
            <w:rFonts w:ascii="Calibri" w:hAnsi="Calibri" w:cs="Calibri"/>
          </w:rPr>
          <w:t>AustraliaITUPP18@communications.gov.au</w:t>
        </w:r>
      </w:hyperlink>
      <w:r>
        <w:rPr>
          <w:rFonts w:ascii="Calibri" w:hAnsi="Calibri" w:cs="Calibri"/>
          <w:color w:val="000000"/>
        </w:rPr>
        <w:t>.</w:t>
      </w:r>
    </w:p>
    <w:p w:rsidR="00F9616F" w:rsidRPr="000302DC" w:rsidRDefault="00F9616F" w:rsidP="00F9616F">
      <w:pPr>
        <w:keepNext/>
        <w:rPr>
          <w:rFonts w:ascii="Calibri" w:hAnsi="Calibri" w:cs="Calibri"/>
        </w:rPr>
      </w:pPr>
      <w:r w:rsidRPr="000302DC">
        <w:rPr>
          <w:rFonts w:ascii="Calibri" w:hAnsi="Calibri" w:cs="Calibri"/>
        </w:rPr>
        <w:t>The contact officer to discuss matters raised in this paper is:</w:t>
      </w:r>
    </w:p>
    <w:p w:rsidR="00F9616F" w:rsidRPr="000302DC" w:rsidRDefault="00F9616F" w:rsidP="00F9616F">
      <w:pPr>
        <w:spacing w:before="60"/>
        <w:ind w:left="567"/>
        <w:rPr>
          <w:rFonts w:ascii="Calibri" w:hAnsi="Calibri" w:cs="Calibri"/>
        </w:rPr>
      </w:pPr>
      <w:r w:rsidRPr="000302DC">
        <w:rPr>
          <w:rFonts w:ascii="Calibri" w:hAnsi="Calibri" w:cs="Calibri"/>
        </w:rPr>
        <w:t>M</w:t>
      </w:r>
      <w:r>
        <w:rPr>
          <w:rFonts w:ascii="Calibri" w:hAnsi="Calibri" w:cs="Calibri"/>
        </w:rPr>
        <w:t>r Joseph McCarroll</w:t>
      </w:r>
      <w:r>
        <w:rPr>
          <w:rFonts w:ascii="Calibri" w:hAnsi="Calibri" w:cs="Calibri"/>
        </w:rPr>
        <w:br/>
        <w:t xml:space="preserve">Assistant </w:t>
      </w:r>
      <w:r w:rsidRPr="000302DC">
        <w:rPr>
          <w:rFonts w:ascii="Calibri" w:hAnsi="Calibri" w:cs="Calibri"/>
        </w:rPr>
        <w:t>Director</w:t>
      </w:r>
      <w:r>
        <w:rPr>
          <w:rFonts w:ascii="Calibri" w:hAnsi="Calibri" w:cs="Calibri"/>
        </w:rPr>
        <w:t>, International Engagement and Strategy</w:t>
      </w:r>
      <w:r w:rsidRPr="000302DC">
        <w:rPr>
          <w:rFonts w:ascii="Calibri" w:hAnsi="Calibri" w:cs="Calibri"/>
        </w:rPr>
        <w:t xml:space="preserve"> Section</w:t>
      </w:r>
      <w:r>
        <w:rPr>
          <w:rFonts w:ascii="Calibri" w:hAnsi="Calibri" w:cs="Calibri"/>
        </w:rPr>
        <w:br/>
      </w:r>
      <w:r w:rsidRPr="000302DC">
        <w:rPr>
          <w:rFonts w:ascii="Calibri" w:hAnsi="Calibri" w:cs="Calibri"/>
        </w:rPr>
        <w:t>Telephone: (02) 6271 1</w:t>
      </w:r>
      <w:r>
        <w:rPr>
          <w:rFonts w:ascii="Calibri" w:hAnsi="Calibri" w:cs="Calibri"/>
        </w:rPr>
        <w:t>681</w:t>
      </w:r>
      <w:r>
        <w:rPr>
          <w:rFonts w:ascii="Calibri" w:hAnsi="Calibri" w:cs="Calibri"/>
        </w:rPr>
        <w:br/>
      </w:r>
      <w:r w:rsidRPr="000302DC">
        <w:rPr>
          <w:rFonts w:ascii="Calibri" w:hAnsi="Calibri" w:cs="Calibri"/>
        </w:rPr>
        <w:t xml:space="preserve">Email: </w:t>
      </w:r>
      <w:hyperlink r:id="rId23" w:history="1">
        <w:r w:rsidRPr="00610A24">
          <w:rPr>
            <w:rStyle w:val="Hyperlink"/>
            <w:rFonts w:ascii="Calibri" w:hAnsi="Calibri" w:cs="Calibri"/>
          </w:rPr>
          <w:t>joseph.mccarroll@communications.gov.au</w:t>
        </w:r>
      </w:hyperlink>
      <w:r w:rsidRPr="000302DC">
        <w:rPr>
          <w:rFonts w:ascii="Calibri" w:hAnsi="Calibri" w:cs="Calibri"/>
        </w:rPr>
        <w:t>.</w:t>
      </w:r>
    </w:p>
    <w:p w:rsidR="00F9616F" w:rsidRPr="000302DC" w:rsidRDefault="00F9616F" w:rsidP="00F9616F">
      <w:pPr>
        <w:pStyle w:val="Heading2"/>
      </w:pPr>
      <w:bookmarkStart w:id="24" w:name="_Toc356381574"/>
      <w:bookmarkStart w:id="25" w:name="_Toc515977863"/>
      <w:bookmarkStart w:id="26" w:name="_Toc515983869"/>
      <w:bookmarkStart w:id="27" w:name="_Toc351973499"/>
      <w:bookmarkStart w:id="28" w:name="_Toc356381570"/>
      <w:r>
        <w:t xml:space="preserve">2. </w:t>
      </w:r>
      <w:r w:rsidRPr="000302DC">
        <w:t>Potential key issues</w:t>
      </w:r>
      <w:bookmarkEnd w:id="24"/>
      <w:r w:rsidRPr="000302DC">
        <w:t xml:space="preserve"> for the PP-1</w:t>
      </w:r>
      <w:r>
        <w:t>8</w:t>
      </w:r>
      <w:bookmarkEnd w:id="25"/>
      <w:bookmarkEnd w:id="26"/>
    </w:p>
    <w:p w:rsidR="00F9616F" w:rsidRPr="000302DC" w:rsidRDefault="00F9616F" w:rsidP="00F9616F">
      <w:pPr>
        <w:rPr>
          <w:rFonts w:ascii="Calibri" w:hAnsi="Calibri" w:cs="Calibri"/>
          <w:bCs/>
        </w:rPr>
      </w:pPr>
      <w:r w:rsidRPr="000302DC">
        <w:rPr>
          <w:rFonts w:ascii="Calibri" w:hAnsi="Calibri" w:cs="Calibri"/>
        </w:rPr>
        <w:t>Australia’s participation in the ITU has enabled us to steer international outcomes that can influence Australia’s strategic and commercial interests. In the lead</w:t>
      </w:r>
      <w:r w:rsidRPr="000302DC">
        <w:rPr>
          <w:rFonts w:ascii="Calibri" w:hAnsi="Calibri" w:cs="Calibri"/>
        </w:rPr>
        <w:noBreakHyphen/>
        <w:t>up to PP</w:t>
      </w:r>
      <w:r w:rsidRPr="000302DC">
        <w:rPr>
          <w:rFonts w:ascii="Calibri" w:hAnsi="Calibri" w:cs="Calibri"/>
        </w:rPr>
        <w:noBreakHyphen/>
        <w:t>1</w:t>
      </w:r>
      <w:r>
        <w:rPr>
          <w:rFonts w:ascii="Calibri" w:hAnsi="Calibri" w:cs="Calibri"/>
        </w:rPr>
        <w:t>8</w:t>
      </w:r>
      <w:r w:rsidRPr="000302DC">
        <w:rPr>
          <w:rFonts w:ascii="Calibri" w:hAnsi="Calibri" w:cs="Calibri"/>
        </w:rPr>
        <w:t>, the Department will be monitoring and participating in discussions relating to the following issues.</w:t>
      </w:r>
    </w:p>
    <w:p w:rsidR="00F9616F" w:rsidRPr="00F9616F" w:rsidRDefault="00F9616F" w:rsidP="00F9616F">
      <w:pPr>
        <w:pStyle w:val="Heading3"/>
      </w:pPr>
      <w:bookmarkStart w:id="29" w:name="_Toc351973502"/>
      <w:bookmarkStart w:id="30" w:name="_Toc356381575"/>
      <w:bookmarkStart w:id="31" w:name="_Toc515977864"/>
      <w:bookmarkStart w:id="32" w:name="_Toc515983870"/>
      <w:r>
        <w:t xml:space="preserve">a. </w:t>
      </w:r>
      <w:r w:rsidRPr="000302DC">
        <w:t>ITU Constitution and Convention</w:t>
      </w:r>
      <w:bookmarkEnd w:id="29"/>
      <w:bookmarkEnd w:id="30"/>
      <w:bookmarkEnd w:id="31"/>
      <w:bookmarkEnd w:id="32"/>
    </w:p>
    <w:p w:rsidR="00F9616F" w:rsidRDefault="00F9616F" w:rsidP="00F9616F">
      <w:pPr>
        <w:rPr>
          <w:rFonts w:ascii="Calibri" w:hAnsi="Calibri" w:cs="Calibri"/>
          <w:color w:val="000000"/>
        </w:rPr>
      </w:pPr>
      <w:bookmarkStart w:id="33" w:name="_Toc356381577"/>
      <w:bookmarkStart w:id="34" w:name="_Toc351973505"/>
      <w:r>
        <w:rPr>
          <w:rFonts w:ascii="Calibri" w:hAnsi="Calibri" w:cs="Calibri"/>
          <w:color w:val="000000"/>
        </w:rPr>
        <w:t>The ITU Constitution and Convention is the basic treaty that establishes the legal basis for the ITU and defines its purpose and structure. Australia supports a stable constitution as r</w:t>
      </w:r>
      <w:r w:rsidRPr="000302DC">
        <w:rPr>
          <w:rFonts w:ascii="Calibri" w:hAnsi="Calibri" w:cs="Calibri"/>
          <w:color w:val="000000"/>
        </w:rPr>
        <w:t>egular amendments to the Constitution and the Convention cause difficulties for Member States and undermine the integrity of th</w:t>
      </w:r>
      <w:r>
        <w:rPr>
          <w:rFonts w:ascii="Calibri" w:hAnsi="Calibri" w:cs="Calibri"/>
          <w:color w:val="000000"/>
        </w:rPr>
        <w:t>e basic instruments of the ITU.</w:t>
      </w:r>
    </w:p>
    <w:p w:rsidR="00F9616F" w:rsidRDefault="00F9616F" w:rsidP="00F9616F">
      <w:pPr>
        <w:rPr>
          <w:rFonts w:ascii="Calibri" w:hAnsi="Calibri" w:cs="Calibri"/>
          <w:color w:val="000000"/>
        </w:rPr>
      </w:pPr>
      <w:r w:rsidRPr="00CE2A6E">
        <w:rPr>
          <w:rFonts w:ascii="Calibri" w:hAnsi="Calibri" w:cs="Calibri"/>
          <w:color w:val="000000"/>
        </w:rPr>
        <w:t xml:space="preserve">At PP-14 it was decided that there should be no amendment to any provisions of the </w:t>
      </w:r>
      <w:r>
        <w:rPr>
          <w:rFonts w:ascii="Calibri" w:hAnsi="Calibri" w:cs="Calibri"/>
          <w:color w:val="000000"/>
        </w:rPr>
        <w:t>Constitution and Convention.</w:t>
      </w:r>
      <w:r w:rsidRPr="00CE2A6E">
        <w:rPr>
          <w:rFonts w:ascii="Calibri" w:hAnsi="Calibri" w:cs="Calibri"/>
          <w:color w:val="000000"/>
        </w:rPr>
        <w:t xml:space="preserve"> All decisions of the PP-14 were confined to decisions and resolutions of the conference, or in the minutes of the Plenary, consequently no ratification process was required. This represented a positive outcome for Australia.</w:t>
      </w:r>
    </w:p>
    <w:p w:rsidR="00F9616F" w:rsidRPr="000302DC" w:rsidRDefault="00F9616F" w:rsidP="00F9616F">
      <w:pPr>
        <w:rPr>
          <w:rFonts w:ascii="Calibri" w:hAnsi="Calibri" w:cs="Calibri"/>
          <w:color w:val="000000"/>
        </w:rPr>
      </w:pPr>
      <w:r>
        <w:rPr>
          <w:rFonts w:ascii="Calibri" w:hAnsi="Calibri" w:cs="Calibri"/>
          <w:color w:val="000000"/>
        </w:rPr>
        <w:t>As no proposals to amend the constitution were received by the 28 February 2018 deadline, there is not likely to be a great deal of discussion on this issue at PP-18.</w:t>
      </w:r>
    </w:p>
    <w:p w:rsidR="00F9616F" w:rsidRPr="00C240AE" w:rsidRDefault="00F9616F" w:rsidP="00F9616F">
      <w:pPr>
        <w:pStyle w:val="Heading3"/>
        <w:rPr>
          <w:lang w:val="en-US"/>
        </w:rPr>
      </w:pPr>
      <w:bookmarkStart w:id="35" w:name="_Toc515977865"/>
      <w:bookmarkStart w:id="36" w:name="_Toc515983871"/>
      <w:r>
        <w:rPr>
          <w:lang w:val="en-US"/>
        </w:rPr>
        <w:t xml:space="preserve">b. </w:t>
      </w:r>
      <w:r w:rsidRPr="000302DC">
        <w:rPr>
          <w:lang w:val="en-US"/>
        </w:rPr>
        <w:t>International Internet-related public policy issues</w:t>
      </w:r>
      <w:bookmarkEnd w:id="33"/>
      <w:bookmarkEnd w:id="34"/>
      <w:bookmarkEnd w:id="35"/>
      <w:bookmarkEnd w:id="36"/>
    </w:p>
    <w:p w:rsidR="00F9616F" w:rsidRPr="002862BE" w:rsidRDefault="00F9616F" w:rsidP="00F9616F">
      <w:pPr>
        <w:rPr>
          <w:rFonts w:ascii="Calibri" w:hAnsi="Calibri" w:cs="Calibri"/>
        </w:rPr>
      </w:pPr>
      <w:r w:rsidRPr="002862BE">
        <w:rPr>
          <w:rFonts w:ascii="Calibri" w:hAnsi="Calibri" w:cs="Calibri"/>
        </w:rPr>
        <w:t xml:space="preserve">Australia advocates for an open, free and secure Internet, achieved through a multi-stakeholder approach to Internet governance that is inclusive, consensus-based, transparent and accountable. </w:t>
      </w:r>
      <w:r>
        <w:rPr>
          <w:rFonts w:ascii="Calibri" w:hAnsi="Calibri" w:cs="Calibri"/>
        </w:rPr>
        <w:t>This approach recognises that all stakeholders have a valuable contribution to make to discussions on the management of the internet, and is a proven model for responding to the complex policy and technical challenges that the internet brings.</w:t>
      </w:r>
      <w:r w:rsidRPr="002862BE">
        <w:rPr>
          <w:rFonts w:ascii="Calibri" w:hAnsi="Calibri" w:cs="Calibri"/>
        </w:rPr>
        <w:t xml:space="preserve"> Australia considers that the multi-stakeholder model of internet governance has been central to the success of the internet to date. The ITU should remain within its current mandate of capacity building measures, developing technical standards, and discussion on internet-related public policy issues. This is where it is most effective and can make a valuable contribution towards the goal of an inclusive information society.</w:t>
      </w:r>
    </w:p>
    <w:p w:rsidR="00F9616F" w:rsidRDefault="00F9616F" w:rsidP="00F9616F">
      <w:pPr>
        <w:keepLines/>
        <w:rPr>
          <w:rFonts w:ascii="Calibri" w:hAnsi="Calibri" w:cs="Calibri"/>
        </w:rPr>
      </w:pPr>
      <w:r w:rsidRPr="001950EA">
        <w:rPr>
          <w:rFonts w:ascii="Calibri" w:hAnsi="Calibri" w:cs="Calibri"/>
        </w:rPr>
        <w:t xml:space="preserve">The Council Working Group on international internet-related public policy issues has been the centre of robust discussion for a number of years </w:t>
      </w:r>
      <w:r>
        <w:rPr>
          <w:rFonts w:ascii="Calibri" w:hAnsi="Calibri" w:cs="Calibri"/>
        </w:rPr>
        <w:t xml:space="preserve">and its terms of reference </w:t>
      </w:r>
      <w:r w:rsidRPr="001950EA">
        <w:rPr>
          <w:rFonts w:ascii="Calibri" w:hAnsi="Calibri" w:cs="Calibri"/>
        </w:rPr>
        <w:t xml:space="preserve">will be a </w:t>
      </w:r>
      <w:r>
        <w:rPr>
          <w:rFonts w:ascii="Calibri" w:hAnsi="Calibri" w:cs="Calibri"/>
        </w:rPr>
        <w:t>contentious</w:t>
      </w:r>
      <w:r w:rsidRPr="001950EA">
        <w:rPr>
          <w:rFonts w:ascii="Calibri" w:hAnsi="Calibri" w:cs="Calibri"/>
        </w:rPr>
        <w:t xml:space="preserve"> issue at PP-18.</w:t>
      </w:r>
      <w:r>
        <w:rPr>
          <w:rFonts w:ascii="Calibri" w:hAnsi="Calibri" w:cs="Calibri"/>
        </w:rPr>
        <w:t xml:space="preserve"> This group</w:t>
      </w:r>
      <w:r w:rsidRPr="001950EA">
        <w:rPr>
          <w:rFonts w:ascii="Calibri" w:hAnsi="Calibri" w:cs="Calibri"/>
        </w:rPr>
        <w:t xml:space="preserve"> is open to Member States only, with the open consultations open to all stakeholders. </w:t>
      </w:r>
      <w:r>
        <w:rPr>
          <w:rFonts w:ascii="Calibri" w:hAnsi="Calibri" w:cs="Calibri"/>
        </w:rPr>
        <w:t>Its role is</w:t>
      </w:r>
      <w:r w:rsidRPr="001950EA">
        <w:rPr>
          <w:rFonts w:ascii="Calibri" w:hAnsi="Calibri" w:cs="Calibri"/>
        </w:rPr>
        <w:t xml:space="preserve"> to identify, study and develop matters related to Internet international public policy issues. </w:t>
      </w:r>
      <w:r>
        <w:rPr>
          <w:rFonts w:ascii="Calibri" w:hAnsi="Calibri" w:cs="Calibri"/>
        </w:rPr>
        <w:t>Some Member States push for it to m</w:t>
      </w:r>
      <w:r w:rsidRPr="001950EA">
        <w:rPr>
          <w:rFonts w:ascii="Calibri" w:hAnsi="Calibri" w:cs="Calibri"/>
        </w:rPr>
        <w:t xml:space="preserve">ake </w:t>
      </w:r>
      <w:r>
        <w:rPr>
          <w:rFonts w:ascii="Calibri" w:hAnsi="Calibri" w:cs="Calibri"/>
        </w:rPr>
        <w:t>R</w:t>
      </w:r>
      <w:r w:rsidRPr="001950EA">
        <w:rPr>
          <w:rFonts w:ascii="Calibri" w:hAnsi="Calibri" w:cs="Calibri"/>
        </w:rPr>
        <w:t xml:space="preserve">ecommendations on public policy issues. </w:t>
      </w:r>
      <w:r>
        <w:rPr>
          <w:rFonts w:ascii="Calibri" w:hAnsi="Calibri" w:cs="Calibri"/>
        </w:rPr>
        <w:t>For Australia, this</w:t>
      </w:r>
      <w:r w:rsidRPr="00546156">
        <w:rPr>
          <w:rFonts w:ascii="Calibri" w:hAnsi="Calibri" w:cs="Calibri"/>
        </w:rPr>
        <w:t xml:space="preserve"> would </w:t>
      </w:r>
      <w:r>
        <w:rPr>
          <w:rFonts w:ascii="Calibri" w:hAnsi="Calibri" w:cs="Calibri"/>
        </w:rPr>
        <w:t>represent</w:t>
      </w:r>
      <w:r w:rsidRPr="00546156">
        <w:rPr>
          <w:rFonts w:ascii="Calibri" w:hAnsi="Calibri" w:cs="Calibri"/>
        </w:rPr>
        <w:t xml:space="preserve"> a step towards the ITU becoming a global Internet regulator.</w:t>
      </w:r>
    </w:p>
    <w:p w:rsidR="00F9616F" w:rsidRPr="000302DC" w:rsidRDefault="00F9616F" w:rsidP="00F9616F">
      <w:pPr>
        <w:rPr>
          <w:rFonts w:ascii="Calibri" w:hAnsi="Calibri" w:cs="Calibri"/>
        </w:rPr>
      </w:pPr>
      <w:r>
        <w:rPr>
          <w:rFonts w:ascii="Calibri" w:hAnsi="Calibri" w:cs="Calibri"/>
        </w:rPr>
        <w:t xml:space="preserve">For further information on Australia’s approach to internet governance, please refer to </w:t>
      </w:r>
      <w:hyperlink r:id="rId24" w:history="1">
        <w:r w:rsidRPr="007C06E6">
          <w:rPr>
            <w:rStyle w:val="Hyperlink"/>
            <w:rFonts w:ascii="Calibri" w:hAnsi="Calibri" w:cs="Calibri"/>
            <w:i/>
          </w:rPr>
          <w:t>Australia’s International Cyber Engagement Strategy</w:t>
        </w:r>
      </w:hyperlink>
      <w:r>
        <w:rPr>
          <w:rFonts w:ascii="Calibri" w:hAnsi="Calibri" w:cs="Calibri"/>
        </w:rPr>
        <w:t>.</w:t>
      </w:r>
    </w:p>
    <w:p w:rsidR="00F9616F" w:rsidRPr="00C240AE" w:rsidRDefault="00F9616F" w:rsidP="00F9616F">
      <w:pPr>
        <w:pStyle w:val="Heading3"/>
        <w:rPr>
          <w:lang w:val="en-US"/>
        </w:rPr>
      </w:pPr>
      <w:bookmarkStart w:id="37" w:name="_Toc515977866"/>
      <w:bookmarkStart w:id="38" w:name="_Toc515983872"/>
      <w:r>
        <w:rPr>
          <w:lang w:val="en-US"/>
        </w:rPr>
        <w:t>c. Cyber security</w:t>
      </w:r>
      <w:bookmarkEnd w:id="37"/>
      <w:bookmarkEnd w:id="38"/>
    </w:p>
    <w:p w:rsidR="00F9616F" w:rsidRDefault="00F9616F" w:rsidP="00F9616F">
      <w:pPr>
        <w:autoSpaceDE w:val="0"/>
        <w:autoSpaceDN w:val="0"/>
        <w:adjustRightInd w:val="0"/>
        <w:rPr>
          <w:rFonts w:ascii="Calibri" w:hAnsi="Calibri" w:cs="Calibri"/>
          <w:bCs/>
        </w:rPr>
      </w:pPr>
      <w:r>
        <w:rPr>
          <w:rFonts w:ascii="Calibri" w:hAnsi="Calibri" w:cs="Calibri"/>
          <w:bCs/>
        </w:rPr>
        <w:t xml:space="preserve">Cyber security is an increasing and contested topic of discussion at the ITU, given the high demands for cyber security worldwide, and forum-shopping of countries seeking to win support for measures designed to constrain the openness, freedom and security of the Internet. Currently, </w:t>
      </w:r>
      <w:r w:rsidRPr="000302DC">
        <w:rPr>
          <w:rFonts w:ascii="Calibri" w:hAnsi="Calibri" w:cs="Calibri"/>
          <w:bCs/>
        </w:rPr>
        <w:t>Resolution 130</w:t>
      </w:r>
      <w:r>
        <w:rPr>
          <w:rFonts w:ascii="Calibri" w:hAnsi="Calibri" w:cs="Calibri"/>
          <w:bCs/>
        </w:rPr>
        <w:t xml:space="preserve"> (Rev. Busan, 2014)</w:t>
      </w:r>
      <w:r w:rsidRPr="000302DC">
        <w:rPr>
          <w:rStyle w:val="FootnoteReference"/>
          <w:rFonts w:ascii="Calibri" w:hAnsi="Calibri" w:cs="Calibri"/>
          <w:bCs/>
        </w:rPr>
        <w:footnoteReference w:id="1"/>
      </w:r>
      <w:r w:rsidRPr="000302DC">
        <w:rPr>
          <w:rFonts w:ascii="Calibri" w:hAnsi="Calibri" w:cs="Calibri"/>
          <w:bCs/>
        </w:rPr>
        <w:t xml:space="preserve"> </w:t>
      </w:r>
      <w:r>
        <w:rPr>
          <w:rFonts w:ascii="Calibri" w:hAnsi="Calibri" w:cs="Calibri"/>
          <w:bCs/>
        </w:rPr>
        <w:t xml:space="preserve">allows the </w:t>
      </w:r>
      <w:r w:rsidRPr="000302DC">
        <w:rPr>
          <w:rFonts w:ascii="Calibri" w:hAnsi="Calibri" w:cs="Calibri"/>
          <w:bCs/>
        </w:rPr>
        <w:t>ITU</w:t>
      </w:r>
      <w:r>
        <w:rPr>
          <w:rFonts w:ascii="Calibri" w:hAnsi="Calibri" w:cs="Calibri"/>
          <w:bCs/>
        </w:rPr>
        <w:t xml:space="preserve"> to focus its</w:t>
      </w:r>
      <w:r w:rsidRPr="000302DC">
        <w:rPr>
          <w:rFonts w:ascii="Calibri" w:hAnsi="Calibri" w:cs="Calibri"/>
          <w:bCs/>
        </w:rPr>
        <w:t xml:space="preserve"> resources and programs on areas of cyber</w:t>
      </w:r>
      <w:r>
        <w:rPr>
          <w:rFonts w:ascii="Calibri" w:hAnsi="Calibri" w:cs="Calibri"/>
          <w:bCs/>
        </w:rPr>
        <w:t xml:space="preserve"> </w:t>
      </w:r>
      <w:r w:rsidRPr="000302DC">
        <w:rPr>
          <w:rFonts w:ascii="Calibri" w:hAnsi="Calibri" w:cs="Calibri"/>
          <w:bCs/>
        </w:rPr>
        <w:t>security</w:t>
      </w:r>
      <w:r>
        <w:rPr>
          <w:rFonts w:ascii="Calibri" w:hAnsi="Calibri" w:cs="Calibri"/>
          <w:bCs/>
        </w:rPr>
        <w:t xml:space="preserve"> if they fall</w:t>
      </w:r>
      <w:r w:rsidRPr="000302DC">
        <w:rPr>
          <w:rFonts w:ascii="Calibri" w:hAnsi="Calibri" w:cs="Calibri"/>
          <w:bCs/>
        </w:rPr>
        <w:t xml:space="preserve"> with</w:t>
      </w:r>
      <w:r>
        <w:rPr>
          <w:rFonts w:ascii="Calibri" w:hAnsi="Calibri" w:cs="Calibri"/>
          <w:bCs/>
        </w:rPr>
        <w:t>in</w:t>
      </w:r>
      <w:r w:rsidRPr="000302DC">
        <w:rPr>
          <w:rFonts w:ascii="Calibri" w:hAnsi="Calibri" w:cs="Calibri"/>
          <w:bCs/>
        </w:rPr>
        <w:t xml:space="preserve"> its mandate and expertise</w:t>
      </w:r>
      <w:r>
        <w:rPr>
          <w:rFonts w:ascii="Calibri" w:hAnsi="Calibri" w:cs="Calibri"/>
          <w:bCs/>
        </w:rPr>
        <w:t>, notably around</w:t>
      </w:r>
      <w:r>
        <w:rPr>
          <w:rFonts w:ascii="Calibri" w:eastAsia="Calibri" w:hAnsi="Calibri" w:cs="Calibri"/>
          <w:color w:val="231F20"/>
          <w:lang w:eastAsia="en-US"/>
        </w:rPr>
        <w:t xml:space="preserve"> capacity building and technical assistance. Under the resolution, l</w:t>
      </w:r>
      <w:r w:rsidRPr="000302DC">
        <w:rPr>
          <w:rFonts w:ascii="Calibri" w:hAnsi="Calibri" w:cs="Calibri"/>
        </w:rPr>
        <w:t xml:space="preserve">egal </w:t>
      </w:r>
      <w:r>
        <w:rPr>
          <w:rFonts w:ascii="Calibri" w:hAnsi="Calibri" w:cs="Calibri"/>
        </w:rPr>
        <w:t>and</w:t>
      </w:r>
      <w:r w:rsidRPr="000302DC">
        <w:rPr>
          <w:rFonts w:ascii="Calibri" w:hAnsi="Calibri" w:cs="Calibri"/>
        </w:rPr>
        <w:t xml:space="preserve"> policy principles on national defence, national security, content and cybercrime </w:t>
      </w:r>
      <w:r>
        <w:rPr>
          <w:rFonts w:ascii="Calibri" w:hAnsi="Calibri" w:cs="Calibri"/>
        </w:rPr>
        <w:t>are</w:t>
      </w:r>
      <w:r w:rsidRPr="000302DC">
        <w:rPr>
          <w:rFonts w:ascii="Calibri" w:hAnsi="Calibri" w:cs="Calibri"/>
        </w:rPr>
        <w:t xml:space="preserve"> outside </w:t>
      </w:r>
      <w:r>
        <w:rPr>
          <w:rFonts w:ascii="Calibri" w:hAnsi="Calibri" w:cs="Calibri"/>
        </w:rPr>
        <w:t xml:space="preserve">the </w:t>
      </w:r>
      <w:r w:rsidRPr="000302DC">
        <w:rPr>
          <w:rFonts w:ascii="Calibri" w:hAnsi="Calibri" w:cs="Calibri"/>
        </w:rPr>
        <w:t>mandate of the ITU.</w:t>
      </w:r>
      <w:r>
        <w:rPr>
          <w:rFonts w:ascii="Calibri" w:hAnsi="Calibri" w:cs="Calibri"/>
        </w:rPr>
        <w:t xml:space="preserve"> Australia resists efforts to expand the ITU’s mandate into areas in which it does not have the expertise or resources, or which duplicate the work of other bodies.</w:t>
      </w:r>
    </w:p>
    <w:p w:rsidR="00F9616F" w:rsidRPr="000302DC" w:rsidRDefault="00F9616F" w:rsidP="00F9616F">
      <w:pPr>
        <w:autoSpaceDE w:val="0"/>
        <w:autoSpaceDN w:val="0"/>
        <w:adjustRightInd w:val="0"/>
        <w:rPr>
          <w:rFonts w:ascii="Calibri" w:hAnsi="Calibri" w:cs="Calibri"/>
          <w:bCs/>
        </w:rPr>
      </w:pPr>
      <w:r w:rsidRPr="000302DC">
        <w:rPr>
          <w:rFonts w:ascii="Calibri" w:hAnsi="Calibri" w:cs="Calibri"/>
          <w:bCs/>
        </w:rPr>
        <w:t>Cyber</w:t>
      </w:r>
      <w:r>
        <w:rPr>
          <w:rFonts w:ascii="Calibri" w:hAnsi="Calibri" w:cs="Calibri"/>
          <w:bCs/>
        </w:rPr>
        <w:t xml:space="preserve"> </w:t>
      </w:r>
      <w:r w:rsidRPr="000302DC">
        <w:rPr>
          <w:rFonts w:ascii="Calibri" w:hAnsi="Calibri" w:cs="Calibri"/>
          <w:bCs/>
        </w:rPr>
        <w:t xml:space="preserve">security </w:t>
      </w:r>
      <w:r>
        <w:rPr>
          <w:rFonts w:ascii="Calibri" w:hAnsi="Calibri" w:cs="Calibri"/>
          <w:bCs/>
        </w:rPr>
        <w:t>is an issue</w:t>
      </w:r>
      <w:r w:rsidRPr="0041247D">
        <w:rPr>
          <w:rFonts w:ascii="Calibri" w:hAnsi="Calibri" w:cs="Calibri"/>
          <w:bCs/>
        </w:rPr>
        <w:t xml:space="preserve"> </w:t>
      </w:r>
      <w:r>
        <w:rPr>
          <w:rFonts w:ascii="Calibri" w:hAnsi="Calibri" w:cs="Calibri"/>
          <w:bCs/>
        </w:rPr>
        <w:t xml:space="preserve">that continues to be revisited </w:t>
      </w:r>
      <w:r w:rsidRPr="0041247D">
        <w:rPr>
          <w:rFonts w:ascii="Calibri" w:hAnsi="Calibri" w:cs="Calibri"/>
          <w:bCs/>
        </w:rPr>
        <w:t>at Council meetings</w:t>
      </w:r>
      <w:r>
        <w:rPr>
          <w:rFonts w:ascii="Calibri" w:hAnsi="Calibri" w:cs="Calibri"/>
          <w:bCs/>
        </w:rPr>
        <w:t xml:space="preserve"> and</w:t>
      </w:r>
      <w:r w:rsidRPr="0041247D">
        <w:rPr>
          <w:rFonts w:ascii="Calibri" w:hAnsi="Calibri" w:cs="Calibri"/>
          <w:bCs/>
        </w:rPr>
        <w:t xml:space="preserve"> </w:t>
      </w:r>
      <w:r>
        <w:rPr>
          <w:rFonts w:ascii="Calibri" w:hAnsi="Calibri" w:cs="Calibri"/>
          <w:bCs/>
        </w:rPr>
        <w:t>Council Working Groups,</w:t>
      </w:r>
      <w:r w:rsidRPr="0041247D">
        <w:rPr>
          <w:rFonts w:ascii="Calibri" w:hAnsi="Calibri" w:cs="Calibri"/>
          <w:bCs/>
        </w:rPr>
        <w:t xml:space="preserve"> and </w:t>
      </w:r>
      <w:r>
        <w:rPr>
          <w:rFonts w:ascii="Calibri" w:hAnsi="Calibri" w:cs="Calibri"/>
          <w:bCs/>
        </w:rPr>
        <w:t xml:space="preserve">proved very contentious at the 2017 WTDC. The issue </w:t>
      </w:r>
      <w:r w:rsidRPr="0041247D">
        <w:rPr>
          <w:rFonts w:ascii="Calibri" w:hAnsi="Calibri" w:cs="Calibri"/>
          <w:bCs/>
        </w:rPr>
        <w:t>sometimes tak</w:t>
      </w:r>
      <w:r>
        <w:rPr>
          <w:rFonts w:ascii="Calibri" w:hAnsi="Calibri" w:cs="Calibri"/>
          <w:bCs/>
        </w:rPr>
        <w:t>es</w:t>
      </w:r>
      <w:r w:rsidRPr="0041247D">
        <w:rPr>
          <w:rFonts w:ascii="Calibri" w:hAnsi="Calibri" w:cs="Calibri"/>
          <w:bCs/>
        </w:rPr>
        <w:t xml:space="preserve"> the form of other policy measures </w:t>
      </w:r>
      <w:r>
        <w:rPr>
          <w:rFonts w:ascii="Calibri" w:hAnsi="Calibri" w:cs="Calibri"/>
          <w:bCs/>
        </w:rPr>
        <w:t xml:space="preserve">which are </w:t>
      </w:r>
      <w:r w:rsidRPr="0041247D">
        <w:rPr>
          <w:rFonts w:ascii="Calibri" w:hAnsi="Calibri" w:cs="Calibri"/>
          <w:bCs/>
        </w:rPr>
        <w:t>intended to leave the door open to mandate creep.</w:t>
      </w:r>
      <w:r>
        <w:rPr>
          <w:rFonts w:ascii="Calibri" w:hAnsi="Calibri" w:cs="Calibri"/>
          <w:bCs/>
        </w:rPr>
        <w:t xml:space="preserve"> At PP-18, it is anticipated that there will be proposals to revise Resolution 130 to provide the ITU with an expanded role as well as a strong push for </w:t>
      </w:r>
      <w:r w:rsidRPr="000302DC">
        <w:rPr>
          <w:rFonts w:ascii="Calibri" w:hAnsi="Calibri" w:cs="Calibri"/>
          <w:bCs/>
        </w:rPr>
        <w:t xml:space="preserve">the ITU </w:t>
      </w:r>
      <w:r>
        <w:rPr>
          <w:rFonts w:ascii="Calibri" w:hAnsi="Calibri" w:cs="Calibri"/>
          <w:bCs/>
        </w:rPr>
        <w:t>to</w:t>
      </w:r>
      <w:r w:rsidRPr="000302DC">
        <w:rPr>
          <w:rFonts w:ascii="Calibri" w:hAnsi="Calibri" w:cs="Calibri"/>
          <w:bCs/>
        </w:rPr>
        <w:t xml:space="preserve"> develop an international agreement on cyber security. </w:t>
      </w:r>
      <w:r>
        <w:rPr>
          <w:rFonts w:ascii="Calibri" w:hAnsi="Calibri" w:cs="Calibri"/>
          <w:bCs/>
        </w:rPr>
        <w:t xml:space="preserve">These proposals will be divisive, and Australia will resist them in line with our commitment through the International Cyber Engagement Strategy, to oppose agreements that bring governance and technical management of the Internet, including cyber security, under the control of governments or the international system. </w:t>
      </w:r>
    </w:p>
    <w:p w:rsidR="00F9616F" w:rsidRPr="00C240AE" w:rsidRDefault="00F9616F" w:rsidP="00F9616F">
      <w:pPr>
        <w:pStyle w:val="Heading3"/>
      </w:pPr>
      <w:bookmarkStart w:id="39" w:name="_Toc515977867"/>
      <w:bookmarkStart w:id="40" w:name="_Toc515983873"/>
      <w:r>
        <w:t xml:space="preserve">d. </w:t>
      </w:r>
      <w:r w:rsidRPr="000302DC">
        <w:t>Strategic and Financial plans</w:t>
      </w:r>
      <w:bookmarkEnd w:id="39"/>
      <w:bookmarkEnd w:id="40"/>
    </w:p>
    <w:p w:rsidR="00F9616F" w:rsidRPr="000302DC" w:rsidRDefault="00F9616F" w:rsidP="00F9616F">
      <w:pPr>
        <w:rPr>
          <w:rFonts w:ascii="Calibri" w:hAnsi="Calibri" w:cs="Calibri"/>
          <w:color w:val="000000"/>
        </w:rPr>
      </w:pPr>
      <w:bookmarkStart w:id="41" w:name="_Toc351973508"/>
      <w:bookmarkStart w:id="42" w:name="_Toc356381578"/>
      <w:r w:rsidRPr="000302DC">
        <w:rPr>
          <w:rFonts w:ascii="Calibri" w:hAnsi="Calibri" w:cs="Calibri"/>
          <w:color w:val="000000"/>
        </w:rPr>
        <w:t>Council 201</w:t>
      </w:r>
      <w:r>
        <w:rPr>
          <w:rFonts w:ascii="Calibri" w:hAnsi="Calibri" w:cs="Calibri"/>
          <w:color w:val="000000"/>
        </w:rPr>
        <w:t>7</w:t>
      </w:r>
      <w:r w:rsidRPr="000302DC">
        <w:rPr>
          <w:rFonts w:ascii="Calibri" w:hAnsi="Calibri" w:cs="Calibri"/>
          <w:color w:val="000000"/>
        </w:rPr>
        <w:t xml:space="preserve"> decided to establish a working group open to both Member States and Sector Members to contribute to drafting the Strategic Plan and the Financial Plan for the period 20</w:t>
      </w:r>
      <w:r>
        <w:rPr>
          <w:rFonts w:ascii="Calibri" w:hAnsi="Calibri" w:cs="Calibri"/>
          <w:color w:val="000000"/>
        </w:rPr>
        <w:t>20</w:t>
      </w:r>
      <w:r w:rsidRPr="000302DC">
        <w:rPr>
          <w:rFonts w:ascii="Calibri" w:hAnsi="Calibri" w:cs="Calibri"/>
          <w:color w:val="000000"/>
        </w:rPr>
        <w:noBreakHyphen/>
        <w:t>20</w:t>
      </w:r>
      <w:r>
        <w:rPr>
          <w:rFonts w:ascii="Calibri" w:hAnsi="Calibri" w:cs="Calibri"/>
          <w:color w:val="000000"/>
        </w:rPr>
        <w:t>23</w:t>
      </w:r>
      <w:r w:rsidRPr="000302DC">
        <w:rPr>
          <w:rFonts w:ascii="Calibri" w:hAnsi="Calibri" w:cs="Calibri"/>
          <w:color w:val="000000"/>
        </w:rPr>
        <w:t xml:space="preserve">. These draft plans </w:t>
      </w:r>
      <w:r>
        <w:rPr>
          <w:rFonts w:ascii="Calibri" w:hAnsi="Calibri" w:cs="Calibri"/>
          <w:color w:val="000000"/>
        </w:rPr>
        <w:t>were</w:t>
      </w:r>
      <w:r w:rsidRPr="000302DC">
        <w:rPr>
          <w:rFonts w:ascii="Calibri" w:hAnsi="Calibri" w:cs="Calibri"/>
          <w:color w:val="000000"/>
        </w:rPr>
        <w:t xml:space="preserve"> considered by the 201</w:t>
      </w:r>
      <w:r>
        <w:rPr>
          <w:rFonts w:ascii="Calibri" w:hAnsi="Calibri" w:cs="Calibri"/>
          <w:color w:val="000000"/>
        </w:rPr>
        <w:t>8</w:t>
      </w:r>
      <w:r w:rsidRPr="000302DC">
        <w:rPr>
          <w:rFonts w:ascii="Calibri" w:hAnsi="Calibri" w:cs="Calibri"/>
          <w:color w:val="000000"/>
        </w:rPr>
        <w:t xml:space="preserve"> session of Council and submitted to PP-1</w:t>
      </w:r>
      <w:r>
        <w:rPr>
          <w:rFonts w:ascii="Calibri" w:hAnsi="Calibri" w:cs="Calibri"/>
          <w:color w:val="000000"/>
        </w:rPr>
        <w:t>8</w:t>
      </w:r>
      <w:r w:rsidRPr="000302DC">
        <w:rPr>
          <w:rFonts w:ascii="Calibri" w:hAnsi="Calibri" w:cs="Calibri"/>
          <w:color w:val="000000"/>
        </w:rPr>
        <w:t xml:space="preserve">. It will be important to ensure these plans prioritise ITU activities against available budgetary resources, </w:t>
      </w:r>
      <w:r>
        <w:rPr>
          <w:rFonts w:ascii="Calibri" w:hAnsi="Calibri" w:cs="Calibri"/>
          <w:color w:val="000000"/>
        </w:rPr>
        <w:t xml:space="preserve">avoid duplicating work that other organisations are already undertaking and better placed to deliver, </w:t>
      </w:r>
      <w:r w:rsidRPr="000302DC">
        <w:rPr>
          <w:rFonts w:ascii="Calibri" w:hAnsi="Calibri" w:cs="Calibri"/>
          <w:color w:val="000000"/>
        </w:rPr>
        <w:t>allocate adequate funding to major ITU meetings, and identify appropriate key performance indicators</w:t>
      </w:r>
      <w:r>
        <w:rPr>
          <w:rFonts w:ascii="Calibri" w:hAnsi="Calibri" w:cs="Calibri"/>
          <w:color w:val="000000"/>
        </w:rPr>
        <w:t>.</w:t>
      </w:r>
    </w:p>
    <w:p w:rsidR="00F9616F" w:rsidRPr="00C240AE" w:rsidRDefault="00F9616F" w:rsidP="00F9616F">
      <w:pPr>
        <w:pStyle w:val="Heading3"/>
      </w:pPr>
      <w:bookmarkStart w:id="43" w:name="_Toc515977868"/>
      <w:bookmarkStart w:id="44" w:name="_Toc515983874"/>
      <w:r>
        <w:t>e. R</w:t>
      </w:r>
      <w:r w:rsidRPr="000302DC">
        <w:t xml:space="preserve">eview of the </w:t>
      </w:r>
      <w:bookmarkEnd w:id="41"/>
      <w:r w:rsidRPr="000302DC">
        <w:t>ITRs</w:t>
      </w:r>
      <w:bookmarkEnd w:id="42"/>
      <w:bookmarkEnd w:id="43"/>
      <w:bookmarkEnd w:id="44"/>
    </w:p>
    <w:p w:rsidR="00F9616F" w:rsidRDefault="00F9616F" w:rsidP="00F9616F">
      <w:pPr>
        <w:rPr>
          <w:rFonts w:ascii="Calibri" w:hAnsi="Calibri" w:cs="Calibri"/>
        </w:rPr>
      </w:pPr>
      <w:r w:rsidRPr="00366E4F">
        <w:rPr>
          <w:rFonts w:ascii="Calibri" w:hAnsi="Calibri" w:cs="Calibri"/>
        </w:rPr>
        <w:t>The ITRs is a treaty level document intended to facilitate international interconnection and interoperability of information and communication services, as well as ensuring their efficiency and widespread public usef</w:t>
      </w:r>
      <w:r>
        <w:rPr>
          <w:rFonts w:ascii="Calibri" w:hAnsi="Calibri" w:cs="Calibri"/>
        </w:rPr>
        <w:t>ulness and availability.</w:t>
      </w:r>
    </w:p>
    <w:p w:rsidR="00F9616F" w:rsidRPr="00366E4F" w:rsidRDefault="00F9616F" w:rsidP="00F9616F">
      <w:pPr>
        <w:rPr>
          <w:rFonts w:ascii="Calibri" w:hAnsi="Calibri" w:cs="Calibri"/>
        </w:rPr>
      </w:pPr>
      <w:r>
        <w:rPr>
          <w:rFonts w:ascii="Calibri" w:hAnsi="Calibri" w:cs="Calibri"/>
        </w:rPr>
        <w:t xml:space="preserve">A </w:t>
      </w:r>
      <w:r w:rsidRPr="002B4745">
        <w:rPr>
          <w:rFonts w:ascii="Calibri" w:hAnsi="Calibri" w:cs="Calibri"/>
        </w:rPr>
        <w:t>WCIT was convened in 2012 to review the ITRs. It considered and agree</w:t>
      </w:r>
      <w:r>
        <w:rPr>
          <w:rFonts w:ascii="Calibri" w:hAnsi="Calibri" w:cs="Calibri"/>
        </w:rPr>
        <w:t xml:space="preserve">d revisions of the 1988 ITRs but failed </w:t>
      </w:r>
      <w:r w:rsidRPr="002B4745">
        <w:rPr>
          <w:rFonts w:ascii="Calibri" w:hAnsi="Calibri" w:cs="Calibri"/>
        </w:rPr>
        <w:t>to reach consensus. The final treaty text did not align with Australia’s objectives for the Conference because it placed issues related to internet governance into a negotiated set of international rules. Australia was one of 55 Member States present at the WCIT that did not sign the Final Acts of the Conference (89 co</w:t>
      </w:r>
      <w:r>
        <w:rPr>
          <w:rFonts w:ascii="Calibri" w:hAnsi="Calibri" w:cs="Calibri"/>
        </w:rPr>
        <w:t xml:space="preserve">untries signed the final acts </w:t>
      </w:r>
      <w:r w:rsidRPr="002B4745">
        <w:rPr>
          <w:rFonts w:ascii="Calibri" w:hAnsi="Calibri" w:cs="Calibri"/>
        </w:rPr>
        <w:t>and 49 Member States did not attend).</w:t>
      </w:r>
    </w:p>
    <w:p w:rsidR="00F9616F" w:rsidRDefault="00F9616F" w:rsidP="00F9616F">
      <w:pPr>
        <w:rPr>
          <w:rFonts w:ascii="Calibri" w:hAnsi="Calibri" w:cs="Calibri"/>
        </w:rPr>
      </w:pPr>
      <w:r w:rsidRPr="00366E4F">
        <w:rPr>
          <w:rFonts w:ascii="Calibri" w:hAnsi="Calibri" w:cs="Calibri"/>
        </w:rPr>
        <w:t>Resolution 146 (Rev. Busan, 2014) provides for the periodic review of the ITRs. In accordance with this resolution, the ITU Council, at its 2016 Session, created an Expert Group on the International Telecommunication Regulations (EG</w:t>
      </w:r>
      <w:r w:rsidRPr="00366E4F">
        <w:rPr>
          <w:rFonts w:ascii="Cambria Math" w:hAnsi="Cambria Math" w:cs="Cambria Math"/>
        </w:rPr>
        <w:t>‑</w:t>
      </w:r>
      <w:r w:rsidRPr="00366E4F">
        <w:rPr>
          <w:rFonts w:ascii="Calibri" w:hAnsi="Calibri" w:cs="Calibri"/>
        </w:rPr>
        <w:t>ITRs), open to all Member States and Sector Members. The terms of reference for the group were to examine the 2012 ITRs to determine their applicability, undertake a legal analysis of the 2012 ITRs, and analyse potential conflicts between the 2012 and 198</w:t>
      </w:r>
      <w:r>
        <w:rPr>
          <w:rFonts w:ascii="Calibri" w:hAnsi="Calibri" w:cs="Calibri"/>
        </w:rPr>
        <w:t>8 ITRs.</w:t>
      </w:r>
    </w:p>
    <w:p w:rsidR="00F9616F" w:rsidRDefault="00F9616F" w:rsidP="00F9616F">
      <w:pPr>
        <w:rPr>
          <w:rFonts w:ascii="Calibri" w:hAnsi="Calibri" w:cs="Calibri"/>
        </w:rPr>
      </w:pPr>
      <w:r w:rsidRPr="00366E4F">
        <w:rPr>
          <w:rFonts w:ascii="Calibri" w:hAnsi="Calibri" w:cs="Calibri"/>
        </w:rPr>
        <w:t xml:space="preserve">The </w:t>
      </w:r>
      <w:r>
        <w:rPr>
          <w:rFonts w:ascii="Calibri" w:hAnsi="Calibri" w:cs="Calibri"/>
        </w:rPr>
        <w:t>Department participated in all four meetings of the EG-ITRs. In a contribution to the second meeting, we made our view clear that the ITRs should remain focused on</w:t>
      </w:r>
      <w:r w:rsidRPr="00366E4F">
        <w:t xml:space="preserve"> </w:t>
      </w:r>
      <w:r w:rsidRPr="00366E4F">
        <w:rPr>
          <w:rFonts w:ascii="Calibri" w:hAnsi="Calibri" w:cs="Calibri"/>
        </w:rPr>
        <w:t xml:space="preserve">the interconnection of international telecommunication networks and should not encompass matters such as those relating to the internet. </w:t>
      </w:r>
      <w:r>
        <w:rPr>
          <w:rFonts w:ascii="Calibri" w:hAnsi="Calibri" w:cs="Calibri"/>
        </w:rPr>
        <w:t xml:space="preserve">We also indicated we consider </w:t>
      </w:r>
      <w:r w:rsidRPr="00366E4F">
        <w:rPr>
          <w:rFonts w:ascii="Calibri" w:hAnsi="Calibri" w:cs="Calibri"/>
        </w:rPr>
        <w:t>embar</w:t>
      </w:r>
      <w:r>
        <w:rPr>
          <w:rFonts w:ascii="Calibri" w:hAnsi="Calibri" w:cs="Calibri"/>
        </w:rPr>
        <w:t>king on a revision of the ITRs w</w:t>
      </w:r>
      <w:r w:rsidRPr="00366E4F">
        <w:rPr>
          <w:rFonts w:ascii="Calibri" w:hAnsi="Calibri" w:cs="Calibri"/>
        </w:rPr>
        <w:t xml:space="preserve">ould </w:t>
      </w:r>
      <w:r>
        <w:rPr>
          <w:rFonts w:ascii="Calibri" w:hAnsi="Calibri" w:cs="Calibri"/>
        </w:rPr>
        <w:t>draw</w:t>
      </w:r>
      <w:r w:rsidRPr="00366E4F">
        <w:rPr>
          <w:rFonts w:ascii="Calibri" w:hAnsi="Calibri" w:cs="Calibri"/>
        </w:rPr>
        <w:t xml:space="preserve"> valuable ITU and member resources from other priority areas</w:t>
      </w:r>
      <w:r>
        <w:rPr>
          <w:rFonts w:ascii="Calibri" w:hAnsi="Calibri" w:cs="Calibri"/>
        </w:rPr>
        <w:t>.</w:t>
      </w:r>
    </w:p>
    <w:p w:rsidR="00F9616F" w:rsidRDefault="00F9616F" w:rsidP="00F9616F">
      <w:pPr>
        <w:rPr>
          <w:rFonts w:ascii="Calibri" w:hAnsi="Calibri" w:cs="Calibri"/>
        </w:rPr>
      </w:pPr>
      <w:r>
        <w:rPr>
          <w:rFonts w:ascii="Calibri" w:hAnsi="Calibri" w:cs="Calibri"/>
        </w:rPr>
        <w:t>The final report of EG-ITRs was presented to</w:t>
      </w:r>
      <w:r w:rsidRPr="00366E4F">
        <w:rPr>
          <w:rFonts w:ascii="Calibri" w:hAnsi="Calibri" w:cs="Calibri"/>
        </w:rPr>
        <w:t xml:space="preserve"> Council 2018. The report reveals divergent views on the three elements of the terms of reference. Council has transmitted the report to PP-18. </w:t>
      </w:r>
      <w:r>
        <w:rPr>
          <w:rFonts w:ascii="Calibri" w:hAnsi="Calibri" w:cs="Calibri"/>
        </w:rPr>
        <w:t>We anticipate that the revision of the ITRs will be a contentious issue at the Conference, with a strong push to extend the work of the EG-ITRs and potentially to set up a new conference process to revise the ITRs.</w:t>
      </w:r>
    </w:p>
    <w:p w:rsidR="00F9616F" w:rsidRPr="00C240AE" w:rsidRDefault="00F9616F" w:rsidP="00F9616F">
      <w:pPr>
        <w:pStyle w:val="Heading3"/>
      </w:pPr>
      <w:bookmarkStart w:id="45" w:name="_Toc515977869"/>
      <w:bookmarkStart w:id="46" w:name="_Toc515983875"/>
      <w:r>
        <w:t xml:space="preserve">f. </w:t>
      </w:r>
      <w:r w:rsidRPr="00C240AE">
        <w:t>Sustainable Development Goals</w:t>
      </w:r>
      <w:bookmarkEnd w:id="45"/>
      <w:bookmarkEnd w:id="46"/>
    </w:p>
    <w:p w:rsidR="00F9616F" w:rsidRDefault="00F9616F" w:rsidP="00F9616F">
      <w:pPr>
        <w:rPr>
          <w:rFonts w:ascii="Calibri" w:hAnsi="Calibri" w:cs="Calibri"/>
        </w:rPr>
      </w:pPr>
      <w:r w:rsidRPr="00823E35">
        <w:rPr>
          <w:rFonts w:ascii="Calibri" w:hAnsi="Calibri" w:cs="Calibri"/>
        </w:rPr>
        <w:t>The</w:t>
      </w:r>
      <w:r>
        <w:rPr>
          <w:rFonts w:ascii="Calibri" w:hAnsi="Calibri" w:cs="Calibri"/>
        </w:rPr>
        <w:t xml:space="preserve"> 17</w:t>
      </w:r>
      <w:r w:rsidRPr="00823E35">
        <w:rPr>
          <w:rFonts w:ascii="Calibri" w:hAnsi="Calibri" w:cs="Calibri"/>
        </w:rPr>
        <w:t xml:space="preserve"> </w:t>
      </w:r>
      <w:r>
        <w:rPr>
          <w:rFonts w:ascii="Calibri" w:hAnsi="Calibri" w:cs="Calibri"/>
        </w:rPr>
        <w:t>Sustainable Development Goals (SDGs) of the 2030 Agenda for Sustainable Development build on the Millennium Development Goals. This new United Nations agenda aspires to end poverty, protect the planet and ensure prosperity for all. The</w:t>
      </w:r>
      <w:r w:rsidRPr="00823E35">
        <w:rPr>
          <w:rFonts w:ascii="Calibri" w:hAnsi="Calibri" w:cs="Calibri"/>
        </w:rPr>
        <w:t xml:space="preserve"> agenda recognises digital technologies as important for ending poverty, expanding access to quality education, achieving gender equality and social inclusion, promoting inclusive economic growth, improving health outcomes and suppor</w:t>
      </w:r>
      <w:r>
        <w:rPr>
          <w:rFonts w:ascii="Calibri" w:hAnsi="Calibri" w:cs="Calibri"/>
        </w:rPr>
        <w:t>ting cross-sectoral innovation.</w:t>
      </w:r>
    </w:p>
    <w:p w:rsidR="00F9616F" w:rsidRPr="00DC3FFF" w:rsidRDefault="00F9616F" w:rsidP="00F9616F">
      <w:pPr>
        <w:rPr>
          <w:rFonts w:ascii="Calibri" w:hAnsi="Calibri" w:cs="Calibri"/>
          <w:highlight w:val="yellow"/>
        </w:rPr>
      </w:pPr>
      <w:r w:rsidRPr="00823E35">
        <w:rPr>
          <w:rFonts w:ascii="Calibri" w:hAnsi="Calibri" w:cs="Calibri"/>
        </w:rPr>
        <w:t xml:space="preserve">Australia recognises ICT will play an important role in achieving the </w:t>
      </w:r>
      <w:r>
        <w:rPr>
          <w:rFonts w:ascii="Calibri" w:hAnsi="Calibri" w:cs="Calibri"/>
        </w:rPr>
        <w:t>SDGs</w:t>
      </w:r>
      <w:r w:rsidRPr="00823E35">
        <w:rPr>
          <w:rFonts w:ascii="Calibri" w:hAnsi="Calibri" w:cs="Calibri"/>
        </w:rPr>
        <w:t>,</w:t>
      </w:r>
      <w:r>
        <w:rPr>
          <w:rFonts w:ascii="Calibri" w:hAnsi="Calibri" w:cs="Calibri"/>
        </w:rPr>
        <w:t xml:space="preserve"> but does not consider that </w:t>
      </w:r>
      <w:r w:rsidRPr="00823E35">
        <w:rPr>
          <w:rFonts w:ascii="Calibri" w:hAnsi="Calibri" w:cs="Calibri"/>
        </w:rPr>
        <w:t xml:space="preserve">the ITU </w:t>
      </w:r>
      <w:r>
        <w:rPr>
          <w:rFonts w:ascii="Calibri" w:hAnsi="Calibri" w:cs="Calibri"/>
        </w:rPr>
        <w:t>should be regarded as</w:t>
      </w:r>
      <w:r w:rsidRPr="00823E35">
        <w:rPr>
          <w:rFonts w:ascii="Calibri" w:hAnsi="Calibri" w:cs="Calibri"/>
        </w:rPr>
        <w:t xml:space="preserve"> the default implementing agency for any activity </w:t>
      </w:r>
      <w:r>
        <w:rPr>
          <w:rFonts w:ascii="Calibri" w:hAnsi="Calibri" w:cs="Calibri"/>
        </w:rPr>
        <w:t xml:space="preserve">involving ICT. </w:t>
      </w:r>
      <w:r w:rsidRPr="002134A1">
        <w:rPr>
          <w:rFonts w:ascii="Calibri" w:hAnsi="Calibri" w:cs="Calibri"/>
        </w:rPr>
        <w:t xml:space="preserve">We are concerned that </w:t>
      </w:r>
      <w:r>
        <w:rPr>
          <w:rFonts w:ascii="Calibri" w:hAnsi="Calibri" w:cs="Calibri"/>
        </w:rPr>
        <w:t>providing an expanded role to the ITU</w:t>
      </w:r>
      <w:r w:rsidRPr="002134A1">
        <w:rPr>
          <w:rFonts w:ascii="Calibri" w:hAnsi="Calibri" w:cs="Calibri"/>
        </w:rPr>
        <w:t xml:space="preserve"> would </w:t>
      </w:r>
      <w:r>
        <w:rPr>
          <w:rFonts w:ascii="Calibri" w:hAnsi="Calibri" w:cs="Calibri"/>
        </w:rPr>
        <w:t>lead to</w:t>
      </w:r>
      <w:r w:rsidRPr="002134A1">
        <w:rPr>
          <w:rFonts w:ascii="Calibri" w:hAnsi="Calibri" w:cs="Calibri"/>
        </w:rPr>
        <w:t xml:space="preserve"> duplication of effective efforts already under way in other organisations (including within the UN)</w:t>
      </w:r>
      <w:r>
        <w:rPr>
          <w:rFonts w:ascii="Calibri" w:hAnsi="Calibri" w:cs="Calibri"/>
        </w:rPr>
        <w:t xml:space="preserve"> and limit the ITU’s effectiveness in delivering </w:t>
      </w:r>
      <w:r w:rsidRPr="002134A1">
        <w:rPr>
          <w:rFonts w:ascii="Calibri" w:hAnsi="Calibri" w:cs="Calibri"/>
        </w:rPr>
        <w:t xml:space="preserve">its </w:t>
      </w:r>
      <w:r>
        <w:rPr>
          <w:rFonts w:ascii="Calibri" w:hAnsi="Calibri" w:cs="Calibri"/>
        </w:rPr>
        <w:t>existing</w:t>
      </w:r>
      <w:r w:rsidRPr="002134A1">
        <w:rPr>
          <w:rFonts w:ascii="Calibri" w:hAnsi="Calibri" w:cs="Calibri"/>
        </w:rPr>
        <w:t xml:space="preserve"> mandate. </w:t>
      </w:r>
      <w:r>
        <w:rPr>
          <w:rFonts w:ascii="Calibri" w:hAnsi="Calibri" w:cs="Calibri"/>
        </w:rPr>
        <w:t>The ITU</w:t>
      </w:r>
      <w:r w:rsidRPr="00823E35">
        <w:rPr>
          <w:rFonts w:ascii="Calibri" w:hAnsi="Calibri" w:cs="Calibri"/>
        </w:rPr>
        <w:t xml:space="preserve"> should remain focused on it</w:t>
      </w:r>
      <w:r>
        <w:rPr>
          <w:rFonts w:ascii="Calibri" w:hAnsi="Calibri" w:cs="Calibri"/>
        </w:rPr>
        <w:t>s core mandate and competencies.</w:t>
      </w:r>
    </w:p>
    <w:p w:rsidR="00F9616F" w:rsidRPr="00C240AE" w:rsidRDefault="00F9616F" w:rsidP="00F9616F">
      <w:pPr>
        <w:pStyle w:val="Heading3"/>
      </w:pPr>
      <w:bookmarkStart w:id="47" w:name="_Toc515977870"/>
      <w:bookmarkStart w:id="48" w:name="_Toc515983876"/>
      <w:r>
        <w:t xml:space="preserve">g. </w:t>
      </w:r>
      <w:r w:rsidRPr="00C240AE">
        <w:t>R</w:t>
      </w:r>
      <w:r>
        <w:t xml:space="preserve">adiocommunication </w:t>
      </w:r>
      <w:r w:rsidRPr="00C240AE">
        <w:t>Sector</w:t>
      </w:r>
      <w:bookmarkEnd w:id="47"/>
      <w:bookmarkEnd w:id="48"/>
    </w:p>
    <w:p w:rsidR="00F9616F" w:rsidRDefault="00F9616F" w:rsidP="00F9616F">
      <w:r>
        <w:t>The radiocommunications related issues expected to be considered by the PP-18 include:</w:t>
      </w:r>
    </w:p>
    <w:p w:rsidR="00F9616F" w:rsidRDefault="00F9616F" w:rsidP="00F9616F">
      <w:pPr>
        <w:pStyle w:val="Bulletlevel1"/>
      </w:pPr>
      <w:r>
        <w:t>discussion of cost recovery for satellite network filings arising from deliberations of the ITU Council</w:t>
      </w:r>
    </w:p>
    <w:p w:rsidR="00F9616F" w:rsidRDefault="00F9616F" w:rsidP="00F9616F">
      <w:pPr>
        <w:pStyle w:val="Bulletlevel1"/>
      </w:pPr>
      <w:r>
        <w:t>reviewing budgetary processes to allocate adequate funds for organising a WRC every three to four years.</w:t>
      </w:r>
    </w:p>
    <w:p w:rsidR="00F9616F" w:rsidRPr="00C240AE" w:rsidRDefault="00F9616F" w:rsidP="00F9616F">
      <w:pPr>
        <w:pStyle w:val="Heading3"/>
      </w:pPr>
      <w:bookmarkStart w:id="49" w:name="_Toc515977871"/>
      <w:bookmarkStart w:id="50" w:name="_Toc515983877"/>
      <w:r>
        <w:t xml:space="preserve">h. </w:t>
      </w:r>
      <w:r w:rsidRPr="00C240AE">
        <w:t>UNDROIT Space Protocol</w:t>
      </w:r>
      <w:bookmarkEnd w:id="49"/>
      <w:bookmarkEnd w:id="50"/>
    </w:p>
    <w:p w:rsidR="00F9616F" w:rsidRDefault="00F9616F" w:rsidP="00F9616F">
      <w:r>
        <w:t xml:space="preserve">PP-18 will be asked to decide whether the </w:t>
      </w:r>
      <w:r w:rsidRPr="00880723">
        <w:t xml:space="preserve">ITU </w:t>
      </w:r>
      <w:r>
        <w:t xml:space="preserve">should accept an invitation </w:t>
      </w:r>
      <w:r w:rsidRPr="00880723">
        <w:t xml:space="preserve">to become the Supervisory Authority for a new system of registering space assets under the </w:t>
      </w:r>
      <w:r>
        <w:t>International Institute for the Unification of Private Law (</w:t>
      </w:r>
      <w:r w:rsidRPr="00880723">
        <w:t>UNIDROIT</w:t>
      </w:r>
      <w:r>
        <w:t>)</w:t>
      </w:r>
      <w:r w:rsidRPr="00880723">
        <w:t xml:space="preserve"> Space Protocol</w:t>
      </w:r>
      <w:r>
        <w:t>.</w:t>
      </w:r>
    </w:p>
    <w:p w:rsidR="00F9616F" w:rsidRPr="00DC3FFF" w:rsidRDefault="00F9616F" w:rsidP="00F9616F">
      <w:r>
        <w:t>This protocol, which is not yet in force, will establish an international registration system for space assets that will be administered by a Registrar. The ITU’s role as the possible Supervisory Authority would be to oversee the Registrar, and as such, its involvement in the implementation of the system would be limited. However, there is a need to consider what the practical, financial and legal implications would be if the ITU were to take on this role, as well as whether this activity is covered by the ITU’s mandate</w:t>
      </w:r>
      <w:bookmarkStart w:id="51" w:name="_Toc351973509"/>
      <w:bookmarkStart w:id="52" w:name="_Toc356381580"/>
      <w:r>
        <w:t>.</w:t>
      </w:r>
    </w:p>
    <w:p w:rsidR="00F9616F" w:rsidRPr="00C240AE" w:rsidRDefault="00F9616F" w:rsidP="00F9616F">
      <w:pPr>
        <w:pStyle w:val="Heading3"/>
      </w:pPr>
      <w:bookmarkStart w:id="53" w:name="_Toc515977872"/>
      <w:bookmarkStart w:id="54" w:name="_Toc515983878"/>
      <w:r>
        <w:t>i. Digital economy</w:t>
      </w:r>
      <w:bookmarkEnd w:id="53"/>
      <w:bookmarkEnd w:id="54"/>
    </w:p>
    <w:p w:rsidR="00F9616F" w:rsidRPr="003001DA" w:rsidRDefault="00F9616F" w:rsidP="00F9616F">
      <w:r w:rsidRPr="003001DA">
        <w:t xml:space="preserve">A number of countries have flagged the digital economy as an area of focus. </w:t>
      </w:r>
      <w:r>
        <w:t>N</w:t>
      </w:r>
      <w:r w:rsidRPr="003001DA">
        <w:t xml:space="preserve">o clear definition of what is meant by the term digital economy </w:t>
      </w:r>
      <w:r>
        <w:t xml:space="preserve">nor </w:t>
      </w:r>
      <w:r w:rsidRPr="003001DA">
        <w:t>what role is envisaged for the ITU</w:t>
      </w:r>
      <w:r>
        <w:t xml:space="preserve"> has been provided</w:t>
      </w:r>
      <w:r w:rsidRPr="003001DA">
        <w:t xml:space="preserve">. </w:t>
      </w:r>
      <w:r>
        <w:t>Australia considers that any role in relation to the digital economy should be clearly articulated and align with the organisation’s existing mandate.</w:t>
      </w:r>
    </w:p>
    <w:p w:rsidR="00F9616F" w:rsidRPr="00C240AE" w:rsidRDefault="00F9616F" w:rsidP="00F9616F">
      <w:pPr>
        <w:pStyle w:val="Heading3"/>
      </w:pPr>
      <w:bookmarkStart w:id="55" w:name="_Toc515977873"/>
      <w:bookmarkStart w:id="56" w:name="_Toc515983879"/>
      <w:r>
        <w:t>j. ITU management reform</w:t>
      </w:r>
      <w:bookmarkEnd w:id="55"/>
      <w:bookmarkEnd w:id="56"/>
    </w:p>
    <w:p w:rsidR="00F9616F" w:rsidRDefault="00F9616F" w:rsidP="00F9616F">
      <w:r>
        <w:t xml:space="preserve">Issues regarding improving the ITU’s overall effectiveness in implementing its mandate will be a key focus for Australia at PP-18. Australia has a strong track record in working to address these issues as a member of the ITU Council. Our focus on these issues in the ITU is in line with our priorities for reform in the broader UN system as set out in the </w:t>
      </w:r>
      <w:hyperlink r:id="rId25" w:history="1">
        <w:r>
          <w:rPr>
            <w:rStyle w:val="Hyperlink"/>
          </w:rPr>
          <w:t>2017 Foreign Policy White Paper</w:t>
        </w:r>
      </w:hyperlink>
      <w:r>
        <w:t>.</w:t>
      </w:r>
    </w:p>
    <w:p w:rsidR="00F9616F" w:rsidRDefault="00F9616F" w:rsidP="00F9616F">
      <w:r>
        <w:t>Australia will seek to reinforce the importance of an inclusive and consensus-based ITU, and pursue outcomes that strengthen governance arrangements and administrative processes and enhance accountability. Specific matters discussed at PP-18 may include having more women in senior positions, improving corporate governance, reducing duplication of work between the three sectors and with other agencies, encouraging the ITU to mobilise alternative sources of finance, maintaining a strong ethics framework and strengthening regional presence.</w:t>
      </w:r>
    </w:p>
    <w:p w:rsidR="00F9616F" w:rsidRPr="00C240AE" w:rsidRDefault="00F9616F" w:rsidP="00F9616F">
      <w:pPr>
        <w:pStyle w:val="Heading3"/>
        <w:rPr>
          <w:rStyle w:val="Heading3Char"/>
        </w:rPr>
      </w:pPr>
      <w:bookmarkStart w:id="57" w:name="_Toc515977874"/>
      <w:bookmarkStart w:id="58" w:name="_Toc515983880"/>
      <w:r>
        <w:t xml:space="preserve">k. </w:t>
      </w:r>
      <w:r w:rsidRPr="000302DC">
        <w:t xml:space="preserve">Other </w:t>
      </w:r>
      <w:bookmarkEnd w:id="51"/>
      <w:r w:rsidRPr="000302DC">
        <w:t>issues</w:t>
      </w:r>
      <w:bookmarkEnd w:id="52"/>
      <w:bookmarkEnd w:id="57"/>
      <w:bookmarkEnd w:id="58"/>
    </w:p>
    <w:p w:rsidR="00F9616F" w:rsidRPr="000302DC" w:rsidRDefault="00F9616F" w:rsidP="00F9616F">
      <w:pPr>
        <w:spacing w:after="120"/>
        <w:rPr>
          <w:rFonts w:ascii="Calibri" w:hAnsi="Calibri" w:cs="Calibri"/>
        </w:rPr>
      </w:pPr>
      <w:r w:rsidRPr="000302DC">
        <w:rPr>
          <w:rFonts w:ascii="Calibri" w:hAnsi="Calibri" w:cs="Calibri"/>
        </w:rPr>
        <w:t>Other matters likely to be considered by PP-1</w:t>
      </w:r>
      <w:r>
        <w:rPr>
          <w:rFonts w:ascii="Calibri" w:hAnsi="Calibri" w:cs="Calibri"/>
        </w:rPr>
        <w:t>8</w:t>
      </w:r>
      <w:r w:rsidRPr="000302DC">
        <w:rPr>
          <w:rFonts w:ascii="Calibri" w:hAnsi="Calibri" w:cs="Calibri"/>
        </w:rPr>
        <w:t xml:space="preserve"> include</w:t>
      </w:r>
      <w:r>
        <w:rPr>
          <w:rFonts w:ascii="Calibri" w:hAnsi="Calibri" w:cs="Calibri"/>
        </w:rPr>
        <w:t xml:space="preserve"> proposals</w:t>
      </w:r>
      <w:r w:rsidRPr="000302DC">
        <w:rPr>
          <w:rFonts w:ascii="Calibri" w:hAnsi="Calibri" w:cs="Calibri"/>
        </w:rPr>
        <w:t>:</w:t>
      </w:r>
    </w:p>
    <w:p w:rsidR="00F9616F" w:rsidRDefault="00F9616F" w:rsidP="00F9616F">
      <w:pPr>
        <w:pStyle w:val="Bulletlevel1"/>
      </w:pPr>
      <w:r w:rsidRPr="000302DC">
        <w:t>aimed</w:t>
      </w:r>
      <w:r>
        <w:t xml:space="preserve"> at introducing fees for the assignment of international numbering resources</w:t>
      </w:r>
    </w:p>
    <w:p w:rsidR="00F9616F" w:rsidRDefault="00F9616F" w:rsidP="00F9616F">
      <w:pPr>
        <w:pStyle w:val="Bulletlevel1"/>
      </w:pPr>
      <w:r>
        <w:t>relating to Over-the-Top services.</w:t>
      </w:r>
    </w:p>
    <w:p w:rsidR="00F9616F" w:rsidRPr="000302DC" w:rsidRDefault="00F9616F" w:rsidP="00F9616F">
      <w:pPr>
        <w:pStyle w:val="Heading3"/>
        <w:pBdr>
          <w:top w:val="single" w:sz="4" w:space="1" w:color="auto"/>
          <w:left w:val="single" w:sz="4" w:space="4" w:color="auto"/>
          <w:bottom w:val="single" w:sz="4" w:space="1" w:color="auto"/>
          <w:right w:val="single" w:sz="4" w:space="4" w:color="auto"/>
        </w:pBdr>
        <w:shd w:val="clear" w:color="auto" w:fill="E4E4E4"/>
      </w:pPr>
      <w:bookmarkStart w:id="59" w:name="_Toc515977875"/>
      <w:bookmarkStart w:id="60" w:name="_Toc515983881"/>
      <w:r w:rsidRPr="000302DC">
        <w:t>Questions for stakeholders</w:t>
      </w:r>
      <w:bookmarkEnd w:id="59"/>
      <w:bookmarkEnd w:id="60"/>
    </w:p>
    <w:p w:rsidR="00F9616F" w:rsidRPr="000302DC" w:rsidRDefault="00F9616F" w:rsidP="00F9616F">
      <w:pPr>
        <w:pStyle w:val="ListParagraph"/>
        <w:pBdr>
          <w:top w:val="single" w:sz="4" w:space="1" w:color="auto"/>
          <w:left w:val="single" w:sz="4" w:space="4" w:color="auto"/>
          <w:bottom w:val="single" w:sz="4" w:space="1" w:color="auto"/>
          <w:right w:val="single" w:sz="4" w:space="4" w:color="auto"/>
        </w:pBdr>
        <w:shd w:val="clear" w:color="auto" w:fill="E4E4E4"/>
      </w:pPr>
      <w:r w:rsidRPr="000302DC">
        <w:t xml:space="preserve">What are your organisation’s views on the </w:t>
      </w:r>
      <w:r w:rsidRPr="00E8377C">
        <w:t xml:space="preserve">issues </w:t>
      </w:r>
      <w:r w:rsidRPr="000302DC">
        <w:t>identified above?</w:t>
      </w:r>
    </w:p>
    <w:p w:rsidR="00F9616F" w:rsidRPr="000302DC" w:rsidRDefault="00F9616F" w:rsidP="00F9616F">
      <w:pPr>
        <w:pStyle w:val="ListParagraph"/>
        <w:pBdr>
          <w:top w:val="single" w:sz="4" w:space="1" w:color="auto"/>
          <w:left w:val="single" w:sz="4" w:space="4" w:color="auto"/>
          <w:bottom w:val="single" w:sz="4" w:space="1" w:color="auto"/>
          <w:right w:val="single" w:sz="4" w:space="4" w:color="auto"/>
        </w:pBdr>
        <w:shd w:val="clear" w:color="auto" w:fill="E4E4E4"/>
      </w:pPr>
      <w:r>
        <w:t>Are there</w:t>
      </w:r>
      <w:r w:rsidRPr="000302DC">
        <w:t xml:space="preserve"> </w:t>
      </w:r>
      <w:r>
        <w:t xml:space="preserve">any other </w:t>
      </w:r>
      <w:r w:rsidRPr="000302DC">
        <w:t xml:space="preserve">issues </w:t>
      </w:r>
      <w:r>
        <w:t>that your organisation considers</w:t>
      </w:r>
      <w:r w:rsidRPr="000302DC">
        <w:t xml:space="preserve"> </w:t>
      </w:r>
      <w:r>
        <w:t>likely to be significant at PP</w:t>
      </w:r>
      <w:r>
        <w:noBreakHyphen/>
      </w:r>
      <w:r w:rsidRPr="000302DC">
        <w:t>1</w:t>
      </w:r>
      <w:r>
        <w:t>8</w:t>
      </w:r>
      <w:r w:rsidRPr="000302DC">
        <w:t>?</w:t>
      </w:r>
    </w:p>
    <w:p w:rsidR="00F9616F" w:rsidRDefault="00F9616F" w:rsidP="00F9616F">
      <w:pPr>
        <w:pStyle w:val="ListParagraph"/>
        <w:pBdr>
          <w:top w:val="single" w:sz="4" w:space="1" w:color="auto"/>
          <w:left w:val="single" w:sz="4" w:space="4" w:color="auto"/>
          <w:bottom w:val="single" w:sz="4" w:space="1" w:color="auto"/>
          <w:right w:val="single" w:sz="4" w:space="4" w:color="auto"/>
        </w:pBdr>
        <w:shd w:val="clear" w:color="auto" w:fill="E4E4E4"/>
      </w:pPr>
      <w:r w:rsidRPr="000302DC">
        <w:t xml:space="preserve">What are the issues that </w:t>
      </w:r>
      <w:r>
        <w:t>your organisation</w:t>
      </w:r>
      <w:r w:rsidRPr="000302DC">
        <w:t xml:space="preserve"> consider</w:t>
      </w:r>
      <w:r>
        <w:t>s</w:t>
      </w:r>
      <w:r w:rsidRPr="000302DC">
        <w:t xml:space="preserve"> Australia should take a lead role on?</w:t>
      </w:r>
    </w:p>
    <w:p w:rsidR="00F9616F" w:rsidRPr="000302DC" w:rsidRDefault="00F9616F" w:rsidP="00F9616F">
      <w:pPr>
        <w:pStyle w:val="Heading2"/>
      </w:pPr>
      <w:bookmarkStart w:id="61" w:name="_Toc351973510"/>
      <w:bookmarkStart w:id="62" w:name="_Toc356381581"/>
      <w:bookmarkStart w:id="63" w:name="_Toc515977876"/>
      <w:bookmarkStart w:id="64" w:name="_Toc515983882"/>
      <w:bookmarkEnd w:id="27"/>
      <w:bookmarkEnd w:id="28"/>
      <w:r>
        <w:t xml:space="preserve">3. </w:t>
      </w:r>
      <w:r w:rsidRPr="000302DC">
        <w:t>Election to the ITU Council</w:t>
      </w:r>
      <w:bookmarkEnd w:id="61"/>
      <w:bookmarkEnd w:id="62"/>
      <w:bookmarkEnd w:id="63"/>
      <w:bookmarkEnd w:id="64"/>
    </w:p>
    <w:p w:rsidR="00F9616F" w:rsidRPr="00D352ED" w:rsidRDefault="00F9616F" w:rsidP="00F9616F">
      <w:r w:rsidRPr="000302DC">
        <w:t xml:space="preserve">Australia has been a member of the ITU Council since 1959. The Council comprises 48 out of a total of 193 Member States. It determines the ITU’s agenda and activities in the period between Plenipotentiary Conferences. </w:t>
      </w:r>
      <w:r>
        <w:t>Council m</w:t>
      </w:r>
      <w:r w:rsidRPr="000302DC">
        <w:t xml:space="preserve">embers are elected on the basis of equitable distribution of Council seats among five world regions (Americas, Western Europe, Eastern Europe, Africa, </w:t>
      </w:r>
      <w:r>
        <w:t xml:space="preserve">and </w:t>
      </w:r>
      <w:r w:rsidRPr="000302DC">
        <w:t xml:space="preserve">Asia and Australasia). Australia is a Council member for the Asia and </w:t>
      </w:r>
      <w:r w:rsidRPr="00D352ED">
        <w:t>Australasia region which holds 13 out of the 48</w:t>
      </w:r>
      <w:r>
        <w:t xml:space="preserve"> Council seats. </w:t>
      </w:r>
      <w:r w:rsidRPr="000302DC">
        <w:t>The next Council elections will take place at PP</w:t>
      </w:r>
      <w:r w:rsidRPr="000302DC">
        <w:noBreakHyphen/>
        <w:t>1</w:t>
      </w:r>
      <w:r>
        <w:t>8.</w:t>
      </w:r>
    </w:p>
    <w:p w:rsidR="00F9616F" w:rsidRPr="00D352ED" w:rsidRDefault="00F9616F" w:rsidP="00F9616F">
      <w:r>
        <w:t xml:space="preserve">In March 2018, the Minister for Communications and the Minister for Foreign Affairs and Trade jointly announced that Australia would stand for re-election at PP-18. Australia’s position on Council enables us to </w:t>
      </w:r>
      <w:r w:rsidRPr="00D352ED">
        <w:t xml:space="preserve">shape the outcomes of issues within the ITU’s scope of particular interest and relevance. </w:t>
      </w:r>
      <w:r>
        <w:t>It</w:t>
      </w:r>
      <w:r w:rsidRPr="00D352ED">
        <w:t xml:space="preserve"> is also important to guide incremental processes that underpin decisions to alter or add to the treaties to which Australia is obligated to conform such as the </w:t>
      </w:r>
      <w:r>
        <w:t>ITRs and</w:t>
      </w:r>
      <w:r w:rsidRPr="00D352ED">
        <w:t xml:space="preserve"> the ITU Constitution and the ITU Convention. </w:t>
      </w:r>
      <w:r>
        <w:t xml:space="preserve">As a leading financial contributor, </w:t>
      </w:r>
      <w:r w:rsidRPr="00D352ED">
        <w:t xml:space="preserve">Australia’s position on Council enables </w:t>
      </w:r>
      <w:r>
        <w:t>us</w:t>
      </w:r>
      <w:r w:rsidRPr="00D352ED">
        <w:t xml:space="preserve"> to ensure the ITU is accountable </w:t>
      </w:r>
      <w:r>
        <w:t>to</w:t>
      </w:r>
      <w:r w:rsidRPr="00D352ED">
        <w:t xml:space="preserve"> th</w:t>
      </w:r>
      <w:r>
        <w:t>e funding Australia contributes</w:t>
      </w:r>
      <w:r w:rsidRPr="00D352ED">
        <w:t>.</w:t>
      </w:r>
      <w:r>
        <w:t xml:space="preserve"> For further information on Australia’s financial contribution, see </w:t>
      </w:r>
      <w:hyperlink w:anchor="_Attachment_C" w:history="1">
        <w:r>
          <w:rPr>
            <w:rStyle w:val="Hyperlink"/>
          </w:rPr>
          <w:t>Attachment B</w:t>
        </w:r>
      </w:hyperlink>
      <w:r>
        <w:t>.</w:t>
      </w:r>
    </w:p>
    <w:p w:rsidR="00F9616F" w:rsidRDefault="00F9616F" w:rsidP="00F9616F">
      <w:r w:rsidRPr="0092028E">
        <w:t>At PP-14, Australia was jointly elected seventh out of the 13 positions available on the ITU Council for our region. Australia received 116 votes, whereas the final Member State to be elected from our region received 101 votes.</w:t>
      </w:r>
      <w:r>
        <w:t xml:space="preserve"> We anticipate that the elections at PP-18 will be tightly contested and the Department is working closely with the Department of Foreign Affairs and Trade to conduct a strong campaign to increase the likelihood of re-election.</w:t>
      </w:r>
    </w:p>
    <w:p w:rsidR="00F9616F" w:rsidRDefault="00F9616F" w:rsidP="00F9616F">
      <w:pPr>
        <w:rPr>
          <w:rFonts w:ascii="Calibri" w:hAnsi="Calibri" w:cs="Calibri"/>
          <w:color w:val="000000"/>
        </w:rPr>
      </w:pPr>
      <w:r w:rsidRPr="002968B0">
        <w:rPr>
          <w:rFonts w:ascii="Calibri" w:hAnsi="Calibri" w:cs="Calibri"/>
          <w:color w:val="000000"/>
        </w:rPr>
        <w:t xml:space="preserve">The Department has developed a brochure to </w:t>
      </w:r>
      <w:r>
        <w:rPr>
          <w:rFonts w:ascii="Calibri" w:hAnsi="Calibri" w:cs="Calibri"/>
          <w:color w:val="000000"/>
        </w:rPr>
        <w:t>promote</w:t>
      </w:r>
      <w:r w:rsidRPr="002968B0">
        <w:rPr>
          <w:rFonts w:ascii="Calibri" w:hAnsi="Calibri" w:cs="Calibri"/>
          <w:color w:val="000000"/>
        </w:rPr>
        <w:t xml:space="preserve"> our campaign for re-election. </w:t>
      </w:r>
      <w:r>
        <w:rPr>
          <w:rFonts w:ascii="Calibri" w:hAnsi="Calibri" w:cs="Calibri"/>
          <w:color w:val="000000"/>
        </w:rPr>
        <w:t xml:space="preserve">Visit </w:t>
      </w:r>
      <w:hyperlink r:id="rId26" w:history="1">
        <w:r w:rsidRPr="00351408">
          <w:rPr>
            <w:rStyle w:val="Hyperlink"/>
            <w:rFonts w:ascii="Calibri" w:hAnsi="Calibri" w:cs="Calibri"/>
          </w:rPr>
          <w:t>https://www.communications.gov.au/what-we-do/internet/australian-re-election-itu-council</w:t>
        </w:r>
      </w:hyperlink>
      <w:r>
        <w:rPr>
          <w:rFonts w:ascii="Calibri" w:hAnsi="Calibri" w:cs="Calibri"/>
          <w:color w:val="000000"/>
        </w:rPr>
        <w:t xml:space="preserve"> for further information on the campaign and a copy of the brochure.</w:t>
      </w:r>
    </w:p>
    <w:p w:rsidR="00F9616F" w:rsidRDefault="00F9616F" w:rsidP="00F9616F">
      <w:pPr>
        <w:rPr>
          <w:u w:val="single"/>
        </w:rPr>
      </w:pPr>
      <w:r>
        <w:t xml:space="preserve">At PP-18, elections will be held for the five members of the ITU management team (see </w:t>
      </w:r>
      <w:hyperlink w:anchor="_Attachment_D" w:history="1">
        <w:r>
          <w:rPr>
            <w:rStyle w:val="Hyperlink"/>
          </w:rPr>
          <w:t>Attachment C</w:t>
        </w:r>
      </w:hyperlink>
      <w:r>
        <w:t xml:space="preserve">) and the twelve members of RRB (see </w:t>
      </w:r>
      <w:hyperlink w:anchor="_Attachment_D:_Candidates" w:history="1">
        <w:r w:rsidRPr="00A07A51">
          <w:rPr>
            <w:rStyle w:val="Hyperlink"/>
          </w:rPr>
          <w:t>Attachment D</w:t>
        </w:r>
      </w:hyperlink>
      <w:r>
        <w:t>)</w:t>
      </w:r>
      <w:r w:rsidRPr="00FE2199">
        <w:t>.</w:t>
      </w:r>
    </w:p>
    <w:p w:rsidR="00F9616F" w:rsidRPr="000302DC" w:rsidRDefault="00F9616F" w:rsidP="00F9616F">
      <w:pPr>
        <w:pStyle w:val="Heading3"/>
        <w:pBdr>
          <w:top w:val="single" w:sz="4" w:space="1" w:color="auto"/>
          <w:left w:val="single" w:sz="4" w:space="4" w:color="auto"/>
          <w:bottom w:val="single" w:sz="4" w:space="1" w:color="auto"/>
          <w:right w:val="single" w:sz="4" w:space="4" w:color="auto"/>
        </w:pBdr>
        <w:shd w:val="clear" w:color="auto" w:fill="E4E4E4"/>
      </w:pPr>
      <w:bookmarkStart w:id="65" w:name="_Toc515977877"/>
      <w:bookmarkStart w:id="66" w:name="_Toc515983883"/>
      <w:r w:rsidRPr="000302DC">
        <w:t>Questions for stakeholders</w:t>
      </w:r>
      <w:bookmarkEnd w:id="65"/>
      <w:bookmarkEnd w:id="66"/>
    </w:p>
    <w:p w:rsidR="00F9616F" w:rsidRDefault="00F9616F" w:rsidP="00F9616F">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E4E4E4"/>
        <w:ind w:left="567" w:hanging="567"/>
      </w:pPr>
      <w:r>
        <w:t>How might your organisation be able to support Australia’s campaign for re-election to ITU Council?</w:t>
      </w:r>
    </w:p>
    <w:p w:rsidR="00F9616F" w:rsidRDefault="00F9616F" w:rsidP="00F9616F">
      <w:pPr>
        <w:pStyle w:val="ListParagraph"/>
        <w:pBdr>
          <w:top w:val="single" w:sz="4" w:space="1" w:color="auto"/>
          <w:left w:val="single" w:sz="4" w:space="4" w:color="auto"/>
          <w:bottom w:val="single" w:sz="4" w:space="1" w:color="auto"/>
          <w:right w:val="single" w:sz="4" w:space="4" w:color="auto"/>
        </w:pBdr>
        <w:shd w:val="clear" w:color="auto" w:fill="E4E4E4"/>
      </w:pPr>
      <w:r>
        <w:t>Does your organisation have views on candidates for the ITU management team and the RRB?</w:t>
      </w:r>
    </w:p>
    <w:p w:rsidR="00F9616F" w:rsidRPr="000A1A12" w:rsidRDefault="00F9616F" w:rsidP="00F9616F">
      <w:pPr>
        <w:pStyle w:val="Heading2"/>
        <w:pageBreakBefore/>
      </w:pPr>
      <w:bookmarkStart w:id="67" w:name="_Attachment_A:_Key"/>
      <w:bookmarkStart w:id="68" w:name="_Toc356381582"/>
      <w:bookmarkStart w:id="69" w:name="_Toc515977878"/>
      <w:bookmarkStart w:id="70" w:name="_Toc515983884"/>
      <w:bookmarkEnd w:id="67"/>
      <w:r w:rsidRPr="000302DC">
        <w:t>Attachment A</w:t>
      </w:r>
      <w:bookmarkEnd w:id="68"/>
      <w:r>
        <w:t xml:space="preserve">: Key meetings and </w:t>
      </w:r>
      <w:r w:rsidRPr="000302DC">
        <w:t xml:space="preserve">activities </w:t>
      </w:r>
      <w:r>
        <w:t xml:space="preserve">leading </w:t>
      </w:r>
      <w:r w:rsidRPr="000302DC">
        <w:t>up to PP-1</w:t>
      </w:r>
      <w:r>
        <w:t>8</w:t>
      </w:r>
      <w:bookmarkEnd w:id="69"/>
      <w:bookmarkEnd w:id="70"/>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Key meetings and activities leading up to PP-18"/>
      </w:tblPr>
      <w:tblGrid>
        <w:gridCol w:w="3107"/>
        <w:gridCol w:w="5965"/>
      </w:tblGrid>
      <w:tr w:rsidR="00F9616F" w:rsidTr="00F9616F">
        <w:trPr>
          <w:cantSplit/>
          <w:tblHeader/>
        </w:trPr>
        <w:tc>
          <w:tcPr>
            <w:tcW w:w="3107" w:type="dxa"/>
            <w:tcBorders>
              <w:top w:val="nil"/>
              <w:left w:val="nil"/>
              <w:bottom w:val="thickThinLargeGap" w:sz="24" w:space="0" w:color="auto"/>
              <w:right w:val="nil"/>
            </w:tcBorders>
            <w:shd w:val="clear" w:color="auto" w:fill="E4E4E4"/>
          </w:tcPr>
          <w:p w:rsidR="00F9616F" w:rsidRDefault="00F9616F" w:rsidP="00F9616F">
            <w:pPr>
              <w:pStyle w:val="Tablerowcolumnheading"/>
            </w:pPr>
            <w:r>
              <w:t>Date</w:t>
            </w:r>
          </w:p>
        </w:tc>
        <w:tc>
          <w:tcPr>
            <w:tcW w:w="5965" w:type="dxa"/>
            <w:tcBorders>
              <w:top w:val="nil"/>
              <w:left w:val="nil"/>
              <w:bottom w:val="thickThinLargeGap" w:sz="24" w:space="0" w:color="auto"/>
              <w:right w:val="nil"/>
            </w:tcBorders>
            <w:shd w:val="clear" w:color="auto" w:fill="E4E4E4"/>
          </w:tcPr>
          <w:p w:rsidR="00F9616F" w:rsidRDefault="00F9616F" w:rsidP="00F9616F">
            <w:pPr>
              <w:pStyle w:val="Tablerowcolumnheading"/>
            </w:pPr>
            <w:r>
              <w:t>Event/activity</w:t>
            </w:r>
          </w:p>
        </w:tc>
      </w:tr>
      <w:tr w:rsidR="00F9616F" w:rsidTr="00F9616F">
        <w:trPr>
          <w:cantSplit/>
        </w:trPr>
        <w:tc>
          <w:tcPr>
            <w:tcW w:w="3107" w:type="dxa"/>
            <w:tcBorders>
              <w:top w:val="thickThinLargeGap" w:sz="24" w:space="0" w:color="auto"/>
              <w:left w:val="nil"/>
              <w:bottom w:val="single" w:sz="4" w:space="0" w:color="auto"/>
              <w:right w:val="nil"/>
            </w:tcBorders>
            <w:shd w:val="clear" w:color="auto" w:fill="auto"/>
          </w:tcPr>
          <w:p w:rsidR="00F9616F" w:rsidRPr="000302DC" w:rsidRDefault="00F9616F" w:rsidP="00F9616F">
            <w:pPr>
              <w:pStyle w:val="Tabletext"/>
            </w:pPr>
            <w:r>
              <w:t>30 January–1</w:t>
            </w:r>
            <w:r w:rsidRPr="000302DC">
              <w:t xml:space="preserve"> February</w:t>
            </w:r>
          </w:p>
        </w:tc>
        <w:tc>
          <w:tcPr>
            <w:tcW w:w="5965" w:type="dxa"/>
            <w:tcBorders>
              <w:top w:val="thickThinLargeGap" w:sz="24" w:space="0" w:color="auto"/>
              <w:left w:val="nil"/>
              <w:bottom w:val="single" w:sz="4" w:space="0" w:color="auto"/>
              <w:right w:val="nil"/>
            </w:tcBorders>
            <w:shd w:val="clear" w:color="auto" w:fill="auto"/>
          </w:tcPr>
          <w:p w:rsidR="00F9616F" w:rsidRPr="000302DC" w:rsidRDefault="00F9616F" w:rsidP="00F9616F">
            <w:pPr>
              <w:pStyle w:val="Tabletext"/>
              <w:rPr>
                <w:b/>
              </w:rPr>
            </w:pPr>
            <w:r>
              <w:rPr>
                <w:lang w:val="en-US"/>
              </w:rPr>
              <w:t>2</w:t>
            </w:r>
            <w:r w:rsidRPr="00811CFE">
              <w:rPr>
                <w:vertAlign w:val="superscript"/>
                <w:lang w:val="en-US"/>
              </w:rPr>
              <w:t>nd</w:t>
            </w:r>
            <w:r>
              <w:rPr>
                <w:lang w:val="en-US"/>
              </w:rPr>
              <w:t xml:space="preserve"> </w:t>
            </w:r>
            <w:r w:rsidRPr="000302DC">
              <w:rPr>
                <w:lang w:val="en-US"/>
              </w:rPr>
              <w:t xml:space="preserve">APT preparatory meeting for </w:t>
            </w:r>
            <w:r>
              <w:t>PP-18 (Hanoi, Vietnam)</w:t>
            </w:r>
          </w:p>
        </w:tc>
      </w:tr>
      <w:tr w:rsidR="00F9616F" w:rsidTr="00F9616F">
        <w:trPr>
          <w:cantSplit/>
        </w:trPr>
        <w:tc>
          <w:tcPr>
            <w:tcW w:w="3107" w:type="dxa"/>
            <w:tcBorders>
              <w:top w:val="single" w:sz="4" w:space="0" w:color="auto"/>
              <w:left w:val="nil"/>
              <w:bottom w:val="single" w:sz="4" w:space="0" w:color="auto"/>
              <w:right w:val="nil"/>
            </w:tcBorders>
            <w:shd w:val="clear" w:color="auto" w:fill="auto"/>
          </w:tcPr>
          <w:p w:rsidR="00F9616F" w:rsidRPr="000302DC" w:rsidRDefault="00F9616F" w:rsidP="00F9616F">
            <w:pPr>
              <w:pStyle w:val="Tabletext"/>
            </w:pPr>
            <w:r>
              <w:t>28</w:t>
            </w:r>
            <w:r w:rsidRPr="000302DC">
              <w:t xml:space="preserve"> February</w:t>
            </w:r>
          </w:p>
        </w:tc>
        <w:tc>
          <w:tcPr>
            <w:tcW w:w="5965" w:type="dxa"/>
            <w:tcBorders>
              <w:top w:val="single" w:sz="4" w:space="0" w:color="auto"/>
              <w:left w:val="nil"/>
              <w:bottom w:val="single" w:sz="4" w:space="0" w:color="auto"/>
              <w:right w:val="nil"/>
            </w:tcBorders>
            <w:shd w:val="clear" w:color="auto" w:fill="auto"/>
          </w:tcPr>
          <w:p w:rsidR="00F9616F" w:rsidRPr="000302DC" w:rsidRDefault="00F9616F" w:rsidP="00F9616F">
            <w:pPr>
              <w:pStyle w:val="Tabletext"/>
              <w:rPr>
                <w:highlight w:val="magenta"/>
              </w:rPr>
            </w:pPr>
            <w:r w:rsidRPr="000302DC">
              <w:t xml:space="preserve">Final date for submission of proposals for amendments </w:t>
            </w:r>
            <w:r>
              <w:t>to the Constitution and Convention</w:t>
            </w:r>
          </w:p>
        </w:tc>
      </w:tr>
      <w:tr w:rsidR="00F9616F" w:rsidTr="00F9616F">
        <w:trPr>
          <w:cantSplit/>
        </w:trPr>
        <w:tc>
          <w:tcPr>
            <w:tcW w:w="3107" w:type="dxa"/>
            <w:tcBorders>
              <w:top w:val="single" w:sz="4" w:space="0" w:color="auto"/>
              <w:left w:val="nil"/>
              <w:bottom w:val="single" w:sz="4" w:space="0" w:color="auto"/>
              <w:right w:val="nil"/>
            </w:tcBorders>
            <w:shd w:val="clear" w:color="auto" w:fill="auto"/>
          </w:tcPr>
          <w:p w:rsidR="00F9616F" w:rsidRPr="000302DC" w:rsidRDefault="00F9616F" w:rsidP="00F9616F">
            <w:pPr>
              <w:pStyle w:val="Tabletext"/>
              <w:rPr>
                <w:color w:val="000000"/>
              </w:rPr>
            </w:pPr>
            <w:r>
              <w:t>17–27 April</w:t>
            </w:r>
          </w:p>
        </w:tc>
        <w:tc>
          <w:tcPr>
            <w:tcW w:w="5965" w:type="dxa"/>
            <w:tcBorders>
              <w:top w:val="single" w:sz="4" w:space="0" w:color="auto"/>
              <w:left w:val="nil"/>
              <w:bottom w:val="single" w:sz="4" w:space="0" w:color="auto"/>
              <w:right w:val="nil"/>
            </w:tcBorders>
            <w:shd w:val="clear" w:color="auto" w:fill="auto"/>
          </w:tcPr>
          <w:p w:rsidR="00F9616F" w:rsidRPr="000302DC" w:rsidRDefault="00F9616F" w:rsidP="00F9616F">
            <w:pPr>
              <w:pStyle w:val="Tabletext"/>
              <w:rPr>
                <w:color w:val="000000"/>
                <w:highlight w:val="green"/>
              </w:rPr>
            </w:pPr>
            <w:r w:rsidRPr="000302DC">
              <w:rPr>
                <w:color w:val="000000"/>
              </w:rPr>
              <w:t>ITU Council Meeting</w:t>
            </w:r>
            <w:r w:rsidRPr="000302DC">
              <w:t xml:space="preserve"> </w:t>
            </w:r>
            <w:r>
              <w:t xml:space="preserve">2018 </w:t>
            </w:r>
            <w:r w:rsidRPr="000302DC">
              <w:t>(</w:t>
            </w:r>
            <w:r>
              <w:t xml:space="preserve">Geneva, </w:t>
            </w:r>
            <w:r w:rsidRPr="000302DC">
              <w:t>Switzerland)</w:t>
            </w:r>
            <w:r w:rsidRPr="000302DC">
              <w:rPr>
                <w:color w:val="000000"/>
              </w:rPr>
              <w:t xml:space="preserve"> </w:t>
            </w:r>
          </w:p>
        </w:tc>
      </w:tr>
      <w:tr w:rsidR="00F9616F" w:rsidTr="00F9616F">
        <w:trPr>
          <w:cantSplit/>
        </w:trPr>
        <w:tc>
          <w:tcPr>
            <w:tcW w:w="3107" w:type="dxa"/>
            <w:tcBorders>
              <w:top w:val="single" w:sz="4" w:space="0" w:color="auto"/>
              <w:left w:val="nil"/>
              <w:bottom w:val="single" w:sz="4" w:space="0" w:color="auto"/>
              <w:right w:val="nil"/>
            </w:tcBorders>
            <w:shd w:val="clear" w:color="auto" w:fill="auto"/>
          </w:tcPr>
          <w:p w:rsidR="00F9616F" w:rsidRPr="000302DC" w:rsidRDefault="00F9616F" w:rsidP="00F9616F">
            <w:pPr>
              <w:pStyle w:val="Tabletext"/>
              <w:rPr>
                <w:color w:val="000000"/>
              </w:rPr>
            </w:pPr>
            <w:r>
              <w:t xml:space="preserve">18–21 </w:t>
            </w:r>
            <w:r w:rsidRPr="000302DC">
              <w:rPr>
                <w:color w:val="000000"/>
              </w:rPr>
              <w:t>June</w:t>
            </w:r>
          </w:p>
        </w:tc>
        <w:tc>
          <w:tcPr>
            <w:tcW w:w="5965" w:type="dxa"/>
            <w:tcBorders>
              <w:top w:val="single" w:sz="4" w:space="0" w:color="auto"/>
              <w:left w:val="nil"/>
              <w:bottom w:val="single" w:sz="4" w:space="0" w:color="auto"/>
              <w:right w:val="nil"/>
            </w:tcBorders>
            <w:shd w:val="clear" w:color="auto" w:fill="auto"/>
          </w:tcPr>
          <w:p w:rsidR="00F9616F" w:rsidRPr="000302DC" w:rsidRDefault="00F9616F" w:rsidP="00F9616F">
            <w:pPr>
              <w:pStyle w:val="Tabletext"/>
              <w:rPr>
                <w:color w:val="000000"/>
              </w:rPr>
            </w:pPr>
            <w:r w:rsidRPr="000302DC">
              <w:rPr>
                <w:lang w:val="en-US"/>
              </w:rPr>
              <w:t>3</w:t>
            </w:r>
            <w:r w:rsidRPr="000302DC">
              <w:rPr>
                <w:vertAlign w:val="superscript"/>
                <w:lang w:val="en-US"/>
              </w:rPr>
              <w:t>rd</w:t>
            </w:r>
            <w:r w:rsidRPr="000302DC">
              <w:rPr>
                <w:lang w:val="en-US"/>
              </w:rPr>
              <w:t xml:space="preserve"> APT preparatory meeting for </w:t>
            </w:r>
            <w:r w:rsidRPr="000302DC">
              <w:t>PP-1</w:t>
            </w:r>
            <w:r>
              <w:t>8</w:t>
            </w:r>
            <w:r w:rsidRPr="000302DC">
              <w:t xml:space="preserve"> (</w:t>
            </w:r>
            <w:r>
              <w:t>Melbourne, Australia</w:t>
            </w:r>
            <w:r w:rsidRPr="000302DC">
              <w:t>)</w:t>
            </w:r>
          </w:p>
        </w:tc>
      </w:tr>
      <w:tr w:rsidR="00F9616F" w:rsidTr="00F9616F">
        <w:trPr>
          <w:cantSplit/>
        </w:trPr>
        <w:tc>
          <w:tcPr>
            <w:tcW w:w="3107" w:type="dxa"/>
            <w:tcBorders>
              <w:top w:val="single" w:sz="4" w:space="0" w:color="auto"/>
              <w:left w:val="nil"/>
              <w:bottom w:val="single" w:sz="4" w:space="0" w:color="auto"/>
              <w:right w:val="nil"/>
            </w:tcBorders>
            <w:shd w:val="clear" w:color="auto" w:fill="auto"/>
          </w:tcPr>
          <w:p w:rsidR="00F9616F" w:rsidRPr="000302DC" w:rsidRDefault="00F9616F" w:rsidP="00F9616F">
            <w:pPr>
              <w:pStyle w:val="Tabletext"/>
            </w:pPr>
            <w:r w:rsidRPr="000302DC">
              <w:t>2</w:t>
            </w:r>
            <w:r>
              <w:t>9</w:t>
            </w:r>
            <w:r w:rsidRPr="000302DC">
              <w:t xml:space="preserve"> June</w:t>
            </w:r>
          </w:p>
        </w:tc>
        <w:tc>
          <w:tcPr>
            <w:tcW w:w="5965" w:type="dxa"/>
            <w:tcBorders>
              <w:top w:val="single" w:sz="4" w:space="0" w:color="auto"/>
              <w:left w:val="nil"/>
              <w:bottom w:val="single" w:sz="4" w:space="0" w:color="auto"/>
              <w:right w:val="nil"/>
            </w:tcBorders>
            <w:shd w:val="clear" w:color="auto" w:fill="auto"/>
          </w:tcPr>
          <w:p w:rsidR="00F9616F" w:rsidRPr="000302DC" w:rsidRDefault="00F9616F" w:rsidP="00F9616F">
            <w:pPr>
              <w:pStyle w:val="Tabletext"/>
            </w:pPr>
            <w:r w:rsidRPr="000302DC">
              <w:t>Deadline for submitting proposals to PP-1</w:t>
            </w:r>
            <w:r>
              <w:t xml:space="preserve">8 </w:t>
            </w:r>
          </w:p>
        </w:tc>
      </w:tr>
      <w:tr w:rsidR="00F9616F" w:rsidTr="00F9616F">
        <w:trPr>
          <w:cantSplit/>
        </w:trPr>
        <w:tc>
          <w:tcPr>
            <w:tcW w:w="3107" w:type="dxa"/>
            <w:tcBorders>
              <w:top w:val="single" w:sz="4" w:space="0" w:color="auto"/>
              <w:left w:val="nil"/>
              <w:bottom w:val="single" w:sz="4" w:space="0" w:color="auto"/>
              <w:right w:val="nil"/>
            </w:tcBorders>
            <w:shd w:val="clear" w:color="auto" w:fill="auto"/>
          </w:tcPr>
          <w:p w:rsidR="00F9616F" w:rsidRDefault="00F9616F" w:rsidP="00F9616F">
            <w:pPr>
              <w:pStyle w:val="Tabletext"/>
            </w:pPr>
            <w:r w:rsidRPr="00D26FE0">
              <w:t>Early</w:t>
            </w:r>
            <w:r>
              <w:t xml:space="preserve"> </w:t>
            </w:r>
            <w:r w:rsidRPr="00D26FE0">
              <w:t>Augu</w:t>
            </w:r>
            <w:r w:rsidRPr="000302DC">
              <w:t>st</w:t>
            </w:r>
          </w:p>
        </w:tc>
        <w:tc>
          <w:tcPr>
            <w:tcW w:w="5965" w:type="dxa"/>
            <w:tcBorders>
              <w:top w:val="single" w:sz="4" w:space="0" w:color="auto"/>
              <w:left w:val="nil"/>
              <w:bottom w:val="single" w:sz="4" w:space="0" w:color="auto"/>
              <w:right w:val="nil"/>
            </w:tcBorders>
            <w:shd w:val="clear" w:color="auto" w:fill="auto"/>
          </w:tcPr>
          <w:p w:rsidR="00F9616F" w:rsidRDefault="00F9616F" w:rsidP="00F9616F">
            <w:pPr>
              <w:pStyle w:val="Tabletext"/>
              <w:rPr>
                <w:lang w:val="en-US"/>
              </w:rPr>
            </w:pPr>
            <w:r>
              <w:t>Proposed</w:t>
            </w:r>
            <w:r w:rsidRPr="000302DC">
              <w:t xml:space="preserve"> Australian </w:t>
            </w:r>
            <w:r>
              <w:t>stakeholder</w:t>
            </w:r>
            <w:r w:rsidRPr="000302DC">
              <w:t xml:space="preserve"> meeting</w:t>
            </w:r>
            <w:r>
              <w:t xml:space="preserve"> for PP-18 (v</w:t>
            </w:r>
            <w:r w:rsidRPr="000302DC">
              <w:t xml:space="preserve">ideo conference) </w:t>
            </w:r>
          </w:p>
        </w:tc>
      </w:tr>
      <w:tr w:rsidR="00F9616F" w:rsidTr="00F9616F">
        <w:trPr>
          <w:cantSplit/>
        </w:trPr>
        <w:tc>
          <w:tcPr>
            <w:tcW w:w="3107" w:type="dxa"/>
            <w:tcBorders>
              <w:top w:val="single" w:sz="4" w:space="0" w:color="auto"/>
              <w:left w:val="nil"/>
              <w:bottom w:val="single" w:sz="4" w:space="0" w:color="auto"/>
              <w:right w:val="nil"/>
            </w:tcBorders>
            <w:shd w:val="clear" w:color="auto" w:fill="auto"/>
          </w:tcPr>
          <w:p w:rsidR="00F9616F" w:rsidRPr="000302DC" w:rsidRDefault="00F9616F" w:rsidP="00F9616F">
            <w:pPr>
              <w:pStyle w:val="Tabletext"/>
            </w:pPr>
            <w:r>
              <w:t xml:space="preserve">27–30 </w:t>
            </w:r>
            <w:r w:rsidRPr="000302DC">
              <w:t>August</w:t>
            </w:r>
          </w:p>
        </w:tc>
        <w:tc>
          <w:tcPr>
            <w:tcW w:w="5965" w:type="dxa"/>
            <w:tcBorders>
              <w:top w:val="single" w:sz="4" w:space="0" w:color="auto"/>
              <w:left w:val="nil"/>
              <w:bottom w:val="single" w:sz="4" w:space="0" w:color="auto"/>
              <w:right w:val="nil"/>
            </w:tcBorders>
            <w:shd w:val="clear" w:color="auto" w:fill="auto"/>
          </w:tcPr>
          <w:p w:rsidR="00F9616F" w:rsidRPr="000302DC" w:rsidRDefault="00F9616F" w:rsidP="00F9616F">
            <w:pPr>
              <w:pStyle w:val="Tabletext"/>
              <w:rPr>
                <w:highlight w:val="darkYellow"/>
                <w:lang w:val="en-US"/>
              </w:rPr>
            </w:pPr>
            <w:r w:rsidRPr="000302DC">
              <w:rPr>
                <w:lang w:val="en-US"/>
              </w:rPr>
              <w:t>4</w:t>
            </w:r>
            <w:r w:rsidRPr="000302DC">
              <w:rPr>
                <w:vertAlign w:val="superscript"/>
                <w:lang w:val="en-US"/>
              </w:rPr>
              <w:t>th</w:t>
            </w:r>
            <w:r w:rsidRPr="000302DC">
              <w:rPr>
                <w:lang w:val="en-US"/>
              </w:rPr>
              <w:t xml:space="preserve"> APT preparatory meeting for </w:t>
            </w:r>
            <w:r w:rsidRPr="000302DC">
              <w:t>PP-1</w:t>
            </w:r>
            <w:r>
              <w:t>8</w:t>
            </w:r>
            <w:r w:rsidRPr="000302DC">
              <w:t xml:space="preserve"> (</w:t>
            </w:r>
            <w:r>
              <w:t>Kuala Lumpur, Malaysia</w:t>
            </w:r>
            <w:r w:rsidRPr="000302DC">
              <w:t>)</w:t>
            </w:r>
          </w:p>
        </w:tc>
      </w:tr>
      <w:tr w:rsidR="00F9616F" w:rsidTr="00F9616F">
        <w:trPr>
          <w:cantSplit/>
        </w:trPr>
        <w:tc>
          <w:tcPr>
            <w:tcW w:w="3107" w:type="dxa"/>
            <w:tcBorders>
              <w:top w:val="single" w:sz="4" w:space="0" w:color="auto"/>
              <w:left w:val="nil"/>
              <w:bottom w:val="single" w:sz="4" w:space="0" w:color="auto"/>
              <w:right w:val="nil"/>
            </w:tcBorders>
            <w:shd w:val="clear" w:color="auto" w:fill="auto"/>
          </w:tcPr>
          <w:p w:rsidR="00F9616F" w:rsidRPr="000302DC" w:rsidRDefault="00F9616F" w:rsidP="00F9616F">
            <w:pPr>
              <w:pStyle w:val="Tabletext"/>
              <w:rPr>
                <w:color w:val="000000"/>
              </w:rPr>
            </w:pPr>
            <w:r w:rsidRPr="000302DC">
              <w:rPr>
                <w:color w:val="000000"/>
              </w:rPr>
              <w:t>2</w:t>
            </w:r>
            <w:r>
              <w:rPr>
                <w:color w:val="000000"/>
              </w:rPr>
              <w:t>8</w:t>
            </w:r>
            <w:r w:rsidRPr="000302DC">
              <w:rPr>
                <w:color w:val="000000"/>
              </w:rPr>
              <w:t xml:space="preserve"> September</w:t>
            </w:r>
          </w:p>
        </w:tc>
        <w:tc>
          <w:tcPr>
            <w:tcW w:w="5965" w:type="dxa"/>
            <w:tcBorders>
              <w:top w:val="single" w:sz="4" w:space="0" w:color="auto"/>
              <w:left w:val="nil"/>
              <w:bottom w:val="single" w:sz="4" w:space="0" w:color="auto"/>
              <w:right w:val="nil"/>
            </w:tcBorders>
            <w:shd w:val="clear" w:color="auto" w:fill="auto"/>
          </w:tcPr>
          <w:p w:rsidR="00F9616F" w:rsidRPr="000302DC" w:rsidRDefault="00F9616F" w:rsidP="00F9616F">
            <w:pPr>
              <w:pStyle w:val="Tabletext"/>
              <w:rPr>
                <w:color w:val="000000"/>
              </w:rPr>
            </w:pPr>
            <w:r w:rsidRPr="000302DC">
              <w:rPr>
                <w:color w:val="000000"/>
              </w:rPr>
              <w:t xml:space="preserve">Final date for notifying Australia’s provisional contribution class </w:t>
            </w:r>
          </w:p>
        </w:tc>
      </w:tr>
      <w:tr w:rsidR="00F9616F" w:rsidTr="00F9616F">
        <w:trPr>
          <w:cantSplit/>
        </w:trPr>
        <w:tc>
          <w:tcPr>
            <w:tcW w:w="3107" w:type="dxa"/>
            <w:tcBorders>
              <w:top w:val="single" w:sz="4" w:space="0" w:color="auto"/>
              <w:left w:val="nil"/>
              <w:bottom w:val="single" w:sz="4" w:space="0" w:color="auto"/>
              <w:right w:val="nil"/>
            </w:tcBorders>
            <w:shd w:val="clear" w:color="auto" w:fill="auto"/>
          </w:tcPr>
          <w:p w:rsidR="00F9616F" w:rsidRDefault="00F9616F" w:rsidP="00F9616F">
            <w:pPr>
              <w:pStyle w:val="Tabletext"/>
            </w:pPr>
            <w:r>
              <w:t>1 October</w:t>
            </w:r>
          </w:p>
        </w:tc>
        <w:tc>
          <w:tcPr>
            <w:tcW w:w="5965" w:type="dxa"/>
            <w:tcBorders>
              <w:top w:val="single" w:sz="4" w:space="0" w:color="auto"/>
              <w:left w:val="nil"/>
              <w:bottom w:val="single" w:sz="4" w:space="0" w:color="auto"/>
              <w:right w:val="nil"/>
            </w:tcBorders>
            <w:shd w:val="clear" w:color="auto" w:fill="auto"/>
          </w:tcPr>
          <w:p w:rsidR="00F9616F" w:rsidRDefault="00F9616F" w:rsidP="00F9616F">
            <w:pPr>
              <w:pStyle w:val="Tabletext"/>
            </w:pPr>
            <w:r>
              <w:t>Deadline for submission of candidatures</w:t>
            </w:r>
          </w:p>
        </w:tc>
      </w:tr>
      <w:tr w:rsidR="00F9616F" w:rsidTr="00F9616F">
        <w:trPr>
          <w:cantSplit/>
        </w:trPr>
        <w:tc>
          <w:tcPr>
            <w:tcW w:w="3107" w:type="dxa"/>
            <w:tcBorders>
              <w:top w:val="single" w:sz="4" w:space="0" w:color="auto"/>
              <w:left w:val="nil"/>
              <w:bottom w:val="single" w:sz="4" w:space="0" w:color="auto"/>
              <w:right w:val="nil"/>
            </w:tcBorders>
            <w:shd w:val="clear" w:color="auto" w:fill="auto"/>
          </w:tcPr>
          <w:p w:rsidR="00F9616F" w:rsidRDefault="00F9616F" w:rsidP="00F9616F">
            <w:pPr>
              <w:pStyle w:val="Tabletext"/>
            </w:pPr>
            <w:r>
              <w:t>15 October</w:t>
            </w:r>
          </w:p>
        </w:tc>
        <w:tc>
          <w:tcPr>
            <w:tcW w:w="5965" w:type="dxa"/>
            <w:tcBorders>
              <w:top w:val="single" w:sz="4" w:space="0" w:color="auto"/>
              <w:left w:val="nil"/>
              <w:bottom w:val="single" w:sz="4" w:space="0" w:color="auto"/>
              <w:right w:val="nil"/>
            </w:tcBorders>
            <w:shd w:val="clear" w:color="auto" w:fill="auto"/>
          </w:tcPr>
          <w:p w:rsidR="00F9616F" w:rsidRPr="005235ED" w:rsidRDefault="00F9616F" w:rsidP="00F9616F">
            <w:pPr>
              <w:pStyle w:val="Tabletext"/>
            </w:pPr>
            <w:r>
              <w:t>Firm deadline for all contributions</w:t>
            </w:r>
          </w:p>
        </w:tc>
      </w:tr>
      <w:tr w:rsidR="00F9616F" w:rsidTr="00F9616F">
        <w:trPr>
          <w:cantSplit/>
        </w:trPr>
        <w:tc>
          <w:tcPr>
            <w:tcW w:w="3107" w:type="dxa"/>
            <w:tcBorders>
              <w:top w:val="single" w:sz="4" w:space="0" w:color="auto"/>
              <w:left w:val="nil"/>
              <w:bottom w:val="single" w:sz="4" w:space="0" w:color="auto"/>
              <w:right w:val="nil"/>
            </w:tcBorders>
            <w:shd w:val="clear" w:color="auto" w:fill="auto"/>
          </w:tcPr>
          <w:p w:rsidR="00F9616F" w:rsidRDefault="00F9616F" w:rsidP="00F9616F">
            <w:pPr>
              <w:pStyle w:val="Tabletext"/>
            </w:pPr>
            <w:r>
              <w:t>27 October</w:t>
            </w:r>
          </w:p>
        </w:tc>
        <w:tc>
          <w:tcPr>
            <w:tcW w:w="5965" w:type="dxa"/>
            <w:tcBorders>
              <w:top w:val="single" w:sz="4" w:space="0" w:color="auto"/>
              <w:left w:val="nil"/>
              <w:bottom w:val="single" w:sz="4" w:space="0" w:color="auto"/>
              <w:right w:val="nil"/>
            </w:tcBorders>
            <w:shd w:val="clear" w:color="auto" w:fill="auto"/>
          </w:tcPr>
          <w:p w:rsidR="00F9616F" w:rsidRPr="005235ED" w:rsidRDefault="00F9616F" w:rsidP="00F9616F">
            <w:pPr>
              <w:pStyle w:val="Tabletext"/>
            </w:pPr>
            <w:r w:rsidRPr="005235ED">
              <w:t>Final session of ITU Council 201</w:t>
            </w:r>
            <w:r>
              <w:t>8</w:t>
            </w:r>
            <w:r w:rsidRPr="005235ED">
              <w:t xml:space="preserve"> (Dubai, United Arab Emirates)</w:t>
            </w:r>
          </w:p>
        </w:tc>
      </w:tr>
      <w:tr w:rsidR="00F9616F" w:rsidTr="00F9616F">
        <w:trPr>
          <w:cantSplit/>
        </w:trPr>
        <w:tc>
          <w:tcPr>
            <w:tcW w:w="3107" w:type="dxa"/>
            <w:tcBorders>
              <w:top w:val="single" w:sz="4" w:space="0" w:color="auto"/>
              <w:left w:val="nil"/>
              <w:bottom w:val="single" w:sz="12" w:space="0" w:color="auto"/>
              <w:right w:val="nil"/>
            </w:tcBorders>
            <w:shd w:val="clear" w:color="auto" w:fill="auto"/>
          </w:tcPr>
          <w:p w:rsidR="00F9616F" w:rsidRPr="000302DC" w:rsidRDefault="00F9616F" w:rsidP="00F9616F">
            <w:pPr>
              <w:pStyle w:val="Tabletext"/>
            </w:pPr>
            <w:r>
              <w:t>29 October–16</w:t>
            </w:r>
            <w:r w:rsidRPr="000302DC">
              <w:t> November</w:t>
            </w:r>
          </w:p>
        </w:tc>
        <w:tc>
          <w:tcPr>
            <w:tcW w:w="5965" w:type="dxa"/>
            <w:tcBorders>
              <w:top w:val="single" w:sz="4" w:space="0" w:color="auto"/>
              <w:left w:val="nil"/>
              <w:bottom w:val="single" w:sz="12" w:space="0" w:color="auto"/>
              <w:right w:val="nil"/>
            </w:tcBorders>
            <w:shd w:val="clear" w:color="auto" w:fill="auto"/>
          </w:tcPr>
          <w:p w:rsidR="00F9616F" w:rsidRPr="000302DC" w:rsidRDefault="00F9616F" w:rsidP="00F9616F">
            <w:pPr>
              <w:pStyle w:val="Tabletext"/>
              <w:rPr>
                <w:highlight w:val="red"/>
              </w:rPr>
            </w:pPr>
            <w:r w:rsidRPr="000302DC">
              <w:t>Plenipotentiary Conference 201</w:t>
            </w:r>
            <w:r>
              <w:t>8</w:t>
            </w:r>
            <w:r w:rsidRPr="000302DC">
              <w:t xml:space="preserve"> (</w:t>
            </w:r>
            <w:r>
              <w:t>Dubai, United Arab Emirates</w:t>
            </w:r>
            <w:r w:rsidRPr="000302DC">
              <w:t>)</w:t>
            </w:r>
          </w:p>
        </w:tc>
      </w:tr>
    </w:tbl>
    <w:p w:rsidR="00400E77" w:rsidRDefault="00400E77" w:rsidP="00625397">
      <w:pPr>
        <w:rPr>
          <w:lang w:eastAsia="en-US"/>
        </w:rPr>
      </w:pPr>
    </w:p>
    <w:p w:rsidR="00F9616F" w:rsidRPr="000302DC" w:rsidRDefault="00F9616F" w:rsidP="00F9616F">
      <w:pPr>
        <w:pStyle w:val="Heading2"/>
        <w:pageBreakBefore/>
      </w:pPr>
      <w:bookmarkStart w:id="71" w:name="_Toc515977880"/>
      <w:bookmarkStart w:id="72" w:name="_Toc515983885"/>
      <w:r w:rsidRPr="000302DC">
        <w:t xml:space="preserve">Attachment </w:t>
      </w:r>
      <w:r>
        <w:t xml:space="preserve">B: </w:t>
      </w:r>
      <w:r w:rsidRPr="000302DC">
        <w:t xml:space="preserve">Australia’s </w:t>
      </w:r>
      <w:r>
        <w:t>financial</w:t>
      </w:r>
      <w:r w:rsidRPr="000302DC">
        <w:t xml:space="preserve"> contribution</w:t>
      </w:r>
      <w:r>
        <w:t xml:space="preserve"> to the ITU</w:t>
      </w:r>
      <w:bookmarkEnd w:id="71"/>
      <w:bookmarkEnd w:id="72"/>
    </w:p>
    <w:p w:rsidR="00F9616F" w:rsidRDefault="00F9616F" w:rsidP="00F9616F">
      <w:pPr>
        <w:spacing w:before="180"/>
        <w:rPr>
          <w:rFonts w:ascii="Calibri" w:hAnsi="Calibri" w:cs="Calibri"/>
          <w:color w:val="000000"/>
        </w:rPr>
      </w:pPr>
      <w:r>
        <w:rPr>
          <w:rFonts w:ascii="Calibri" w:hAnsi="Calibri" w:cs="Calibri"/>
          <w:color w:val="000000"/>
        </w:rPr>
        <w:t>The ITU system for financial contributions is based on contributory units, where Member States nominate the number of units to be paid. This differs from most other UN agencies, which are based on a ‘scale of assessments’ in terms of capacity to pay.</w:t>
      </w:r>
      <w:r w:rsidRPr="003A2927">
        <w:rPr>
          <w:rFonts w:ascii="Calibri" w:hAnsi="Calibri" w:cs="Calibri"/>
          <w:color w:val="000000"/>
        </w:rPr>
        <w:t xml:space="preserve"> </w:t>
      </w:r>
      <w:r>
        <w:rPr>
          <w:rFonts w:ascii="Calibri" w:hAnsi="Calibri" w:cs="Calibri"/>
          <w:color w:val="000000"/>
        </w:rPr>
        <w:t xml:space="preserve">The value of each contributory unit is CHF 318,000 (Swiss Francs). Member States </w:t>
      </w:r>
      <w:r w:rsidRPr="00AF3693">
        <w:rPr>
          <w:rFonts w:ascii="Calibri" w:hAnsi="Calibri" w:cs="Calibri"/>
          <w:color w:val="000000"/>
        </w:rPr>
        <w:t xml:space="preserve">will finalise the value of the contributory unit and announce their definitive amount of financial contribution to the ITU </w:t>
      </w:r>
      <w:r>
        <w:rPr>
          <w:rFonts w:ascii="Calibri" w:hAnsi="Calibri" w:cs="Calibri"/>
          <w:color w:val="000000"/>
        </w:rPr>
        <w:t>at PP-18</w:t>
      </w:r>
      <w:r w:rsidRPr="00AF3693">
        <w:rPr>
          <w:rFonts w:ascii="Calibri" w:hAnsi="Calibri" w:cs="Calibri"/>
          <w:color w:val="000000"/>
        </w:rPr>
        <w:t>.</w:t>
      </w:r>
    </w:p>
    <w:p w:rsidR="00F9616F" w:rsidRDefault="00F9616F" w:rsidP="00F9616F">
      <w:pPr>
        <w:spacing w:before="180"/>
        <w:rPr>
          <w:rFonts w:ascii="Calibri" w:hAnsi="Calibri" w:cs="Calibri"/>
          <w:color w:val="000000"/>
        </w:rPr>
      </w:pPr>
      <w:r w:rsidRPr="007656D8">
        <w:rPr>
          <w:rFonts w:ascii="Calibri" w:hAnsi="Calibri" w:cs="Calibri"/>
          <w:color w:val="000000"/>
        </w:rPr>
        <w:t xml:space="preserve">Australia’s annual contribution to the ITU is CHF </w:t>
      </w:r>
      <w:r w:rsidRPr="007656D8">
        <w:rPr>
          <w:rFonts w:ascii="Calibri" w:hAnsi="Calibri" w:cs="Calibri"/>
          <w:color w:val="000000"/>
          <w:lang w:val="en-GB"/>
        </w:rPr>
        <w:t>4.725 million (Swiss Francs</w:t>
      </w:r>
      <w:r>
        <w:rPr>
          <w:rFonts w:ascii="Calibri" w:hAnsi="Calibri" w:cs="Calibri"/>
          <w:color w:val="000000"/>
          <w:lang w:val="en-GB"/>
        </w:rPr>
        <w:t>)</w:t>
      </w:r>
      <w:r>
        <w:rPr>
          <w:rFonts w:ascii="Calibri" w:hAnsi="Calibri" w:cs="Calibri"/>
          <w:color w:val="000000"/>
        </w:rPr>
        <w:t xml:space="preserve"> </w:t>
      </w:r>
      <w:r w:rsidRPr="007656D8">
        <w:rPr>
          <w:rFonts w:ascii="Calibri" w:hAnsi="Calibri" w:cs="Calibri"/>
          <w:color w:val="000000"/>
        </w:rPr>
        <w:t>and is paid in two parts</w:t>
      </w:r>
      <w:r>
        <w:rPr>
          <w:rFonts w:ascii="Calibri" w:hAnsi="Calibri" w:cs="Calibri"/>
          <w:color w:val="000000"/>
        </w:rPr>
        <w:t>. The first part is a</w:t>
      </w:r>
      <w:r w:rsidRPr="007656D8">
        <w:rPr>
          <w:rFonts w:ascii="Calibri" w:hAnsi="Calibri" w:cs="Calibri"/>
          <w:color w:val="000000"/>
        </w:rPr>
        <w:t xml:space="preserve"> fixed commitm</w:t>
      </w:r>
      <w:r>
        <w:rPr>
          <w:rFonts w:ascii="Calibri" w:hAnsi="Calibri" w:cs="Calibri"/>
          <w:color w:val="000000"/>
        </w:rPr>
        <w:t xml:space="preserve">ent of 13 units that amounts to </w:t>
      </w:r>
      <w:r w:rsidRPr="007656D8">
        <w:rPr>
          <w:rFonts w:ascii="Calibri" w:hAnsi="Calibri" w:cs="Calibri"/>
          <w:color w:val="000000"/>
        </w:rPr>
        <w:t>CHF 4.134 million</w:t>
      </w:r>
      <w:r>
        <w:rPr>
          <w:rFonts w:ascii="Calibri" w:hAnsi="Calibri" w:cs="Calibri"/>
          <w:color w:val="000000"/>
        </w:rPr>
        <w:t xml:space="preserve"> and the second part is an</w:t>
      </w:r>
      <w:r w:rsidRPr="007656D8">
        <w:rPr>
          <w:rFonts w:ascii="Calibri" w:hAnsi="Calibri" w:cs="Calibri"/>
          <w:color w:val="000000"/>
        </w:rPr>
        <w:t xml:space="preserve"> amount of approximately two units, equal to CHF 591,000, which funds ITU development activities. </w:t>
      </w:r>
      <w:r>
        <w:rPr>
          <w:rFonts w:ascii="Calibri" w:hAnsi="Calibri" w:cs="Calibri"/>
          <w:color w:val="000000"/>
        </w:rPr>
        <w:t>As the contribution is set in Swiss Francs, t</w:t>
      </w:r>
      <w:r w:rsidRPr="007656D8">
        <w:rPr>
          <w:rFonts w:ascii="Calibri" w:hAnsi="Calibri" w:cs="Calibri"/>
          <w:color w:val="000000"/>
        </w:rPr>
        <w:t>he final amount of Australia’s contribution in Australian dollars is dependent on exchange rates at the time of the payment.</w:t>
      </w:r>
      <w:r>
        <w:rPr>
          <w:rFonts w:ascii="Calibri" w:hAnsi="Calibri" w:cs="Calibri"/>
        </w:rPr>
        <w:t xml:space="preserve"> </w:t>
      </w:r>
      <w:r>
        <w:rPr>
          <w:rFonts w:ascii="Calibri" w:hAnsi="Calibri" w:cs="Calibri"/>
          <w:color w:val="000000"/>
        </w:rPr>
        <w:t>The contribution</w:t>
      </w:r>
      <w:r w:rsidRPr="00DD78AD">
        <w:rPr>
          <w:rFonts w:ascii="Calibri" w:hAnsi="Calibri" w:cs="Calibri"/>
          <w:color w:val="000000"/>
        </w:rPr>
        <w:t xml:space="preserve"> is </w:t>
      </w:r>
      <w:r>
        <w:rPr>
          <w:rFonts w:ascii="Calibri" w:hAnsi="Calibri" w:cs="Calibri"/>
          <w:color w:val="000000"/>
        </w:rPr>
        <w:t>recovered</w:t>
      </w:r>
      <w:r w:rsidRPr="00DD78AD">
        <w:rPr>
          <w:rFonts w:ascii="Calibri" w:hAnsi="Calibri" w:cs="Calibri"/>
          <w:color w:val="000000"/>
        </w:rPr>
        <w:t xml:space="preserve"> from telecommunications carriers as part of an annual charge levied by ACMA and from ra</w:t>
      </w:r>
      <w:r>
        <w:rPr>
          <w:rFonts w:ascii="Calibri" w:hAnsi="Calibri" w:cs="Calibri"/>
          <w:color w:val="000000"/>
        </w:rPr>
        <w:t>diocommunications licence fees.</w:t>
      </w:r>
    </w:p>
    <w:p w:rsidR="00F9616F" w:rsidRDefault="00F9616F" w:rsidP="00F9616F">
      <w:pPr>
        <w:spacing w:before="180"/>
        <w:rPr>
          <w:rFonts w:ascii="Calibri" w:hAnsi="Calibri" w:cs="Calibri"/>
          <w:color w:val="000000"/>
        </w:rPr>
      </w:pPr>
      <w:r w:rsidRPr="005A42E5">
        <w:rPr>
          <w:rFonts w:ascii="Calibri" w:hAnsi="Calibri" w:cs="Calibri"/>
          <w:color w:val="000000"/>
        </w:rPr>
        <w:t>The level for Australia’s financial contribution to the ITU is discretionary. A</w:t>
      </w:r>
      <w:r>
        <w:rPr>
          <w:rFonts w:ascii="Calibri" w:hAnsi="Calibri" w:cs="Calibri"/>
          <w:color w:val="000000"/>
        </w:rPr>
        <w:t>t the plenipotentiary conference, a</w:t>
      </w:r>
      <w:r w:rsidRPr="005A42E5">
        <w:rPr>
          <w:rFonts w:ascii="Calibri" w:hAnsi="Calibri" w:cs="Calibri"/>
          <w:color w:val="000000"/>
        </w:rPr>
        <w:t xml:space="preserve"> Member State may nominate any number of units from a specified scale, provided the level is not reduced by more than 15 per cent of the previous number of contributory units in a four year term.</w:t>
      </w:r>
      <w:r>
        <w:rPr>
          <w:rFonts w:ascii="Calibri" w:hAnsi="Calibri" w:cs="Calibri"/>
          <w:color w:val="000000"/>
        </w:rPr>
        <w:t xml:space="preserve"> Following consultation with stakeholders in late 2017, the Minister for Communications has agreed to maintain the current level of financial contribution for the period 2020–2023.</w:t>
      </w:r>
    </w:p>
    <w:p w:rsidR="00F9616F" w:rsidRPr="007656D8" w:rsidRDefault="00F9616F" w:rsidP="00F9616F">
      <w:pPr>
        <w:spacing w:before="180"/>
        <w:rPr>
          <w:rFonts w:ascii="Calibri" w:hAnsi="Calibri" w:cs="Calibri"/>
        </w:rPr>
      </w:pPr>
      <w:r w:rsidRPr="00F40A0D">
        <w:rPr>
          <w:rFonts w:ascii="Calibri" w:hAnsi="Calibri" w:cs="Calibri"/>
        </w:rPr>
        <w:t>Australia</w:t>
      </w:r>
      <w:r>
        <w:rPr>
          <w:rFonts w:ascii="Calibri" w:hAnsi="Calibri" w:cs="Calibri"/>
        </w:rPr>
        <w:t>’s</w:t>
      </w:r>
      <w:r w:rsidRPr="00F40A0D">
        <w:rPr>
          <w:rFonts w:ascii="Calibri" w:hAnsi="Calibri" w:cs="Calibri"/>
        </w:rPr>
        <w:t xml:space="preserve"> contribution places it equal eighth </w:t>
      </w:r>
      <w:r>
        <w:rPr>
          <w:rFonts w:ascii="Calibri" w:hAnsi="Calibri" w:cs="Calibri"/>
        </w:rPr>
        <w:t xml:space="preserve">largest contributor </w:t>
      </w:r>
      <w:r w:rsidRPr="00F40A0D">
        <w:rPr>
          <w:rFonts w:ascii="Calibri" w:hAnsi="Calibri" w:cs="Calibri"/>
        </w:rPr>
        <w:t xml:space="preserve">out of the 193 ITU Member States, and third in the Asia Pacific </w:t>
      </w:r>
      <w:r>
        <w:rPr>
          <w:rFonts w:ascii="Calibri" w:hAnsi="Calibri" w:cs="Calibri"/>
        </w:rPr>
        <w:t>r</w:t>
      </w:r>
      <w:r w:rsidRPr="00F40A0D">
        <w:rPr>
          <w:rFonts w:ascii="Calibri" w:hAnsi="Calibri" w:cs="Calibri"/>
        </w:rPr>
        <w:t xml:space="preserve">egion </w:t>
      </w:r>
      <w:r>
        <w:rPr>
          <w:rFonts w:ascii="Calibri" w:hAnsi="Calibri" w:cs="Calibri"/>
        </w:rPr>
        <w:t xml:space="preserve">behind Japan and China </w:t>
      </w:r>
      <w:r w:rsidRPr="00F40A0D">
        <w:rPr>
          <w:rFonts w:ascii="Calibri" w:hAnsi="Calibri" w:cs="Calibri"/>
        </w:rPr>
        <w:t>(see Table 1).</w:t>
      </w:r>
    </w:p>
    <w:p w:rsidR="00F9616F" w:rsidRPr="00BA4F3B" w:rsidRDefault="00F9616F" w:rsidP="00F9616F">
      <w:pPr>
        <w:pStyle w:val="Tablefigureheading"/>
      </w:pPr>
      <w:bookmarkStart w:id="73" w:name="_Toc515977883"/>
      <w:bookmarkStart w:id="74" w:name="_Toc515983888"/>
      <w:r w:rsidRPr="00BA4F3B">
        <w:t>Table 1: Largest Member State contributions to the ITU in 2018</w:t>
      </w:r>
      <w:bookmarkEnd w:id="73"/>
      <w:bookmarkEnd w:id="74"/>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Largest member state contributions to the ITU in 2018."/>
      </w:tblPr>
      <w:tblGrid>
        <w:gridCol w:w="3107"/>
        <w:gridCol w:w="5257"/>
      </w:tblGrid>
      <w:tr w:rsidR="00F9616F" w:rsidTr="00F9616F">
        <w:trPr>
          <w:cantSplit/>
          <w:tblHeader/>
        </w:trPr>
        <w:tc>
          <w:tcPr>
            <w:tcW w:w="3107" w:type="dxa"/>
            <w:tcBorders>
              <w:top w:val="nil"/>
              <w:left w:val="nil"/>
              <w:bottom w:val="thickThinLargeGap" w:sz="24" w:space="0" w:color="auto"/>
              <w:right w:val="nil"/>
            </w:tcBorders>
            <w:shd w:val="clear" w:color="auto" w:fill="E4E4E4"/>
          </w:tcPr>
          <w:p w:rsidR="00F9616F" w:rsidRDefault="00F9616F" w:rsidP="00F9616F">
            <w:pPr>
              <w:pStyle w:val="Tablerowcolumnheading"/>
            </w:pPr>
            <w:r>
              <w:t>Number of contributory units</w:t>
            </w:r>
          </w:p>
        </w:tc>
        <w:tc>
          <w:tcPr>
            <w:tcW w:w="5257" w:type="dxa"/>
            <w:tcBorders>
              <w:top w:val="nil"/>
              <w:left w:val="nil"/>
              <w:bottom w:val="thickThinLargeGap" w:sz="24" w:space="0" w:color="auto"/>
              <w:right w:val="nil"/>
            </w:tcBorders>
            <w:shd w:val="clear" w:color="auto" w:fill="E4E4E4"/>
          </w:tcPr>
          <w:p w:rsidR="00F9616F" w:rsidRDefault="00F9616F" w:rsidP="00F9616F">
            <w:pPr>
              <w:pStyle w:val="Tablerowcolumnheading"/>
            </w:pPr>
            <w:r>
              <w:t>Member states</w:t>
            </w:r>
          </w:p>
        </w:tc>
      </w:tr>
      <w:tr w:rsidR="00F9616F" w:rsidTr="00F9616F">
        <w:trPr>
          <w:cantSplit/>
        </w:trPr>
        <w:tc>
          <w:tcPr>
            <w:tcW w:w="3107" w:type="dxa"/>
            <w:tcBorders>
              <w:top w:val="thickThinLargeGap" w:sz="24" w:space="0" w:color="auto"/>
              <w:left w:val="nil"/>
              <w:bottom w:val="single" w:sz="4" w:space="0" w:color="auto"/>
              <w:right w:val="nil"/>
            </w:tcBorders>
          </w:tcPr>
          <w:p w:rsidR="00F9616F" w:rsidRPr="000C6B45" w:rsidRDefault="00F9616F" w:rsidP="00F9616F">
            <w:pPr>
              <w:pStyle w:val="Tabletextcentred"/>
            </w:pPr>
            <w:r w:rsidRPr="000C6B45">
              <w:t>30 units</w:t>
            </w:r>
          </w:p>
        </w:tc>
        <w:tc>
          <w:tcPr>
            <w:tcW w:w="5257" w:type="dxa"/>
            <w:tcBorders>
              <w:top w:val="thickThinLargeGap" w:sz="24" w:space="0" w:color="auto"/>
              <w:left w:val="nil"/>
              <w:bottom w:val="single" w:sz="4" w:space="0" w:color="auto"/>
              <w:right w:val="nil"/>
            </w:tcBorders>
          </w:tcPr>
          <w:p w:rsidR="00F9616F" w:rsidRPr="000C6B45" w:rsidRDefault="00F9616F" w:rsidP="00F9616F">
            <w:pPr>
              <w:pStyle w:val="Tabletext"/>
            </w:pPr>
            <w:r w:rsidRPr="000C6B45">
              <w:t>Japan, United States of America</w:t>
            </w:r>
          </w:p>
        </w:tc>
      </w:tr>
      <w:tr w:rsidR="00F9616F" w:rsidTr="00F9616F">
        <w:trPr>
          <w:cantSplit/>
        </w:trPr>
        <w:tc>
          <w:tcPr>
            <w:tcW w:w="3107" w:type="dxa"/>
            <w:tcBorders>
              <w:top w:val="single" w:sz="4" w:space="0" w:color="auto"/>
              <w:left w:val="nil"/>
              <w:bottom w:val="single" w:sz="4" w:space="0" w:color="auto"/>
              <w:right w:val="nil"/>
            </w:tcBorders>
          </w:tcPr>
          <w:p w:rsidR="00F9616F" w:rsidRPr="000C6B45" w:rsidRDefault="00F9616F" w:rsidP="00F9616F">
            <w:pPr>
              <w:pStyle w:val="Tabletextcentred"/>
            </w:pPr>
            <w:r w:rsidRPr="000C6B45">
              <w:t>25 units</w:t>
            </w:r>
          </w:p>
        </w:tc>
        <w:tc>
          <w:tcPr>
            <w:tcW w:w="5257" w:type="dxa"/>
            <w:tcBorders>
              <w:top w:val="single" w:sz="4" w:space="0" w:color="auto"/>
              <w:left w:val="nil"/>
              <w:bottom w:val="single" w:sz="4" w:space="0" w:color="auto"/>
              <w:right w:val="nil"/>
            </w:tcBorders>
          </w:tcPr>
          <w:p w:rsidR="00F9616F" w:rsidRPr="000C6B45" w:rsidRDefault="00F9616F" w:rsidP="00F9616F">
            <w:pPr>
              <w:pStyle w:val="Tabletext"/>
            </w:pPr>
            <w:r w:rsidRPr="000C6B45">
              <w:t>Germany</w:t>
            </w:r>
          </w:p>
        </w:tc>
      </w:tr>
      <w:tr w:rsidR="00F9616F" w:rsidTr="00F9616F">
        <w:trPr>
          <w:cantSplit/>
        </w:trPr>
        <w:tc>
          <w:tcPr>
            <w:tcW w:w="3107" w:type="dxa"/>
            <w:tcBorders>
              <w:top w:val="single" w:sz="4" w:space="0" w:color="auto"/>
              <w:left w:val="nil"/>
              <w:bottom w:val="single" w:sz="4" w:space="0" w:color="auto"/>
              <w:right w:val="nil"/>
            </w:tcBorders>
          </w:tcPr>
          <w:p w:rsidR="00F9616F" w:rsidRPr="000C6B45" w:rsidRDefault="00F9616F" w:rsidP="00F9616F">
            <w:pPr>
              <w:pStyle w:val="Tabletextcentred"/>
            </w:pPr>
            <w:r>
              <w:t>21 units</w:t>
            </w:r>
          </w:p>
        </w:tc>
        <w:tc>
          <w:tcPr>
            <w:tcW w:w="5257" w:type="dxa"/>
            <w:tcBorders>
              <w:top w:val="single" w:sz="4" w:space="0" w:color="auto"/>
              <w:left w:val="nil"/>
              <w:bottom w:val="single" w:sz="4" w:space="0" w:color="auto"/>
              <w:right w:val="nil"/>
            </w:tcBorders>
          </w:tcPr>
          <w:p w:rsidR="00F9616F" w:rsidRPr="000C6B45" w:rsidRDefault="00F9616F" w:rsidP="00F9616F">
            <w:pPr>
              <w:pStyle w:val="Tabletext"/>
            </w:pPr>
            <w:r>
              <w:t>France</w:t>
            </w:r>
          </w:p>
        </w:tc>
      </w:tr>
      <w:tr w:rsidR="00F9616F" w:rsidTr="00F9616F">
        <w:trPr>
          <w:cantSplit/>
        </w:trPr>
        <w:tc>
          <w:tcPr>
            <w:tcW w:w="3107" w:type="dxa"/>
            <w:tcBorders>
              <w:top w:val="single" w:sz="4" w:space="0" w:color="auto"/>
              <w:left w:val="nil"/>
              <w:bottom w:val="single" w:sz="4" w:space="0" w:color="auto"/>
              <w:right w:val="nil"/>
            </w:tcBorders>
          </w:tcPr>
          <w:p w:rsidR="00F9616F" w:rsidRPr="000C6B45" w:rsidRDefault="00F9616F" w:rsidP="00F9616F">
            <w:pPr>
              <w:pStyle w:val="Tabletextcentred"/>
            </w:pPr>
            <w:r w:rsidRPr="000C6B45">
              <w:t>15 units</w:t>
            </w:r>
          </w:p>
        </w:tc>
        <w:tc>
          <w:tcPr>
            <w:tcW w:w="5257" w:type="dxa"/>
            <w:tcBorders>
              <w:top w:val="single" w:sz="4" w:space="0" w:color="auto"/>
              <w:left w:val="nil"/>
              <w:bottom w:val="single" w:sz="4" w:space="0" w:color="auto"/>
              <w:right w:val="nil"/>
            </w:tcBorders>
          </w:tcPr>
          <w:p w:rsidR="00F9616F" w:rsidRPr="000C6B45" w:rsidRDefault="00F9616F" w:rsidP="00F9616F">
            <w:pPr>
              <w:pStyle w:val="Tabletext"/>
            </w:pPr>
            <w:r w:rsidRPr="000C6B45">
              <w:t>Italy, Russia</w:t>
            </w:r>
          </w:p>
        </w:tc>
      </w:tr>
      <w:tr w:rsidR="00F9616F" w:rsidTr="00F9616F">
        <w:trPr>
          <w:cantSplit/>
        </w:trPr>
        <w:tc>
          <w:tcPr>
            <w:tcW w:w="3107" w:type="dxa"/>
            <w:tcBorders>
              <w:top w:val="single" w:sz="4" w:space="0" w:color="auto"/>
              <w:left w:val="nil"/>
              <w:bottom w:val="single" w:sz="4" w:space="0" w:color="auto"/>
              <w:right w:val="nil"/>
            </w:tcBorders>
          </w:tcPr>
          <w:p w:rsidR="00F9616F" w:rsidRPr="000C6B45" w:rsidRDefault="00F9616F" w:rsidP="00F9616F">
            <w:pPr>
              <w:pStyle w:val="Tabletextcentred"/>
            </w:pPr>
            <w:r>
              <w:t>14 units</w:t>
            </w:r>
          </w:p>
        </w:tc>
        <w:tc>
          <w:tcPr>
            <w:tcW w:w="5257" w:type="dxa"/>
            <w:tcBorders>
              <w:top w:val="single" w:sz="4" w:space="0" w:color="auto"/>
              <w:left w:val="nil"/>
              <w:bottom w:val="single" w:sz="4" w:space="0" w:color="auto"/>
              <w:right w:val="nil"/>
            </w:tcBorders>
          </w:tcPr>
          <w:p w:rsidR="00F9616F" w:rsidRPr="000C6B45" w:rsidRDefault="00F9616F" w:rsidP="00F9616F">
            <w:pPr>
              <w:pStyle w:val="Tabletext"/>
            </w:pPr>
            <w:r>
              <w:t>China</w:t>
            </w:r>
            <w:r>
              <w:rPr>
                <w:rStyle w:val="FootnoteReference"/>
                <w:rFonts w:ascii="Calibri" w:hAnsi="Calibri" w:cs="Calibri"/>
                <w:color w:val="000000"/>
                <w:sz w:val="20"/>
              </w:rPr>
              <w:footnoteReference w:id="2"/>
            </w:r>
          </w:p>
        </w:tc>
      </w:tr>
      <w:tr w:rsidR="00F9616F" w:rsidTr="00F9616F">
        <w:trPr>
          <w:cantSplit/>
        </w:trPr>
        <w:tc>
          <w:tcPr>
            <w:tcW w:w="3107" w:type="dxa"/>
            <w:tcBorders>
              <w:top w:val="single" w:sz="4" w:space="0" w:color="auto"/>
              <w:left w:val="nil"/>
              <w:bottom w:val="single" w:sz="4" w:space="0" w:color="auto"/>
              <w:right w:val="nil"/>
            </w:tcBorders>
          </w:tcPr>
          <w:p w:rsidR="00F9616F" w:rsidRPr="000C6B45" w:rsidRDefault="00F9616F" w:rsidP="00F9616F">
            <w:pPr>
              <w:pStyle w:val="Tabletextcentred"/>
            </w:pPr>
            <w:r w:rsidRPr="000C6B45">
              <w:t>13 units</w:t>
            </w:r>
          </w:p>
        </w:tc>
        <w:tc>
          <w:tcPr>
            <w:tcW w:w="5257" w:type="dxa"/>
            <w:tcBorders>
              <w:top w:val="single" w:sz="4" w:space="0" w:color="auto"/>
              <w:left w:val="nil"/>
              <w:bottom w:val="single" w:sz="4" w:space="0" w:color="auto"/>
              <w:right w:val="nil"/>
            </w:tcBorders>
          </w:tcPr>
          <w:p w:rsidR="00F9616F" w:rsidRPr="000C6B45" w:rsidRDefault="00F9616F" w:rsidP="00F9616F">
            <w:pPr>
              <w:pStyle w:val="Tabletext"/>
            </w:pPr>
            <w:r w:rsidRPr="000C6B45">
              <w:t xml:space="preserve">Australia, </w:t>
            </w:r>
            <w:r>
              <w:t xml:space="preserve">Canada, </w:t>
            </w:r>
            <w:r w:rsidRPr="000C6B45">
              <w:t>Saudi Arabia</w:t>
            </w:r>
          </w:p>
        </w:tc>
      </w:tr>
      <w:tr w:rsidR="00F9616F" w:rsidTr="00F9616F">
        <w:trPr>
          <w:cantSplit/>
        </w:trPr>
        <w:tc>
          <w:tcPr>
            <w:tcW w:w="3107" w:type="dxa"/>
            <w:tcBorders>
              <w:top w:val="single" w:sz="4" w:space="0" w:color="auto"/>
              <w:left w:val="nil"/>
              <w:bottom w:val="single" w:sz="12" w:space="0" w:color="auto"/>
              <w:right w:val="nil"/>
            </w:tcBorders>
          </w:tcPr>
          <w:p w:rsidR="00F9616F" w:rsidRPr="000C6B45" w:rsidRDefault="00F9616F" w:rsidP="00F9616F">
            <w:pPr>
              <w:pStyle w:val="Tabletextcentred"/>
            </w:pPr>
            <w:r w:rsidRPr="000C6B45">
              <w:t>10 units</w:t>
            </w:r>
          </w:p>
        </w:tc>
        <w:tc>
          <w:tcPr>
            <w:tcW w:w="5257" w:type="dxa"/>
            <w:tcBorders>
              <w:top w:val="single" w:sz="4" w:space="0" w:color="auto"/>
              <w:left w:val="nil"/>
              <w:bottom w:val="single" w:sz="12" w:space="0" w:color="auto"/>
              <w:right w:val="nil"/>
            </w:tcBorders>
          </w:tcPr>
          <w:p w:rsidR="00F9616F" w:rsidRPr="000C6B45" w:rsidRDefault="00F9616F" w:rsidP="00F9616F">
            <w:pPr>
              <w:pStyle w:val="Tabletext"/>
            </w:pPr>
            <w:r w:rsidRPr="000C6B45">
              <w:t>India, Republic of Korea, Switzerland, United Kingdom</w:t>
            </w:r>
          </w:p>
        </w:tc>
      </w:tr>
    </w:tbl>
    <w:p w:rsidR="00F9616F" w:rsidRDefault="00F9616F" w:rsidP="00F9616F"/>
    <w:p w:rsidR="00F9616F" w:rsidRPr="007656D8" w:rsidRDefault="00F9616F" w:rsidP="00F9616F">
      <w:pPr>
        <w:pStyle w:val="BodyText"/>
        <w:spacing w:before="180"/>
        <w:rPr>
          <w:rFonts w:ascii="Calibri" w:hAnsi="Calibri" w:cs="Calibri"/>
          <w:szCs w:val="24"/>
        </w:rPr>
      </w:pPr>
      <w:r w:rsidRPr="007656D8">
        <w:rPr>
          <w:rFonts w:ascii="Calibri" w:hAnsi="Calibri" w:cs="Calibri"/>
          <w:szCs w:val="22"/>
        </w:rPr>
        <w:t>Australia contributed 18 units to the ITU from 1965 to 1989. At the 1989 Plenipotentiary Conference, the contribution was reduced to 15 units on the basis that our contribution at the time was high in relation to other similar countries.</w:t>
      </w:r>
      <w:r>
        <w:rPr>
          <w:rFonts w:ascii="Calibri" w:hAnsi="Calibri" w:cs="Calibri"/>
          <w:szCs w:val="22"/>
        </w:rPr>
        <w:t xml:space="preserve"> </w:t>
      </w:r>
      <w:r w:rsidRPr="007656D8">
        <w:rPr>
          <w:rFonts w:ascii="Calibri" w:hAnsi="Calibri" w:cs="Calibri"/>
          <w:szCs w:val="22"/>
        </w:rPr>
        <w:t xml:space="preserve">At the </w:t>
      </w:r>
      <w:r>
        <w:rPr>
          <w:rFonts w:ascii="Calibri" w:hAnsi="Calibri" w:cs="Calibri"/>
          <w:szCs w:val="22"/>
        </w:rPr>
        <w:t xml:space="preserve">2002 </w:t>
      </w:r>
      <w:r w:rsidRPr="007656D8">
        <w:rPr>
          <w:rFonts w:ascii="Calibri" w:hAnsi="Calibri" w:cs="Calibri"/>
          <w:szCs w:val="22"/>
        </w:rPr>
        <w:t>Plenipotentiary Conference</w:t>
      </w:r>
      <w:r>
        <w:rPr>
          <w:rFonts w:ascii="Calibri" w:hAnsi="Calibri" w:cs="Calibri"/>
          <w:szCs w:val="22"/>
        </w:rPr>
        <w:t>,</w:t>
      </w:r>
      <w:r w:rsidRPr="007656D8">
        <w:rPr>
          <w:rFonts w:ascii="Calibri" w:hAnsi="Calibri" w:cs="Calibri"/>
          <w:szCs w:val="22"/>
        </w:rPr>
        <w:t xml:space="preserve"> Australia made a decision to alter the mix of its contribution, while maintaining the same level in Swiss Francs. This decision took effect in 2004 as Australia reduced its Member State contribution to 13 units and established a variable, direct contribution for development projects in the Asia-Pacific region. </w:t>
      </w:r>
      <w:r>
        <w:rPr>
          <w:rFonts w:ascii="Calibri" w:hAnsi="Calibri" w:cs="Calibri"/>
          <w:szCs w:val="22"/>
        </w:rPr>
        <w:t>Australia has agreed to maintain this arrangement at each subsequent plenipotentiary conference.</w:t>
      </w:r>
    </w:p>
    <w:p w:rsidR="00F9616F" w:rsidRPr="000302DC" w:rsidRDefault="00F9616F" w:rsidP="00F9616F">
      <w:pPr>
        <w:pStyle w:val="Heading2"/>
        <w:pageBreakBefore/>
        <w:rPr>
          <w:sz w:val="24"/>
        </w:rPr>
      </w:pPr>
      <w:bookmarkStart w:id="75" w:name="_Attachment_D"/>
      <w:bookmarkStart w:id="76" w:name="_Toc515977881"/>
      <w:bookmarkStart w:id="77" w:name="_Toc515983886"/>
      <w:bookmarkEnd w:id="75"/>
      <w:r w:rsidRPr="000302DC">
        <w:t xml:space="preserve">Attachment </w:t>
      </w:r>
      <w:r>
        <w:t>C: Candidates for the Senior Management positions</w:t>
      </w:r>
      <w:bookmarkEnd w:id="76"/>
      <w:bookmarkEnd w:id="77"/>
    </w:p>
    <w:tbl>
      <w:tblPr>
        <w:tblStyle w:val="TableGrid"/>
        <w:tblW w:w="9214" w:type="dxa"/>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his table contains a list of candidates for Radio Regulations Board"/>
      </w:tblPr>
      <w:tblGrid>
        <w:gridCol w:w="2120"/>
        <w:gridCol w:w="1833"/>
        <w:gridCol w:w="2001"/>
        <w:gridCol w:w="1834"/>
        <w:gridCol w:w="1426"/>
      </w:tblGrid>
      <w:tr w:rsidR="00F9616F" w:rsidTr="00761C8A">
        <w:trPr>
          <w:cantSplit/>
          <w:tblHeader/>
        </w:trPr>
        <w:tc>
          <w:tcPr>
            <w:tcW w:w="2120" w:type="dxa"/>
            <w:tcBorders>
              <w:top w:val="nil"/>
              <w:left w:val="nil"/>
              <w:bottom w:val="thickThinLargeGap" w:sz="24" w:space="0" w:color="auto"/>
              <w:right w:val="nil"/>
            </w:tcBorders>
            <w:shd w:val="clear" w:color="auto" w:fill="E4E4E4"/>
          </w:tcPr>
          <w:p w:rsidR="00F9616F" w:rsidRDefault="00F9616F" w:rsidP="00F9616F">
            <w:pPr>
              <w:pStyle w:val="Tablerowcolumnheading"/>
            </w:pPr>
            <w:r>
              <w:t>Post</w:t>
            </w:r>
          </w:p>
        </w:tc>
        <w:tc>
          <w:tcPr>
            <w:tcW w:w="1833" w:type="dxa"/>
            <w:tcBorders>
              <w:top w:val="nil"/>
              <w:left w:val="nil"/>
              <w:bottom w:val="thickThinLargeGap" w:sz="24" w:space="0" w:color="auto"/>
              <w:right w:val="nil"/>
            </w:tcBorders>
            <w:shd w:val="clear" w:color="auto" w:fill="E4E4E4"/>
          </w:tcPr>
          <w:p w:rsidR="00F9616F" w:rsidRDefault="00F9616F" w:rsidP="00F9616F">
            <w:pPr>
              <w:pStyle w:val="Tablerowcolumnheadingcentred"/>
            </w:pPr>
            <w:r>
              <w:t>Candidate</w:t>
            </w:r>
          </w:p>
        </w:tc>
        <w:tc>
          <w:tcPr>
            <w:tcW w:w="2001" w:type="dxa"/>
            <w:tcBorders>
              <w:top w:val="nil"/>
              <w:left w:val="nil"/>
              <w:bottom w:val="thickThinLargeGap" w:sz="24" w:space="0" w:color="auto"/>
              <w:right w:val="nil"/>
            </w:tcBorders>
            <w:shd w:val="clear" w:color="auto" w:fill="E4E4E4"/>
          </w:tcPr>
          <w:p w:rsidR="00F9616F" w:rsidRDefault="00F9616F" w:rsidP="00F9616F">
            <w:pPr>
              <w:pStyle w:val="Tablerowcolumnheadingcentred"/>
            </w:pPr>
            <w:r>
              <w:t>Country</w:t>
            </w:r>
          </w:p>
        </w:tc>
        <w:tc>
          <w:tcPr>
            <w:tcW w:w="1834" w:type="dxa"/>
            <w:tcBorders>
              <w:top w:val="nil"/>
              <w:left w:val="nil"/>
              <w:bottom w:val="thickThinLargeGap" w:sz="24" w:space="0" w:color="auto"/>
              <w:right w:val="nil"/>
            </w:tcBorders>
            <w:shd w:val="clear" w:color="auto" w:fill="E4E4E4"/>
          </w:tcPr>
          <w:p w:rsidR="00F9616F" w:rsidRDefault="00F9616F" w:rsidP="00F9616F">
            <w:pPr>
              <w:pStyle w:val="Tablerowcolumnheadingcentred"/>
            </w:pPr>
            <w:r>
              <w:t>Region</w:t>
            </w:r>
          </w:p>
        </w:tc>
        <w:tc>
          <w:tcPr>
            <w:tcW w:w="1426" w:type="dxa"/>
            <w:tcBorders>
              <w:top w:val="nil"/>
              <w:left w:val="nil"/>
              <w:bottom w:val="thickThinLargeGap" w:sz="24" w:space="0" w:color="auto"/>
              <w:right w:val="nil"/>
            </w:tcBorders>
            <w:shd w:val="clear" w:color="auto" w:fill="E4E4E4"/>
          </w:tcPr>
          <w:p w:rsidR="00F9616F" w:rsidRDefault="00F9616F" w:rsidP="00F9616F">
            <w:pPr>
              <w:pStyle w:val="Tablerowcolumnheadingcentred"/>
            </w:pPr>
            <w:r>
              <w:t>Incumbent</w:t>
            </w:r>
          </w:p>
        </w:tc>
      </w:tr>
      <w:tr w:rsidR="00F9616F" w:rsidTr="00761C8A">
        <w:trPr>
          <w:cantSplit/>
        </w:trPr>
        <w:tc>
          <w:tcPr>
            <w:tcW w:w="2120" w:type="dxa"/>
            <w:tcBorders>
              <w:top w:val="thickThinLargeGap" w:sz="24" w:space="0" w:color="auto"/>
              <w:left w:val="nil"/>
              <w:bottom w:val="single" w:sz="4" w:space="0" w:color="auto"/>
              <w:right w:val="nil"/>
            </w:tcBorders>
          </w:tcPr>
          <w:p w:rsidR="00F9616F" w:rsidRPr="00832A38" w:rsidRDefault="00F9616F" w:rsidP="00761C8A">
            <w:pPr>
              <w:pStyle w:val="Tabletext"/>
            </w:pPr>
            <w:r w:rsidRPr="00832A38">
              <w:t>Secretary-General</w:t>
            </w:r>
          </w:p>
        </w:tc>
        <w:tc>
          <w:tcPr>
            <w:tcW w:w="1833" w:type="dxa"/>
            <w:tcBorders>
              <w:top w:val="thickThinLargeGap" w:sz="24" w:space="0" w:color="auto"/>
              <w:left w:val="nil"/>
              <w:bottom w:val="single" w:sz="4" w:space="0" w:color="auto"/>
              <w:right w:val="nil"/>
            </w:tcBorders>
          </w:tcPr>
          <w:p w:rsidR="00F9616F" w:rsidRPr="00832A38" w:rsidRDefault="00F9616F" w:rsidP="00761C8A">
            <w:pPr>
              <w:pStyle w:val="Tabletext"/>
            </w:pPr>
            <w:r w:rsidRPr="00832A38">
              <w:t>Houlin Zhao</w:t>
            </w:r>
          </w:p>
        </w:tc>
        <w:tc>
          <w:tcPr>
            <w:tcW w:w="2001" w:type="dxa"/>
            <w:tcBorders>
              <w:top w:val="thickThinLargeGap" w:sz="24" w:space="0" w:color="auto"/>
              <w:left w:val="nil"/>
              <w:bottom w:val="single" w:sz="4" w:space="0" w:color="auto"/>
              <w:right w:val="nil"/>
            </w:tcBorders>
          </w:tcPr>
          <w:p w:rsidR="00F9616F" w:rsidRPr="00832A38" w:rsidRDefault="00F9616F" w:rsidP="00761C8A">
            <w:pPr>
              <w:pStyle w:val="Tabletextcentred"/>
            </w:pPr>
            <w:r w:rsidRPr="00832A38">
              <w:t>China</w:t>
            </w:r>
          </w:p>
        </w:tc>
        <w:tc>
          <w:tcPr>
            <w:tcW w:w="1834" w:type="dxa"/>
            <w:tcBorders>
              <w:top w:val="thickThinLargeGap" w:sz="24" w:space="0" w:color="auto"/>
              <w:left w:val="nil"/>
              <w:bottom w:val="single" w:sz="4" w:space="0" w:color="auto"/>
              <w:right w:val="nil"/>
            </w:tcBorders>
          </w:tcPr>
          <w:p w:rsidR="00F9616F" w:rsidRPr="00832A38" w:rsidRDefault="00F9616F" w:rsidP="00761C8A">
            <w:pPr>
              <w:pStyle w:val="Tabletextcentred"/>
            </w:pPr>
            <w:r w:rsidRPr="00832A38">
              <w:t>E</w:t>
            </w:r>
            <w:r>
              <w:t>: Asia and Australasia</w:t>
            </w:r>
          </w:p>
        </w:tc>
        <w:tc>
          <w:tcPr>
            <w:tcW w:w="1426" w:type="dxa"/>
            <w:tcBorders>
              <w:top w:val="thickThinLargeGap" w:sz="24" w:space="0" w:color="auto"/>
              <w:left w:val="nil"/>
              <w:bottom w:val="single" w:sz="4" w:space="0" w:color="auto"/>
              <w:right w:val="nil"/>
            </w:tcBorders>
          </w:tcPr>
          <w:p w:rsidR="00F9616F" w:rsidRDefault="00F9616F" w:rsidP="00761C8A">
            <w:pPr>
              <w:pStyle w:val="Tabletextcentred"/>
            </w:pPr>
            <w:r w:rsidRPr="00832A38">
              <w:t>Yes</w:t>
            </w:r>
          </w:p>
        </w:tc>
      </w:tr>
      <w:tr w:rsidR="00F9616F" w:rsidTr="00761C8A">
        <w:trPr>
          <w:cantSplit/>
        </w:trPr>
        <w:tc>
          <w:tcPr>
            <w:tcW w:w="2120" w:type="dxa"/>
            <w:tcBorders>
              <w:top w:val="single" w:sz="4" w:space="0" w:color="auto"/>
              <w:left w:val="nil"/>
              <w:bottom w:val="single" w:sz="4" w:space="0" w:color="auto"/>
              <w:right w:val="nil"/>
            </w:tcBorders>
          </w:tcPr>
          <w:p w:rsidR="00F9616F" w:rsidRPr="000A1A12" w:rsidRDefault="00F9616F" w:rsidP="00761C8A">
            <w:pPr>
              <w:pStyle w:val="Tabletext"/>
            </w:pPr>
            <w:r>
              <w:t>Deputy Secretary-General</w:t>
            </w:r>
          </w:p>
        </w:tc>
        <w:tc>
          <w:tcPr>
            <w:tcW w:w="1833" w:type="dxa"/>
            <w:tcBorders>
              <w:top w:val="single" w:sz="4" w:space="0" w:color="auto"/>
              <w:left w:val="nil"/>
              <w:bottom w:val="single" w:sz="4" w:space="0" w:color="auto"/>
              <w:right w:val="nil"/>
            </w:tcBorders>
          </w:tcPr>
          <w:p w:rsidR="00F9616F" w:rsidRPr="002B75A1" w:rsidRDefault="00F9616F" w:rsidP="00761C8A">
            <w:pPr>
              <w:pStyle w:val="Tabletext"/>
            </w:pPr>
            <w:r w:rsidRPr="002B75A1">
              <w:t>Malcolm Johnson</w:t>
            </w:r>
          </w:p>
        </w:tc>
        <w:tc>
          <w:tcPr>
            <w:tcW w:w="2001" w:type="dxa"/>
            <w:tcBorders>
              <w:top w:val="single" w:sz="4" w:space="0" w:color="auto"/>
              <w:left w:val="nil"/>
              <w:bottom w:val="single" w:sz="4" w:space="0" w:color="auto"/>
              <w:right w:val="nil"/>
            </w:tcBorders>
          </w:tcPr>
          <w:p w:rsidR="00F9616F" w:rsidRPr="002B75A1" w:rsidRDefault="00F9616F" w:rsidP="00761C8A">
            <w:pPr>
              <w:pStyle w:val="Tabletextcentred"/>
            </w:pPr>
            <w:r w:rsidRPr="002B75A1">
              <w:t>United Kingdom</w:t>
            </w:r>
          </w:p>
        </w:tc>
        <w:tc>
          <w:tcPr>
            <w:tcW w:w="1834" w:type="dxa"/>
            <w:tcBorders>
              <w:top w:val="single" w:sz="4" w:space="0" w:color="auto"/>
              <w:left w:val="nil"/>
              <w:bottom w:val="single" w:sz="4" w:space="0" w:color="auto"/>
              <w:right w:val="nil"/>
            </w:tcBorders>
          </w:tcPr>
          <w:p w:rsidR="00F9616F" w:rsidRPr="002B75A1" w:rsidRDefault="00F9616F" w:rsidP="00761C8A">
            <w:pPr>
              <w:pStyle w:val="Tabletextcentred"/>
            </w:pPr>
            <w:r w:rsidRPr="002B75A1">
              <w:t>B</w:t>
            </w:r>
            <w:r>
              <w:t>: Western Europe</w:t>
            </w:r>
          </w:p>
        </w:tc>
        <w:tc>
          <w:tcPr>
            <w:tcW w:w="1426" w:type="dxa"/>
            <w:tcBorders>
              <w:top w:val="single" w:sz="4" w:space="0" w:color="auto"/>
              <w:left w:val="nil"/>
              <w:bottom w:val="single" w:sz="4" w:space="0" w:color="auto"/>
              <w:right w:val="nil"/>
            </w:tcBorders>
          </w:tcPr>
          <w:p w:rsidR="00F9616F" w:rsidRDefault="00F9616F" w:rsidP="00761C8A">
            <w:pPr>
              <w:pStyle w:val="Tabletextcentred"/>
            </w:pPr>
            <w:r w:rsidRPr="002B75A1">
              <w:t>Yes</w:t>
            </w:r>
          </w:p>
        </w:tc>
      </w:tr>
      <w:tr w:rsidR="00F9616F" w:rsidTr="00761C8A">
        <w:trPr>
          <w:cantSplit/>
        </w:trPr>
        <w:tc>
          <w:tcPr>
            <w:tcW w:w="2120" w:type="dxa"/>
            <w:tcBorders>
              <w:top w:val="single" w:sz="4" w:space="0" w:color="auto"/>
              <w:left w:val="nil"/>
              <w:bottom w:val="single" w:sz="4" w:space="0" w:color="auto"/>
              <w:right w:val="nil"/>
            </w:tcBorders>
          </w:tcPr>
          <w:p w:rsidR="00F9616F" w:rsidRPr="000A1A12" w:rsidRDefault="00F9616F" w:rsidP="00761C8A">
            <w:pPr>
              <w:pStyle w:val="Tabletext"/>
            </w:pPr>
            <w:r>
              <w:t>Deputy Secretary-General</w:t>
            </w:r>
          </w:p>
        </w:tc>
        <w:tc>
          <w:tcPr>
            <w:tcW w:w="1833" w:type="dxa"/>
            <w:tcBorders>
              <w:top w:val="single" w:sz="4" w:space="0" w:color="auto"/>
              <w:left w:val="nil"/>
              <w:bottom w:val="single" w:sz="4" w:space="0" w:color="auto"/>
              <w:right w:val="nil"/>
            </w:tcBorders>
          </w:tcPr>
          <w:p w:rsidR="00F9616F" w:rsidRPr="00181179" w:rsidRDefault="00F9616F" w:rsidP="00761C8A">
            <w:pPr>
              <w:pStyle w:val="Tabletext"/>
            </w:pPr>
            <w:r w:rsidRPr="00181179">
              <w:t xml:space="preserve">Brahima Sanou </w:t>
            </w:r>
          </w:p>
        </w:tc>
        <w:tc>
          <w:tcPr>
            <w:tcW w:w="2001" w:type="dxa"/>
            <w:tcBorders>
              <w:top w:val="single" w:sz="4" w:space="0" w:color="auto"/>
              <w:left w:val="nil"/>
              <w:bottom w:val="single" w:sz="4" w:space="0" w:color="auto"/>
              <w:right w:val="nil"/>
            </w:tcBorders>
          </w:tcPr>
          <w:p w:rsidR="00F9616F" w:rsidRPr="00181179" w:rsidRDefault="00F9616F" w:rsidP="00761C8A">
            <w:pPr>
              <w:pStyle w:val="Tabletextcentred"/>
            </w:pPr>
            <w:r w:rsidRPr="00181179">
              <w:t>Burkina Faso</w:t>
            </w:r>
          </w:p>
        </w:tc>
        <w:tc>
          <w:tcPr>
            <w:tcW w:w="1834" w:type="dxa"/>
            <w:tcBorders>
              <w:top w:val="single" w:sz="4" w:space="0" w:color="auto"/>
              <w:left w:val="nil"/>
              <w:bottom w:val="single" w:sz="4" w:space="0" w:color="auto"/>
              <w:right w:val="nil"/>
            </w:tcBorders>
          </w:tcPr>
          <w:p w:rsidR="00F9616F" w:rsidRPr="00181179" w:rsidRDefault="00F9616F" w:rsidP="00761C8A">
            <w:pPr>
              <w:pStyle w:val="Tabletextcentred"/>
            </w:pPr>
            <w:r w:rsidRPr="00181179">
              <w:t>D</w:t>
            </w:r>
            <w:r>
              <w:t xml:space="preserve">: Africa </w:t>
            </w:r>
          </w:p>
        </w:tc>
        <w:tc>
          <w:tcPr>
            <w:tcW w:w="1426" w:type="dxa"/>
            <w:tcBorders>
              <w:top w:val="single" w:sz="4" w:space="0" w:color="auto"/>
              <w:left w:val="nil"/>
              <w:bottom w:val="single" w:sz="4" w:space="0" w:color="auto"/>
              <w:right w:val="nil"/>
            </w:tcBorders>
          </w:tcPr>
          <w:p w:rsidR="00F9616F" w:rsidRDefault="00F9616F" w:rsidP="00761C8A">
            <w:pPr>
              <w:pStyle w:val="Tabletextcentred"/>
            </w:pPr>
            <w:r w:rsidRPr="00181179">
              <w:t>No</w:t>
            </w:r>
          </w:p>
        </w:tc>
      </w:tr>
      <w:tr w:rsidR="00F9616F" w:rsidTr="00761C8A">
        <w:trPr>
          <w:cantSplit/>
        </w:trPr>
        <w:tc>
          <w:tcPr>
            <w:tcW w:w="2120" w:type="dxa"/>
            <w:tcBorders>
              <w:top w:val="single" w:sz="4" w:space="0" w:color="auto"/>
              <w:left w:val="nil"/>
              <w:bottom w:val="single" w:sz="4" w:space="0" w:color="auto"/>
              <w:right w:val="nil"/>
            </w:tcBorders>
          </w:tcPr>
          <w:p w:rsidR="00F9616F" w:rsidRPr="00580C6F" w:rsidRDefault="00F9616F" w:rsidP="00761C8A">
            <w:pPr>
              <w:pStyle w:val="Tabletext"/>
            </w:pPr>
            <w:r w:rsidRPr="00580C6F">
              <w:t>Telecommunication Development Bureau (BDT) Director</w:t>
            </w:r>
          </w:p>
        </w:tc>
        <w:tc>
          <w:tcPr>
            <w:tcW w:w="1833" w:type="dxa"/>
            <w:tcBorders>
              <w:top w:val="single" w:sz="4" w:space="0" w:color="auto"/>
              <w:left w:val="nil"/>
              <w:bottom w:val="single" w:sz="4" w:space="0" w:color="auto"/>
              <w:right w:val="nil"/>
            </w:tcBorders>
          </w:tcPr>
          <w:p w:rsidR="00F9616F" w:rsidRPr="00580C6F" w:rsidRDefault="00F9616F" w:rsidP="00761C8A">
            <w:pPr>
              <w:pStyle w:val="Tabletext"/>
            </w:pPr>
            <w:r>
              <w:t>Doreen Bogdan-Martin</w:t>
            </w:r>
          </w:p>
        </w:tc>
        <w:tc>
          <w:tcPr>
            <w:tcW w:w="2001" w:type="dxa"/>
            <w:tcBorders>
              <w:top w:val="single" w:sz="4" w:space="0" w:color="auto"/>
              <w:left w:val="nil"/>
              <w:bottom w:val="single" w:sz="4" w:space="0" w:color="auto"/>
              <w:right w:val="nil"/>
            </w:tcBorders>
          </w:tcPr>
          <w:p w:rsidR="00F9616F" w:rsidRPr="00580C6F" w:rsidRDefault="00F9616F" w:rsidP="00761C8A">
            <w:pPr>
              <w:pStyle w:val="Tabletextcentred"/>
            </w:pPr>
            <w:r>
              <w:t>United States of America</w:t>
            </w:r>
          </w:p>
        </w:tc>
        <w:tc>
          <w:tcPr>
            <w:tcW w:w="1834" w:type="dxa"/>
            <w:tcBorders>
              <w:top w:val="single" w:sz="4" w:space="0" w:color="auto"/>
              <w:left w:val="nil"/>
              <w:bottom w:val="single" w:sz="4" w:space="0" w:color="auto"/>
              <w:right w:val="nil"/>
            </w:tcBorders>
          </w:tcPr>
          <w:p w:rsidR="00F9616F" w:rsidRPr="00580C6F" w:rsidRDefault="00F9616F" w:rsidP="00761C8A">
            <w:pPr>
              <w:pStyle w:val="Tabletextcentred"/>
            </w:pPr>
            <w:r>
              <w:t xml:space="preserve">A: Americas </w:t>
            </w:r>
          </w:p>
        </w:tc>
        <w:tc>
          <w:tcPr>
            <w:tcW w:w="1426" w:type="dxa"/>
            <w:tcBorders>
              <w:top w:val="single" w:sz="4" w:space="0" w:color="auto"/>
              <w:left w:val="nil"/>
              <w:bottom w:val="single" w:sz="4" w:space="0" w:color="auto"/>
              <w:right w:val="nil"/>
            </w:tcBorders>
          </w:tcPr>
          <w:p w:rsidR="00F9616F" w:rsidRDefault="00F9616F" w:rsidP="00761C8A">
            <w:pPr>
              <w:pStyle w:val="Tabletextcentred"/>
            </w:pPr>
            <w:r w:rsidRPr="00580C6F">
              <w:t>No</w:t>
            </w:r>
          </w:p>
        </w:tc>
      </w:tr>
      <w:tr w:rsidR="00F9616F" w:rsidTr="00761C8A">
        <w:trPr>
          <w:cantSplit/>
        </w:trPr>
        <w:tc>
          <w:tcPr>
            <w:tcW w:w="2120" w:type="dxa"/>
            <w:tcBorders>
              <w:top w:val="single" w:sz="4" w:space="0" w:color="auto"/>
              <w:left w:val="nil"/>
              <w:bottom w:val="single" w:sz="4" w:space="0" w:color="auto"/>
              <w:right w:val="nil"/>
            </w:tcBorders>
          </w:tcPr>
          <w:p w:rsidR="00F9616F" w:rsidRPr="000A1A12" w:rsidRDefault="00F9616F" w:rsidP="00761C8A">
            <w:pPr>
              <w:pStyle w:val="Tabletext"/>
            </w:pPr>
            <w:r w:rsidRPr="007F42CE">
              <w:t>Telecommunication Development Bureau (BDT) Director</w:t>
            </w:r>
          </w:p>
        </w:tc>
        <w:tc>
          <w:tcPr>
            <w:tcW w:w="1833" w:type="dxa"/>
            <w:tcBorders>
              <w:top w:val="single" w:sz="4" w:space="0" w:color="auto"/>
              <w:left w:val="nil"/>
              <w:bottom w:val="single" w:sz="4" w:space="0" w:color="auto"/>
              <w:right w:val="nil"/>
            </w:tcBorders>
          </w:tcPr>
          <w:p w:rsidR="00F9616F" w:rsidRPr="003F7EFD" w:rsidRDefault="00F9616F" w:rsidP="00761C8A">
            <w:pPr>
              <w:pStyle w:val="Tabletext"/>
            </w:pPr>
            <w:r w:rsidRPr="003F7EFD">
              <w:t>William Ijeh</w:t>
            </w:r>
          </w:p>
        </w:tc>
        <w:tc>
          <w:tcPr>
            <w:tcW w:w="2001" w:type="dxa"/>
            <w:tcBorders>
              <w:top w:val="single" w:sz="4" w:space="0" w:color="auto"/>
              <w:left w:val="nil"/>
              <w:bottom w:val="single" w:sz="4" w:space="0" w:color="auto"/>
              <w:right w:val="nil"/>
            </w:tcBorders>
          </w:tcPr>
          <w:p w:rsidR="00F9616F" w:rsidRPr="003F7EFD" w:rsidRDefault="00F9616F" w:rsidP="00761C8A">
            <w:pPr>
              <w:pStyle w:val="Tabletextcentred"/>
            </w:pPr>
            <w:r w:rsidRPr="003F7EFD">
              <w:t>Nigeria</w:t>
            </w:r>
          </w:p>
        </w:tc>
        <w:tc>
          <w:tcPr>
            <w:tcW w:w="1834" w:type="dxa"/>
            <w:tcBorders>
              <w:top w:val="single" w:sz="4" w:space="0" w:color="auto"/>
              <w:left w:val="nil"/>
              <w:bottom w:val="single" w:sz="4" w:space="0" w:color="auto"/>
              <w:right w:val="nil"/>
            </w:tcBorders>
          </w:tcPr>
          <w:p w:rsidR="00F9616F" w:rsidRPr="003F7EFD" w:rsidRDefault="00F9616F" w:rsidP="00761C8A">
            <w:pPr>
              <w:pStyle w:val="Tabletextcentred"/>
            </w:pPr>
            <w:r w:rsidRPr="003F7EFD">
              <w:t>D</w:t>
            </w:r>
            <w:r>
              <w:t xml:space="preserve">: Africa </w:t>
            </w:r>
          </w:p>
        </w:tc>
        <w:tc>
          <w:tcPr>
            <w:tcW w:w="1426" w:type="dxa"/>
            <w:tcBorders>
              <w:top w:val="single" w:sz="4" w:space="0" w:color="auto"/>
              <w:left w:val="nil"/>
              <w:bottom w:val="single" w:sz="4" w:space="0" w:color="auto"/>
              <w:right w:val="nil"/>
            </w:tcBorders>
          </w:tcPr>
          <w:p w:rsidR="00F9616F" w:rsidRDefault="00F9616F" w:rsidP="00761C8A">
            <w:pPr>
              <w:pStyle w:val="Tabletextcentred"/>
            </w:pPr>
            <w:r w:rsidRPr="003F7EFD">
              <w:t>No</w:t>
            </w:r>
          </w:p>
        </w:tc>
      </w:tr>
      <w:tr w:rsidR="00F9616F" w:rsidTr="00761C8A">
        <w:trPr>
          <w:cantSplit/>
        </w:trPr>
        <w:tc>
          <w:tcPr>
            <w:tcW w:w="2120" w:type="dxa"/>
            <w:tcBorders>
              <w:top w:val="single" w:sz="4" w:space="0" w:color="auto"/>
              <w:left w:val="nil"/>
              <w:bottom w:val="single" w:sz="4" w:space="0" w:color="auto"/>
              <w:right w:val="nil"/>
            </w:tcBorders>
          </w:tcPr>
          <w:p w:rsidR="00F9616F" w:rsidRPr="007F42CE" w:rsidRDefault="00F9616F" w:rsidP="00761C8A">
            <w:pPr>
              <w:pStyle w:val="Tabletext"/>
            </w:pPr>
            <w:r w:rsidRPr="007F42CE">
              <w:t>Telecommunication Development Bureau (BDT) Director</w:t>
            </w:r>
          </w:p>
        </w:tc>
        <w:tc>
          <w:tcPr>
            <w:tcW w:w="1833" w:type="dxa"/>
            <w:tcBorders>
              <w:top w:val="single" w:sz="4" w:space="0" w:color="auto"/>
              <w:left w:val="nil"/>
              <w:bottom w:val="single" w:sz="4" w:space="0" w:color="auto"/>
              <w:right w:val="nil"/>
            </w:tcBorders>
          </w:tcPr>
          <w:p w:rsidR="00F9616F" w:rsidRPr="003F7EFD" w:rsidRDefault="00F9616F" w:rsidP="00761C8A">
            <w:pPr>
              <w:pStyle w:val="Tabletext"/>
            </w:pPr>
            <w:r>
              <w:t>Cosmas Zavazava</w:t>
            </w:r>
          </w:p>
        </w:tc>
        <w:tc>
          <w:tcPr>
            <w:tcW w:w="2001" w:type="dxa"/>
            <w:tcBorders>
              <w:top w:val="single" w:sz="4" w:space="0" w:color="auto"/>
              <w:left w:val="nil"/>
              <w:bottom w:val="single" w:sz="4" w:space="0" w:color="auto"/>
              <w:right w:val="nil"/>
            </w:tcBorders>
          </w:tcPr>
          <w:p w:rsidR="00F9616F" w:rsidRPr="003F7EFD" w:rsidRDefault="00F9616F" w:rsidP="00761C8A">
            <w:pPr>
              <w:pStyle w:val="Tabletextcentred"/>
            </w:pPr>
            <w:r>
              <w:t>Zimbabwe</w:t>
            </w:r>
          </w:p>
        </w:tc>
        <w:tc>
          <w:tcPr>
            <w:tcW w:w="1834" w:type="dxa"/>
            <w:tcBorders>
              <w:top w:val="single" w:sz="4" w:space="0" w:color="auto"/>
              <w:left w:val="nil"/>
              <w:bottom w:val="single" w:sz="4" w:space="0" w:color="auto"/>
              <w:right w:val="nil"/>
            </w:tcBorders>
          </w:tcPr>
          <w:p w:rsidR="00F9616F" w:rsidRPr="003F7EFD" w:rsidRDefault="00F9616F" w:rsidP="00761C8A">
            <w:pPr>
              <w:pStyle w:val="Tabletextcentred"/>
            </w:pPr>
            <w:r>
              <w:t>D: Africa</w:t>
            </w:r>
          </w:p>
        </w:tc>
        <w:tc>
          <w:tcPr>
            <w:tcW w:w="1426" w:type="dxa"/>
            <w:tcBorders>
              <w:top w:val="single" w:sz="4" w:space="0" w:color="auto"/>
              <w:left w:val="nil"/>
              <w:bottom w:val="single" w:sz="4" w:space="0" w:color="auto"/>
              <w:right w:val="nil"/>
            </w:tcBorders>
          </w:tcPr>
          <w:p w:rsidR="00F9616F" w:rsidRPr="003F7EFD" w:rsidRDefault="00F9616F" w:rsidP="00761C8A">
            <w:pPr>
              <w:pStyle w:val="Tabletextcentred"/>
            </w:pPr>
            <w:r>
              <w:t>No</w:t>
            </w:r>
          </w:p>
        </w:tc>
      </w:tr>
      <w:tr w:rsidR="00F9616F" w:rsidTr="00761C8A">
        <w:trPr>
          <w:cantSplit/>
        </w:trPr>
        <w:tc>
          <w:tcPr>
            <w:tcW w:w="2120" w:type="dxa"/>
            <w:tcBorders>
              <w:top w:val="single" w:sz="4" w:space="0" w:color="auto"/>
              <w:left w:val="nil"/>
              <w:bottom w:val="single" w:sz="4" w:space="0" w:color="auto"/>
              <w:right w:val="nil"/>
            </w:tcBorders>
          </w:tcPr>
          <w:p w:rsidR="00F9616F" w:rsidRDefault="00F9616F" w:rsidP="00761C8A">
            <w:pPr>
              <w:pStyle w:val="Tabletext"/>
            </w:pPr>
            <w:r w:rsidRPr="0059734F">
              <w:t>Radiocommunication Bureau (BR)  Director</w:t>
            </w:r>
          </w:p>
        </w:tc>
        <w:tc>
          <w:tcPr>
            <w:tcW w:w="1833" w:type="dxa"/>
            <w:tcBorders>
              <w:top w:val="single" w:sz="4" w:space="0" w:color="auto"/>
              <w:left w:val="nil"/>
              <w:bottom w:val="single" w:sz="4" w:space="0" w:color="auto"/>
              <w:right w:val="nil"/>
            </w:tcBorders>
          </w:tcPr>
          <w:p w:rsidR="00F9616F" w:rsidRDefault="00F9616F" w:rsidP="00761C8A">
            <w:pPr>
              <w:pStyle w:val="Tabletext"/>
            </w:pPr>
            <w:r w:rsidRPr="008D4A1C">
              <w:t>Mario Maniewicz</w:t>
            </w:r>
          </w:p>
        </w:tc>
        <w:tc>
          <w:tcPr>
            <w:tcW w:w="2001" w:type="dxa"/>
            <w:tcBorders>
              <w:top w:val="single" w:sz="4" w:space="0" w:color="auto"/>
              <w:left w:val="nil"/>
              <w:bottom w:val="single" w:sz="4" w:space="0" w:color="auto"/>
              <w:right w:val="nil"/>
            </w:tcBorders>
          </w:tcPr>
          <w:p w:rsidR="00F9616F" w:rsidRDefault="00F9616F" w:rsidP="00761C8A">
            <w:pPr>
              <w:pStyle w:val="Tabletextcentred"/>
            </w:pPr>
            <w:r>
              <w:t>Uruguay</w:t>
            </w:r>
          </w:p>
        </w:tc>
        <w:tc>
          <w:tcPr>
            <w:tcW w:w="1834" w:type="dxa"/>
            <w:tcBorders>
              <w:top w:val="single" w:sz="4" w:space="0" w:color="auto"/>
              <w:left w:val="nil"/>
              <w:bottom w:val="single" w:sz="4" w:space="0" w:color="auto"/>
              <w:right w:val="nil"/>
            </w:tcBorders>
          </w:tcPr>
          <w:p w:rsidR="00F9616F" w:rsidRDefault="00F9616F" w:rsidP="00761C8A">
            <w:pPr>
              <w:pStyle w:val="Tabletextcentred"/>
            </w:pPr>
            <w:r>
              <w:t>A: Americas</w:t>
            </w:r>
          </w:p>
        </w:tc>
        <w:tc>
          <w:tcPr>
            <w:tcW w:w="1426" w:type="dxa"/>
            <w:tcBorders>
              <w:top w:val="single" w:sz="4" w:space="0" w:color="auto"/>
              <w:left w:val="nil"/>
              <w:bottom w:val="single" w:sz="4" w:space="0" w:color="auto"/>
              <w:right w:val="nil"/>
            </w:tcBorders>
          </w:tcPr>
          <w:p w:rsidR="00F9616F" w:rsidRDefault="00F9616F" w:rsidP="00761C8A">
            <w:pPr>
              <w:pStyle w:val="Tabletextcentred"/>
            </w:pPr>
            <w:r>
              <w:t>No</w:t>
            </w:r>
          </w:p>
        </w:tc>
      </w:tr>
      <w:tr w:rsidR="00F9616F" w:rsidTr="00761C8A">
        <w:trPr>
          <w:cantSplit/>
        </w:trPr>
        <w:tc>
          <w:tcPr>
            <w:tcW w:w="2120" w:type="dxa"/>
            <w:tcBorders>
              <w:top w:val="single" w:sz="4" w:space="0" w:color="auto"/>
              <w:left w:val="nil"/>
              <w:bottom w:val="single" w:sz="4" w:space="0" w:color="auto"/>
              <w:right w:val="nil"/>
            </w:tcBorders>
          </w:tcPr>
          <w:p w:rsidR="00F9616F" w:rsidRPr="0059734F" w:rsidRDefault="00F9616F" w:rsidP="00761C8A">
            <w:pPr>
              <w:pStyle w:val="Tabletext"/>
            </w:pPr>
            <w:r w:rsidRPr="008D4A1C">
              <w:t>Radiocommunication Bureau (BR) Director</w:t>
            </w:r>
          </w:p>
        </w:tc>
        <w:tc>
          <w:tcPr>
            <w:tcW w:w="1833" w:type="dxa"/>
            <w:tcBorders>
              <w:top w:val="single" w:sz="4" w:space="0" w:color="auto"/>
              <w:left w:val="nil"/>
              <w:bottom w:val="single" w:sz="4" w:space="0" w:color="auto"/>
              <w:right w:val="nil"/>
            </w:tcBorders>
          </w:tcPr>
          <w:p w:rsidR="00F9616F" w:rsidRPr="008D4A1C" w:rsidRDefault="00F9616F" w:rsidP="00761C8A">
            <w:pPr>
              <w:pStyle w:val="Tabletext"/>
            </w:pPr>
            <w:r>
              <w:t>Istavan Bozsoki</w:t>
            </w:r>
          </w:p>
        </w:tc>
        <w:tc>
          <w:tcPr>
            <w:tcW w:w="2001" w:type="dxa"/>
            <w:tcBorders>
              <w:top w:val="single" w:sz="4" w:space="0" w:color="auto"/>
              <w:left w:val="nil"/>
              <w:bottom w:val="single" w:sz="4" w:space="0" w:color="auto"/>
              <w:right w:val="nil"/>
            </w:tcBorders>
          </w:tcPr>
          <w:p w:rsidR="00F9616F" w:rsidRDefault="00F9616F" w:rsidP="00761C8A">
            <w:pPr>
              <w:pStyle w:val="Tabletextcentred"/>
            </w:pPr>
            <w:r>
              <w:t>Hungary</w:t>
            </w:r>
          </w:p>
        </w:tc>
        <w:tc>
          <w:tcPr>
            <w:tcW w:w="1834" w:type="dxa"/>
            <w:tcBorders>
              <w:top w:val="single" w:sz="4" w:space="0" w:color="auto"/>
              <w:left w:val="nil"/>
              <w:bottom w:val="single" w:sz="4" w:space="0" w:color="auto"/>
              <w:right w:val="nil"/>
            </w:tcBorders>
          </w:tcPr>
          <w:p w:rsidR="00F9616F" w:rsidRDefault="00F9616F" w:rsidP="00761C8A">
            <w:pPr>
              <w:pStyle w:val="Tabletextcentred"/>
            </w:pPr>
            <w:r>
              <w:t>B: Western Europe</w:t>
            </w:r>
          </w:p>
        </w:tc>
        <w:tc>
          <w:tcPr>
            <w:tcW w:w="1426" w:type="dxa"/>
            <w:tcBorders>
              <w:top w:val="single" w:sz="4" w:space="0" w:color="auto"/>
              <w:left w:val="nil"/>
              <w:bottom w:val="single" w:sz="4" w:space="0" w:color="auto"/>
              <w:right w:val="nil"/>
            </w:tcBorders>
          </w:tcPr>
          <w:p w:rsidR="00F9616F" w:rsidRDefault="00F9616F" w:rsidP="00761C8A">
            <w:pPr>
              <w:pStyle w:val="Tabletextcentred"/>
            </w:pPr>
            <w:r>
              <w:t>No</w:t>
            </w:r>
          </w:p>
        </w:tc>
      </w:tr>
      <w:tr w:rsidR="00F9616F" w:rsidTr="00761C8A">
        <w:trPr>
          <w:cantSplit/>
        </w:trPr>
        <w:tc>
          <w:tcPr>
            <w:tcW w:w="2120" w:type="dxa"/>
            <w:tcBorders>
              <w:top w:val="single" w:sz="4" w:space="0" w:color="auto"/>
              <w:left w:val="nil"/>
              <w:bottom w:val="single" w:sz="4" w:space="0" w:color="auto"/>
              <w:right w:val="nil"/>
            </w:tcBorders>
          </w:tcPr>
          <w:p w:rsidR="00F9616F" w:rsidRPr="008D4A1C" w:rsidRDefault="00F9616F" w:rsidP="00761C8A">
            <w:pPr>
              <w:pStyle w:val="Tabletext"/>
            </w:pPr>
            <w:r w:rsidRPr="008D4A1C">
              <w:t>Radiocommunication Bureau (BR) Director</w:t>
            </w:r>
          </w:p>
        </w:tc>
        <w:tc>
          <w:tcPr>
            <w:tcW w:w="1833" w:type="dxa"/>
            <w:tcBorders>
              <w:top w:val="single" w:sz="4" w:space="0" w:color="auto"/>
              <w:left w:val="nil"/>
              <w:bottom w:val="single" w:sz="4" w:space="0" w:color="auto"/>
              <w:right w:val="nil"/>
            </w:tcBorders>
          </w:tcPr>
          <w:p w:rsidR="00F9616F" w:rsidRPr="009D3E51" w:rsidRDefault="00F9616F" w:rsidP="00761C8A">
            <w:pPr>
              <w:pStyle w:val="Tabletext"/>
            </w:pPr>
            <w:r w:rsidRPr="009D3E51">
              <w:t>Mindaugas Žilinskas</w:t>
            </w:r>
          </w:p>
        </w:tc>
        <w:tc>
          <w:tcPr>
            <w:tcW w:w="2001" w:type="dxa"/>
            <w:tcBorders>
              <w:top w:val="single" w:sz="4" w:space="0" w:color="auto"/>
              <w:left w:val="nil"/>
              <w:bottom w:val="single" w:sz="4" w:space="0" w:color="auto"/>
              <w:right w:val="nil"/>
            </w:tcBorders>
          </w:tcPr>
          <w:p w:rsidR="00F9616F" w:rsidRPr="009D3E51" w:rsidRDefault="00F9616F" w:rsidP="00761C8A">
            <w:pPr>
              <w:pStyle w:val="Tabletextcentred"/>
            </w:pPr>
            <w:r w:rsidRPr="009D3E51">
              <w:t>Lithuania</w:t>
            </w:r>
          </w:p>
        </w:tc>
        <w:tc>
          <w:tcPr>
            <w:tcW w:w="1834" w:type="dxa"/>
            <w:tcBorders>
              <w:top w:val="single" w:sz="4" w:space="0" w:color="auto"/>
              <w:left w:val="nil"/>
              <w:bottom w:val="single" w:sz="4" w:space="0" w:color="auto"/>
              <w:right w:val="nil"/>
            </w:tcBorders>
          </w:tcPr>
          <w:p w:rsidR="00F9616F" w:rsidRPr="009D3E51" w:rsidRDefault="00F9616F" w:rsidP="00761C8A">
            <w:pPr>
              <w:pStyle w:val="Tabletextcentred"/>
            </w:pPr>
            <w:r w:rsidRPr="009D3E51">
              <w:t>B</w:t>
            </w:r>
            <w:r>
              <w:t>: Western Europe</w:t>
            </w:r>
          </w:p>
        </w:tc>
        <w:tc>
          <w:tcPr>
            <w:tcW w:w="1426" w:type="dxa"/>
            <w:tcBorders>
              <w:top w:val="single" w:sz="4" w:space="0" w:color="auto"/>
              <w:left w:val="nil"/>
              <w:bottom w:val="single" w:sz="4" w:space="0" w:color="auto"/>
              <w:right w:val="nil"/>
            </w:tcBorders>
          </w:tcPr>
          <w:p w:rsidR="00F9616F" w:rsidRDefault="00F9616F" w:rsidP="00761C8A">
            <w:pPr>
              <w:pStyle w:val="Tabletextcentred"/>
            </w:pPr>
            <w:r w:rsidRPr="009D3E51">
              <w:t>No</w:t>
            </w:r>
          </w:p>
        </w:tc>
      </w:tr>
      <w:tr w:rsidR="00F9616F" w:rsidTr="00761C8A">
        <w:trPr>
          <w:cantSplit/>
        </w:trPr>
        <w:tc>
          <w:tcPr>
            <w:tcW w:w="2120" w:type="dxa"/>
            <w:tcBorders>
              <w:top w:val="single" w:sz="4" w:space="0" w:color="auto"/>
              <w:left w:val="nil"/>
              <w:bottom w:val="single" w:sz="12" w:space="0" w:color="auto"/>
              <w:right w:val="nil"/>
            </w:tcBorders>
          </w:tcPr>
          <w:p w:rsidR="00F9616F" w:rsidRPr="008D4A1C" w:rsidRDefault="00F9616F" w:rsidP="00761C8A">
            <w:pPr>
              <w:pStyle w:val="Tabletext"/>
            </w:pPr>
            <w:r w:rsidRPr="008D4A1C">
              <w:t>Telecommunication Standardization Bureau (TSB) Director</w:t>
            </w:r>
          </w:p>
        </w:tc>
        <w:tc>
          <w:tcPr>
            <w:tcW w:w="1833" w:type="dxa"/>
            <w:tcBorders>
              <w:top w:val="single" w:sz="4" w:space="0" w:color="auto"/>
              <w:left w:val="nil"/>
              <w:bottom w:val="single" w:sz="12" w:space="0" w:color="auto"/>
              <w:right w:val="nil"/>
            </w:tcBorders>
          </w:tcPr>
          <w:p w:rsidR="00F9616F" w:rsidRPr="009D3E51" w:rsidRDefault="00F9616F" w:rsidP="00761C8A">
            <w:pPr>
              <w:pStyle w:val="Tabletext"/>
            </w:pPr>
            <w:r w:rsidRPr="008D4A1C">
              <w:t>Chaesub Lee</w:t>
            </w:r>
          </w:p>
        </w:tc>
        <w:tc>
          <w:tcPr>
            <w:tcW w:w="2001" w:type="dxa"/>
            <w:tcBorders>
              <w:top w:val="single" w:sz="4" w:space="0" w:color="auto"/>
              <w:left w:val="nil"/>
              <w:bottom w:val="single" w:sz="12" w:space="0" w:color="auto"/>
              <w:right w:val="nil"/>
            </w:tcBorders>
          </w:tcPr>
          <w:p w:rsidR="00F9616F" w:rsidRPr="009D3E51" w:rsidRDefault="00F9616F" w:rsidP="00761C8A">
            <w:pPr>
              <w:pStyle w:val="Tabletextcentred"/>
            </w:pPr>
            <w:r>
              <w:t>South Korea</w:t>
            </w:r>
          </w:p>
        </w:tc>
        <w:tc>
          <w:tcPr>
            <w:tcW w:w="1834" w:type="dxa"/>
            <w:tcBorders>
              <w:top w:val="single" w:sz="4" w:space="0" w:color="auto"/>
              <w:left w:val="nil"/>
              <w:bottom w:val="single" w:sz="12" w:space="0" w:color="auto"/>
              <w:right w:val="nil"/>
            </w:tcBorders>
          </w:tcPr>
          <w:p w:rsidR="00F9616F" w:rsidRPr="009D3E51" w:rsidRDefault="00F9616F" w:rsidP="00761C8A">
            <w:pPr>
              <w:pStyle w:val="Tabletextcentred"/>
            </w:pPr>
            <w:r>
              <w:t>E: Asia and Australasia</w:t>
            </w:r>
          </w:p>
        </w:tc>
        <w:tc>
          <w:tcPr>
            <w:tcW w:w="1426" w:type="dxa"/>
            <w:tcBorders>
              <w:top w:val="single" w:sz="4" w:space="0" w:color="auto"/>
              <w:left w:val="nil"/>
              <w:bottom w:val="single" w:sz="12" w:space="0" w:color="auto"/>
              <w:right w:val="nil"/>
            </w:tcBorders>
          </w:tcPr>
          <w:p w:rsidR="00F9616F" w:rsidRPr="009D3E51" w:rsidRDefault="00F9616F" w:rsidP="00761C8A">
            <w:pPr>
              <w:pStyle w:val="Tabletextcentred"/>
            </w:pPr>
            <w:r>
              <w:t>Yes</w:t>
            </w:r>
          </w:p>
        </w:tc>
      </w:tr>
    </w:tbl>
    <w:p w:rsidR="00F9616F" w:rsidRDefault="00F9616F" w:rsidP="00F9616F">
      <w:pPr>
        <w:spacing w:after="160" w:line="259" w:lineRule="auto"/>
      </w:pPr>
    </w:p>
    <w:p w:rsidR="00F9616F" w:rsidRDefault="00F9616F" w:rsidP="00761C8A">
      <w:pPr>
        <w:pStyle w:val="Heading2"/>
        <w:pageBreakBefore/>
      </w:pPr>
      <w:bookmarkStart w:id="78" w:name="_Toc515977882"/>
      <w:bookmarkStart w:id="79" w:name="_Toc515983887"/>
      <w:r>
        <w:t>Attachment D: Candidates for the Radio Regulations Board</w:t>
      </w:r>
      <w:bookmarkEnd w:id="78"/>
      <w:bookmarkEnd w:id="79"/>
      <w:r>
        <w:t xml:space="preserve"> </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Description w:val="This table contains a list of candidates for Radio Regulations Board"/>
      </w:tblPr>
      <w:tblGrid>
        <w:gridCol w:w="1701"/>
        <w:gridCol w:w="1870"/>
        <w:gridCol w:w="2127"/>
        <w:gridCol w:w="1673"/>
        <w:gridCol w:w="1560"/>
      </w:tblGrid>
      <w:tr w:rsidR="00F9616F" w:rsidTr="00F9616F">
        <w:trPr>
          <w:cantSplit/>
          <w:tblHeader/>
        </w:trPr>
        <w:tc>
          <w:tcPr>
            <w:tcW w:w="1701" w:type="dxa"/>
            <w:tcBorders>
              <w:top w:val="nil"/>
              <w:left w:val="nil"/>
              <w:bottom w:val="thickThinLargeGap" w:sz="24" w:space="0" w:color="auto"/>
              <w:right w:val="nil"/>
            </w:tcBorders>
            <w:shd w:val="clear" w:color="auto" w:fill="E4E4E4"/>
          </w:tcPr>
          <w:p w:rsidR="00F9616F" w:rsidRDefault="00F9616F" w:rsidP="00F9616F">
            <w:pPr>
              <w:pStyle w:val="Tablerowcolumnheading"/>
            </w:pPr>
            <w:r>
              <w:t>Region</w:t>
            </w:r>
          </w:p>
        </w:tc>
        <w:tc>
          <w:tcPr>
            <w:tcW w:w="1870" w:type="dxa"/>
            <w:tcBorders>
              <w:top w:val="nil"/>
              <w:left w:val="nil"/>
              <w:bottom w:val="thickThinLargeGap" w:sz="24" w:space="0" w:color="auto"/>
              <w:right w:val="nil"/>
            </w:tcBorders>
            <w:shd w:val="clear" w:color="auto" w:fill="E4E4E4"/>
          </w:tcPr>
          <w:p w:rsidR="00F9616F" w:rsidRDefault="00F9616F" w:rsidP="00F9616F">
            <w:pPr>
              <w:pStyle w:val="Tablerowcolumnheadingcentred"/>
            </w:pPr>
            <w:r>
              <w:t>Number of seats</w:t>
            </w:r>
          </w:p>
        </w:tc>
        <w:tc>
          <w:tcPr>
            <w:tcW w:w="2127" w:type="dxa"/>
            <w:tcBorders>
              <w:top w:val="nil"/>
              <w:left w:val="nil"/>
              <w:bottom w:val="thickThinLargeGap" w:sz="24" w:space="0" w:color="auto"/>
              <w:right w:val="nil"/>
            </w:tcBorders>
            <w:shd w:val="clear" w:color="auto" w:fill="E4E4E4"/>
          </w:tcPr>
          <w:p w:rsidR="00F9616F" w:rsidRDefault="00F9616F" w:rsidP="00F9616F">
            <w:pPr>
              <w:pStyle w:val="Tablerowcolumnheadingcentred"/>
            </w:pPr>
            <w:r>
              <w:t>Country</w:t>
            </w:r>
          </w:p>
        </w:tc>
        <w:tc>
          <w:tcPr>
            <w:tcW w:w="1673" w:type="dxa"/>
            <w:tcBorders>
              <w:top w:val="nil"/>
              <w:left w:val="nil"/>
              <w:bottom w:val="thickThinLargeGap" w:sz="24" w:space="0" w:color="auto"/>
              <w:right w:val="nil"/>
            </w:tcBorders>
            <w:shd w:val="clear" w:color="auto" w:fill="E4E4E4"/>
          </w:tcPr>
          <w:p w:rsidR="00F9616F" w:rsidRDefault="00F9616F" w:rsidP="00F9616F">
            <w:pPr>
              <w:pStyle w:val="Tablerowcolumnheadingcentred"/>
            </w:pPr>
            <w:r>
              <w:t>Candidate</w:t>
            </w:r>
          </w:p>
        </w:tc>
        <w:tc>
          <w:tcPr>
            <w:tcW w:w="1560" w:type="dxa"/>
            <w:tcBorders>
              <w:top w:val="nil"/>
              <w:left w:val="nil"/>
              <w:bottom w:val="thickThinLargeGap" w:sz="24" w:space="0" w:color="auto"/>
              <w:right w:val="nil"/>
            </w:tcBorders>
            <w:shd w:val="clear" w:color="auto" w:fill="E4E4E4"/>
          </w:tcPr>
          <w:p w:rsidR="00F9616F" w:rsidRDefault="00F9616F" w:rsidP="00F9616F">
            <w:pPr>
              <w:pStyle w:val="Tablerowcolumnheadingcentred"/>
            </w:pPr>
            <w:r>
              <w:t>Incumbent</w:t>
            </w:r>
          </w:p>
        </w:tc>
      </w:tr>
      <w:tr w:rsidR="00F9616F" w:rsidTr="00F9616F">
        <w:trPr>
          <w:cantSplit/>
        </w:trPr>
        <w:tc>
          <w:tcPr>
            <w:tcW w:w="1701" w:type="dxa"/>
            <w:tcBorders>
              <w:top w:val="thickThinLargeGap" w:sz="24" w:space="0" w:color="auto"/>
              <w:left w:val="nil"/>
              <w:bottom w:val="single" w:sz="4" w:space="0" w:color="auto"/>
              <w:right w:val="nil"/>
            </w:tcBorders>
          </w:tcPr>
          <w:p w:rsidR="00F9616F" w:rsidRPr="00761C8A" w:rsidRDefault="00F9616F" w:rsidP="00761C8A">
            <w:pPr>
              <w:pStyle w:val="Tabletext"/>
            </w:pPr>
            <w:r w:rsidRPr="00761C8A">
              <w:t>A: Americas</w:t>
            </w:r>
          </w:p>
        </w:tc>
        <w:tc>
          <w:tcPr>
            <w:tcW w:w="1870" w:type="dxa"/>
            <w:tcBorders>
              <w:top w:val="thickThinLargeGap" w:sz="24" w:space="0" w:color="auto"/>
              <w:left w:val="nil"/>
              <w:bottom w:val="single" w:sz="4" w:space="0" w:color="auto"/>
              <w:right w:val="nil"/>
            </w:tcBorders>
            <w:vAlign w:val="center"/>
          </w:tcPr>
          <w:p w:rsidR="00F9616F" w:rsidRPr="00761C8A" w:rsidRDefault="00F9616F" w:rsidP="00761C8A">
            <w:pPr>
              <w:pStyle w:val="Tabletextcentred"/>
            </w:pPr>
            <w:r w:rsidRPr="00761C8A">
              <w:t>2</w:t>
            </w:r>
          </w:p>
        </w:tc>
        <w:tc>
          <w:tcPr>
            <w:tcW w:w="2127" w:type="dxa"/>
            <w:tcBorders>
              <w:top w:val="thickThinLargeGap" w:sz="24" w:space="0" w:color="auto"/>
              <w:left w:val="nil"/>
              <w:bottom w:val="single" w:sz="4" w:space="0" w:color="auto"/>
              <w:right w:val="nil"/>
            </w:tcBorders>
            <w:vAlign w:val="center"/>
          </w:tcPr>
          <w:p w:rsidR="00F9616F" w:rsidRPr="00761C8A" w:rsidRDefault="00F9616F" w:rsidP="00761C8A">
            <w:pPr>
              <w:pStyle w:val="Tabletextcentred"/>
            </w:pPr>
            <w:r w:rsidRPr="00761C8A">
              <w:t>Argentina</w:t>
            </w:r>
          </w:p>
        </w:tc>
        <w:tc>
          <w:tcPr>
            <w:tcW w:w="1673" w:type="dxa"/>
            <w:tcBorders>
              <w:top w:val="thickThinLargeGap" w:sz="24" w:space="0" w:color="auto"/>
              <w:left w:val="nil"/>
              <w:bottom w:val="single" w:sz="4" w:space="0" w:color="auto"/>
              <w:right w:val="nil"/>
            </w:tcBorders>
            <w:vAlign w:val="center"/>
          </w:tcPr>
          <w:p w:rsidR="00F9616F" w:rsidRPr="00761C8A" w:rsidRDefault="00F9616F" w:rsidP="00761C8A">
            <w:pPr>
              <w:pStyle w:val="Tabletextcentred"/>
            </w:pPr>
            <w:r w:rsidRPr="00761C8A">
              <w:t>Oscar Martin Gonzalez</w:t>
            </w:r>
          </w:p>
        </w:tc>
        <w:tc>
          <w:tcPr>
            <w:tcW w:w="1560" w:type="dxa"/>
            <w:tcBorders>
              <w:top w:val="thickThinLargeGap" w:sz="24" w:space="0" w:color="auto"/>
              <w:left w:val="nil"/>
              <w:bottom w:val="single" w:sz="4" w:space="0" w:color="auto"/>
              <w:right w:val="nil"/>
            </w:tcBorders>
            <w:vAlign w:val="center"/>
          </w:tcPr>
          <w:p w:rsidR="00F9616F" w:rsidRPr="00761C8A" w:rsidRDefault="00F9616F" w:rsidP="00761C8A">
            <w:pPr>
              <w:pStyle w:val="Tabletextcentred"/>
            </w:pPr>
            <w:r w:rsidRPr="00761C8A">
              <w:t>No</w:t>
            </w:r>
          </w:p>
        </w:tc>
      </w:tr>
      <w:tr w:rsidR="00F9616F" w:rsidTr="00F9616F">
        <w:trPr>
          <w:cantSplit/>
        </w:trPr>
        <w:tc>
          <w:tcPr>
            <w:tcW w:w="1701" w:type="dxa"/>
            <w:tcBorders>
              <w:top w:val="single" w:sz="4" w:space="0" w:color="auto"/>
              <w:left w:val="nil"/>
              <w:bottom w:val="single" w:sz="4" w:space="0" w:color="auto"/>
              <w:right w:val="nil"/>
            </w:tcBorders>
          </w:tcPr>
          <w:p w:rsidR="00F9616F" w:rsidRPr="00761C8A" w:rsidRDefault="00F9616F" w:rsidP="00761C8A">
            <w:pPr>
              <w:pStyle w:val="Tabletext"/>
            </w:pPr>
            <w:r w:rsidRPr="00761C8A">
              <w:t>A: Americas</w:t>
            </w:r>
          </w:p>
        </w:tc>
        <w:tc>
          <w:tcPr>
            <w:tcW w:w="1870"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2</w:t>
            </w:r>
          </w:p>
        </w:tc>
        <w:tc>
          <w:tcPr>
            <w:tcW w:w="2127"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Canada</w:t>
            </w:r>
          </w:p>
        </w:tc>
        <w:tc>
          <w:tcPr>
            <w:tcW w:w="1673"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Chantal Beaumier</w:t>
            </w:r>
          </w:p>
        </w:tc>
        <w:tc>
          <w:tcPr>
            <w:tcW w:w="1560"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No</w:t>
            </w:r>
          </w:p>
        </w:tc>
      </w:tr>
      <w:tr w:rsidR="00F9616F" w:rsidTr="00F9616F">
        <w:trPr>
          <w:cantSplit/>
        </w:trPr>
        <w:tc>
          <w:tcPr>
            <w:tcW w:w="1701" w:type="dxa"/>
            <w:tcBorders>
              <w:top w:val="single" w:sz="4" w:space="0" w:color="auto"/>
              <w:left w:val="nil"/>
              <w:bottom w:val="single" w:sz="4" w:space="0" w:color="auto"/>
              <w:right w:val="nil"/>
            </w:tcBorders>
          </w:tcPr>
          <w:p w:rsidR="00F9616F" w:rsidRPr="00761C8A" w:rsidRDefault="00F9616F" w:rsidP="00761C8A">
            <w:pPr>
              <w:pStyle w:val="Tabletext"/>
              <w:rPr>
                <w:rFonts w:eastAsia="Calibri"/>
              </w:rPr>
            </w:pPr>
            <w:r w:rsidRPr="00761C8A">
              <w:t>A: Americas</w:t>
            </w:r>
          </w:p>
        </w:tc>
        <w:tc>
          <w:tcPr>
            <w:tcW w:w="1870"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2</w:t>
            </w:r>
          </w:p>
        </w:tc>
        <w:tc>
          <w:tcPr>
            <w:tcW w:w="2127"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Mexico</w:t>
            </w:r>
          </w:p>
        </w:tc>
        <w:tc>
          <w:tcPr>
            <w:tcW w:w="1673"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Fernando Borjon Figueroa</w:t>
            </w:r>
          </w:p>
        </w:tc>
        <w:tc>
          <w:tcPr>
            <w:tcW w:w="1560"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No</w:t>
            </w:r>
          </w:p>
        </w:tc>
      </w:tr>
      <w:tr w:rsidR="00F9616F" w:rsidTr="00F9616F">
        <w:trPr>
          <w:cantSplit/>
        </w:trPr>
        <w:tc>
          <w:tcPr>
            <w:tcW w:w="1701" w:type="dxa"/>
            <w:tcBorders>
              <w:top w:val="single" w:sz="4" w:space="0" w:color="auto"/>
              <w:left w:val="nil"/>
              <w:bottom w:val="single" w:sz="4" w:space="0" w:color="auto"/>
              <w:right w:val="nil"/>
            </w:tcBorders>
          </w:tcPr>
          <w:p w:rsidR="00F9616F" w:rsidRPr="00761C8A" w:rsidRDefault="00F9616F" w:rsidP="00761C8A">
            <w:pPr>
              <w:pStyle w:val="Tabletext"/>
              <w:rPr>
                <w:rFonts w:eastAsia="Calibri"/>
              </w:rPr>
            </w:pPr>
            <w:r w:rsidRPr="00761C8A">
              <w:t>A: Americas</w:t>
            </w:r>
          </w:p>
        </w:tc>
        <w:tc>
          <w:tcPr>
            <w:tcW w:w="1870"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2</w:t>
            </w:r>
          </w:p>
        </w:tc>
        <w:tc>
          <w:tcPr>
            <w:tcW w:w="2127"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United States of America</w:t>
            </w:r>
          </w:p>
        </w:tc>
        <w:tc>
          <w:tcPr>
            <w:tcW w:w="1673"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Joanne Wilson</w:t>
            </w:r>
          </w:p>
        </w:tc>
        <w:tc>
          <w:tcPr>
            <w:tcW w:w="1560"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Yes</w:t>
            </w:r>
          </w:p>
        </w:tc>
      </w:tr>
      <w:tr w:rsidR="00F9616F" w:rsidTr="00F9616F">
        <w:trPr>
          <w:cantSplit/>
        </w:trPr>
        <w:tc>
          <w:tcPr>
            <w:tcW w:w="1701" w:type="dxa"/>
            <w:tcBorders>
              <w:top w:val="single" w:sz="4" w:space="0" w:color="auto"/>
              <w:left w:val="nil"/>
              <w:bottom w:val="single" w:sz="4" w:space="0" w:color="auto"/>
              <w:right w:val="nil"/>
            </w:tcBorders>
          </w:tcPr>
          <w:p w:rsidR="00F9616F" w:rsidRPr="00761C8A" w:rsidRDefault="00F9616F" w:rsidP="00761C8A">
            <w:pPr>
              <w:pStyle w:val="Tabletext"/>
            </w:pPr>
            <w:r w:rsidRPr="00761C8A">
              <w:t>B: Western Europe</w:t>
            </w:r>
          </w:p>
        </w:tc>
        <w:tc>
          <w:tcPr>
            <w:tcW w:w="1870"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2</w:t>
            </w:r>
          </w:p>
        </w:tc>
        <w:tc>
          <w:tcPr>
            <w:tcW w:w="2127"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Netherlands</w:t>
            </w:r>
          </w:p>
        </w:tc>
        <w:tc>
          <w:tcPr>
            <w:tcW w:w="1673"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Lilian Jeanty</w:t>
            </w:r>
          </w:p>
        </w:tc>
        <w:tc>
          <w:tcPr>
            <w:tcW w:w="1560"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Yes</w:t>
            </w:r>
          </w:p>
        </w:tc>
      </w:tr>
      <w:tr w:rsidR="00F9616F" w:rsidTr="00F9616F">
        <w:trPr>
          <w:cantSplit/>
        </w:trPr>
        <w:tc>
          <w:tcPr>
            <w:tcW w:w="1701" w:type="dxa"/>
            <w:tcBorders>
              <w:top w:val="single" w:sz="4" w:space="0" w:color="auto"/>
              <w:left w:val="nil"/>
              <w:bottom w:val="single" w:sz="4" w:space="0" w:color="auto"/>
              <w:right w:val="nil"/>
            </w:tcBorders>
          </w:tcPr>
          <w:p w:rsidR="00F9616F" w:rsidRPr="00761C8A" w:rsidRDefault="00F9616F" w:rsidP="00761C8A">
            <w:pPr>
              <w:pStyle w:val="Tabletext"/>
            </w:pPr>
            <w:r w:rsidRPr="00761C8A">
              <w:t>B: Western Europe</w:t>
            </w:r>
          </w:p>
        </w:tc>
        <w:tc>
          <w:tcPr>
            <w:tcW w:w="1870"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2</w:t>
            </w:r>
          </w:p>
        </w:tc>
        <w:tc>
          <w:tcPr>
            <w:tcW w:w="2127"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France</w:t>
            </w:r>
          </w:p>
        </w:tc>
        <w:tc>
          <w:tcPr>
            <w:tcW w:w="1673"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Yvon Henri</w:t>
            </w:r>
          </w:p>
        </w:tc>
        <w:tc>
          <w:tcPr>
            <w:tcW w:w="1560"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No</w:t>
            </w:r>
          </w:p>
        </w:tc>
      </w:tr>
      <w:tr w:rsidR="00F9616F" w:rsidTr="00F9616F">
        <w:trPr>
          <w:cantSplit/>
        </w:trPr>
        <w:tc>
          <w:tcPr>
            <w:tcW w:w="1701" w:type="dxa"/>
            <w:tcBorders>
              <w:top w:val="single" w:sz="4" w:space="0" w:color="auto"/>
              <w:left w:val="nil"/>
              <w:bottom w:val="single" w:sz="4" w:space="0" w:color="auto"/>
              <w:right w:val="nil"/>
            </w:tcBorders>
          </w:tcPr>
          <w:p w:rsidR="00F9616F" w:rsidRPr="00761C8A" w:rsidRDefault="00F9616F" w:rsidP="00761C8A">
            <w:pPr>
              <w:pStyle w:val="Tabletext"/>
            </w:pPr>
            <w:r w:rsidRPr="00761C8A">
              <w:t>C: Eastern Europe and Northern Asia</w:t>
            </w:r>
          </w:p>
        </w:tc>
        <w:tc>
          <w:tcPr>
            <w:tcW w:w="1870"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2</w:t>
            </w:r>
          </w:p>
        </w:tc>
        <w:tc>
          <w:tcPr>
            <w:tcW w:w="2127"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Azerbaijan</w:t>
            </w:r>
          </w:p>
        </w:tc>
        <w:tc>
          <w:tcPr>
            <w:tcW w:w="1673"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Sahiba Hasanova</w:t>
            </w:r>
          </w:p>
        </w:tc>
        <w:tc>
          <w:tcPr>
            <w:tcW w:w="1560"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No</w:t>
            </w:r>
          </w:p>
        </w:tc>
      </w:tr>
      <w:tr w:rsidR="00F9616F" w:rsidTr="00F9616F">
        <w:trPr>
          <w:cantSplit/>
        </w:trPr>
        <w:tc>
          <w:tcPr>
            <w:tcW w:w="1701" w:type="dxa"/>
            <w:tcBorders>
              <w:top w:val="single" w:sz="4" w:space="0" w:color="auto"/>
              <w:left w:val="nil"/>
              <w:bottom w:val="single" w:sz="4" w:space="0" w:color="auto"/>
              <w:right w:val="nil"/>
            </w:tcBorders>
          </w:tcPr>
          <w:p w:rsidR="00F9616F" w:rsidRPr="00761C8A" w:rsidRDefault="00F9616F" w:rsidP="00761C8A">
            <w:pPr>
              <w:pStyle w:val="Tabletext"/>
            </w:pPr>
            <w:r w:rsidRPr="00761C8A">
              <w:t>C: Eastern Europe and Northern Asia</w:t>
            </w:r>
          </w:p>
        </w:tc>
        <w:tc>
          <w:tcPr>
            <w:tcW w:w="1870"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2</w:t>
            </w:r>
          </w:p>
        </w:tc>
        <w:tc>
          <w:tcPr>
            <w:tcW w:w="2127"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Ukraine</w:t>
            </w:r>
          </w:p>
        </w:tc>
        <w:tc>
          <w:tcPr>
            <w:tcW w:w="1673"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Ievgen Khairov</w:t>
            </w:r>
          </w:p>
        </w:tc>
        <w:tc>
          <w:tcPr>
            <w:tcW w:w="1560"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Yes</w:t>
            </w:r>
          </w:p>
        </w:tc>
      </w:tr>
      <w:tr w:rsidR="00F9616F" w:rsidTr="00F9616F">
        <w:trPr>
          <w:cantSplit/>
        </w:trPr>
        <w:tc>
          <w:tcPr>
            <w:tcW w:w="1701" w:type="dxa"/>
            <w:tcBorders>
              <w:top w:val="single" w:sz="4" w:space="0" w:color="auto"/>
              <w:left w:val="nil"/>
              <w:bottom w:val="single" w:sz="4" w:space="0" w:color="auto"/>
              <w:right w:val="nil"/>
            </w:tcBorders>
          </w:tcPr>
          <w:p w:rsidR="00F9616F" w:rsidRPr="00761C8A" w:rsidRDefault="00F9616F" w:rsidP="00761C8A">
            <w:pPr>
              <w:pStyle w:val="Tabletext"/>
            </w:pPr>
            <w:r w:rsidRPr="00761C8A">
              <w:t>D: Africa</w:t>
            </w:r>
          </w:p>
        </w:tc>
        <w:tc>
          <w:tcPr>
            <w:tcW w:w="1870"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3</w:t>
            </w:r>
          </w:p>
        </w:tc>
        <w:tc>
          <w:tcPr>
            <w:tcW w:w="2127"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Egypt</w:t>
            </w:r>
          </w:p>
        </w:tc>
        <w:tc>
          <w:tcPr>
            <w:tcW w:w="1673"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Elsayed Azzouz</w:t>
            </w:r>
          </w:p>
        </w:tc>
        <w:tc>
          <w:tcPr>
            <w:tcW w:w="1560"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No</w:t>
            </w:r>
          </w:p>
        </w:tc>
      </w:tr>
      <w:tr w:rsidR="00F9616F" w:rsidTr="00F9616F">
        <w:trPr>
          <w:cantSplit/>
        </w:trPr>
        <w:tc>
          <w:tcPr>
            <w:tcW w:w="1701" w:type="dxa"/>
            <w:tcBorders>
              <w:top w:val="single" w:sz="4" w:space="0" w:color="auto"/>
              <w:left w:val="nil"/>
              <w:bottom w:val="single" w:sz="4" w:space="0" w:color="auto"/>
              <w:right w:val="nil"/>
            </w:tcBorders>
          </w:tcPr>
          <w:p w:rsidR="00F9616F" w:rsidRPr="00761C8A" w:rsidRDefault="00F9616F" w:rsidP="00761C8A">
            <w:pPr>
              <w:pStyle w:val="Tabletext"/>
            </w:pPr>
            <w:r w:rsidRPr="00761C8A">
              <w:t>D: Africa</w:t>
            </w:r>
          </w:p>
        </w:tc>
        <w:tc>
          <w:tcPr>
            <w:tcW w:w="1870"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3</w:t>
            </w:r>
          </w:p>
        </w:tc>
        <w:tc>
          <w:tcPr>
            <w:tcW w:w="2127"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Niger</w:t>
            </w:r>
          </w:p>
        </w:tc>
        <w:tc>
          <w:tcPr>
            <w:tcW w:w="1673"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Ahmed Jean Boraud</w:t>
            </w:r>
          </w:p>
        </w:tc>
        <w:tc>
          <w:tcPr>
            <w:tcW w:w="1560"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No</w:t>
            </w:r>
          </w:p>
        </w:tc>
      </w:tr>
      <w:tr w:rsidR="00F9616F" w:rsidTr="00F9616F">
        <w:trPr>
          <w:cantSplit/>
        </w:trPr>
        <w:tc>
          <w:tcPr>
            <w:tcW w:w="1701" w:type="dxa"/>
            <w:tcBorders>
              <w:top w:val="single" w:sz="4" w:space="0" w:color="auto"/>
              <w:left w:val="nil"/>
              <w:bottom w:val="single" w:sz="4" w:space="0" w:color="auto"/>
              <w:right w:val="nil"/>
            </w:tcBorders>
          </w:tcPr>
          <w:p w:rsidR="00F9616F" w:rsidRPr="00761C8A" w:rsidRDefault="00F9616F" w:rsidP="00761C8A">
            <w:pPr>
              <w:pStyle w:val="Tabletext"/>
            </w:pPr>
            <w:r w:rsidRPr="00761C8A">
              <w:t>D: Africa</w:t>
            </w:r>
          </w:p>
        </w:tc>
        <w:tc>
          <w:tcPr>
            <w:tcW w:w="1870"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3</w:t>
            </w:r>
          </w:p>
        </w:tc>
        <w:tc>
          <w:tcPr>
            <w:tcW w:w="2127"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Morocco</w:t>
            </w:r>
          </w:p>
        </w:tc>
        <w:tc>
          <w:tcPr>
            <w:tcW w:w="1673"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Hassan Talib</w:t>
            </w:r>
          </w:p>
        </w:tc>
        <w:tc>
          <w:tcPr>
            <w:tcW w:w="1560"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No</w:t>
            </w:r>
          </w:p>
        </w:tc>
      </w:tr>
      <w:tr w:rsidR="00F9616F" w:rsidTr="00F9616F">
        <w:trPr>
          <w:cantSplit/>
        </w:trPr>
        <w:tc>
          <w:tcPr>
            <w:tcW w:w="1701" w:type="dxa"/>
            <w:tcBorders>
              <w:top w:val="single" w:sz="4" w:space="0" w:color="auto"/>
              <w:left w:val="nil"/>
              <w:bottom w:val="single" w:sz="4" w:space="0" w:color="auto"/>
              <w:right w:val="nil"/>
            </w:tcBorders>
          </w:tcPr>
          <w:p w:rsidR="00F9616F" w:rsidRPr="00761C8A" w:rsidRDefault="00F9616F" w:rsidP="00761C8A">
            <w:pPr>
              <w:pStyle w:val="Tabletext"/>
            </w:pPr>
            <w:r w:rsidRPr="00761C8A">
              <w:t>E: Asia and Australasia</w:t>
            </w:r>
          </w:p>
        </w:tc>
        <w:tc>
          <w:tcPr>
            <w:tcW w:w="1870"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3</w:t>
            </w:r>
          </w:p>
        </w:tc>
        <w:tc>
          <w:tcPr>
            <w:tcW w:w="2127"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Japan</w:t>
            </w:r>
          </w:p>
        </w:tc>
        <w:tc>
          <w:tcPr>
            <w:tcW w:w="1673"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Akira Hashimoto</w:t>
            </w:r>
          </w:p>
        </w:tc>
        <w:tc>
          <w:tcPr>
            <w:tcW w:w="1560"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No</w:t>
            </w:r>
          </w:p>
        </w:tc>
      </w:tr>
      <w:tr w:rsidR="00F9616F" w:rsidTr="00F9616F">
        <w:trPr>
          <w:cantSplit/>
        </w:trPr>
        <w:tc>
          <w:tcPr>
            <w:tcW w:w="1701" w:type="dxa"/>
            <w:tcBorders>
              <w:top w:val="single" w:sz="4" w:space="0" w:color="auto"/>
              <w:left w:val="nil"/>
              <w:bottom w:val="single" w:sz="4" w:space="0" w:color="auto"/>
              <w:right w:val="nil"/>
            </w:tcBorders>
          </w:tcPr>
          <w:p w:rsidR="00F9616F" w:rsidRPr="00761C8A" w:rsidRDefault="00F9616F" w:rsidP="00761C8A">
            <w:pPr>
              <w:pStyle w:val="Tabletext"/>
            </w:pPr>
            <w:r w:rsidRPr="00761C8A">
              <w:t>E: Asia and Australasia</w:t>
            </w:r>
          </w:p>
        </w:tc>
        <w:tc>
          <w:tcPr>
            <w:tcW w:w="1870"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3</w:t>
            </w:r>
          </w:p>
        </w:tc>
        <w:tc>
          <w:tcPr>
            <w:tcW w:w="2127"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Saudi Arabia</w:t>
            </w:r>
          </w:p>
        </w:tc>
        <w:tc>
          <w:tcPr>
            <w:tcW w:w="1673"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Tariq Alamri</w:t>
            </w:r>
          </w:p>
        </w:tc>
        <w:tc>
          <w:tcPr>
            <w:tcW w:w="1560" w:type="dxa"/>
            <w:tcBorders>
              <w:top w:val="single" w:sz="4" w:space="0" w:color="auto"/>
              <w:left w:val="nil"/>
              <w:bottom w:val="single" w:sz="4" w:space="0" w:color="auto"/>
              <w:right w:val="nil"/>
            </w:tcBorders>
            <w:vAlign w:val="center"/>
          </w:tcPr>
          <w:p w:rsidR="00F9616F" w:rsidRPr="00761C8A" w:rsidRDefault="00F9616F" w:rsidP="00761C8A">
            <w:pPr>
              <w:pStyle w:val="Tabletextcentred"/>
            </w:pPr>
            <w:r w:rsidRPr="00761C8A">
              <w:t>No</w:t>
            </w:r>
          </w:p>
        </w:tc>
      </w:tr>
      <w:tr w:rsidR="00F9616F" w:rsidTr="00F9616F">
        <w:trPr>
          <w:cantSplit/>
        </w:trPr>
        <w:tc>
          <w:tcPr>
            <w:tcW w:w="1701" w:type="dxa"/>
            <w:tcBorders>
              <w:top w:val="single" w:sz="4" w:space="0" w:color="auto"/>
              <w:left w:val="nil"/>
              <w:bottom w:val="single" w:sz="12" w:space="0" w:color="auto"/>
              <w:right w:val="nil"/>
            </w:tcBorders>
          </w:tcPr>
          <w:p w:rsidR="00F9616F" w:rsidRPr="00761C8A" w:rsidRDefault="00F9616F" w:rsidP="00761C8A">
            <w:pPr>
              <w:pStyle w:val="Tabletext"/>
            </w:pPr>
            <w:r w:rsidRPr="00761C8A">
              <w:t>E: Asia and Australasia</w:t>
            </w:r>
          </w:p>
        </w:tc>
        <w:tc>
          <w:tcPr>
            <w:tcW w:w="1870" w:type="dxa"/>
            <w:tcBorders>
              <w:top w:val="single" w:sz="4" w:space="0" w:color="auto"/>
              <w:left w:val="nil"/>
              <w:bottom w:val="single" w:sz="12" w:space="0" w:color="auto"/>
              <w:right w:val="nil"/>
            </w:tcBorders>
            <w:vAlign w:val="center"/>
          </w:tcPr>
          <w:p w:rsidR="00F9616F" w:rsidRPr="00761C8A" w:rsidRDefault="00F9616F" w:rsidP="00761C8A">
            <w:pPr>
              <w:pStyle w:val="Tabletextcentred"/>
            </w:pPr>
            <w:r w:rsidRPr="00761C8A">
              <w:t>3</w:t>
            </w:r>
          </w:p>
        </w:tc>
        <w:tc>
          <w:tcPr>
            <w:tcW w:w="2127" w:type="dxa"/>
            <w:tcBorders>
              <w:top w:val="single" w:sz="4" w:space="0" w:color="auto"/>
              <w:left w:val="nil"/>
              <w:bottom w:val="single" w:sz="12" w:space="0" w:color="auto"/>
              <w:right w:val="nil"/>
            </w:tcBorders>
            <w:vAlign w:val="center"/>
          </w:tcPr>
          <w:p w:rsidR="00F9616F" w:rsidRPr="00761C8A" w:rsidRDefault="00F9616F" w:rsidP="00761C8A">
            <w:pPr>
              <w:pStyle w:val="Tabletextcentred"/>
            </w:pPr>
            <w:r w:rsidRPr="00761C8A">
              <w:t>Vietnam</w:t>
            </w:r>
          </w:p>
        </w:tc>
        <w:tc>
          <w:tcPr>
            <w:tcW w:w="1673" w:type="dxa"/>
            <w:tcBorders>
              <w:top w:val="single" w:sz="4" w:space="0" w:color="auto"/>
              <w:left w:val="nil"/>
              <w:bottom w:val="single" w:sz="12" w:space="0" w:color="auto"/>
              <w:right w:val="nil"/>
            </w:tcBorders>
            <w:vAlign w:val="center"/>
          </w:tcPr>
          <w:p w:rsidR="00F9616F" w:rsidRPr="00761C8A" w:rsidRDefault="00F9616F" w:rsidP="00761C8A">
            <w:pPr>
              <w:pStyle w:val="Tabletextcentred"/>
            </w:pPr>
            <w:r w:rsidRPr="00761C8A">
              <w:t>Doan Quang Hoan</w:t>
            </w:r>
          </w:p>
        </w:tc>
        <w:tc>
          <w:tcPr>
            <w:tcW w:w="1560" w:type="dxa"/>
            <w:tcBorders>
              <w:top w:val="single" w:sz="4" w:space="0" w:color="auto"/>
              <w:left w:val="nil"/>
              <w:bottom w:val="single" w:sz="12" w:space="0" w:color="auto"/>
              <w:right w:val="nil"/>
            </w:tcBorders>
            <w:vAlign w:val="center"/>
          </w:tcPr>
          <w:p w:rsidR="00F9616F" w:rsidRPr="00761C8A" w:rsidRDefault="00F9616F" w:rsidP="00761C8A">
            <w:pPr>
              <w:pStyle w:val="Tabletextcentred"/>
            </w:pPr>
            <w:r w:rsidRPr="00761C8A">
              <w:t>Yes</w:t>
            </w:r>
          </w:p>
        </w:tc>
      </w:tr>
    </w:tbl>
    <w:p w:rsidR="00F9616F" w:rsidRDefault="00F9616F" w:rsidP="00F9616F">
      <w:pPr>
        <w:rPr>
          <w:lang w:eastAsia="en-US"/>
        </w:rPr>
      </w:pPr>
    </w:p>
    <w:sectPr w:rsidR="00F9616F" w:rsidSect="00F9616F">
      <w:type w:val="continuous"/>
      <w:pgSz w:w="11906" w:h="16838"/>
      <w:pgMar w:top="1276"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4B6" w:rsidRDefault="00F874B6" w:rsidP="002117E6">
      <w:pPr>
        <w:spacing w:after="0"/>
      </w:pPr>
      <w:r>
        <w:separator/>
      </w:r>
    </w:p>
  </w:endnote>
  <w:endnote w:type="continuationSeparator" w:id="0">
    <w:p w:rsidR="00F874B6" w:rsidRDefault="00F874B6"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16F" w:rsidRDefault="00F9616F" w:rsidP="001D7905">
    <w:pPr>
      <w:pStyle w:val="Footer"/>
      <w:tabs>
        <w:tab w:val="clear" w:pos="4513"/>
        <w:tab w:val="clear" w:pos="9026"/>
        <w:tab w:val="center" w:pos="4536"/>
        <w:tab w:val="right" w:pos="9498"/>
      </w:tabs>
      <w:ind w:left="-1440" w:right="-613"/>
    </w:pPr>
    <w:r>
      <w:rPr>
        <w:noProof/>
        <w:lang w:eastAsia="en-AU"/>
      </w:rPr>
      <w:drawing>
        <wp:inline distT="0" distB="0" distL="0" distR="0" wp14:anchorId="7ED1386D" wp14:editId="7ED1386E">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rsidR="00F9616F" w:rsidRPr="0037566A" w:rsidRDefault="00F9616F" w:rsidP="00F9616F">
    <w:pPr>
      <w:pStyle w:val="Footer"/>
      <w:tabs>
        <w:tab w:val="clear" w:pos="4513"/>
        <w:tab w:val="clear" w:pos="9026"/>
        <w:tab w:val="center" w:pos="4536"/>
        <w:tab w:val="right" w:pos="9498"/>
      </w:tabs>
      <w:ind w:right="-613"/>
      <w:rPr>
        <w:sz w:val="18"/>
        <w:szCs w:val="18"/>
      </w:rPr>
    </w:pPr>
    <w:r w:rsidRPr="00F9616F">
      <w:rPr>
        <w:sz w:val="18"/>
        <w:szCs w:val="18"/>
      </w:rPr>
      <w:t>International Telecommunication Union</w:t>
    </w:r>
    <w:r>
      <w:tab/>
    </w:r>
    <w:hyperlink r:id="rId2" w:history="1">
      <w:r w:rsidRPr="002725BE">
        <w:rPr>
          <w:rStyle w:val="Hyperlink"/>
          <w:sz w:val="18"/>
          <w:szCs w:val="18"/>
        </w:rPr>
        <w:t>www.communications.gov.au</w:t>
      </w:r>
    </w:hyperlink>
  </w:p>
  <w:p w:rsidR="00F9616F" w:rsidRPr="002117E6" w:rsidRDefault="00F9616F" w:rsidP="00F9616F">
    <w:pPr>
      <w:pStyle w:val="Footer"/>
      <w:tabs>
        <w:tab w:val="clear" w:pos="4513"/>
        <w:tab w:val="clear" w:pos="9026"/>
        <w:tab w:val="center" w:pos="4536"/>
        <w:tab w:val="right" w:pos="9498"/>
      </w:tabs>
      <w:ind w:right="-46"/>
      <w:rPr>
        <w:rStyle w:val="Hyperlink"/>
        <w:color w:val="auto"/>
        <w:sz w:val="18"/>
        <w:szCs w:val="18"/>
      </w:rPr>
    </w:pPr>
    <w:r w:rsidRPr="00F9616F">
      <w:rPr>
        <w:sz w:val="18"/>
        <w:szCs w:val="18"/>
      </w:rPr>
      <w:t>Plenipotentiary Conference 2018 (PP 18)</w:t>
    </w:r>
    <w:r>
      <w:rPr>
        <w:sz w:val="18"/>
        <w:szCs w:val="18"/>
      </w:rPr>
      <w:tab/>
    </w:r>
    <w:hyperlink r:id="rId3" w:history="1">
      <w:r w:rsidRPr="0037566A">
        <w:rPr>
          <w:rStyle w:val="Hyperlink"/>
          <w:sz w:val="18"/>
          <w:szCs w:val="18"/>
        </w:rPr>
        <w:t>www.arts.gov.au</w:t>
      </w:r>
    </w:hyperlink>
    <w:r w:rsidRPr="0037566A">
      <w:rPr>
        <w:sz w:val="18"/>
        <w:szCs w:val="18"/>
      </w:rPr>
      <w:tab/>
    </w:r>
    <w:sdt>
      <w:sdtPr>
        <w:rPr>
          <w:sz w:val="18"/>
          <w:szCs w:val="18"/>
        </w:rPr>
        <w:id w:val="-1932495694"/>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02490F">
          <w:rPr>
            <w:bCs/>
            <w:noProof/>
            <w:sz w:val="18"/>
            <w:szCs w:val="18"/>
          </w:rPr>
          <w:t>2</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02490F">
          <w:rPr>
            <w:bCs/>
            <w:noProof/>
            <w:sz w:val="18"/>
            <w:szCs w:val="18"/>
          </w:rPr>
          <w:t>14</w:t>
        </w:r>
        <w:r w:rsidRPr="0037566A">
          <w:rPr>
            <w:bCs/>
            <w:sz w:val="18"/>
            <w:szCs w:val="18"/>
          </w:rPr>
          <w:fldChar w:fldCharType="end"/>
        </w:r>
      </w:sdtContent>
    </w:sdt>
  </w:p>
  <w:p w:rsidR="00F9616F" w:rsidRPr="002117E6" w:rsidRDefault="00F9616F" w:rsidP="00F9616F">
    <w:pPr>
      <w:pStyle w:val="Footer"/>
      <w:tabs>
        <w:tab w:val="clear" w:pos="4513"/>
        <w:tab w:val="clear" w:pos="9026"/>
        <w:tab w:val="center" w:pos="4536"/>
        <w:tab w:val="right" w:pos="9498"/>
      </w:tabs>
      <w:ind w:right="-613"/>
      <w:rPr>
        <w:rStyle w:val="Hyperlink"/>
        <w:color w:val="auto"/>
        <w:sz w:val="18"/>
        <w:szCs w:val="18"/>
      </w:rPr>
    </w:pPr>
    <w:r w:rsidRPr="00F9616F">
      <w:rPr>
        <w:sz w:val="18"/>
        <w:szCs w:val="18"/>
      </w:rPr>
      <w:t>Stakeholder Information Paper</w:t>
    </w:r>
    <w:r>
      <w:tab/>
    </w:r>
    <w:hyperlink r:id="rId4" w:history="1">
      <w:r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16F" w:rsidRDefault="00F9616F" w:rsidP="009B7EF0">
    <w:pPr>
      <w:pStyle w:val="Footer"/>
      <w:tabs>
        <w:tab w:val="clear" w:pos="4513"/>
        <w:tab w:val="clear" w:pos="9026"/>
        <w:tab w:val="center" w:pos="4536"/>
        <w:tab w:val="right" w:pos="9498"/>
      </w:tabs>
      <w:ind w:left="-1440" w:right="-613"/>
    </w:pPr>
    <w:r>
      <w:rPr>
        <w:noProof/>
        <w:lang w:eastAsia="en-AU"/>
      </w:rPr>
      <w:drawing>
        <wp:inline distT="0" distB="0" distL="0" distR="0" wp14:anchorId="7ED1386F" wp14:editId="7ED13870">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F9616F" w:rsidRPr="0037566A" w:rsidRDefault="00F9616F" w:rsidP="0094124E">
    <w:pPr>
      <w:pStyle w:val="Footer"/>
      <w:tabs>
        <w:tab w:val="clear" w:pos="4513"/>
        <w:tab w:val="clear" w:pos="9026"/>
        <w:tab w:val="center" w:pos="4536"/>
        <w:tab w:val="right" w:pos="9498"/>
      </w:tabs>
      <w:ind w:right="-613"/>
      <w:rPr>
        <w:sz w:val="18"/>
        <w:szCs w:val="18"/>
      </w:rPr>
    </w:pPr>
    <w:r w:rsidRPr="00F9616F">
      <w:rPr>
        <w:sz w:val="18"/>
        <w:szCs w:val="18"/>
      </w:rPr>
      <w:t>International Telecommunication Union</w:t>
    </w:r>
    <w:r>
      <w:tab/>
    </w:r>
    <w:hyperlink r:id="rId2" w:history="1">
      <w:r w:rsidRPr="002725BE">
        <w:rPr>
          <w:rStyle w:val="Hyperlink"/>
          <w:sz w:val="18"/>
          <w:szCs w:val="18"/>
        </w:rPr>
        <w:t>www.communications.gov.au</w:t>
      </w:r>
    </w:hyperlink>
  </w:p>
  <w:p w:rsidR="00F9616F" w:rsidRPr="002117E6" w:rsidRDefault="00F9616F" w:rsidP="009B7EF0">
    <w:pPr>
      <w:pStyle w:val="Footer"/>
      <w:tabs>
        <w:tab w:val="clear" w:pos="4513"/>
        <w:tab w:val="clear" w:pos="9026"/>
        <w:tab w:val="center" w:pos="4536"/>
        <w:tab w:val="right" w:pos="9498"/>
      </w:tabs>
      <w:ind w:right="-46"/>
      <w:rPr>
        <w:rStyle w:val="Hyperlink"/>
        <w:color w:val="auto"/>
        <w:sz w:val="18"/>
        <w:szCs w:val="18"/>
      </w:rPr>
    </w:pPr>
    <w:r w:rsidRPr="00F9616F">
      <w:rPr>
        <w:sz w:val="18"/>
        <w:szCs w:val="18"/>
      </w:rPr>
      <w:t>Plenipotentiary Conference 2018 (PP 18)</w:t>
    </w:r>
    <w:r>
      <w:rPr>
        <w:sz w:val="18"/>
        <w:szCs w:val="18"/>
      </w:rPr>
      <w:tab/>
    </w:r>
    <w:hyperlink r:id="rId3" w:history="1">
      <w:r w:rsidRPr="0037566A">
        <w:rPr>
          <w:rStyle w:val="Hyperlink"/>
          <w:sz w:val="18"/>
          <w:szCs w:val="18"/>
        </w:rPr>
        <w:t>www.arts.gov.au</w:t>
      </w:r>
    </w:hyperlink>
    <w:r w:rsidRPr="0037566A">
      <w:rPr>
        <w:sz w:val="18"/>
        <w:szCs w:val="18"/>
      </w:rPr>
      <w:tab/>
    </w:r>
    <w:sdt>
      <w:sdtPr>
        <w:rPr>
          <w:sz w:val="18"/>
          <w:szCs w:val="18"/>
        </w:rPr>
        <w:id w:val="-287442349"/>
        <w:docPartObj>
          <w:docPartGallery w:val="Page Numbers (Top of Page)"/>
          <w:docPartUnique/>
        </w:docPartObj>
      </w:sdtPr>
      <w:sdtEndPr/>
      <w:sdtContent>
        <w:r w:rsidRPr="0037566A">
          <w:rPr>
            <w:sz w:val="18"/>
            <w:szCs w:val="18"/>
          </w:rPr>
          <w:t xml:space="preserve">Page </w:t>
        </w:r>
        <w:r w:rsidRPr="0037566A">
          <w:rPr>
            <w:bCs/>
            <w:sz w:val="18"/>
            <w:szCs w:val="18"/>
          </w:rPr>
          <w:fldChar w:fldCharType="begin"/>
        </w:r>
        <w:r w:rsidRPr="0037566A">
          <w:rPr>
            <w:bCs/>
            <w:sz w:val="18"/>
            <w:szCs w:val="18"/>
          </w:rPr>
          <w:instrText xml:space="preserve"> PAGE </w:instrText>
        </w:r>
        <w:r w:rsidRPr="0037566A">
          <w:rPr>
            <w:bCs/>
            <w:sz w:val="18"/>
            <w:szCs w:val="18"/>
          </w:rPr>
          <w:fldChar w:fldCharType="separate"/>
        </w:r>
        <w:r w:rsidR="0002490F">
          <w:rPr>
            <w:bCs/>
            <w:noProof/>
            <w:sz w:val="18"/>
            <w:szCs w:val="18"/>
          </w:rPr>
          <w:t>1</w:t>
        </w:r>
        <w:r w:rsidRPr="0037566A">
          <w:rPr>
            <w:bCs/>
            <w:sz w:val="18"/>
            <w:szCs w:val="18"/>
          </w:rPr>
          <w:fldChar w:fldCharType="end"/>
        </w:r>
        <w:r w:rsidRPr="0037566A">
          <w:rPr>
            <w:sz w:val="18"/>
            <w:szCs w:val="18"/>
          </w:rPr>
          <w:t xml:space="preserve"> of </w:t>
        </w:r>
        <w:r w:rsidRPr="0037566A">
          <w:rPr>
            <w:bCs/>
            <w:sz w:val="18"/>
            <w:szCs w:val="18"/>
          </w:rPr>
          <w:fldChar w:fldCharType="begin"/>
        </w:r>
        <w:r w:rsidRPr="0037566A">
          <w:rPr>
            <w:bCs/>
            <w:sz w:val="18"/>
            <w:szCs w:val="18"/>
          </w:rPr>
          <w:instrText xml:space="preserve"> NUMPAGES  </w:instrText>
        </w:r>
        <w:r w:rsidRPr="0037566A">
          <w:rPr>
            <w:bCs/>
            <w:sz w:val="18"/>
            <w:szCs w:val="18"/>
          </w:rPr>
          <w:fldChar w:fldCharType="separate"/>
        </w:r>
        <w:r w:rsidR="0002490F">
          <w:rPr>
            <w:bCs/>
            <w:noProof/>
            <w:sz w:val="18"/>
            <w:szCs w:val="18"/>
          </w:rPr>
          <w:t>14</w:t>
        </w:r>
        <w:r w:rsidRPr="0037566A">
          <w:rPr>
            <w:bCs/>
            <w:sz w:val="18"/>
            <w:szCs w:val="18"/>
          </w:rPr>
          <w:fldChar w:fldCharType="end"/>
        </w:r>
      </w:sdtContent>
    </w:sdt>
  </w:p>
  <w:p w:rsidR="00F9616F" w:rsidRPr="002117E6" w:rsidRDefault="00F9616F" w:rsidP="0094124E">
    <w:pPr>
      <w:pStyle w:val="Footer"/>
      <w:tabs>
        <w:tab w:val="clear" w:pos="4513"/>
        <w:tab w:val="clear" w:pos="9026"/>
        <w:tab w:val="center" w:pos="4536"/>
        <w:tab w:val="right" w:pos="9498"/>
      </w:tabs>
      <w:ind w:right="-613"/>
      <w:rPr>
        <w:rStyle w:val="Hyperlink"/>
        <w:color w:val="auto"/>
        <w:sz w:val="18"/>
        <w:szCs w:val="18"/>
      </w:rPr>
    </w:pPr>
    <w:r w:rsidRPr="00F9616F">
      <w:rPr>
        <w:sz w:val="18"/>
        <w:szCs w:val="18"/>
      </w:rPr>
      <w:t>Stakeholder Information Paper</w:t>
    </w: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4B6" w:rsidRDefault="00F874B6" w:rsidP="002117E6">
      <w:pPr>
        <w:spacing w:after="0"/>
      </w:pPr>
      <w:r>
        <w:separator/>
      </w:r>
    </w:p>
  </w:footnote>
  <w:footnote w:type="continuationSeparator" w:id="0">
    <w:p w:rsidR="00F874B6" w:rsidRDefault="00F874B6" w:rsidP="002117E6">
      <w:pPr>
        <w:spacing w:after="0"/>
      </w:pPr>
      <w:r>
        <w:continuationSeparator/>
      </w:r>
    </w:p>
  </w:footnote>
  <w:footnote w:id="1">
    <w:p w:rsidR="00F9616F" w:rsidRPr="000302DC" w:rsidRDefault="0002490F" w:rsidP="00F9616F">
      <w:pPr>
        <w:pStyle w:val="FootnoteText"/>
        <w:spacing w:before="60"/>
        <w:rPr>
          <w:rFonts w:ascii="Calibri" w:hAnsi="Calibri" w:cs="Calibri"/>
          <w:color w:val="000000"/>
        </w:rPr>
      </w:pPr>
      <w:hyperlink r:id="rId1" w:history="1">
        <w:r w:rsidR="00F9616F" w:rsidRPr="000302DC">
          <w:rPr>
            <w:rStyle w:val="Hyperlink"/>
            <w:rFonts w:ascii="Calibri" w:hAnsi="Calibri" w:cs="Calibri"/>
            <w:vertAlign w:val="superscript"/>
          </w:rPr>
          <w:footnoteRef/>
        </w:r>
        <w:r w:rsidR="00F9616F" w:rsidRPr="000302DC">
          <w:rPr>
            <w:rStyle w:val="Hyperlink"/>
            <w:rFonts w:ascii="Calibri" w:hAnsi="Calibri" w:cs="Calibri"/>
          </w:rPr>
          <w:t xml:space="preserve"> </w:t>
        </w:r>
        <w:r w:rsidR="00F9616F" w:rsidRPr="000302DC">
          <w:rPr>
            <w:rStyle w:val="Hyperlink"/>
            <w:rFonts w:ascii="Calibri" w:hAnsi="Calibri" w:cs="Calibri"/>
            <w:bCs/>
          </w:rPr>
          <w:t>Resolution 130 - Strengthening the role of ITU in building confidence and security in the use of ICTs</w:t>
        </w:r>
      </w:hyperlink>
    </w:p>
  </w:footnote>
  <w:footnote w:id="2">
    <w:p w:rsidR="00F9616F" w:rsidRDefault="00F9616F" w:rsidP="00F9616F">
      <w:pPr>
        <w:pStyle w:val="FootnoteText"/>
      </w:pPr>
      <w:r>
        <w:rPr>
          <w:rStyle w:val="FootnoteReference"/>
        </w:rPr>
        <w:footnoteRef/>
      </w:r>
      <w:r>
        <w:t xml:space="preserve"> </w:t>
      </w:r>
      <w:r w:rsidRPr="0066557D">
        <w:rPr>
          <w:rFonts w:ascii="Calibri" w:hAnsi="Calibri" w:cs="Calibri"/>
          <w:color w:val="000000"/>
          <w:sz w:val="22"/>
          <w:szCs w:val="22"/>
        </w:rPr>
        <w:t>China intends to increase its number of contributory units for 2020</w:t>
      </w:r>
      <w:r>
        <w:rPr>
          <w:rFonts w:ascii="Calibri" w:hAnsi="Calibri" w:cs="Calibri"/>
          <w:color w:val="000000"/>
          <w:sz w:val="22"/>
          <w:szCs w:val="22"/>
        </w:rPr>
        <w:t>–</w:t>
      </w:r>
      <w:r w:rsidRPr="0066557D">
        <w:rPr>
          <w:rFonts w:ascii="Calibri" w:hAnsi="Calibri" w:cs="Calibri"/>
          <w:color w:val="000000"/>
          <w:sz w:val="22"/>
          <w:szCs w:val="22"/>
        </w:rPr>
        <w:t>2023 to 20 units</w:t>
      </w:r>
      <w:r>
        <w:rPr>
          <w:rFonts w:ascii="Calibri" w:hAnsi="Calibri" w:cs="Calibri"/>
          <w:color w:val="000000"/>
          <w:sz w:val="22"/>
          <w:szCs w:val="22"/>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616F" w:rsidRPr="007A4B0F" w:rsidRDefault="00F9616F" w:rsidP="001D7905">
    <w:pPr>
      <w:pStyle w:val="Header"/>
      <w:tabs>
        <w:tab w:val="clear" w:pos="9026"/>
        <w:tab w:val="right" w:pos="9333"/>
      </w:tabs>
      <w:ind w:right="-46"/>
      <w:rPr>
        <w:color w:val="155589"/>
      </w:rPr>
    </w:pPr>
    <w:r w:rsidRPr="007A4B0F">
      <w:rPr>
        <w:color w:val="155589"/>
      </w:rPr>
      <w:t>Department of Communications and the Arts</w:t>
    </w:r>
    <w:r w:rsidRPr="007A4B0F">
      <w:rPr>
        <w:color w:val="155589"/>
      </w:rPr>
      <w:tab/>
    </w:r>
    <w:r w:rsidRPr="007A4B0F">
      <w:rPr>
        <w:color w:val="155589"/>
      </w:rPr>
      <w:tab/>
    </w:r>
    <w:r>
      <w:rPr>
        <w:color w:val="155589"/>
      </w:rPr>
      <w:t>June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616F"/>
    <w:rsid w:val="0002490F"/>
    <w:rsid w:val="00052A3A"/>
    <w:rsid w:val="00111A64"/>
    <w:rsid w:val="001471EA"/>
    <w:rsid w:val="001472FC"/>
    <w:rsid w:val="001736CC"/>
    <w:rsid w:val="00185E9F"/>
    <w:rsid w:val="0019701B"/>
    <w:rsid w:val="001D7905"/>
    <w:rsid w:val="002117E6"/>
    <w:rsid w:val="00290FEC"/>
    <w:rsid w:val="00293DD6"/>
    <w:rsid w:val="002F3895"/>
    <w:rsid w:val="00327F06"/>
    <w:rsid w:val="00335334"/>
    <w:rsid w:val="00336DDD"/>
    <w:rsid w:val="00381364"/>
    <w:rsid w:val="003B5B1D"/>
    <w:rsid w:val="003F495D"/>
    <w:rsid w:val="00400E77"/>
    <w:rsid w:val="00450D6E"/>
    <w:rsid w:val="00544465"/>
    <w:rsid w:val="00561190"/>
    <w:rsid w:val="005658F1"/>
    <w:rsid w:val="00565B47"/>
    <w:rsid w:val="00575A5A"/>
    <w:rsid w:val="005932D0"/>
    <w:rsid w:val="00597F9B"/>
    <w:rsid w:val="0061446D"/>
    <w:rsid w:val="00625397"/>
    <w:rsid w:val="0064138E"/>
    <w:rsid w:val="0069256D"/>
    <w:rsid w:val="006A2F0E"/>
    <w:rsid w:val="006F06FD"/>
    <w:rsid w:val="00705B86"/>
    <w:rsid w:val="00753BB6"/>
    <w:rsid w:val="00761C8A"/>
    <w:rsid w:val="007A4B0F"/>
    <w:rsid w:val="008169A6"/>
    <w:rsid w:val="00834DE8"/>
    <w:rsid w:val="008646E6"/>
    <w:rsid w:val="00866475"/>
    <w:rsid w:val="008A4B1F"/>
    <w:rsid w:val="008D4E53"/>
    <w:rsid w:val="009313D2"/>
    <w:rsid w:val="0094124E"/>
    <w:rsid w:val="009B7EF0"/>
    <w:rsid w:val="009E12E4"/>
    <w:rsid w:val="00A22246"/>
    <w:rsid w:val="00A241FE"/>
    <w:rsid w:val="00A35CD0"/>
    <w:rsid w:val="00A606B1"/>
    <w:rsid w:val="00AE4F02"/>
    <w:rsid w:val="00B049A4"/>
    <w:rsid w:val="00B1045C"/>
    <w:rsid w:val="00B43C56"/>
    <w:rsid w:val="00B55747"/>
    <w:rsid w:val="00BA0A5A"/>
    <w:rsid w:val="00BC329E"/>
    <w:rsid w:val="00BC7D72"/>
    <w:rsid w:val="00BE7E66"/>
    <w:rsid w:val="00C16794"/>
    <w:rsid w:val="00C240E2"/>
    <w:rsid w:val="00C451EE"/>
    <w:rsid w:val="00C55F55"/>
    <w:rsid w:val="00CC75CC"/>
    <w:rsid w:val="00D03AE2"/>
    <w:rsid w:val="00D92957"/>
    <w:rsid w:val="00DC2DFA"/>
    <w:rsid w:val="00DD5D52"/>
    <w:rsid w:val="00E14131"/>
    <w:rsid w:val="00E97404"/>
    <w:rsid w:val="00EA2F26"/>
    <w:rsid w:val="00EA5BA4"/>
    <w:rsid w:val="00EA6D34"/>
    <w:rsid w:val="00EB40A5"/>
    <w:rsid w:val="00EF61B4"/>
    <w:rsid w:val="00F3567E"/>
    <w:rsid w:val="00F408EE"/>
    <w:rsid w:val="00F7051B"/>
    <w:rsid w:val="00F85C37"/>
    <w:rsid w:val="00F874B6"/>
    <w:rsid w:val="00F93CC6"/>
    <w:rsid w:val="00F9616F"/>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92E916FA-F129-44F7-BEA1-FD2634110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2F26"/>
    <w:pPr>
      <w:spacing w:after="200" w:line="240" w:lineRule="auto"/>
    </w:pPr>
  </w:style>
  <w:style w:type="paragraph" w:styleId="Heading1">
    <w:name w:val="heading 1"/>
    <w:basedOn w:val="Normal"/>
    <w:next w:val="Normal"/>
    <w:link w:val="Heading1Char"/>
    <w:uiPriority w:val="9"/>
    <w:qFormat/>
    <w:rsid w:val="005658F1"/>
    <w:pPr>
      <w:keepNext/>
      <w:spacing w:before="4080" w:after="1080"/>
      <w:outlineLvl w:val="0"/>
    </w:pPr>
    <w:rPr>
      <w:rFonts w:asciiTheme="majorHAnsi" w:eastAsiaTheme="majorEastAsia" w:hAnsiTheme="majorHAnsi" w:cstheme="majorBidi"/>
      <w:b/>
      <w:color w:val="001C40"/>
      <w:sz w:val="48"/>
      <w:szCs w:val="32"/>
      <w:lang w:eastAsia="en-US"/>
    </w:rPr>
  </w:style>
  <w:style w:type="paragraph" w:styleId="Heading2">
    <w:name w:val="heading 2"/>
    <w:basedOn w:val="Normal"/>
    <w:next w:val="Normal"/>
    <w:link w:val="Heading2Char"/>
    <w:uiPriority w:val="9"/>
    <w:unhideWhenUsed/>
    <w:qFormat/>
    <w:rsid w:val="007A4B0F"/>
    <w:pPr>
      <w:keepNext/>
      <w:outlineLvl w:val="1"/>
    </w:pPr>
    <w:rPr>
      <w:rFonts w:asciiTheme="majorHAnsi" w:eastAsiaTheme="majorEastAsia" w:hAnsiTheme="majorHAnsi" w:cstheme="majorBidi"/>
      <w:b/>
      <w:color w:val="155589"/>
      <w:sz w:val="36"/>
      <w:szCs w:val="26"/>
      <w:lang w:eastAsia="en-US"/>
    </w:rPr>
  </w:style>
  <w:style w:type="paragraph" w:styleId="Heading3">
    <w:name w:val="heading 3"/>
    <w:basedOn w:val="Normal"/>
    <w:next w:val="Normal"/>
    <w:link w:val="Heading3Char"/>
    <w:uiPriority w:val="9"/>
    <w:unhideWhenUsed/>
    <w:qFormat/>
    <w:rsid w:val="007A4B0F"/>
    <w:pPr>
      <w:keepNext/>
      <w:spacing w:after="120"/>
      <w:outlineLvl w:val="2"/>
    </w:pPr>
    <w:rPr>
      <w:rFonts w:asciiTheme="majorHAnsi" w:eastAsiaTheme="majorEastAsia" w:hAnsiTheme="majorHAnsi" w:cstheme="majorBidi"/>
      <w:b/>
      <w:color w:val="155589"/>
      <w:sz w:val="30"/>
      <w:szCs w:val="24"/>
      <w:lang w:eastAsia="en-US"/>
    </w:rPr>
  </w:style>
  <w:style w:type="paragraph" w:styleId="Heading4">
    <w:name w:val="heading 4"/>
    <w:basedOn w:val="Normal"/>
    <w:next w:val="Normal"/>
    <w:link w:val="Heading4Char"/>
    <w:uiPriority w:val="9"/>
    <w:unhideWhenUsed/>
    <w:qFormat/>
    <w:rsid w:val="007A4B0F"/>
    <w:pPr>
      <w:keepNext/>
      <w:keepLines/>
      <w:spacing w:after="120"/>
      <w:outlineLvl w:val="3"/>
    </w:pPr>
    <w:rPr>
      <w:rFonts w:asciiTheme="majorHAnsi" w:eastAsiaTheme="majorEastAsia" w:hAnsiTheme="majorHAnsi" w:cstheme="majorBidi"/>
      <w:b/>
      <w:bCs/>
      <w:color w:val="155589"/>
      <w:sz w:val="24"/>
      <w:szCs w:val="24"/>
    </w:rPr>
  </w:style>
  <w:style w:type="paragraph" w:styleId="Heading5">
    <w:name w:val="heading 5"/>
    <w:basedOn w:val="Normal"/>
    <w:next w:val="Normal"/>
    <w:link w:val="Heading5Char"/>
    <w:uiPriority w:val="9"/>
    <w:unhideWhenUsed/>
    <w:qFormat/>
    <w:rsid w:val="007A4B0F"/>
    <w:pPr>
      <w:keepNext/>
      <w:keepLines/>
      <w:spacing w:after="60"/>
      <w:outlineLvl w:val="4"/>
    </w:pPr>
    <w:rPr>
      <w:rFonts w:asciiTheme="majorHAnsi" w:eastAsiaTheme="majorEastAsia" w:hAnsiTheme="majorHAnsi" w:cstheme="majorBidi"/>
      <w:b/>
      <w:color w:val="155589"/>
    </w:rPr>
  </w:style>
  <w:style w:type="paragraph" w:styleId="Heading6">
    <w:name w:val="heading 6"/>
    <w:basedOn w:val="Normal"/>
    <w:next w:val="Normal"/>
    <w:link w:val="Heading6Char"/>
    <w:uiPriority w:val="9"/>
    <w:unhideWhenUsed/>
    <w:qFormat/>
    <w:rsid w:val="007A4B0F"/>
    <w:pPr>
      <w:keepNext/>
      <w:keepLines/>
      <w:spacing w:after="60"/>
      <w:outlineLvl w:val="5"/>
    </w:pPr>
    <w:rPr>
      <w:rFonts w:asciiTheme="majorHAnsi" w:eastAsiaTheme="majorEastAsia" w:hAnsiTheme="majorHAnsi" w:cstheme="majorBidi"/>
      <w:b/>
      <w:i/>
      <w:iCs/>
      <w:color w:val="155589"/>
    </w:rPr>
  </w:style>
  <w:style w:type="paragraph" w:styleId="Heading7">
    <w:name w:val="heading 7"/>
    <w:basedOn w:val="Normal"/>
    <w:next w:val="Normal"/>
    <w:link w:val="Heading7Char"/>
    <w:uiPriority w:val="9"/>
    <w:unhideWhenUsed/>
    <w:qFormat/>
    <w:rsid w:val="007A4B0F"/>
    <w:pPr>
      <w:keepNext/>
      <w:keepLines/>
      <w:spacing w:before="40" w:after="0"/>
      <w:outlineLvl w:val="6"/>
    </w:pPr>
    <w:rPr>
      <w:rFonts w:asciiTheme="majorHAnsi" w:eastAsiaTheme="majorEastAsia" w:hAnsiTheme="majorHAnsi" w:cstheme="majorBidi"/>
      <w:b/>
      <w:i/>
      <w:iCs/>
      <w:color w:val="155589"/>
    </w:rPr>
  </w:style>
  <w:style w:type="paragraph" w:styleId="Heading8">
    <w:name w:val="heading 8"/>
    <w:basedOn w:val="Normal"/>
    <w:next w:val="Normal"/>
    <w:link w:val="Heading8Char"/>
    <w:uiPriority w:val="9"/>
    <w:unhideWhenUsed/>
    <w:qFormat/>
    <w:rsid w:val="007A4B0F"/>
    <w:pPr>
      <w:keepNext/>
      <w:keepLines/>
      <w:spacing w:before="40" w:after="0"/>
      <w:outlineLvl w:val="7"/>
    </w:pPr>
    <w:rPr>
      <w:rFonts w:asciiTheme="majorHAnsi" w:eastAsiaTheme="majorEastAsia" w:hAnsiTheme="majorHAnsi" w:cstheme="majorBidi"/>
      <w:b/>
      <w:color w:val="155589"/>
      <w:sz w:val="21"/>
      <w:szCs w:val="21"/>
    </w:rPr>
  </w:style>
  <w:style w:type="paragraph" w:styleId="Heading9">
    <w:name w:val="heading 9"/>
    <w:basedOn w:val="Normal"/>
    <w:next w:val="Normal"/>
    <w:link w:val="Heading9Char"/>
    <w:uiPriority w:val="9"/>
    <w:unhideWhenUsed/>
    <w:qFormat/>
    <w:rsid w:val="007A4B0F"/>
    <w:pPr>
      <w:keepNext/>
      <w:keepLines/>
      <w:spacing w:before="40" w:after="0"/>
      <w:outlineLvl w:val="8"/>
    </w:pPr>
    <w:rPr>
      <w:rFonts w:asciiTheme="majorHAnsi" w:eastAsiaTheme="majorEastAsia" w:hAnsiTheme="majorHAnsi" w:cstheme="majorBidi"/>
      <w:b/>
      <w:i/>
      <w:iCs/>
      <w:color w:val="155589"/>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8F1"/>
    <w:rPr>
      <w:rFonts w:asciiTheme="majorHAnsi" w:eastAsiaTheme="majorEastAsia" w:hAnsiTheme="majorHAnsi" w:cstheme="majorBidi"/>
      <w:b/>
      <w:color w:val="001C40"/>
      <w:sz w:val="48"/>
      <w:szCs w:val="32"/>
      <w:lang w:eastAsia="en-US"/>
    </w:rPr>
  </w:style>
  <w:style w:type="character" w:customStyle="1" w:styleId="Heading2Char">
    <w:name w:val="Heading 2 Char"/>
    <w:basedOn w:val="DefaultParagraphFont"/>
    <w:link w:val="Heading2"/>
    <w:uiPriority w:val="9"/>
    <w:rsid w:val="007A4B0F"/>
    <w:rPr>
      <w:rFonts w:asciiTheme="majorHAnsi" w:eastAsiaTheme="majorEastAsia" w:hAnsiTheme="majorHAnsi" w:cstheme="majorBidi"/>
      <w:b/>
      <w:color w:val="155589"/>
      <w:sz w:val="36"/>
      <w:szCs w:val="26"/>
      <w:lang w:eastAsia="en-US"/>
    </w:rPr>
  </w:style>
  <w:style w:type="character" w:customStyle="1" w:styleId="Heading3Char">
    <w:name w:val="Heading 3 Char"/>
    <w:basedOn w:val="DefaultParagraphFont"/>
    <w:link w:val="Heading3"/>
    <w:uiPriority w:val="9"/>
    <w:rsid w:val="007A4B0F"/>
    <w:rPr>
      <w:rFonts w:asciiTheme="majorHAnsi" w:eastAsiaTheme="majorEastAsia" w:hAnsiTheme="majorHAnsi" w:cstheme="majorBidi"/>
      <w:b/>
      <w:color w:val="155589"/>
      <w:sz w:val="30"/>
      <w:szCs w:val="24"/>
      <w:lang w:eastAsia="en-US"/>
    </w:rPr>
  </w:style>
  <w:style w:type="character" w:styleId="Hyperlink">
    <w:name w:val="Hyperlink"/>
    <w:basedOn w:val="DefaultParagraphFont"/>
    <w:uiPriority w:val="99"/>
    <w:unhideWhenUsed/>
    <w:rsid w:val="007A4B0F"/>
    <w:rPr>
      <w:color w:val="155589"/>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7A4B0F"/>
    <w:pPr>
      <w:ind w:left="567"/>
    </w:pPr>
    <w:rPr>
      <w:rFonts w:eastAsiaTheme="minorHAnsi"/>
      <w:i/>
      <w:iCs/>
      <w:color w:val="155589"/>
      <w:lang w:eastAsia="en-US"/>
    </w:rPr>
  </w:style>
  <w:style w:type="character" w:customStyle="1" w:styleId="QuoteChar">
    <w:name w:val="Quote Char"/>
    <w:basedOn w:val="DefaultParagraphFont"/>
    <w:link w:val="Quote"/>
    <w:uiPriority w:val="29"/>
    <w:rsid w:val="007A4B0F"/>
    <w:rPr>
      <w:rFonts w:eastAsiaTheme="minorHAnsi"/>
      <w:i/>
      <w:iCs/>
      <w:color w:val="155589"/>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7A4B0F"/>
    <w:rPr>
      <w:rFonts w:asciiTheme="majorHAnsi" w:eastAsiaTheme="majorEastAsia" w:hAnsiTheme="majorHAnsi" w:cstheme="majorBidi"/>
      <w:b/>
      <w:bCs/>
      <w:color w:val="155589"/>
      <w:sz w:val="24"/>
      <w:szCs w:val="24"/>
    </w:rPr>
  </w:style>
  <w:style w:type="character" w:customStyle="1" w:styleId="Heading5Char">
    <w:name w:val="Heading 5 Char"/>
    <w:basedOn w:val="DefaultParagraphFont"/>
    <w:link w:val="Heading5"/>
    <w:uiPriority w:val="9"/>
    <w:rsid w:val="007A4B0F"/>
    <w:rPr>
      <w:rFonts w:asciiTheme="majorHAnsi" w:eastAsiaTheme="majorEastAsia" w:hAnsiTheme="majorHAnsi" w:cstheme="majorBidi"/>
      <w:b/>
      <w:color w:val="155589"/>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7A4B0F"/>
    <w:pPr>
      <w:keepNext/>
      <w:spacing w:after="0"/>
    </w:pPr>
    <w:rPr>
      <w:rFonts w:asciiTheme="majorHAnsi" w:eastAsiaTheme="minorHAnsi" w:hAnsiTheme="majorHAnsi"/>
      <w:b/>
      <w:color w:val="155589"/>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7A4B0F"/>
    <w:rPr>
      <w:rFonts w:asciiTheme="majorHAnsi" w:eastAsiaTheme="majorEastAsia" w:hAnsiTheme="majorHAnsi" w:cstheme="majorBidi"/>
      <w:b/>
      <w:i/>
      <w:iCs/>
      <w:color w:val="155589"/>
    </w:rPr>
  </w:style>
  <w:style w:type="character" w:customStyle="1" w:styleId="Heading7Char">
    <w:name w:val="Heading 7 Char"/>
    <w:basedOn w:val="DefaultParagraphFont"/>
    <w:link w:val="Heading7"/>
    <w:uiPriority w:val="9"/>
    <w:rsid w:val="007A4B0F"/>
    <w:rPr>
      <w:rFonts w:asciiTheme="majorHAnsi" w:eastAsiaTheme="majorEastAsia" w:hAnsiTheme="majorHAnsi" w:cstheme="majorBidi"/>
      <w:b/>
      <w:i/>
      <w:iCs/>
      <w:color w:val="155589"/>
    </w:rPr>
  </w:style>
  <w:style w:type="character" w:customStyle="1" w:styleId="Heading8Char">
    <w:name w:val="Heading 8 Char"/>
    <w:basedOn w:val="DefaultParagraphFont"/>
    <w:link w:val="Heading8"/>
    <w:uiPriority w:val="9"/>
    <w:rsid w:val="007A4B0F"/>
    <w:rPr>
      <w:rFonts w:asciiTheme="majorHAnsi" w:eastAsiaTheme="majorEastAsia" w:hAnsiTheme="majorHAnsi" w:cstheme="majorBidi"/>
      <w:b/>
      <w:color w:val="155589"/>
      <w:sz w:val="21"/>
      <w:szCs w:val="21"/>
    </w:rPr>
  </w:style>
  <w:style w:type="character" w:customStyle="1" w:styleId="Heading9Char">
    <w:name w:val="Heading 9 Char"/>
    <w:basedOn w:val="DefaultParagraphFont"/>
    <w:link w:val="Heading9"/>
    <w:uiPriority w:val="9"/>
    <w:rsid w:val="007A4B0F"/>
    <w:rPr>
      <w:rFonts w:asciiTheme="majorHAnsi" w:eastAsiaTheme="majorEastAsia" w:hAnsiTheme="majorHAnsi" w:cstheme="majorBidi"/>
      <w:b/>
      <w:i/>
      <w:iCs/>
      <w:color w:val="155589"/>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155589"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D03AE2"/>
    <w:pPr>
      <w:spacing w:after="120"/>
    </w:pPr>
    <w:rPr>
      <w:sz w:val="32"/>
    </w:rPr>
  </w:style>
  <w:style w:type="paragraph" w:customStyle="1" w:styleId="Heading3-notshowing">
    <w:name w:val="Heading 3 - not showing"/>
    <w:basedOn w:val="Heading3"/>
    <w:qFormat/>
    <w:rsid w:val="00D03AE2"/>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link w:val="ListParagraphChar"/>
    <w:uiPriority w:val="34"/>
    <w:qFormat/>
    <w:rsid w:val="00C16794"/>
    <w:pPr>
      <w:numPr>
        <w:numId w:val="3"/>
      </w:numPr>
      <w:ind w:left="567" w:hanging="567"/>
      <w:contextualSpacing/>
    </w:pPr>
  </w:style>
  <w:style w:type="paragraph" w:styleId="FootnoteText">
    <w:name w:val="footnote text"/>
    <w:basedOn w:val="Normal"/>
    <w:link w:val="FootnoteTextChar"/>
    <w:semiHidden/>
    <w:unhideWhenUsed/>
    <w:rsid w:val="003B5B1D"/>
    <w:pPr>
      <w:spacing w:after="0"/>
    </w:pPr>
    <w:rPr>
      <w:sz w:val="20"/>
      <w:szCs w:val="20"/>
    </w:rPr>
  </w:style>
  <w:style w:type="character" w:customStyle="1" w:styleId="FootnoteTextChar">
    <w:name w:val="Footnote Text Char"/>
    <w:basedOn w:val="DefaultParagraphFont"/>
    <w:link w:val="FootnoteText"/>
    <w:semiHidden/>
    <w:rsid w:val="003B5B1D"/>
    <w:rPr>
      <w:sz w:val="20"/>
      <w:szCs w:val="20"/>
    </w:rPr>
  </w:style>
  <w:style w:type="character" w:styleId="FootnoteReference">
    <w:name w:val="footnote reference"/>
    <w:basedOn w:val="DefaultParagraphFont"/>
    <w:uiPriority w:val="99"/>
    <w:semiHidden/>
    <w:unhideWhenUsed/>
    <w:rsid w:val="003B5B1D"/>
    <w:rPr>
      <w:vertAlign w:val="superscript"/>
    </w:rPr>
  </w:style>
  <w:style w:type="character" w:customStyle="1" w:styleId="superscriptfootnotereference">
    <w:name w:val="superscript footnote reference"/>
    <w:basedOn w:val="FootnoteReference"/>
    <w:uiPriority w:val="1"/>
    <w:qFormat/>
    <w:rsid w:val="003B5B1D"/>
    <w:rPr>
      <w:vertAlign w:val="superscript"/>
    </w:rPr>
  </w:style>
  <w:style w:type="character" w:customStyle="1" w:styleId="ListParagraphChar">
    <w:name w:val="List Paragraph Char"/>
    <w:link w:val="ListParagraph"/>
    <w:uiPriority w:val="34"/>
    <w:locked/>
    <w:rsid w:val="00F9616F"/>
  </w:style>
  <w:style w:type="paragraph" w:styleId="BodyText">
    <w:name w:val="Body Text"/>
    <w:basedOn w:val="Normal"/>
    <w:link w:val="BodyTextChar"/>
    <w:rsid w:val="00F9616F"/>
    <w:pPr>
      <w:spacing w:before="120" w:after="0"/>
    </w:pPr>
    <w:rPr>
      <w:rFonts w:ascii="Arial" w:eastAsia="Times New Roman" w:hAnsi="Arial" w:cs="Times New Roman"/>
      <w:szCs w:val="20"/>
      <w:lang w:eastAsia="en-AU"/>
    </w:rPr>
  </w:style>
  <w:style w:type="character" w:customStyle="1" w:styleId="BodyTextChar">
    <w:name w:val="Body Text Char"/>
    <w:basedOn w:val="DefaultParagraphFont"/>
    <w:link w:val="BodyText"/>
    <w:rsid w:val="00F9616F"/>
    <w:rPr>
      <w:rFonts w:ascii="Arial" w:eastAsia="Times New Roman" w:hAnsi="Arial" w:cs="Times New Roman"/>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creativecommons.org/licenses/by/4.0" TargetMode="External"/><Relationship Id="rId26" Type="http://schemas.openxmlformats.org/officeDocument/2006/relationships/hyperlink" Target="https://www.communications.gov.au/what-we-do/internet/australian-re-election-itu-council" TargetMode="External"/><Relationship Id="rId3" Type="http://schemas.openxmlformats.org/officeDocument/2006/relationships/customXml" Target="../customXml/item3.xml"/><Relationship Id="rId21" Type="http://schemas.openxmlformats.org/officeDocument/2006/relationships/hyperlink" Target="https://www.pmc.gov.au/government/its-honou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reativecommons.org" TargetMode="External"/><Relationship Id="rId25" Type="http://schemas.openxmlformats.org/officeDocument/2006/relationships/hyperlink" Target="https://www.fpwhitepaper.gov.au/" TargetMode="External"/><Relationship Id="rId2" Type="http://schemas.openxmlformats.org/officeDocument/2006/relationships/customXml" Target="../customXml/item2.xml"/><Relationship Id="rId16" Type="http://schemas.openxmlformats.org/officeDocument/2006/relationships/image" Target="cid:image001.jpg@01CF53E2.F599DED0" TargetMode="External"/><Relationship Id="rId20" Type="http://schemas.openxmlformats.org/officeDocument/2006/relationships/hyperlink" Target="mailto:copyright@communication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dfat.gov.au/international-relations/themes/cyber-affairs/aices/index.html" TargetMode="Externa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hyperlink" Target="mailto:joseph.mccarroll@communications.gov.au"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opyright@communication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AustraliaITUPP18@communications.gov.au"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tu.int/en/ITU-D/Cybersecurity/Documents/130revBusa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report%20-%20accessible%20Word%20template.dotx" TargetMode="External"/></Relationships>
</file>

<file path=word/theme/theme1.xml><?xml version="1.0" encoding="utf-8"?>
<a:theme xmlns:a="http://schemas.openxmlformats.org/drawingml/2006/main" name="Office Theme">
  <a:themeElements>
    <a:clrScheme name="DoCA">
      <a:dk1>
        <a:srgbClr val="000000"/>
      </a:dk1>
      <a:lt1>
        <a:srgbClr val="FFFFFF"/>
      </a:lt1>
      <a:dk2>
        <a:srgbClr val="155589"/>
      </a:dk2>
      <a:lt2>
        <a:srgbClr val="E4E4E4"/>
      </a:lt2>
      <a:accent1>
        <a:srgbClr val="77D1F5"/>
      </a:accent1>
      <a:accent2>
        <a:srgbClr val="4EB2B5"/>
      </a:accent2>
      <a:accent3>
        <a:srgbClr val="959ACD"/>
      </a:accent3>
      <a:accent4>
        <a:srgbClr val="1177AD"/>
      </a:accent4>
      <a:accent5>
        <a:srgbClr val="BADB98"/>
      </a:accent5>
      <a:accent6>
        <a:srgbClr val="626E81"/>
      </a:accent6>
      <a:hlink>
        <a:srgbClr val="155589"/>
      </a:hlink>
      <a:folHlink>
        <a:srgbClr val="155589"/>
      </a:folHlink>
    </a:clrScheme>
    <a:fontScheme name="DoCA">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78DFF0E8D596C459BF6924D447E3E9E" ma:contentTypeVersion="0" ma:contentTypeDescription="Create a new document." ma:contentTypeScope="" ma:versionID="bb3dd3da83ee067048d483c7eaa6ef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A7B9E-5BD0-4F63-8F8D-1187124C6A1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3.xml><?xml version="1.0" encoding="utf-8"?>
<ds:datastoreItem xmlns:ds="http://schemas.openxmlformats.org/officeDocument/2006/customXml" ds:itemID="{6341CC56-E6C3-4D29-BCD7-A348BAABA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24A6928-0F6B-47AD-9468-CB77778A5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report - accessible Word template.dotx</Template>
  <TotalTime>0</TotalTime>
  <Pages>14</Pages>
  <Words>4830</Words>
  <Characters>27532</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International Telecommunication Union Plenipotentiary Conference 2018 (PP 18) Stakeholder Information Paper</vt:lpstr>
    </vt:vector>
  </TitlesOfParts>
  <Company>Department of Communications and the Arts</Company>
  <LinksUpToDate>false</LinksUpToDate>
  <CharactersWithSpaces>32298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 Plenipotentiary Conference 2018 (PP 18) Stakeholder Information Paper</dc:title>
  <dc:subject/>
  <dc:creator>Department of Communications and the Arts</dc:creator>
  <cp:keywords/>
  <dc:description>May 2018</dc:description>
  <cp:lastModifiedBy>Department of Communications and the Arts</cp:lastModifiedBy>
  <cp:revision>2</cp:revision>
  <dcterms:created xsi:type="dcterms:W3CDTF">2018-06-06T07:18:00Z</dcterms:created>
  <dcterms:modified xsi:type="dcterms:W3CDTF">2018-06-06T07:18:00Z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0x010100878DFF0E8D596C459BF6924D447E3E9E</vt:lpwstr>
  </property>
  <property fmtid="{D5CDD505-2E9C-101B-9397-08002B2CF9AE}" pid="3" name="TrimRevisionNumber">
    <vt:i4>14</vt:i4>
  </property>
</Properties>
</file>