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55" w:rsidRDefault="007B7C55">
      <w:r>
        <w:rPr>
          <w:noProof/>
          <w:lang w:eastAsia="en-AU"/>
        </w:rPr>
        <w:drawing>
          <wp:inline distT="0" distB="0" distL="0" distR="0" wp14:anchorId="7A19554E" wp14:editId="5A3BA0AE">
            <wp:extent cx="7578968" cy="1424940"/>
            <wp:effectExtent l="0" t="0" r="3175" b="3810"/>
            <wp:docPr id="1" name="Picture 1" descr="Logo: Austalian Government." title="Logo: Aust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590707" cy="1427147"/>
                    </a:xfrm>
                    <a:prstGeom prst="rect">
                      <a:avLst/>
                    </a:prstGeom>
                  </pic:spPr>
                </pic:pic>
              </a:graphicData>
            </a:graphic>
          </wp:inline>
        </w:drawing>
      </w:r>
    </w:p>
    <w:p w:rsidR="007B7C55" w:rsidRDefault="007B7C55">
      <w:pPr>
        <w:sectPr w:rsidR="007B7C55" w:rsidSect="007B7C55">
          <w:pgSz w:w="11906" w:h="16838"/>
          <w:pgMar w:top="22" w:right="1440" w:bottom="1440" w:left="0" w:header="708" w:footer="708" w:gutter="0"/>
          <w:cols w:space="708"/>
          <w:docGrid w:linePitch="360"/>
        </w:sectPr>
      </w:pPr>
    </w:p>
    <w:p w:rsidR="007B7C55" w:rsidRDefault="007B7C55" w:rsidP="007B7C55">
      <w:pPr>
        <w:pStyle w:val="Heading1"/>
      </w:pPr>
      <w:r>
        <w:lastRenderedPageBreak/>
        <w:t>Mobi</w:t>
      </w:r>
      <w:r>
        <w:t>le Black Spot Programme</w:t>
      </w:r>
    </w:p>
    <w:p w:rsidR="007B7C55" w:rsidRPr="007B7C55" w:rsidRDefault="007B7C55">
      <w:pPr>
        <w:rPr>
          <w:b/>
        </w:rPr>
      </w:pPr>
      <w:r w:rsidRPr="007B7C55">
        <w:rPr>
          <w:b/>
        </w:rPr>
        <w:t>FACT SHEET</w:t>
      </w:r>
    </w:p>
    <w:p w:rsidR="007B7C55" w:rsidRDefault="00243BB9" w:rsidP="007B7C55">
      <w:pPr>
        <w:pStyle w:val="Heading2"/>
        <w:spacing w:after="400"/>
      </w:pPr>
      <w:r>
        <w:t>How the successful locations were chosen</w:t>
      </w:r>
    </w:p>
    <w:p w:rsidR="00243BB9" w:rsidRDefault="00243BB9">
      <w:r>
        <w:t>The 499 successful locations were selected following a competitive selection process, with the mobile network operators asked to nominate sites where they would build new or upgraded base stations to serve the black spot locations nominated by the public. The Government selected the locations in accordance with the criteria in the Programme Guid</w:t>
      </w:r>
      <w:r>
        <w:t>elines issued in December 2014.</w:t>
      </w:r>
    </w:p>
    <w:p w:rsidR="007B7C55" w:rsidRDefault="00243BB9">
      <w:r>
        <w:t>The Government assessed each proposed base station against the following criteria:</w:t>
      </w:r>
    </w:p>
    <w:tbl>
      <w:tblPr>
        <w:tblStyle w:val="TableGrid"/>
        <w:tblW w:w="9072" w:type="dxa"/>
        <w:tblBorders>
          <w:left w:val="none" w:sz="0" w:space="0" w:color="auto"/>
          <w:right w:val="none" w:sz="0" w:space="0" w:color="auto"/>
          <w:insideV w:val="none" w:sz="0" w:space="0" w:color="auto"/>
        </w:tblBorders>
        <w:tblLook w:val="04A0" w:firstRow="1" w:lastRow="0" w:firstColumn="1" w:lastColumn="0" w:noHBand="0" w:noVBand="1"/>
        <w:tblDescription w:val="Criterion and points awarded."/>
      </w:tblPr>
      <w:tblGrid>
        <w:gridCol w:w="3544"/>
        <w:gridCol w:w="5528"/>
      </w:tblGrid>
      <w:tr w:rsidR="00243BB9" w:rsidRPr="00243BB9" w:rsidTr="00F85607">
        <w:trPr>
          <w:cantSplit/>
          <w:tblHeader/>
        </w:trPr>
        <w:tc>
          <w:tcPr>
            <w:tcW w:w="3544" w:type="dxa"/>
          </w:tcPr>
          <w:p w:rsidR="00243BB9" w:rsidRPr="00243BB9" w:rsidRDefault="00243BB9" w:rsidP="00416DF2">
            <w:pPr>
              <w:rPr>
                <w:b/>
              </w:rPr>
            </w:pPr>
            <w:bookmarkStart w:id="0" w:name="_GoBack"/>
            <w:r w:rsidRPr="00243BB9">
              <w:rPr>
                <w:b/>
              </w:rPr>
              <w:t>Criterion</w:t>
            </w:r>
          </w:p>
        </w:tc>
        <w:tc>
          <w:tcPr>
            <w:tcW w:w="5528" w:type="dxa"/>
          </w:tcPr>
          <w:p w:rsidR="00243BB9" w:rsidRPr="00243BB9" w:rsidRDefault="00243BB9" w:rsidP="00416DF2">
            <w:pPr>
              <w:rPr>
                <w:b/>
              </w:rPr>
            </w:pPr>
            <w:r w:rsidRPr="00243BB9">
              <w:rPr>
                <w:b/>
              </w:rPr>
              <w:t>Points were awarded according to:</w:t>
            </w:r>
          </w:p>
        </w:tc>
      </w:tr>
      <w:tr w:rsidR="00243BB9" w:rsidRPr="00243BB9" w:rsidTr="00F85607">
        <w:trPr>
          <w:cantSplit/>
        </w:trPr>
        <w:tc>
          <w:tcPr>
            <w:tcW w:w="3544" w:type="dxa"/>
          </w:tcPr>
          <w:p w:rsidR="00243BB9" w:rsidRPr="00243BB9" w:rsidRDefault="00243BB9" w:rsidP="00416DF2">
            <w:r w:rsidRPr="00243BB9">
              <w:t>New mobile coverage outcomes</w:t>
            </w:r>
          </w:p>
        </w:tc>
        <w:tc>
          <w:tcPr>
            <w:tcW w:w="5528" w:type="dxa"/>
          </w:tcPr>
          <w:p w:rsidR="00243BB9" w:rsidRDefault="00243BB9" w:rsidP="00243BB9">
            <w:pPr>
              <w:pStyle w:val="ListParagraph"/>
              <w:numPr>
                <w:ilvl w:val="0"/>
                <w:numId w:val="1"/>
              </w:numPr>
              <w:ind w:left="459" w:hanging="426"/>
            </w:pPr>
            <w:r w:rsidRPr="00243BB9">
              <w:t>the extent of new coverag</w:t>
            </w:r>
            <w:r>
              <w:t>e provided in square kilometres</w:t>
            </w:r>
          </w:p>
          <w:p w:rsidR="00243BB9" w:rsidRDefault="00243BB9" w:rsidP="00243BB9">
            <w:pPr>
              <w:pStyle w:val="ListParagraph"/>
              <w:numPr>
                <w:ilvl w:val="0"/>
                <w:numId w:val="1"/>
              </w:numPr>
              <w:ind w:left="459" w:hanging="426"/>
            </w:pPr>
            <w:r w:rsidRPr="00243BB9">
              <w:t>the number of premises within the new handheld coverage area</w:t>
            </w:r>
          </w:p>
          <w:p w:rsidR="00243BB9" w:rsidRPr="00243BB9" w:rsidRDefault="00243BB9" w:rsidP="00243BB9">
            <w:pPr>
              <w:pStyle w:val="ListParagraph"/>
              <w:numPr>
                <w:ilvl w:val="0"/>
                <w:numId w:val="1"/>
              </w:numPr>
              <w:ind w:left="459" w:hanging="426"/>
            </w:pPr>
            <w:r w:rsidRPr="00243BB9">
              <w:t>the length of major transport routes receiving new coverage</w:t>
            </w:r>
          </w:p>
        </w:tc>
      </w:tr>
      <w:tr w:rsidR="00243BB9" w:rsidRPr="00243BB9" w:rsidTr="00F85607">
        <w:trPr>
          <w:cantSplit/>
        </w:trPr>
        <w:tc>
          <w:tcPr>
            <w:tcW w:w="3544" w:type="dxa"/>
          </w:tcPr>
          <w:p w:rsidR="00243BB9" w:rsidRPr="00243BB9" w:rsidRDefault="00243BB9" w:rsidP="00416DF2">
            <w:r w:rsidRPr="00243BB9">
              <w:t>Nominated by an MP</w:t>
            </w:r>
          </w:p>
        </w:tc>
        <w:tc>
          <w:tcPr>
            <w:tcW w:w="5528" w:type="dxa"/>
          </w:tcPr>
          <w:p w:rsidR="00243BB9" w:rsidRPr="00243BB9" w:rsidRDefault="00243BB9" w:rsidP="00243BB9">
            <w:pPr>
              <w:pStyle w:val="ListParagraph"/>
              <w:numPr>
                <w:ilvl w:val="0"/>
                <w:numId w:val="1"/>
              </w:numPr>
              <w:ind w:left="459" w:hanging="426"/>
            </w:pPr>
            <w:r w:rsidRPr="00243BB9">
              <w:t>whether the base station provides coverage to a location nominated by a</w:t>
            </w:r>
            <w:r w:rsidRPr="00243BB9">
              <w:t>n eligible Member of Parliament</w:t>
            </w:r>
          </w:p>
        </w:tc>
      </w:tr>
      <w:tr w:rsidR="00243BB9" w:rsidRPr="00243BB9" w:rsidTr="00F85607">
        <w:trPr>
          <w:cantSplit/>
        </w:trPr>
        <w:tc>
          <w:tcPr>
            <w:tcW w:w="3544" w:type="dxa"/>
          </w:tcPr>
          <w:p w:rsidR="00243BB9" w:rsidRPr="00243BB9" w:rsidRDefault="00243BB9" w:rsidP="00416DF2">
            <w:r w:rsidRPr="00243BB9">
              <w:t>Co-contributions</w:t>
            </w:r>
          </w:p>
        </w:tc>
        <w:tc>
          <w:tcPr>
            <w:tcW w:w="5528" w:type="dxa"/>
          </w:tcPr>
          <w:p w:rsidR="00243BB9" w:rsidRPr="00243BB9" w:rsidRDefault="00243BB9" w:rsidP="00243BB9">
            <w:pPr>
              <w:pStyle w:val="ListParagraph"/>
              <w:numPr>
                <w:ilvl w:val="0"/>
                <w:numId w:val="1"/>
              </w:numPr>
              <w:ind w:left="459" w:hanging="426"/>
            </w:pPr>
            <w:r w:rsidRPr="00243BB9">
              <w:t>the amount of cash and/or in-kind contribution being provided by applicants, state/territory governments, local councils or other thi</w:t>
            </w:r>
            <w:r w:rsidRPr="00243BB9">
              <w:t>rd parties</w:t>
            </w:r>
          </w:p>
        </w:tc>
      </w:tr>
      <w:tr w:rsidR="00243BB9" w:rsidRPr="00243BB9" w:rsidTr="00F85607">
        <w:trPr>
          <w:cantSplit/>
        </w:trPr>
        <w:tc>
          <w:tcPr>
            <w:tcW w:w="3544" w:type="dxa"/>
          </w:tcPr>
          <w:p w:rsidR="00243BB9" w:rsidRPr="00243BB9" w:rsidRDefault="00243BB9" w:rsidP="00416DF2">
            <w:r w:rsidRPr="00243BB9">
              <w:t>Cost to the Commonwealth</w:t>
            </w:r>
          </w:p>
        </w:tc>
        <w:tc>
          <w:tcPr>
            <w:tcW w:w="5528" w:type="dxa"/>
          </w:tcPr>
          <w:p w:rsidR="00243BB9" w:rsidRPr="00243BB9" w:rsidRDefault="00243BB9" w:rsidP="00243BB9">
            <w:pPr>
              <w:pStyle w:val="ListParagraph"/>
              <w:numPr>
                <w:ilvl w:val="0"/>
                <w:numId w:val="1"/>
              </w:numPr>
              <w:ind w:left="459" w:hanging="426"/>
            </w:pPr>
            <w:r w:rsidRPr="00243BB9">
              <w:t>the overall cost to the Commonwealth, with additional points being awarded to lower cost sites (the subsidy provided by the Commo</w:t>
            </w:r>
            <w:r w:rsidRPr="00243BB9">
              <w:t>nwealth was capped at $500,000)</w:t>
            </w:r>
          </w:p>
        </w:tc>
      </w:tr>
      <w:tr w:rsidR="00243BB9" w:rsidRPr="00243BB9" w:rsidTr="00F85607">
        <w:trPr>
          <w:cantSplit/>
        </w:trPr>
        <w:tc>
          <w:tcPr>
            <w:tcW w:w="3544" w:type="dxa"/>
          </w:tcPr>
          <w:p w:rsidR="00243BB9" w:rsidRPr="00243BB9" w:rsidRDefault="00243BB9" w:rsidP="00416DF2">
            <w:r w:rsidRPr="00243BB9">
              <w:t>Services offered</w:t>
            </w:r>
          </w:p>
        </w:tc>
        <w:tc>
          <w:tcPr>
            <w:tcW w:w="5528" w:type="dxa"/>
          </w:tcPr>
          <w:p w:rsidR="00243BB9" w:rsidRPr="00243BB9" w:rsidRDefault="00243BB9" w:rsidP="00243BB9">
            <w:pPr>
              <w:pStyle w:val="ListParagraph"/>
              <w:numPr>
                <w:ilvl w:val="0"/>
                <w:numId w:val="1"/>
              </w:numPr>
              <w:ind w:left="459" w:hanging="426"/>
            </w:pPr>
            <w:r w:rsidRPr="00243BB9">
              <w:t>whether the base station will provide a 4G service in addit</w:t>
            </w:r>
            <w:r w:rsidRPr="00243BB9">
              <w:t>ion to the mandatory 3G service</w:t>
            </w:r>
          </w:p>
        </w:tc>
      </w:tr>
      <w:tr w:rsidR="00243BB9" w:rsidRPr="00243BB9" w:rsidTr="00F85607">
        <w:trPr>
          <w:cantSplit/>
        </w:trPr>
        <w:tc>
          <w:tcPr>
            <w:tcW w:w="3544" w:type="dxa"/>
          </w:tcPr>
          <w:p w:rsidR="00243BB9" w:rsidRPr="00243BB9" w:rsidRDefault="00243BB9" w:rsidP="00416DF2">
            <w:r w:rsidRPr="00243BB9">
              <w:t>Roaming</w:t>
            </w:r>
          </w:p>
        </w:tc>
        <w:tc>
          <w:tcPr>
            <w:tcW w:w="5528" w:type="dxa"/>
          </w:tcPr>
          <w:p w:rsidR="00243BB9" w:rsidRPr="00243BB9" w:rsidRDefault="00243BB9" w:rsidP="00243BB9">
            <w:pPr>
              <w:pStyle w:val="ListParagraph"/>
              <w:numPr>
                <w:ilvl w:val="0"/>
                <w:numId w:val="1"/>
              </w:numPr>
              <w:ind w:left="459" w:hanging="426"/>
            </w:pPr>
            <w:r w:rsidRPr="00243BB9">
              <w:t>whether the mobile network operator will provide roaming services for customers of</w:t>
            </w:r>
            <w:r w:rsidRPr="00243BB9">
              <w:t xml:space="preserve"> other mobile network operators</w:t>
            </w:r>
          </w:p>
        </w:tc>
      </w:tr>
      <w:tr w:rsidR="00243BB9" w:rsidTr="00F85607">
        <w:trPr>
          <w:cantSplit/>
        </w:trPr>
        <w:tc>
          <w:tcPr>
            <w:tcW w:w="3544" w:type="dxa"/>
          </w:tcPr>
          <w:p w:rsidR="00243BB9" w:rsidRPr="00243BB9" w:rsidRDefault="00243BB9" w:rsidP="00416DF2">
            <w:r w:rsidRPr="00243BB9">
              <w:t>More than one mobile network operator will provide services from the base station</w:t>
            </w:r>
          </w:p>
        </w:tc>
        <w:tc>
          <w:tcPr>
            <w:tcW w:w="5528" w:type="dxa"/>
          </w:tcPr>
          <w:p w:rsidR="00243BB9" w:rsidRDefault="00243BB9" w:rsidP="00243BB9">
            <w:pPr>
              <w:pStyle w:val="ListParagraph"/>
              <w:numPr>
                <w:ilvl w:val="0"/>
                <w:numId w:val="1"/>
              </w:numPr>
              <w:ind w:left="459" w:hanging="426"/>
            </w:pPr>
            <w:r w:rsidRPr="00243BB9">
              <w:t>whether other mobile network operators (in addition to the funded operator) have committed to use the base station for at least ten years</w:t>
            </w:r>
          </w:p>
        </w:tc>
      </w:tr>
      <w:bookmarkEnd w:id="0"/>
    </w:tbl>
    <w:p w:rsidR="00243BB9" w:rsidRDefault="00243BB9" w:rsidP="00243BB9"/>
    <w:sectPr w:rsidR="00243BB9" w:rsidSect="00243BB9">
      <w:type w:val="continuous"/>
      <w:pgSz w:w="11906" w:h="16838"/>
      <w:pgMar w:top="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5C7"/>
    <w:multiLevelType w:val="hybridMultilevel"/>
    <w:tmpl w:val="9918A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55"/>
    <w:rsid w:val="001472FC"/>
    <w:rsid w:val="00243BB9"/>
    <w:rsid w:val="0037011F"/>
    <w:rsid w:val="003A6DF3"/>
    <w:rsid w:val="007B7C55"/>
    <w:rsid w:val="008B0EA8"/>
    <w:rsid w:val="00E01E0E"/>
    <w:rsid w:val="00EA6D34"/>
    <w:rsid w:val="00F85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6BBE-577E-4F6D-BFEB-BB3F8F32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C55"/>
    <w:rPr>
      <w:sz w:val="24"/>
    </w:rPr>
  </w:style>
  <w:style w:type="paragraph" w:styleId="Heading1">
    <w:name w:val="heading 1"/>
    <w:basedOn w:val="Normal"/>
    <w:next w:val="Normal"/>
    <w:link w:val="Heading1Char"/>
    <w:uiPriority w:val="9"/>
    <w:qFormat/>
    <w:rsid w:val="007B7C55"/>
    <w:pPr>
      <w:keepNext/>
      <w:keepLines/>
      <w:spacing w:before="600" w:after="240" w:line="240" w:lineRule="auto"/>
      <w:outlineLvl w:val="0"/>
    </w:pPr>
    <w:rPr>
      <w:rFonts w:asciiTheme="majorHAnsi" w:eastAsiaTheme="majorEastAsia" w:hAnsiTheme="majorHAnsi" w:cstheme="majorBidi"/>
      <w:b/>
      <w:color w:val="07478C"/>
      <w:sz w:val="40"/>
      <w:szCs w:val="32"/>
    </w:rPr>
  </w:style>
  <w:style w:type="paragraph" w:styleId="Heading2">
    <w:name w:val="heading 2"/>
    <w:basedOn w:val="Normal"/>
    <w:next w:val="Normal"/>
    <w:link w:val="Heading2Char"/>
    <w:uiPriority w:val="9"/>
    <w:unhideWhenUsed/>
    <w:qFormat/>
    <w:rsid w:val="007B7C55"/>
    <w:pPr>
      <w:keepNext/>
      <w:keepLines/>
      <w:spacing w:before="40" w:after="800"/>
      <w:outlineLvl w:val="1"/>
    </w:pPr>
    <w:rPr>
      <w:rFonts w:asciiTheme="majorHAnsi" w:eastAsiaTheme="majorEastAsia" w:hAnsiTheme="majorHAnsi"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C55"/>
    <w:rPr>
      <w:rFonts w:asciiTheme="majorHAnsi" w:eastAsiaTheme="majorEastAsia" w:hAnsiTheme="majorHAnsi" w:cstheme="majorBidi"/>
      <w:b/>
      <w:color w:val="07478C"/>
      <w:sz w:val="40"/>
      <w:szCs w:val="32"/>
    </w:rPr>
  </w:style>
  <w:style w:type="character" w:customStyle="1" w:styleId="Heading2Char">
    <w:name w:val="Heading 2 Char"/>
    <w:basedOn w:val="DefaultParagraphFont"/>
    <w:link w:val="Heading2"/>
    <w:uiPriority w:val="9"/>
    <w:rsid w:val="007B7C55"/>
    <w:rPr>
      <w:rFonts w:asciiTheme="majorHAnsi" w:eastAsiaTheme="majorEastAsia" w:hAnsiTheme="majorHAnsi" w:cstheme="majorBidi"/>
      <w:b/>
      <w:color w:val="000000" w:themeColor="text1"/>
      <w:sz w:val="32"/>
      <w:szCs w:val="26"/>
    </w:rPr>
  </w:style>
  <w:style w:type="character" w:styleId="Hyperlink">
    <w:name w:val="Hyperlink"/>
    <w:basedOn w:val="DefaultParagraphFont"/>
    <w:uiPriority w:val="99"/>
    <w:unhideWhenUsed/>
    <w:rsid w:val="0037011F"/>
    <w:rPr>
      <w:color w:val="0563C1" w:themeColor="hyperlink"/>
      <w:u w:val="single"/>
    </w:rPr>
  </w:style>
  <w:style w:type="table" w:styleId="TableGrid">
    <w:name w:val="Table Grid"/>
    <w:basedOn w:val="TableNormal"/>
    <w:uiPriority w:val="39"/>
    <w:rsid w:val="0024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Mobile Black Spot Programme—What if my nominated location did not get funding under round 1</vt:lpstr>
    </vt:vector>
  </TitlesOfParts>
  <Company>Department of Communications</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Programme—How the successful locations were chosen</dc:title>
  <dc:subject/>
  <dc:creator>Theresa Hall</dc:creator>
  <cp:keywords/>
  <dc:description/>
  <cp:lastModifiedBy>Theresa Hall</cp:lastModifiedBy>
  <cp:revision>3</cp:revision>
  <cp:lastPrinted>2016-02-24T06:57:00Z</cp:lastPrinted>
  <dcterms:created xsi:type="dcterms:W3CDTF">2016-02-24T07:05:00Z</dcterms:created>
  <dcterms:modified xsi:type="dcterms:W3CDTF">2016-02-24T07:06:00Z</dcterms:modified>
</cp:coreProperties>
</file>