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0639" w14:textId="77777777" w:rsidR="00471D95" w:rsidRDefault="005113AA" w:rsidP="005113AA">
      <w:pPr>
        <w:ind w:left="-1418"/>
        <w:sectPr w:rsidR="00471D95" w:rsidSect="00471D95">
          <w:footerReference w:type="default" r:id="rId11"/>
          <w:pgSz w:w="11906" w:h="16838"/>
          <w:pgMar w:top="0" w:right="1274" w:bottom="1440" w:left="1440" w:header="708" w:footer="283" w:gutter="0"/>
          <w:cols w:space="708"/>
          <w:docGrid w:linePitch="360"/>
        </w:sectPr>
      </w:pPr>
      <w:r>
        <w:rPr>
          <w:noProof/>
          <w:lang w:eastAsia="en-AU"/>
        </w:rPr>
        <w:drawing>
          <wp:inline distT="0" distB="0" distL="0" distR="0" wp14:anchorId="4853A6F2" wp14:editId="4C38751E">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p w14:paraId="16AB6692" w14:textId="633F9EF3" w:rsidR="00F66970" w:rsidRPr="00500AD5" w:rsidRDefault="00F66970" w:rsidP="00500AD5">
      <w:pPr>
        <w:pStyle w:val="Heading1"/>
      </w:pPr>
      <w:r w:rsidRPr="00500AD5">
        <w:lastRenderedPageBreak/>
        <w:t>Funding of telecommunications consumer representation grants</w:t>
      </w:r>
      <w:r w:rsidR="00500AD5" w:rsidRPr="00500AD5">
        <w:t>—</w:t>
      </w:r>
      <w:r w:rsidRPr="00500AD5">
        <w:t>Annual report 2018</w:t>
      </w:r>
      <w:r w:rsidR="00500AD5" w:rsidRPr="00500AD5">
        <w:t>–</w:t>
      </w:r>
      <w:r w:rsidRPr="00500AD5">
        <w:t>19</w:t>
      </w:r>
    </w:p>
    <w:p w14:paraId="0B4F9F32" w14:textId="73CE1E01" w:rsidR="005113AA" w:rsidRPr="00500AD5" w:rsidRDefault="004D3C1E" w:rsidP="00500AD5">
      <w:r w:rsidRPr="00500AD5">
        <w:lastRenderedPageBreak/>
        <w:t>December</w:t>
      </w:r>
      <w:r w:rsidR="00F66970" w:rsidRPr="00500AD5">
        <w:t xml:space="preserve"> 2019</w:t>
      </w:r>
    </w:p>
    <w:p w14:paraId="089AF53E" w14:textId="77777777" w:rsidR="005113AA" w:rsidRDefault="005113AA" w:rsidP="003D193C">
      <w:pPr>
        <w:spacing w:before="4440" w:after="0"/>
        <w:jc w:val="center"/>
      </w:pPr>
      <w:r>
        <w:br w:type="page"/>
      </w:r>
    </w:p>
    <w:p w14:paraId="3BBF0837" w14:textId="77777777" w:rsidR="005113AA" w:rsidRPr="00F66970" w:rsidRDefault="005113AA" w:rsidP="00800F3F">
      <w:pPr>
        <w:pStyle w:val="Heading2notshowing"/>
      </w:pPr>
      <w:r w:rsidRPr="00F66970">
        <w:lastRenderedPageBreak/>
        <w:t>Disclaimer</w:t>
      </w:r>
    </w:p>
    <w:p w14:paraId="2AAB04C4" w14:textId="77777777" w:rsidR="005113AA" w:rsidRPr="00F66970" w:rsidRDefault="005113AA" w:rsidP="00F63D35">
      <w:pPr>
        <w:pStyle w:val="Normal-disclaimerpage"/>
      </w:pPr>
      <w:r w:rsidRPr="00F66970">
        <w:t xml:space="preserve">The material in 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w:t>
      </w:r>
      <w:r w:rsidR="00943D91" w:rsidRPr="00F66970">
        <w:t>this</w:t>
      </w:r>
      <w:r w:rsidR="00F66970" w:rsidRPr="00F66970">
        <w:t xml:space="preserve"> </w:t>
      </w:r>
      <w:r w:rsidR="00943D91" w:rsidRPr="00F66970">
        <w:t>report</w:t>
      </w:r>
      <w:r w:rsidRPr="00F66970">
        <w:t>.</w:t>
      </w:r>
    </w:p>
    <w:p w14:paraId="7DE2A46C" w14:textId="77777777" w:rsidR="005113AA" w:rsidRPr="00F66970" w:rsidRDefault="005113AA" w:rsidP="00F63D35">
      <w:pPr>
        <w:pStyle w:val="Normal-disclaimerpage"/>
      </w:pPr>
      <w:r w:rsidRPr="00F66970">
        <w:t>T</w:t>
      </w:r>
      <w:r w:rsidR="00943D91" w:rsidRPr="00F66970">
        <w:t>his</w:t>
      </w:r>
      <w:r w:rsidR="00F66970" w:rsidRPr="00F66970">
        <w:t xml:space="preserve"> </w:t>
      </w:r>
      <w:r w:rsidR="00943D91" w:rsidRPr="00F66970">
        <w:t>report</w:t>
      </w:r>
      <w:r w:rsidRPr="00F66970">
        <w:t xml:space="preserve"> has been prepared for consultation purposes only and does not indicate the Commonwealth’s commitment to a particular course of action. Additionally, any third party views or recommendations included in </w:t>
      </w:r>
      <w:r w:rsidR="00943D91" w:rsidRPr="00F66970">
        <w:t>this</w:t>
      </w:r>
      <w:r w:rsidR="00F66970" w:rsidRPr="00F66970">
        <w:t xml:space="preserve"> </w:t>
      </w:r>
      <w:r w:rsidR="00943D91" w:rsidRPr="00F66970">
        <w:t>report</w:t>
      </w:r>
      <w:r w:rsidRPr="00F66970">
        <w:t xml:space="preserve"> do not reflect the views of the Commonwealth, or indicate its commitment to a particular course of action.</w:t>
      </w:r>
    </w:p>
    <w:p w14:paraId="7ACABF8A" w14:textId="77777777" w:rsidR="005113AA" w:rsidRPr="00F66970" w:rsidRDefault="005113AA" w:rsidP="00C54D61">
      <w:pPr>
        <w:pStyle w:val="Heading2notshowing"/>
      </w:pPr>
      <w:r w:rsidRPr="00F66970">
        <w:t>Copyright</w:t>
      </w:r>
    </w:p>
    <w:p w14:paraId="4F22F829" w14:textId="77777777" w:rsidR="005113AA" w:rsidRPr="00F66970" w:rsidRDefault="005113AA" w:rsidP="00F63D35">
      <w:pPr>
        <w:pStyle w:val="Normal-disclaimerpage"/>
      </w:pPr>
      <w:r w:rsidRPr="00F66970">
        <w:t>© Commonwealth of Australia 2019</w:t>
      </w:r>
    </w:p>
    <w:p w14:paraId="0B970D72" w14:textId="211A78E2" w:rsidR="005113AA" w:rsidRPr="005113AA" w:rsidRDefault="005113AA" w:rsidP="00F63D35">
      <w:pPr>
        <w:pStyle w:val="Normal-disclaimerpage"/>
      </w:pPr>
      <w:r w:rsidRPr="00F66970">
        <w:rPr>
          <w:noProof/>
          <w:lang w:eastAsia="en-AU"/>
        </w:rPr>
        <w:lastRenderedPageBreak/>
        <w:drawing>
          <wp:inline distT="0" distB="0" distL="0" distR="0" wp14:anchorId="2E186326" wp14:editId="78A07A40">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F66970">
        <w:t xml:space="preserve">  The material in </w:t>
      </w:r>
      <w:r w:rsidR="00943D91" w:rsidRPr="00F66970">
        <w:t>this</w:t>
      </w:r>
      <w:r w:rsidR="00F66970" w:rsidRPr="00F66970">
        <w:t xml:space="preserve"> </w:t>
      </w:r>
      <w:r w:rsidR="00943D91" w:rsidRPr="00F66970">
        <w:t>report</w:t>
      </w:r>
      <w:r w:rsidRPr="005113AA">
        <w:t xml:space="preserve"> is licensed under a Creative Commons Attribution—4.0</w:t>
      </w:r>
      <w:r w:rsidR="00FA3913">
        <w:t> </w:t>
      </w:r>
      <w:r w:rsidRPr="005113AA">
        <w:t>International licence, with the exception of:</w:t>
      </w:r>
    </w:p>
    <w:p w14:paraId="3CEB8C01" w14:textId="77777777" w:rsidR="005113AA" w:rsidRPr="00F63D35" w:rsidRDefault="005113AA" w:rsidP="00B637AD">
      <w:pPr>
        <w:pStyle w:val="Listparagraphbullets"/>
        <w:contextualSpacing/>
        <w:rPr>
          <w:sz w:val="21"/>
          <w:szCs w:val="21"/>
        </w:rPr>
      </w:pPr>
      <w:r w:rsidRPr="00F63D35">
        <w:rPr>
          <w:sz w:val="21"/>
          <w:szCs w:val="21"/>
        </w:rPr>
        <w:t>the Commonwealth Coat of Arms</w:t>
      </w:r>
    </w:p>
    <w:p w14:paraId="3366E80B" w14:textId="77777777" w:rsidR="005113AA" w:rsidRPr="00F63D35" w:rsidRDefault="005113AA" w:rsidP="00B637AD">
      <w:pPr>
        <w:pStyle w:val="Listparagraphbullets"/>
        <w:contextualSpacing/>
        <w:rPr>
          <w:sz w:val="21"/>
          <w:szCs w:val="21"/>
        </w:rPr>
      </w:pPr>
      <w:r w:rsidRPr="00F63D35">
        <w:rPr>
          <w:sz w:val="21"/>
          <w:szCs w:val="21"/>
        </w:rPr>
        <w:t>this Department’s logo</w:t>
      </w:r>
    </w:p>
    <w:p w14:paraId="0DE0B422" w14:textId="77777777" w:rsidR="005113AA" w:rsidRPr="00F63D35" w:rsidRDefault="005113AA" w:rsidP="00B637AD">
      <w:pPr>
        <w:pStyle w:val="Listparagraphbullets"/>
        <w:contextualSpacing/>
        <w:rPr>
          <w:sz w:val="21"/>
          <w:szCs w:val="21"/>
        </w:rPr>
      </w:pPr>
      <w:r w:rsidRPr="00F63D35">
        <w:rPr>
          <w:sz w:val="21"/>
          <w:szCs w:val="21"/>
        </w:rPr>
        <w:t>any third party material</w:t>
      </w:r>
    </w:p>
    <w:p w14:paraId="006B306E" w14:textId="77777777" w:rsidR="005113AA" w:rsidRPr="00F63D35" w:rsidRDefault="005113AA" w:rsidP="00B637AD">
      <w:pPr>
        <w:pStyle w:val="Listparagraphbullets"/>
        <w:contextualSpacing/>
        <w:rPr>
          <w:sz w:val="21"/>
          <w:szCs w:val="21"/>
        </w:rPr>
      </w:pPr>
      <w:r w:rsidRPr="00F63D35">
        <w:rPr>
          <w:sz w:val="21"/>
          <w:szCs w:val="21"/>
        </w:rPr>
        <w:t>any material protected by a trademark, and</w:t>
      </w:r>
    </w:p>
    <w:p w14:paraId="2B2DA8A8" w14:textId="77777777" w:rsidR="005113AA" w:rsidRPr="00F63D35" w:rsidRDefault="005113AA" w:rsidP="00B637AD">
      <w:pPr>
        <w:pStyle w:val="Listparagraphbullets"/>
        <w:contextualSpacing/>
        <w:rPr>
          <w:sz w:val="21"/>
          <w:szCs w:val="21"/>
        </w:rPr>
      </w:pPr>
      <w:proofErr w:type="gramStart"/>
      <w:r w:rsidRPr="00F63D35">
        <w:rPr>
          <w:sz w:val="21"/>
          <w:szCs w:val="21"/>
        </w:rPr>
        <w:t>any</w:t>
      </w:r>
      <w:proofErr w:type="gramEnd"/>
      <w:r w:rsidRPr="00F63D35">
        <w:rPr>
          <w:sz w:val="21"/>
          <w:szCs w:val="21"/>
        </w:rPr>
        <w:t xml:space="preserve"> images and/or photographs.</w:t>
      </w:r>
    </w:p>
    <w:p w14:paraId="11ABED75" w14:textId="77777777" w:rsidR="005113AA" w:rsidRPr="005113AA" w:rsidRDefault="005113AA" w:rsidP="00B637AD">
      <w:pPr>
        <w:pStyle w:val="Normal-disclaimerpage"/>
        <w:contextualSpacing/>
      </w:pPr>
      <w:r w:rsidRPr="005113AA">
        <w:t>More information on this CC BY licence is set out as follows:</w:t>
      </w:r>
    </w:p>
    <w:p w14:paraId="0BC157DE" w14:textId="77777777" w:rsidR="005113AA" w:rsidRPr="00F63D35" w:rsidRDefault="005113AA" w:rsidP="00B637AD">
      <w:pPr>
        <w:pStyle w:val="Listparagraphbullets"/>
        <w:contextualSpacing/>
        <w:rPr>
          <w:sz w:val="21"/>
          <w:szCs w:val="21"/>
        </w:rPr>
      </w:pPr>
      <w:r w:rsidRPr="00F63D35">
        <w:rPr>
          <w:sz w:val="21"/>
          <w:szCs w:val="21"/>
        </w:rPr>
        <w:t>Creative Commons website—</w:t>
      </w:r>
      <w:hyperlink r:id="rId15" w:history="1">
        <w:r w:rsidRPr="00F63D35">
          <w:rPr>
            <w:rStyle w:val="Hyperlink"/>
            <w:sz w:val="21"/>
            <w:szCs w:val="21"/>
          </w:rPr>
          <w:t>www.creativecommons.org</w:t>
        </w:r>
      </w:hyperlink>
    </w:p>
    <w:p w14:paraId="13549DE1" w14:textId="77777777" w:rsidR="005113AA" w:rsidRPr="00F63D35" w:rsidRDefault="005113AA" w:rsidP="00B637AD">
      <w:pPr>
        <w:pStyle w:val="Listparagraphbullets"/>
        <w:contextualSpacing/>
        <w:rPr>
          <w:sz w:val="21"/>
          <w:szCs w:val="21"/>
        </w:rPr>
      </w:pPr>
      <w:r w:rsidRPr="00F63D35">
        <w:rPr>
          <w:sz w:val="21"/>
          <w:szCs w:val="21"/>
        </w:rPr>
        <w:t>Attribution 4.0 international (CC by 4.0)—</w:t>
      </w:r>
      <w:hyperlink r:id="rId16" w:history="1">
        <w:r w:rsidRPr="00F63D35">
          <w:rPr>
            <w:rStyle w:val="Hyperlink"/>
            <w:sz w:val="21"/>
            <w:szCs w:val="21"/>
          </w:rPr>
          <w:t>www.creativecommons.org/licenses/by/4.0</w:t>
        </w:r>
      </w:hyperlink>
      <w:r w:rsidRPr="00F63D35">
        <w:rPr>
          <w:sz w:val="21"/>
          <w:szCs w:val="21"/>
        </w:rPr>
        <w:t>.</w:t>
      </w:r>
    </w:p>
    <w:p w14:paraId="303981BD" w14:textId="77777777" w:rsidR="005113AA" w:rsidRPr="005113AA" w:rsidRDefault="005113AA" w:rsidP="00F63D35">
      <w:pPr>
        <w:pStyle w:val="Normal-disclaimerpage"/>
      </w:pPr>
      <w:r w:rsidRPr="005113AA">
        <w:t xml:space="preserve">Enquiries about this licence and any use of this discussion paper can be sent to: </w:t>
      </w:r>
      <w:hyperlink r:id="rId17" w:history="1">
        <w:r w:rsidRPr="00943D91">
          <w:rPr>
            <w:rStyle w:val="Hyperlink"/>
          </w:rPr>
          <w:t>copyright@communications.gov.au</w:t>
        </w:r>
      </w:hyperlink>
      <w:r w:rsidRPr="005113AA">
        <w:t>.</w:t>
      </w:r>
    </w:p>
    <w:p w14:paraId="29330C50" w14:textId="77777777" w:rsidR="005113AA" w:rsidRPr="005113AA" w:rsidRDefault="005113AA" w:rsidP="00943D91">
      <w:pPr>
        <w:pStyle w:val="Heading3notshowing"/>
      </w:pPr>
      <w:bookmarkStart w:id="0" w:name="_Toc490666776"/>
      <w:bookmarkStart w:id="1" w:name="_Toc490744403"/>
      <w:r w:rsidRPr="005113AA">
        <w:lastRenderedPageBreak/>
        <w:t>Third party copyright</w:t>
      </w:r>
    </w:p>
    <w:p w14:paraId="266C1053" w14:textId="77777777"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14:paraId="1ABB0547" w14:textId="77777777" w:rsidR="005113AA" w:rsidRPr="005113AA" w:rsidRDefault="005113AA" w:rsidP="00943D91">
      <w:pPr>
        <w:pStyle w:val="Heading3notshowing"/>
      </w:pPr>
      <w:r w:rsidRPr="005113AA">
        <w:t>Attribution</w:t>
      </w:r>
      <w:bookmarkEnd w:id="0"/>
      <w:bookmarkEnd w:id="1"/>
    </w:p>
    <w:p w14:paraId="13C62AB5" w14:textId="77777777" w:rsidR="005113AA" w:rsidRPr="005113AA" w:rsidRDefault="005113AA" w:rsidP="00F63D35">
      <w:pPr>
        <w:pStyle w:val="Normal-disclaimerpage"/>
      </w:pPr>
      <w:bookmarkStart w:id="2"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14:paraId="34611C89" w14:textId="77777777" w:rsidR="005113AA" w:rsidRPr="005113AA" w:rsidRDefault="005113AA" w:rsidP="00593814">
      <w:pPr>
        <w:pStyle w:val="Normal-disclaimerpage"/>
      </w:pPr>
      <w:r w:rsidRPr="005113AA">
        <w:t>Licensed from the Commonwealth of Australia under a Creative Commons Attribution 4.0 International licence.</w:t>
      </w:r>
    </w:p>
    <w:p w14:paraId="0C908D80" w14:textId="77777777" w:rsidR="005113AA" w:rsidRPr="005113AA" w:rsidRDefault="005113AA" w:rsidP="00F63D35">
      <w:pPr>
        <w:pStyle w:val="Normal-disclaimerpage"/>
      </w:pPr>
      <w:r w:rsidRPr="005113AA">
        <w:t xml:space="preserve">Enquiries about the use of any material in this publication can be sent to: </w:t>
      </w:r>
      <w:hyperlink r:id="rId18" w:history="1">
        <w:r w:rsidRPr="00F63D35">
          <w:rPr>
            <w:rStyle w:val="Hyperlink"/>
          </w:rPr>
          <w:t>copyright@communications.gov.au</w:t>
        </w:r>
      </w:hyperlink>
      <w:r w:rsidRPr="005113AA">
        <w:t>.</w:t>
      </w:r>
    </w:p>
    <w:p w14:paraId="20911B8A" w14:textId="77777777" w:rsidR="005113AA" w:rsidRPr="005113AA" w:rsidRDefault="005113AA" w:rsidP="00943D91">
      <w:pPr>
        <w:pStyle w:val="Heading2notshowing"/>
      </w:pPr>
      <w:r w:rsidRPr="005113AA">
        <w:lastRenderedPageBreak/>
        <w:t>Using the Commonwealth Coat of Arms</w:t>
      </w:r>
    </w:p>
    <w:p w14:paraId="50CA8E8B" w14:textId="7369EFA2" w:rsidR="000E3BF4" w:rsidRDefault="005113AA" w:rsidP="0069499E">
      <w:pPr>
        <w:pStyle w:val="Normal-disclaimerpage"/>
      </w:pPr>
      <w:r w:rsidRPr="005113AA">
        <w:t xml:space="preserve">Guidelines for using the Commonwealth Coat of Arms are available from the Department of Prime Minister and Cabinet website at </w:t>
      </w:r>
      <w:hyperlink r:id="rId19" w:history="1">
        <w:r w:rsidRPr="005113AA">
          <w:rPr>
            <w:color w:val="155589"/>
            <w:u w:val="single"/>
          </w:rPr>
          <w:t>www.pmc.gov.au/government/its-honour</w:t>
        </w:r>
      </w:hyperlink>
      <w:r w:rsidRPr="005113AA">
        <w:t>.</w:t>
      </w:r>
      <w:r w:rsidRPr="005113AA">
        <w:br w:type="page"/>
      </w:r>
    </w:p>
    <w:p w14:paraId="05CB484F" w14:textId="57C7CE2C" w:rsidR="005113AA" w:rsidRPr="005113AA" w:rsidRDefault="005113AA" w:rsidP="00943D91">
      <w:pPr>
        <w:pStyle w:val="Heading2notshowing"/>
      </w:pPr>
      <w:r w:rsidRPr="005113AA">
        <w:lastRenderedPageBreak/>
        <w:t>Contents</w:t>
      </w:r>
    </w:p>
    <w:bookmarkStart w:id="3" w:name="_GoBack"/>
    <w:bookmarkEnd w:id="3"/>
    <w:p w14:paraId="2ADF57E0" w14:textId="24D48646" w:rsidR="000C53D0" w:rsidRDefault="003D193C">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31619117" w:history="1">
        <w:r w:rsidR="000C53D0" w:rsidRPr="00496967">
          <w:rPr>
            <w:rStyle w:val="Hyperlink"/>
            <w:noProof/>
          </w:rPr>
          <w:t>Purpose of Section 593 of the Telecommunications Act 1997</w:t>
        </w:r>
        <w:r w:rsidR="000C53D0">
          <w:rPr>
            <w:noProof/>
            <w:webHidden/>
          </w:rPr>
          <w:tab/>
        </w:r>
        <w:r w:rsidR="000C53D0">
          <w:rPr>
            <w:noProof/>
            <w:webHidden/>
          </w:rPr>
          <w:fldChar w:fldCharType="begin"/>
        </w:r>
        <w:r w:rsidR="000C53D0">
          <w:rPr>
            <w:noProof/>
            <w:webHidden/>
          </w:rPr>
          <w:instrText xml:space="preserve"> PAGEREF _Toc31619117 \h </w:instrText>
        </w:r>
        <w:r w:rsidR="000C53D0">
          <w:rPr>
            <w:noProof/>
            <w:webHidden/>
          </w:rPr>
        </w:r>
        <w:r w:rsidR="000C53D0">
          <w:rPr>
            <w:noProof/>
            <w:webHidden/>
          </w:rPr>
          <w:fldChar w:fldCharType="separate"/>
        </w:r>
        <w:r w:rsidR="000C53D0">
          <w:rPr>
            <w:noProof/>
            <w:webHidden/>
          </w:rPr>
          <w:t>4</w:t>
        </w:r>
        <w:r w:rsidR="000C53D0">
          <w:rPr>
            <w:noProof/>
            <w:webHidden/>
          </w:rPr>
          <w:fldChar w:fldCharType="end"/>
        </w:r>
      </w:hyperlink>
    </w:p>
    <w:p w14:paraId="553AE924" w14:textId="7A95F42E" w:rsidR="000C53D0" w:rsidRDefault="000C53D0">
      <w:pPr>
        <w:pStyle w:val="TOC1"/>
        <w:rPr>
          <w:rFonts w:eastAsiaTheme="minorEastAsia"/>
          <w:b w:val="0"/>
          <w:noProof/>
          <w:color w:val="auto"/>
          <w:lang w:eastAsia="en-AU"/>
        </w:rPr>
      </w:pPr>
      <w:hyperlink w:anchor="_Toc31619118" w:history="1">
        <w:r w:rsidRPr="00496967">
          <w:rPr>
            <w:rStyle w:val="Hyperlink"/>
            <w:noProof/>
          </w:rPr>
          <w:t>Funding provided for 2018–19</w:t>
        </w:r>
        <w:r>
          <w:rPr>
            <w:noProof/>
            <w:webHidden/>
          </w:rPr>
          <w:tab/>
        </w:r>
        <w:r>
          <w:rPr>
            <w:noProof/>
            <w:webHidden/>
          </w:rPr>
          <w:fldChar w:fldCharType="begin"/>
        </w:r>
        <w:r>
          <w:rPr>
            <w:noProof/>
            <w:webHidden/>
          </w:rPr>
          <w:instrText xml:space="preserve"> PAGEREF _Toc31619118 \h </w:instrText>
        </w:r>
        <w:r>
          <w:rPr>
            <w:noProof/>
            <w:webHidden/>
          </w:rPr>
        </w:r>
        <w:r>
          <w:rPr>
            <w:noProof/>
            <w:webHidden/>
          </w:rPr>
          <w:fldChar w:fldCharType="separate"/>
        </w:r>
        <w:r>
          <w:rPr>
            <w:noProof/>
            <w:webHidden/>
          </w:rPr>
          <w:t>4</w:t>
        </w:r>
        <w:r>
          <w:rPr>
            <w:noProof/>
            <w:webHidden/>
          </w:rPr>
          <w:fldChar w:fldCharType="end"/>
        </w:r>
      </w:hyperlink>
    </w:p>
    <w:p w14:paraId="500EEFD5" w14:textId="045D2C2D" w:rsidR="000C53D0" w:rsidRDefault="000C53D0">
      <w:pPr>
        <w:pStyle w:val="TOC1"/>
        <w:rPr>
          <w:rFonts w:eastAsiaTheme="minorEastAsia"/>
          <w:b w:val="0"/>
          <w:noProof/>
          <w:color w:val="auto"/>
          <w:lang w:eastAsia="en-AU"/>
        </w:rPr>
      </w:pPr>
      <w:hyperlink w:anchor="_Toc31619119" w:history="1">
        <w:r w:rsidRPr="00496967">
          <w:rPr>
            <w:rStyle w:val="Hyperlink"/>
            <w:noProof/>
          </w:rPr>
          <w:t>Assessment of ACCAN’s general performance</w:t>
        </w:r>
        <w:r>
          <w:rPr>
            <w:noProof/>
            <w:webHidden/>
          </w:rPr>
          <w:tab/>
        </w:r>
        <w:r>
          <w:rPr>
            <w:noProof/>
            <w:webHidden/>
          </w:rPr>
          <w:fldChar w:fldCharType="begin"/>
        </w:r>
        <w:r>
          <w:rPr>
            <w:noProof/>
            <w:webHidden/>
          </w:rPr>
          <w:instrText xml:space="preserve"> PAGEREF _Toc31619119 \h </w:instrText>
        </w:r>
        <w:r>
          <w:rPr>
            <w:noProof/>
            <w:webHidden/>
          </w:rPr>
        </w:r>
        <w:r>
          <w:rPr>
            <w:noProof/>
            <w:webHidden/>
          </w:rPr>
          <w:fldChar w:fldCharType="separate"/>
        </w:r>
        <w:r>
          <w:rPr>
            <w:noProof/>
            <w:webHidden/>
          </w:rPr>
          <w:t>4</w:t>
        </w:r>
        <w:r>
          <w:rPr>
            <w:noProof/>
            <w:webHidden/>
          </w:rPr>
          <w:fldChar w:fldCharType="end"/>
        </w:r>
      </w:hyperlink>
    </w:p>
    <w:p w14:paraId="68138B7A" w14:textId="1DF8B7D4" w:rsidR="000C53D0" w:rsidRDefault="000C53D0">
      <w:pPr>
        <w:pStyle w:val="TOC1"/>
        <w:rPr>
          <w:rFonts w:eastAsiaTheme="minorEastAsia"/>
          <w:b w:val="0"/>
          <w:noProof/>
          <w:color w:val="auto"/>
          <w:lang w:eastAsia="en-AU"/>
        </w:rPr>
      </w:pPr>
      <w:hyperlink w:anchor="_Toc31619120" w:history="1">
        <w:r w:rsidRPr="00496967">
          <w:rPr>
            <w:rStyle w:val="Hyperlink"/>
            <w:noProof/>
          </w:rPr>
          <w:t>Independent Grants Program</w:t>
        </w:r>
        <w:r>
          <w:rPr>
            <w:noProof/>
            <w:webHidden/>
          </w:rPr>
          <w:tab/>
        </w:r>
        <w:r>
          <w:rPr>
            <w:noProof/>
            <w:webHidden/>
          </w:rPr>
          <w:fldChar w:fldCharType="begin"/>
        </w:r>
        <w:r>
          <w:rPr>
            <w:noProof/>
            <w:webHidden/>
          </w:rPr>
          <w:instrText xml:space="preserve"> PAGEREF _Toc31619120 \h </w:instrText>
        </w:r>
        <w:r>
          <w:rPr>
            <w:noProof/>
            <w:webHidden/>
          </w:rPr>
        </w:r>
        <w:r>
          <w:rPr>
            <w:noProof/>
            <w:webHidden/>
          </w:rPr>
          <w:fldChar w:fldCharType="separate"/>
        </w:r>
        <w:r>
          <w:rPr>
            <w:noProof/>
            <w:webHidden/>
          </w:rPr>
          <w:t>5</w:t>
        </w:r>
        <w:r>
          <w:rPr>
            <w:noProof/>
            <w:webHidden/>
          </w:rPr>
          <w:fldChar w:fldCharType="end"/>
        </w:r>
      </w:hyperlink>
    </w:p>
    <w:p w14:paraId="50DAC400" w14:textId="657C0F9C" w:rsidR="000C53D0" w:rsidRDefault="000C53D0">
      <w:pPr>
        <w:pStyle w:val="TOC2"/>
        <w:rPr>
          <w:rFonts w:eastAsiaTheme="minorEastAsia"/>
          <w:noProof/>
          <w:lang w:eastAsia="en-AU"/>
        </w:rPr>
      </w:pPr>
      <w:hyperlink w:anchor="_Toc31619121" w:history="1">
        <w:r w:rsidRPr="00496967">
          <w:rPr>
            <w:rStyle w:val="Hyperlink"/>
            <w:noProof/>
          </w:rPr>
          <w:t>Table 1: IGP projects funded in 2018–19</w:t>
        </w:r>
        <w:r>
          <w:rPr>
            <w:noProof/>
            <w:webHidden/>
          </w:rPr>
          <w:tab/>
        </w:r>
        <w:r>
          <w:rPr>
            <w:noProof/>
            <w:webHidden/>
          </w:rPr>
          <w:fldChar w:fldCharType="begin"/>
        </w:r>
        <w:r>
          <w:rPr>
            <w:noProof/>
            <w:webHidden/>
          </w:rPr>
          <w:instrText xml:space="preserve"> PAGEREF _Toc31619121 \h </w:instrText>
        </w:r>
        <w:r>
          <w:rPr>
            <w:noProof/>
            <w:webHidden/>
          </w:rPr>
        </w:r>
        <w:r>
          <w:rPr>
            <w:noProof/>
            <w:webHidden/>
          </w:rPr>
          <w:fldChar w:fldCharType="separate"/>
        </w:r>
        <w:r>
          <w:rPr>
            <w:noProof/>
            <w:webHidden/>
          </w:rPr>
          <w:t>5</w:t>
        </w:r>
        <w:r>
          <w:rPr>
            <w:noProof/>
            <w:webHidden/>
          </w:rPr>
          <w:fldChar w:fldCharType="end"/>
        </w:r>
      </w:hyperlink>
    </w:p>
    <w:p w14:paraId="739E176D" w14:textId="5E23A565" w:rsidR="000C53D0" w:rsidRDefault="000C53D0">
      <w:pPr>
        <w:pStyle w:val="TOC1"/>
        <w:rPr>
          <w:rFonts w:eastAsiaTheme="minorEastAsia"/>
          <w:b w:val="0"/>
          <w:noProof/>
          <w:color w:val="auto"/>
          <w:lang w:eastAsia="en-AU"/>
        </w:rPr>
      </w:pPr>
      <w:hyperlink w:anchor="_Toc31619122" w:history="1">
        <w:r w:rsidRPr="00496967">
          <w:rPr>
            <w:rStyle w:val="Hyperlink"/>
            <w:noProof/>
          </w:rPr>
          <w:t>Financial accounts</w:t>
        </w:r>
        <w:r>
          <w:rPr>
            <w:noProof/>
            <w:webHidden/>
          </w:rPr>
          <w:tab/>
        </w:r>
        <w:r>
          <w:rPr>
            <w:noProof/>
            <w:webHidden/>
          </w:rPr>
          <w:fldChar w:fldCharType="begin"/>
        </w:r>
        <w:r>
          <w:rPr>
            <w:noProof/>
            <w:webHidden/>
          </w:rPr>
          <w:instrText xml:space="preserve"> PAGEREF _Toc31619122 \h </w:instrText>
        </w:r>
        <w:r>
          <w:rPr>
            <w:noProof/>
            <w:webHidden/>
          </w:rPr>
        </w:r>
        <w:r>
          <w:rPr>
            <w:noProof/>
            <w:webHidden/>
          </w:rPr>
          <w:fldChar w:fldCharType="separate"/>
        </w:r>
        <w:r>
          <w:rPr>
            <w:noProof/>
            <w:webHidden/>
          </w:rPr>
          <w:t>6</w:t>
        </w:r>
        <w:r>
          <w:rPr>
            <w:noProof/>
            <w:webHidden/>
          </w:rPr>
          <w:fldChar w:fldCharType="end"/>
        </w:r>
      </w:hyperlink>
    </w:p>
    <w:p w14:paraId="7AD35B65" w14:textId="731FED4B" w:rsidR="00BE68EF" w:rsidRDefault="003D193C" w:rsidP="005113AA">
      <w:r>
        <w:fldChar w:fldCharType="end"/>
      </w:r>
    </w:p>
    <w:p w14:paraId="19A0F296" w14:textId="77777777" w:rsidR="00BE68EF" w:rsidRDefault="00BE68EF">
      <w:pPr>
        <w:spacing w:line="259" w:lineRule="auto"/>
      </w:pPr>
      <w:r>
        <w:br w:type="page"/>
      </w:r>
    </w:p>
    <w:p w14:paraId="196634F8" w14:textId="70EE739B" w:rsidR="00F66970" w:rsidRPr="00F66970" w:rsidRDefault="00F66970" w:rsidP="0069499E">
      <w:pPr>
        <w:pStyle w:val="Heading2"/>
      </w:pPr>
      <w:bookmarkStart w:id="4" w:name="_Toc471208851"/>
      <w:bookmarkStart w:id="5" w:name="_Toc475458951"/>
      <w:bookmarkStart w:id="6" w:name="_Toc18421823"/>
      <w:bookmarkStart w:id="7" w:name="_Toc31619117"/>
      <w:r w:rsidRPr="00F66970">
        <w:lastRenderedPageBreak/>
        <w:t>Purpose of Section 593 of the Telecommunications Act 1997</w:t>
      </w:r>
      <w:bookmarkEnd w:id="7"/>
    </w:p>
    <w:p w14:paraId="010ACA91" w14:textId="67248E3D" w:rsidR="00F66970" w:rsidRPr="00F66970" w:rsidRDefault="00F66970" w:rsidP="00BE68EF">
      <w:pPr>
        <w:spacing w:after="120"/>
      </w:pPr>
      <w:r w:rsidRPr="00F66970">
        <w:t xml:space="preserve">Section 593 of the </w:t>
      </w:r>
      <w:r w:rsidRPr="00F66970">
        <w:rPr>
          <w:i/>
        </w:rPr>
        <w:t>Telecommunications Act 1997</w:t>
      </w:r>
      <w:r w:rsidRPr="00F66970">
        <w:t xml:space="preserve"> (Telco Act) </w:t>
      </w:r>
      <w:r w:rsidR="00344243">
        <w:t>allows</w:t>
      </w:r>
      <w:r w:rsidR="00344243" w:rsidRPr="00F66970">
        <w:t xml:space="preserve"> </w:t>
      </w:r>
      <w:r w:rsidRPr="00F66970">
        <w:t>for the Minister for Communications (Minister) to make grants of financial assistance to:</w:t>
      </w:r>
    </w:p>
    <w:p w14:paraId="1609C032" w14:textId="39CB0B1C" w:rsidR="00F66970" w:rsidRPr="00F66970" w:rsidRDefault="00F66970" w:rsidP="00F66970">
      <w:pPr>
        <w:pStyle w:val="Listparagraphbullets"/>
      </w:pPr>
      <w:r w:rsidRPr="00F66970">
        <w:t>consumer bodies for purposes in connection with the representation of the interests of consumers in relation to telecommunications issues</w:t>
      </w:r>
      <w:r w:rsidR="00BE68EF">
        <w:t>,</w:t>
      </w:r>
      <w:r w:rsidRPr="00F66970">
        <w:t xml:space="preserve"> and</w:t>
      </w:r>
    </w:p>
    <w:p w14:paraId="0F1EF564" w14:textId="77777777" w:rsidR="00F66970" w:rsidRDefault="00F66970" w:rsidP="00F66970">
      <w:pPr>
        <w:pStyle w:val="Listparagraphbullets"/>
      </w:pPr>
      <w:proofErr w:type="gramStart"/>
      <w:r w:rsidRPr="00F66970">
        <w:t>persons</w:t>
      </w:r>
      <w:proofErr w:type="gramEnd"/>
      <w:r w:rsidRPr="00F66970">
        <w:t xml:space="preserve"> or bodies for purposes in connection with research into social, economic, environmental or technological implications of developments relating to telecommunications.</w:t>
      </w:r>
    </w:p>
    <w:p w14:paraId="31B8B749" w14:textId="1E725279" w:rsidR="00F66970" w:rsidRDefault="00F66970" w:rsidP="0069499E">
      <w:pPr>
        <w:pStyle w:val="Heading2"/>
      </w:pPr>
      <w:bookmarkStart w:id="8" w:name="_Toc31619118"/>
      <w:r>
        <w:t xml:space="preserve">Funding provided for </w:t>
      </w:r>
      <w:r w:rsidR="00BE68EF">
        <w:t>2018–19</w:t>
      </w:r>
      <w:bookmarkEnd w:id="8"/>
    </w:p>
    <w:p w14:paraId="165C4553" w14:textId="64005DA8" w:rsidR="00F66970" w:rsidRDefault="00344243" w:rsidP="00F66970">
      <w:r>
        <w:t>T</w:t>
      </w:r>
      <w:r w:rsidR="00F66970">
        <w:t>he Australian Communications Consumer Action Network (ACCAN)</w:t>
      </w:r>
      <w:r>
        <w:t xml:space="preserve"> was the only recipient of funding under section 593 of the Telco Act in </w:t>
      </w:r>
      <w:r w:rsidR="00BE68EF">
        <w:t>2018–19</w:t>
      </w:r>
      <w:r w:rsidR="00F66970">
        <w:t xml:space="preserve">. This funding </w:t>
      </w:r>
      <w:r>
        <w:t xml:space="preserve">amounted to $2,296,000 </w:t>
      </w:r>
      <w:r>
        <w:lastRenderedPageBreak/>
        <w:t xml:space="preserve">(GST exclusive) and </w:t>
      </w:r>
      <w:r w:rsidR="00F66970">
        <w:t>was provided under contract between ACCAN and the Department of Communications and the Arts (the Funding Agree</w:t>
      </w:r>
      <w:r w:rsidR="00770EAF">
        <w:t xml:space="preserve">ment). </w:t>
      </w:r>
    </w:p>
    <w:p w14:paraId="6CDC3C28" w14:textId="77777777" w:rsidR="00F66970" w:rsidRDefault="00F66970" w:rsidP="00F66970">
      <w:r>
        <w:t>Each quarterly payment to ACCAN under the Funding Agreement is subject to quarterly assessment of the six Key Performance Indicators (KPIs) and related activities, set out in the Funding Agreement.</w:t>
      </w:r>
    </w:p>
    <w:p w14:paraId="57FCB929" w14:textId="0D4EEF96" w:rsidR="00F66970" w:rsidRDefault="00F66970" w:rsidP="00F66970">
      <w:r>
        <w:t xml:space="preserve">The funding provided to ACCAN under section 593 of the Telco Act is recovered from the annual carrier licence charge imposed on eligible carrier licences under the </w:t>
      </w:r>
      <w:r>
        <w:rPr>
          <w:i/>
        </w:rPr>
        <w:t>Telecommunications (Carrier Licence Charges) Act 1997</w:t>
      </w:r>
      <w:r w:rsidR="00BE68EF">
        <w:t>.</w:t>
      </w:r>
    </w:p>
    <w:p w14:paraId="15584E69" w14:textId="77777777" w:rsidR="00F66970" w:rsidRDefault="00F66970" w:rsidP="0069499E">
      <w:pPr>
        <w:pStyle w:val="Heading2"/>
      </w:pPr>
      <w:bookmarkStart w:id="9" w:name="_Toc31619119"/>
      <w:r>
        <w:t>Assessment of ACCAN’s general performance</w:t>
      </w:r>
      <w:bookmarkEnd w:id="9"/>
    </w:p>
    <w:p w14:paraId="7F93F460" w14:textId="4A304009" w:rsidR="00344243" w:rsidRDefault="004E705F" w:rsidP="00F66970">
      <w:r>
        <w:t xml:space="preserve">Quarterly progress reports provided to the Department in </w:t>
      </w:r>
      <w:r w:rsidR="00BE68EF">
        <w:t>2018–19</w:t>
      </w:r>
      <w:r>
        <w:t xml:space="preserve"> demonstrated that ACCAN satisfactorily met each of its KPIs and Funding Agreement milestones.</w:t>
      </w:r>
    </w:p>
    <w:p w14:paraId="5576388F" w14:textId="29E24B5D" w:rsidR="004E705F" w:rsidRDefault="004E705F" w:rsidP="00BE68EF">
      <w:pPr>
        <w:spacing w:after="120"/>
      </w:pPr>
      <w:r>
        <w:t xml:space="preserve">ACCAN has published </w:t>
      </w:r>
      <w:r w:rsidR="00344243">
        <w:t>an</w:t>
      </w:r>
      <w:r>
        <w:t xml:space="preserve"> </w:t>
      </w:r>
      <w:hyperlink r:id="rId20" w:history="1">
        <w:r w:rsidRPr="004E705F">
          <w:rPr>
            <w:rStyle w:val="Hyperlink"/>
          </w:rPr>
          <w:t xml:space="preserve">Annual </w:t>
        </w:r>
        <w:r w:rsidRPr="001503A7">
          <w:rPr>
            <w:rStyle w:val="Hyperlink"/>
          </w:rPr>
          <w:t>Report</w:t>
        </w:r>
      </w:hyperlink>
      <w:r>
        <w:t xml:space="preserve"> on its website</w:t>
      </w:r>
      <w:r w:rsidR="00344243">
        <w:t xml:space="preserve"> showing </w:t>
      </w:r>
      <w:r w:rsidR="00533C2C">
        <w:t xml:space="preserve">that in </w:t>
      </w:r>
      <w:r w:rsidR="00BE68EF">
        <w:t>2018–19</w:t>
      </w:r>
      <w:r>
        <w:t>, ACCAN:</w:t>
      </w:r>
    </w:p>
    <w:p w14:paraId="3364A688" w14:textId="5723E0EE" w:rsidR="00474586" w:rsidRPr="00830420" w:rsidRDefault="004E705F" w:rsidP="00BE68EF">
      <w:pPr>
        <w:pStyle w:val="Listparagraphbullets"/>
      </w:pPr>
      <w:r w:rsidRPr="00830420">
        <w:t xml:space="preserve">represented consumer interests </w:t>
      </w:r>
      <w:r w:rsidR="00A43771">
        <w:t>on</w:t>
      </w:r>
      <w:r w:rsidRPr="00830420">
        <w:t xml:space="preserve"> 32 government, ind</w:t>
      </w:r>
      <w:r w:rsidR="00BE68EF">
        <w:t>ustry and regulatory committees</w:t>
      </w:r>
    </w:p>
    <w:p w14:paraId="37558E6B" w14:textId="1CD36696" w:rsidR="004E705F" w:rsidRPr="00830420" w:rsidRDefault="005B1C04" w:rsidP="00BE68EF">
      <w:pPr>
        <w:pStyle w:val="Listparagraphbullets"/>
      </w:pPr>
      <w:r w:rsidRPr="00830420">
        <w:lastRenderedPageBreak/>
        <w:t xml:space="preserve">made </w:t>
      </w:r>
      <w:r w:rsidR="00A43771">
        <w:t>26</w:t>
      </w:r>
      <w:r w:rsidR="004E705F" w:rsidRPr="00830420">
        <w:t xml:space="preserve"> submissions to government, regulatory and other </w:t>
      </w:r>
      <w:r w:rsidR="00474586" w:rsidRPr="00830420">
        <w:t xml:space="preserve">inquiries, all of which are available at </w:t>
      </w:r>
      <w:hyperlink r:id="rId21" w:history="1">
        <w:r w:rsidR="00AF6852">
          <w:rPr>
            <w:rStyle w:val="Hyperlink"/>
          </w:rPr>
          <w:t>the ACCAN website</w:t>
        </w:r>
      </w:hyperlink>
    </w:p>
    <w:p w14:paraId="68455EA2" w14:textId="3FDA3A1B" w:rsidR="00474586" w:rsidRPr="00830420" w:rsidRDefault="00474586" w:rsidP="00BE68EF">
      <w:pPr>
        <w:pStyle w:val="Listparagraphbullets"/>
      </w:pPr>
      <w:r w:rsidRPr="00830420">
        <w:t>raised consumer awareness, including publishing 13 new telecommunication consumer publications, achieving 1,447 media mentions, and at</w:t>
      </w:r>
      <w:r w:rsidR="00BE68EF">
        <w:t>tracting 151,116 website visits</w:t>
      </w:r>
    </w:p>
    <w:p w14:paraId="484C5CCB" w14:textId="77777777" w:rsidR="00474586" w:rsidRPr="00830420" w:rsidRDefault="00474586" w:rsidP="00BE68EF">
      <w:pPr>
        <w:pStyle w:val="Listparagraphbullets"/>
      </w:pPr>
      <w:r w:rsidRPr="00830420">
        <w:t xml:space="preserve">hosted its annual conference, </w:t>
      </w:r>
      <w:proofErr w:type="spellStart"/>
      <w:r w:rsidRPr="00533C2C">
        <w:rPr>
          <w:i/>
        </w:rPr>
        <w:t>ACCANect</w:t>
      </w:r>
      <w:proofErr w:type="spellEnd"/>
      <w:r w:rsidRPr="00533C2C">
        <w:rPr>
          <w:i/>
        </w:rPr>
        <w:t>: Confidence in the Connected World,</w:t>
      </w:r>
      <w:r w:rsidRPr="00830420">
        <w:t xml:space="preserve"> which was attended by 196 delegates;</w:t>
      </w:r>
    </w:p>
    <w:p w14:paraId="33B850E0" w14:textId="3E33ABFE" w:rsidR="00830420" w:rsidRDefault="00533C2C" w:rsidP="00BE68EF">
      <w:pPr>
        <w:pStyle w:val="Listparagraphbullets"/>
      </w:pPr>
      <w:r>
        <w:t>commissioned research projects relating to customer service experience in the telecommunications industry, sales incentive practices, and uptake of internet service in ho</w:t>
      </w:r>
      <w:r w:rsidR="00BE68EF">
        <w:t>useholds with rental properties</w:t>
      </w:r>
    </w:p>
    <w:p w14:paraId="2885F7BF" w14:textId="3087751D" w:rsidR="00A43771" w:rsidRDefault="00533C2C" w:rsidP="001159BE">
      <w:pPr>
        <w:pStyle w:val="Listparagraphbullets"/>
        <w:spacing w:after="160"/>
      </w:pPr>
      <w:proofErr w:type="gramStart"/>
      <w:r>
        <w:t>issued</w:t>
      </w:r>
      <w:proofErr w:type="gramEnd"/>
      <w:r>
        <w:t xml:space="preserve"> 28 media releases on telecommunications consumer issues including broadband affordability, regional telecommunications access, and service reliability.</w:t>
      </w:r>
    </w:p>
    <w:p w14:paraId="38794F98" w14:textId="53691A56" w:rsidR="00344243" w:rsidRDefault="00344243" w:rsidP="00546CFB">
      <w:r>
        <w:t xml:space="preserve">ACCAN held three annual advisory forums during the period </w:t>
      </w:r>
      <w:r w:rsidR="00BE68EF">
        <w:t>2018–19</w:t>
      </w:r>
      <w:r>
        <w:t>, including the Indigenous Advisory Forum, the Members Advisory Forum and the Small Business Advisory Forum.</w:t>
      </w:r>
    </w:p>
    <w:p w14:paraId="57A4B5D8" w14:textId="3274D521" w:rsidR="00546CFB" w:rsidRDefault="00546CFB" w:rsidP="00546CFB">
      <w:r>
        <w:lastRenderedPageBreak/>
        <w:t xml:space="preserve">ACCAN reported a decrease in membership to </w:t>
      </w:r>
      <w:r w:rsidR="00E35D7D">
        <w:t>111</w:t>
      </w:r>
      <w:r>
        <w:t xml:space="preserve"> organisational and</w:t>
      </w:r>
      <w:r w:rsidR="00E35D7D">
        <w:t xml:space="preserve"> 102 i</w:t>
      </w:r>
      <w:r w:rsidR="00A5045D">
        <w:t xml:space="preserve">ndividual members in </w:t>
      </w:r>
      <w:r w:rsidR="00BE68EF">
        <w:t>2018–19</w:t>
      </w:r>
      <w:r w:rsidR="00A5045D">
        <w:t>,</w:t>
      </w:r>
      <w:r w:rsidR="00E35D7D">
        <w:t xml:space="preserve"> compar</w:t>
      </w:r>
      <w:r w:rsidR="00A135D9">
        <w:t>ed to 113 organisational and 110</w:t>
      </w:r>
      <w:r w:rsidR="00E35D7D">
        <w:t xml:space="preserve"> individual</w:t>
      </w:r>
      <w:r w:rsidR="00A135D9">
        <w:t xml:space="preserve"> members</w:t>
      </w:r>
      <w:r w:rsidR="00E35D7D">
        <w:t xml:space="preserve"> in </w:t>
      </w:r>
      <w:r w:rsidR="00BE68EF">
        <w:t>2017–18</w:t>
      </w:r>
      <w:r w:rsidR="00E35D7D">
        <w:t xml:space="preserve">. </w:t>
      </w:r>
      <w:r w:rsidR="00A135D9">
        <w:t xml:space="preserve">Organisational membership </w:t>
      </w:r>
      <w:r w:rsidR="00344243">
        <w:t>included</w:t>
      </w:r>
      <w:r w:rsidR="00A135D9">
        <w:t xml:space="preserve"> disability advocacy</w:t>
      </w:r>
      <w:r w:rsidR="00344243">
        <w:t xml:space="preserve"> groups</w:t>
      </w:r>
      <w:r w:rsidR="00A135D9">
        <w:t>, remote and rural consumer</w:t>
      </w:r>
      <w:r w:rsidR="00344243">
        <w:t xml:space="preserve"> bodies</w:t>
      </w:r>
      <w:r w:rsidR="00A135D9">
        <w:t>, indigenous organisations, culturally and linguistically diverse (CALD) groups, and others from across Australia.</w:t>
      </w:r>
    </w:p>
    <w:p w14:paraId="3B087C45" w14:textId="0A3C2B94" w:rsidR="00F66970" w:rsidRDefault="00F66970" w:rsidP="0069499E">
      <w:pPr>
        <w:pStyle w:val="Heading2"/>
      </w:pPr>
      <w:bookmarkStart w:id="10" w:name="_Toc31619120"/>
      <w:r>
        <w:t>Independent Grants Program</w:t>
      </w:r>
      <w:bookmarkEnd w:id="10"/>
    </w:p>
    <w:p w14:paraId="090D3495" w14:textId="1C67DCFD" w:rsidR="00431355" w:rsidRDefault="00431355" w:rsidP="00431355">
      <w:r>
        <w:t>ACCAN administers a competitive Independent Grants Program (IGP) in accordance with its Funding Agreement.</w:t>
      </w:r>
    </w:p>
    <w:p w14:paraId="1F9E5E5F" w14:textId="6FF9A603" w:rsidR="005B69D8" w:rsidRDefault="006C3560" w:rsidP="00431355">
      <w:r>
        <w:t xml:space="preserve">In 2017, ACCAN combined the 2017 and 2018 annual IGP rounds in order to allow projects to be delivered over </w:t>
      </w:r>
      <w:r w:rsidR="002D1669">
        <w:t xml:space="preserve">a </w:t>
      </w:r>
      <w:r w:rsidR="00A5045D">
        <w:t>two</w:t>
      </w:r>
      <w:r w:rsidR="002D1669">
        <w:t>-year</w:t>
      </w:r>
      <w:r>
        <w:t xml:space="preserve"> period. </w:t>
      </w:r>
      <w:r w:rsidR="00780B1D">
        <w:t>As a consequence of this arrangement, no new grant payments were awarded</w:t>
      </w:r>
      <w:r>
        <w:t xml:space="preserve"> in the </w:t>
      </w:r>
      <w:r w:rsidR="00BE68EF">
        <w:t>2018–19</w:t>
      </w:r>
      <w:r>
        <w:t xml:space="preserve"> financial year. </w:t>
      </w:r>
    </w:p>
    <w:p w14:paraId="5CA234D3" w14:textId="699FBD41" w:rsidR="00E355F4" w:rsidRDefault="00C23C8E" w:rsidP="00431355">
      <w:r>
        <w:lastRenderedPageBreak/>
        <w:t xml:space="preserve">The </w:t>
      </w:r>
      <w:r w:rsidR="00A75657">
        <w:t xml:space="preserve">completed </w:t>
      </w:r>
      <w:r>
        <w:t xml:space="preserve">projects relate to </w:t>
      </w:r>
      <w:r w:rsidR="004826AE">
        <w:t xml:space="preserve">data and privacy, </w:t>
      </w:r>
      <w:r>
        <w:t>digital inclusion, making communications services more accessible for consumers living with a disability, quality and reliability of internet and telecommunications services in Austral</w:t>
      </w:r>
      <w:r w:rsidR="008A480A">
        <w:t>ia, and regional connectivity.</w:t>
      </w:r>
    </w:p>
    <w:p w14:paraId="4F942D18" w14:textId="7F25F407" w:rsidR="00F66970" w:rsidRPr="00FC1B54" w:rsidRDefault="00F66970" w:rsidP="008A480A">
      <w:pPr>
        <w:pStyle w:val="Heading3"/>
        <w:rPr>
          <w:color w:val="393939" w:themeColor="background2" w:themeShade="40"/>
          <w:sz w:val="24"/>
        </w:rPr>
      </w:pPr>
      <w:bookmarkStart w:id="11" w:name="_Toc31619121"/>
      <w:r w:rsidRPr="00FC1B54">
        <w:rPr>
          <w:color w:val="393939" w:themeColor="background2" w:themeShade="40"/>
          <w:sz w:val="24"/>
        </w:rPr>
        <w:t xml:space="preserve">Table 1: IGP projects </w:t>
      </w:r>
      <w:r w:rsidR="001C6AEF" w:rsidRPr="00FC1B54">
        <w:rPr>
          <w:color w:val="393939" w:themeColor="background2" w:themeShade="40"/>
          <w:sz w:val="24"/>
        </w:rPr>
        <w:t xml:space="preserve">funded </w:t>
      </w:r>
      <w:r w:rsidRPr="00FC1B54">
        <w:rPr>
          <w:color w:val="393939" w:themeColor="background2" w:themeShade="40"/>
          <w:sz w:val="24"/>
        </w:rPr>
        <w:t xml:space="preserve">in </w:t>
      </w:r>
      <w:r w:rsidR="00BE68EF">
        <w:rPr>
          <w:color w:val="393939" w:themeColor="background2" w:themeShade="40"/>
          <w:sz w:val="24"/>
        </w:rPr>
        <w:t>2018–19</w:t>
      </w:r>
      <w:bookmarkEnd w:id="11"/>
    </w:p>
    <w:tbl>
      <w:tblPr>
        <w:tblStyle w:val="TableGrid1"/>
        <w:tblW w:w="910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0A0" w:firstRow="1" w:lastRow="0" w:firstColumn="1" w:lastColumn="0" w:noHBand="0" w:noVBand="0"/>
        <w:tblDescription w:val="Table 1: Independent Grants Program projects funded in the financial year 2018–19"/>
      </w:tblPr>
      <w:tblGrid>
        <w:gridCol w:w="3969"/>
        <w:gridCol w:w="1735"/>
        <w:gridCol w:w="1698"/>
        <w:gridCol w:w="1698"/>
      </w:tblGrid>
      <w:tr w:rsidR="007156CB" w:rsidRPr="005113AA" w14:paraId="1749F440" w14:textId="78946D5F" w:rsidTr="007156CB">
        <w:trPr>
          <w:cantSplit/>
          <w:tblHeader/>
        </w:trPr>
        <w:tc>
          <w:tcPr>
            <w:tcW w:w="3969" w:type="dxa"/>
            <w:tcBorders>
              <w:top w:val="nil"/>
              <w:left w:val="nil"/>
              <w:bottom w:val="thickThinLargeGap" w:sz="24" w:space="0" w:color="auto"/>
              <w:right w:val="nil"/>
            </w:tcBorders>
            <w:shd w:val="clear" w:color="auto" w:fill="E4E4E4"/>
            <w:vAlign w:val="center"/>
            <w:hideMark/>
          </w:tcPr>
          <w:p w14:paraId="0292DD3F" w14:textId="77777777" w:rsidR="007156CB" w:rsidRPr="005113AA" w:rsidRDefault="007156CB" w:rsidP="007156CB">
            <w:pPr>
              <w:pStyle w:val="Tablerowcolumnheading"/>
              <w:jc w:val="center"/>
            </w:pPr>
            <w:r>
              <w:t>Recipient</w:t>
            </w:r>
          </w:p>
        </w:tc>
        <w:tc>
          <w:tcPr>
            <w:tcW w:w="1735" w:type="dxa"/>
            <w:tcBorders>
              <w:top w:val="nil"/>
              <w:left w:val="nil"/>
              <w:bottom w:val="thickThinLargeGap" w:sz="24" w:space="0" w:color="auto"/>
              <w:right w:val="nil"/>
            </w:tcBorders>
            <w:shd w:val="clear" w:color="auto" w:fill="E4E4E4"/>
            <w:hideMark/>
          </w:tcPr>
          <w:p w14:paraId="573E6019" w14:textId="77777777" w:rsidR="007156CB" w:rsidRPr="005113AA" w:rsidRDefault="007156CB" w:rsidP="007156CB">
            <w:pPr>
              <w:pStyle w:val="Tablerowcolumnheadingcentred"/>
            </w:pPr>
            <w:r>
              <w:t>Grant amount (ex. GST)</w:t>
            </w:r>
          </w:p>
        </w:tc>
        <w:tc>
          <w:tcPr>
            <w:tcW w:w="1698" w:type="dxa"/>
            <w:tcBorders>
              <w:top w:val="nil"/>
              <w:left w:val="nil"/>
              <w:bottom w:val="thickThinLargeGap" w:sz="24" w:space="0" w:color="auto"/>
              <w:right w:val="nil"/>
            </w:tcBorders>
            <w:shd w:val="clear" w:color="auto" w:fill="E4E4E4"/>
          </w:tcPr>
          <w:p w14:paraId="3D57CDC1" w14:textId="5BE77389" w:rsidR="007156CB" w:rsidRDefault="007156CB" w:rsidP="007156CB">
            <w:pPr>
              <w:pStyle w:val="Tablerowcolumnheadingcentred"/>
            </w:pPr>
            <w:r>
              <w:t xml:space="preserve">Payments made in </w:t>
            </w:r>
            <w:r w:rsidR="00BE68EF">
              <w:t>2017–18</w:t>
            </w:r>
          </w:p>
        </w:tc>
        <w:tc>
          <w:tcPr>
            <w:tcW w:w="1698" w:type="dxa"/>
            <w:tcBorders>
              <w:top w:val="nil"/>
              <w:left w:val="nil"/>
              <w:bottom w:val="thickThinLargeGap" w:sz="24" w:space="0" w:color="auto"/>
              <w:right w:val="nil"/>
            </w:tcBorders>
            <w:shd w:val="clear" w:color="auto" w:fill="E4E4E4"/>
          </w:tcPr>
          <w:p w14:paraId="7134BB90" w14:textId="13FBF392" w:rsidR="007156CB" w:rsidRDefault="007156CB" w:rsidP="007156CB">
            <w:pPr>
              <w:pStyle w:val="Tablerowcolumnheadingcentred"/>
            </w:pPr>
            <w:r>
              <w:t xml:space="preserve">Payments made in </w:t>
            </w:r>
            <w:r w:rsidR="00BE68EF">
              <w:t>2018–19</w:t>
            </w:r>
          </w:p>
        </w:tc>
      </w:tr>
      <w:tr w:rsidR="007156CB" w:rsidRPr="005113AA" w14:paraId="30A1B146" w14:textId="6A87BD0F" w:rsidTr="007156CB">
        <w:trPr>
          <w:cantSplit/>
        </w:trPr>
        <w:tc>
          <w:tcPr>
            <w:tcW w:w="3969" w:type="dxa"/>
            <w:tcBorders>
              <w:top w:val="thickThinLargeGap" w:sz="24" w:space="0" w:color="auto"/>
              <w:left w:val="nil"/>
              <w:bottom w:val="single" w:sz="4" w:space="0" w:color="auto"/>
              <w:right w:val="nil"/>
            </w:tcBorders>
            <w:hideMark/>
          </w:tcPr>
          <w:p w14:paraId="0B2C0AD4" w14:textId="29FD3538" w:rsidR="007156CB" w:rsidRPr="005113AA" w:rsidRDefault="007156CB" w:rsidP="007156CB">
            <w:pPr>
              <w:pStyle w:val="Tabletext"/>
            </w:pPr>
            <w:r w:rsidRPr="00905009">
              <w:t>Hutt St Centre</w:t>
            </w:r>
            <w:r w:rsidR="001159BE">
              <w:t>—</w:t>
            </w:r>
            <w:r>
              <w:rPr>
                <w:i/>
              </w:rPr>
              <w:t>‘Assisting people living with complexity to use smart phones to connect with their community’</w:t>
            </w:r>
          </w:p>
        </w:tc>
        <w:tc>
          <w:tcPr>
            <w:tcW w:w="1735" w:type="dxa"/>
            <w:tcBorders>
              <w:top w:val="thickThinLargeGap" w:sz="24" w:space="0" w:color="auto"/>
              <w:left w:val="nil"/>
              <w:bottom w:val="single" w:sz="4" w:space="0" w:color="auto"/>
              <w:right w:val="nil"/>
            </w:tcBorders>
            <w:hideMark/>
          </w:tcPr>
          <w:p w14:paraId="33A816BF" w14:textId="537D4202" w:rsidR="007156CB" w:rsidRPr="005113AA" w:rsidRDefault="007156CB" w:rsidP="007156CB">
            <w:pPr>
              <w:pStyle w:val="Tabletextcentred"/>
            </w:pPr>
            <w:r>
              <w:t>$5,000</w:t>
            </w:r>
          </w:p>
        </w:tc>
        <w:tc>
          <w:tcPr>
            <w:tcW w:w="1698" w:type="dxa"/>
            <w:tcBorders>
              <w:top w:val="thickThinLargeGap" w:sz="24" w:space="0" w:color="auto"/>
              <w:left w:val="nil"/>
              <w:bottom w:val="single" w:sz="4" w:space="0" w:color="auto"/>
              <w:right w:val="nil"/>
            </w:tcBorders>
          </w:tcPr>
          <w:p w14:paraId="1346B62F" w14:textId="2AE1B382" w:rsidR="007156CB" w:rsidRDefault="007156CB" w:rsidP="007156CB">
            <w:pPr>
              <w:pStyle w:val="Tabletextcentred"/>
            </w:pPr>
            <w:r>
              <w:t>$2,500</w:t>
            </w:r>
          </w:p>
        </w:tc>
        <w:tc>
          <w:tcPr>
            <w:tcW w:w="1698" w:type="dxa"/>
            <w:tcBorders>
              <w:top w:val="thickThinLargeGap" w:sz="24" w:space="0" w:color="auto"/>
              <w:left w:val="nil"/>
              <w:bottom w:val="single" w:sz="4" w:space="0" w:color="auto"/>
              <w:right w:val="nil"/>
            </w:tcBorders>
          </w:tcPr>
          <w:p w14:paraId="746CD89D" w14:textId="40BFD982" w:rsidR="007156CB" w:rsidRDefault="007156CB" w:rsidP="007156CB">
            <w:pPr>
              <w:pStyle w:val="Tabletextcentred"/>
            </w:pPr>
            <w:r>
              <w:t>$2,500</w:t>
            </w:r>
          </w:p>
        </w:tc>
      </w:tr>
      <w:tr w:rsidR="007156CB" w:rsidRPr="005113AA" w14:paraId="6E2C76D4" w14:textId="05EA3379" w:rsidTr="007156CB">
        <w:trPr>
          <w:cantSplit/>
        </w:trPr>
        <w:tc>
          <w:tcPr>
            <w:tcW w:w="3969" w:type="dxa"/>
            <w:tcBorders>
              <w:top w:val="single" w:sz="4" w:space="0" w:color="auto"/>
              <w:left w:val="nil"/>
              <w:bottom w:val="single" w:sz="4" w:space="0" w:color="auto"/>
              <w:right w:val="nil"/>
            </w:tcBorders>
            <w:hideMark/>
          </w:tcPr>
          <w:p w14:paraId="461A85EC" w14:textId="2AA93FED" w:rsidR="007156CB" w:rsidRPr="005113AA" w:rsidRDefault="007156CB" w:rsidP="007156CB">
            <w:pPr>
              <w:pStyle w:val="Tabletext"/>
              <w:rPr>
                <w:rFonts w:ascii="Calibri" w:hAnsi="Calibri"/>
              </w:rPr>
            </w:pPr>
            <w:r>
              <w:rPr>
                <w:rFonts w:ascii="Calibri" w:hAnsi="Calibri"/>
              </w:rPr>
              <w:t>B4BA</w:t>
            </w:r>
            <w:r w:rsidR="001159BE">
              <w:rPr>
                <w:rFonts w:ascii="Calibri" w:hAnsi="Calibri"/>
              </w:rPr>
              <w:t>—</w:t>
            </w:r>
            <w:r>
              <w:rPr>
                <w:rFonts w:ascii="Calibri" w:hAnsi="Calibri"/>
              </w:rPr>
              <w:t>‘</w:t>
            </w:r>
            <w:r>
              <w:rPr>
                <w:rFonts w:ascii="Calibri" w:hAnsi="Calibri"/>
                <w:i/>
              </w:rPr>
              <w:t>Analysis of B4BA Survey, case studies and case study analysis into assessing the availability, quality, reliability, and affordability of internet and telecommunications services in Australia</w:t>
            </w:r>
            <w:r w:rsidR="001159BE">
              <w:rPr>
                <w:rFonts w:ascii="Calibri" w:hAnsi="Calibri"/>
                <w:i/>
              </w:rPr>
              <w:t>—</w:t>
            </w:r>
            <w:r>
              <w:rPr>
                <w:rFonts w:ascii="Calibri" w:hAnsi="Calibri"/>
                <w:i/>
              </w:rPr>
              <w:t>an evidence-based approach</w:t>
            </w:r>
            <w:r>
              <w:rPr>
                <w:rFonts w:ascii="Calibri" w:hAnsi="Calibri"/>
              </w:rPr>
              <w:t>’</w:t>
            </w:r>
          </w:p>
        </w:tc>
        <w:tc>
          <w:tcPr>
            <w:tcW w:w="1735" w:type="dxa"/>
            <w:tcBorders>
              <w:top w:val="single" w:sz="4" w:space="0" w:color="auto"/>
              <w:left w:val="nil"/>
              <w:bottom w:val="single" w:sz="4" w:space="0" w:color="auto"/>
              <w:right w:val="nil"/>
            </w:tcBorders>
            <w:hideMark/>
          </w:tcPr>
          <w:p w14:paraId="0290911F" w14:textId="5C99A727" w:rsidR="007156CB" w:rsidRPr="005113AA" w:rsidRDefault="007156CB" w:rsidP="007156CB">
            <w:pPr>
              <w:pStyle w:val="Tabletextcentred"/>
            </w:pPr>
            <w:r>
              <w:t>$51,005</w:t>
            </w:r>
          </w:p>
        </w:tc>
        <w:tc>
          <w:tcPr>
            <w:tcW w:w="1698" w:type="dxa"/>
            <w:tcBorders>
              <w:top w:val="single" w:sz="4" w:space="0" w:color="auto"/>
              <w:left w:val="nil"/>
              <w:bottom w:val="single" w:sz="4" w:space="0" w:color="auto"/>
              <w:right w:val="nil"/>
            </w:tcBorders>
          </w:tcPr>
          <w:p w14:paraId="3F86CF8E" w14:textId="50D0B26B" w:rsidR="007156CB" w:rsidRDefault="007156CB" w:rsidP="007156CB">
            <w:pPr>
              <w:pStyle w:val="Tabletextcentred"/>
            </w:pPr>
            <w:r w:rsidRPr="007872FB">
              <w:t>$15,302</w:t>
            </w:r>
          </w:p>
        </w:tc>
        <w:tc>
          <w:tcPr>
            <w:tcW w:w="1698" w:type="dxa"/>
            <w:tcBorders>
              <w:top w:val="single" w:sz="4" w:space="0" w:color="auto"/>
              <w:left w:val="nil"/>
              <w:bottom w:val="single" w:sz="4" w:space="0" w:color="auto"/>
              <w:right w:val="nil"/>
            </w:tcBorders>
          </w:tcPr>
          <w:p w14:paraId="04C56714" w14:textId="1B081EFB" w:rsidR="007156CB" w:rsidRPr="007872FB" w:rsidRDefault="007156CB" w:rsidP="007156CB">
            <w:pPr>
              <w:pStyle w:val="Tabletextcentred"/>
            </w:pPr>
            <w:r>
              <w:t>$35,704</w:t>
            </w:r>
          </w:p>
        </w:tc>
      </w:tr>
      <w:tr w:rsidR="007156CB" w:rsidRPr="005113AA" w14:paraId="40D0D561" w14:textId="56103E8F" w:rsidTr="007156CB">
        <w:trPr>
          <w:cantSplit/>
        </w:trPr>
        <w:tc>
          <w:tcPr>
            <w:tcW w:w="3969" w:type="dxa"/>
            <w:tcBorders>
              <w:top w:val="single" w:sz="4" w:space="0" w:color="auto"/>
              <w:left w:val="nil"/>
              <w:bottom w:val="single" w:sz="4" w:space="0" w:color="auto"/>
              <w:right w:val="nil"/>
            </w:tcBorders>
          </w:tcPr>
          <w:p w14:paraId="630CF275" w14:textId="18B1BA02" w:rsidR="007156CB" w:rsidRPr="00D20283" w:rsidRDefault="007156CB" w:rsidP="007156CB">
            <w:pPr>
              <w:pStyle w:val="Tabletext"/>
              <w:rPr>
                <w:rFonts w:ascii="Calibri" w:hAnsi="Calibri"/>
              </w:rPr>
            </w:pPr>
            <w:r>
              <w:rPr>
                <w:rFonts w:ascii="Calibri" w:hAnsi="Calibri"/>
              </w:rPr>
              <w:t>Queensland University of Technology, School of Justice</w:t>
            </w:r>
            <w:r w:rsidR="001159BE">
              <w:rPr>
                <w:rFonts w:ascii="Calibri" w:hAnsi="Calibri"/>
              </w:rPr>
              <w:t>—</w:t>
            </w:r>
            <w:r>
              <w:rPr>
                <w:rFonts w:ascii="Calibri" w:hAnsi="Calibri"/>
                <w:i/>
              </w:rPr>
              <w:t>‘Domestic violence and communication technology’</w:t>
            </w:r>
          </w:p>
        </w:tc>
        <w:tc>
          <w:tcPr>
            <w:tcW w:w="1735" w:type="dxa"/>
            <w:tcBorders>
              <w:top w:val="single" w:sz="4" w:space="0" w:color="auto"/>
              <w:left w:val="nil"/>
              <w:bottom w:val="single" w:sz="4" w:space="0" w:color="auto"/>
              <w:right w:val="nil"/>
            </w:tcBorders>
          </w:tcPr>
          <w:p w14:paraId="02BE4F7E" w14:textId="6223491B" w:rsidR="007156CB" w:rsidRDefault="007156CB" w:rsidP="007156CB">
            <w:pPr>
              <w:pStyle w:val="Tabletextcentred"/>
            </w:pPr>
            <w:r>
              <w:t>$53,246</w:t>
            </w:r>
          </w:p>
        </w:tc>
        <w:tc>
          <w:tcPr>
            <w:tcW w:w="1698" w:type="dxa"/>
            <w:tcBorders>
              <w:top w:val="single" w:sz="4" w:space="0" w:color="auto"/>
              <w:left w:val="nil"/>
              <w:bottom w:val="single" w:sz="4" w:space="0" w:color="auto"/>
              <w:right w:val="nil"/>
            </w:tcBorders>
          </w:tcPr>
          <w:p w14:paraId="423A3B26" w14:textId="67AB1148" w:rsidR="007156CB" w:rsidRDefault="007156CB" w:rsidP="007156CB">
            <w:pPr>
              <w:pStyle w:val="Tabletextcentred"/>
            </w:pPr>
            <w:r w:rsidRPr="007872FB">
              <w:t>$10,649</w:t>
            </w:r>
          </w:p>
        </w:tc>
        <w:tc>
          <w:tcPr>
            <w:tcW w:w="1698" w:type="dxa"/>
            <w:tcBorders>
              <w:top w:val="single" w:sz="4" w:space="0" w:color="auto"/>
              <w:left w:val="nil"/>
              <w:bottom w:val="single" w:sz="4" w:space="0" w:color="auto"/>
              <w:right w:val="nil"/>
            </w:tcBorders>
          </w:tcPr>
          <w:p w14:paraId="483CE4B7" w14:textId="219932FD" w:rsidR="007156CB" w:rsidRPr="007872FB" w:rsidRDefault="007156CB" w:rsidP="007156CB">
            <w:pPr>
              <w:pStyle w:val="Tabletextcentred"/>
            </w:pPr>
            <w:r>
              <w:t>$42,597</w:t>
            </w:r>
          </w:p>
        </w:tc>
      </w:tr>
      <w:tr w:rsidR="007156CB" w:rsidRPr="005113AA" w14:paraId="17E417A6" w14:textId="46D8EE98" w:rsidTr="007156CB">
        <w:trPr>
          <w:cantSplit/>
        </w:trPr>
        <w:tc>
          <w:tcPr>
            <w:tcW w:w="3969" w:type="dxa"/>
            <w:tcBorders>
              <w:top w:val="single" w:sz="4" w:space="0" w:color="auto"/>
              <w:left w:val="nil"/>
              <w:bottom w:val="single" w:sz="4" w:space="0" w:color="auto"/>
              <w:right w:val="nil"/>
            </w:tcBorders>
          </w:tcPr>
          <w:p w14:paraId="4965DA99" w14:textId="3B90F33D" w:rsidR="007156CB" w:rsidRDefault="007156CB" w:rsidP="007156CB">
            <w:pPr>
              <w:pStyle w:val="Tabletext"/>
              <w:rPr>
                <w:rFonts w:ascii="Calibri" w:hAnsi="Calibri"/>
              </w:rPr>
            </w:pPr>
            <w:r>
              <w:rPr>
                <w:rFonts w:ascii="Calibri" w:hAnsi="Calibri"/>
              </w:rPr>
              <w:lastRenderedPageBreak/>
              <w:t>University of Technology Sydney, Faculty of Law</w:t>
            </w:r>
            <w:r w:rsidR="001159BE">
              <w:rPr>
                <w:rFonts w:ascii="Calibri" w:hAnsi="Calibri"/>
              </w:rPr>
              <w:t>—</w:t>
            </w:r>
            <w:r w:rsidRPr="00D20283">
              <w:rPr>
                <w:rFonts w:ascii="Calibri" w:hAnsi="Calibri"/>
                <w:i/>
              </w:rPr>
              <w:t>‘Designing Responsive Regulation: Consumer and public participation in converged communications industry rule-making’</w:t>
            </w:r>
          </w:p>
        </w:tc>
        <w:tc>
          <w:tcPr>
            <w:tcW w:w="1735" w:type="dxa"/>
            <w:tcBorders>
              <w:top w:val="single" w:sz="4" w:space="0" w:color="auto"/>
              <w:left w:val="nil"/>
              <w:bottom w:val="single" w:sz="4" w:space="0" w:color="auto"/>
              <w:right w:val="nil"/>
            </w:tcBorders>
          </w:tcPr>
          <w:p w14:paraId="63800675" w14:textId="18C91C9B" w:rsidR="007156CB" w:rsidRDefault="007156CB" w:rsidP="007156CB">
            <w:pPr>
              <w:pStyle w:val="Tabletextcentred"/>
            </w:pPr>
            <w:r>
              <w:t>$50,603</w:t>
            </w:r>
          </w:p>
        </w:tc>
        <w:tc>
          <w:tcPr>
            <w:tcW w:w="1698" w:type="dxa"/>
            <w:tcBorders>
              <w:top w:val="single" w:sz="4" w:space="0" w:color="auto"/>
              <w:left w:val="nil"/>
              <w:bottom w:val="single" w:sz="4" w:space="0" w:color="auto"/>
              <w:right w:val="nil"/>
            </w:tcBorders>
          </w:tcPr>
          <w:p w14:paraId="7E6B77CE" w14:textId="73E9A64C" w:rsidR="007156CB" w:rsidRDefault="007156CB" w:rsidP="007156CB">
            <w:pPr>
              <w:pStyle w:val="Tabletextcentred"/>
            </w:pPr>
            <w:r w:rsidRPr="007872FB">
              <w:t>$10,121</w:t>
            </w:r>
          </w:p>
        </w:tc>
        <w:tc>
          <w:tcPr>
            <w:tcW w:w="1698" w:type="dxa"/>
            <w:tcBorders>
              <w:top w:val="single" w:sz="4" w:space="0" w:color="auto"/>
              <w:left w:val="nil"/>
              <w:bottom w:val="single" w:sz="4" w:space="0" w:color="auto"/>
              <w:right w:val="nil"/>
            </w:tcBorders>
          </w:tcPr>
          <w:p w14:paraId="0B460587" w14:textId="486EB3E9" w:rsidR="007156CB" w:rsidRPr="007872FB" w:rsidRDefault="007156CB" w:rsidP="007156CB">
            <w:pPr>
              <w:pStyle w:val="Tabletextcentred"/>
            </w:pPr>
            <w:r>
              <w:t>$30,362</w:t>
            </w:r>
            <w:r>
              <w:rPr>
                <w:rStyle w:val="FootnoteReference"/>
              </w:rPr>
              <w:footnoteReference w:id="2"/>
            </w:r>
          </w:p>
        </w:tc>
      </w:tr>
      <w:tr w:rsidR="007156CB" w:rsidRPr="005113AA" w14:paraId="768B78C7" w14:textId="022B1773" w:rsidTr="007156CB">
        <w:trPr>
          <w:cantSplit/>
        </w:trPr>
        <w:tc>
          <w:tcPr>
            <w:tcW w:w="3969" w:type="dxa"/>
            <w:tcBorders>
              <w:top w:val="single" w:sz="4" w:space="0" w:color="auto"/>
              <w:left w:val="nil"/>
              <w:bottom w:val="single" w:sz="4" w:space="0" w:color="auto"/>
              <w:right w:val="nil"/>
            </w:tcBorders>
          </w:tcPr>
          <w:p w14:paraId="6ACB8493" w14:textId="5384FD6A" w:rsidR="007156CB" w:rsidRPr="00187387" w:rsidRDefault="007156CB" w:rsidP="007156CB">
            <w:pPr>
              <w:pStyle w:val="Tabletext"/>
              <w:rPr>
                <w:rFonts w:ascii="Calibri" w:hAnsi="Calibri"/>
              </w:rPr>
            </w:pPr>
            <w:r>
              <w:rPr>
                <w:rFonts w:ascii="Calibri" w:hAnsi="Calibri"/>
              </w:rPr>
              <w:t>James Cook University, Cairns Institute</w:t>
            </w:r>
            <w:r w:rsidR="001159BE">
              <w:rPr>
                <w:rFonts w:ascii="Calibri" w:hAnsi="Calibri"/>
              </w:rPr>
              <w:t>—</w:t>
            </w:r>
            <w:r>
              <w:rPr>
                <w:rFonts w:ascii="Calibri" w:hAnsi="Calibri"/>
              </w:rPr>
              <w:t>‘</w:t>
            </w:r>
            <w:r>
              <w:rPr>
                <w:rFonts w:ascii="Calibri" w:hAnsi="Calibri"/>
                <w:i/>
              </w:rPr>
              <w:t>Connectivity and digital inclusion in Far North Queensland agricultural communities</w:t>
            </w:r>
            <w:r>
              <w:rPr>
                <w:rFonts w:ascii="Calibri" w:hAnsi="Calibri"/>
              </w:rPr>
              <w:t>’</w:t>
            </w:r>
          </w:p>
        </w:tc>
        <w:tc>
          <w:tcPr>
            <w:tcW w:w="1735" w:type="dxa"/>
            <w:tcBorders>
              <w:top w:val="single" w:sz="4" w:space="0" w:color="auto"/>
              <w:left w:val="nil"/>
              <w:bottom w:val="single" w:sz="4" w:space="0" w:color="auto"/>
              <w:right w:val="nil"/>
            </w:tcBorders>
          </w:tcPr>
          <w:p w14:paraId="1CA9EDAC" w14:textId="18035AA7" w:rsidR="007156CB" w:rsidRDefault="007156CB" w:rsidP="007156CB">
            <w:pPr>
              <w:pStyle w:val="Tabletextcentred"/>
            </w:pPr>
            <w:r>
              <w:t>$36,000</w:t>
            </w:r>
          </w:p>
        </w:tc>
        <w:tc>
          <w:tcPr>
            <w:tcW w:w="1698" w:type="dxa"/>
            <w:tcBorders>
              <w:top w:val="single" w:sz="4" w:space="0" w:color="auto"/>
              <w:left w:val="nil"/>
              <w:bottom w:val="single" w:sz="4" w:space="0" w:color="auto"/>
              <w:right w:val="nil"/>
            </w:tcBorders>
          </w:tcPr>
          <w:p w14:paraId="50BBE14A" w14:textId="49C16B7B" w:rsidR="007156CB" w:rsidRDefault="007156CB" w:rsidP="007156CB">
            <w:pPr>
              <w:pStyle w:val="Tabletextcentred"/>
            </w:pPr>
            <w:r w:rsidRPr="007872FB">
              <w:t>$7,200</w:t>
            </w:r>
          </w:p>
        </w:tc>
        <w:tc>
          <w:tcPr>
            <w:tcW w:w="1698" w:type="dxa"/>
            <w:tcBorders>
              <w:top w:val="single" w:sz="4" w:space="0" w:color="auto"/>
              <w:left w:val="nil"/>
              <w:bottom w:val="single" w:sz="4" w:space="0" w:color="auto"/>
              <w:right w:val="nil"/>
            </w:tcBorders>
          </w:tcPr>
          <w:p w14:paraId="4A2F4E99" w14:textId="387247EB" w:rsidR="007156CB" w:rsidRPr="007872FB" w:rsidRDefault="007156CB" w:rsidP="007156CB">
            <w:pPr>
              <w:pStyle w:val="Tabletextcentred"/>
            </w:pPr>
            <w:r>
              <w:t>$28,800</w:t>
            </w:r>
          </w:p>
        </w:tc>
      </w:tr>
      <w:tr w:rsidR="007156CB" w:rsidRPr="005113AA" w14:paraId="12ABD601" w14:textId="3D6C1AED" w:rsidTr="007156CB">
        <w:trPr>
          <w:cantSplit/>
        </w:trPr>
        <w:tc>
          <w:tcPr>
            <w:tcW w:w="3969" w:type="dxa"/>
            <w:tcBorders>
              <w:top w:val="single" w:sz="4" w:space="0" w:color="auto"/>
              <w:left w:val="nil"/>
              <w:bottom w:val="single" w:sz="4" w:space="0" w:color="auto"/>
              <w:right w:val="nil"/>
            </w:tcBorders>
          </w:tcPr>
          <w:p w14:paraId="65A4E46E" w14:textId="3F58257A" w:rsidR="007156CB" w:rsidRPr="00D20283" w:rsidRDefault="007156CB" w:rsidP="007156CB">
            <w:pPr>
              <w:pStyle w:val="Tabletext"/>
              <w:rPr>
                <w:rFonts w:ascii="Calibri" w:hAnsi="Calibri"/>
              </w:rPr>
            </w:pPr>
            <w:r>
              <w:rPr>
                <w:rFonts w:ascii="Calibri" w:hAnsi="Calibri"/>
              </w:rPr>
              <w:t>University of Technology Sydney, School of Communication</w:t>
            </w:r>
            <w:r w:rsidR="001159BE">
              <w:rPr>
                <w:rFonts w:ascii="Calibri" w:hAnsi="Calibri"/>
              </w:rPr>
              <w:t>—</w:t>
            </w:r>
            <w:r>
              <w:rPr>
                <w:rFonts w:ascii="Calibri" w:hAnsi="Calibri"/>
                <w:i/>
              </w:rPr>
              <w:t>‘Consumer rights to personal data’</w:t>
            </w:r>
          </w:p>
        </w:tc>
        <w:tc>
          <w:tcPr>
            <w:tcW w:w="1735" w:type="dxa"/>
            <w:tcBorders>
              <w:top w:val="single" w:sz="4" w:space="0" w:color="auto"/>
              <w:left w:val="nil"/>
              <w:bottom w:val="single" w:sz="4" w:space="0" w:color="auto"/>
              <w:right w:val="nil"/>
            </w:tcBorders>
          </w:tcPr>
          <w:p w14:paraId="01DC43BB" w14:textId="57B95597" w:rsidR="007156CB" w:rsidRDefault="007156CB" w:rsidP="007156CB">
            <w:pPr>
              <w:pStyle w:val="Tabletextcentred"/>
            </w:pPr>
            <w:r>
              <w:t>$55,302</w:t>
            </w:r>
          </w:p>
        </w:tc>
        <w:tc>
          <w:tcPr>
            <w:tcW w:w="1698" w:type="dxa"/>
            <w:tcBorders>
              <w:top w:val="single" w:sz="4" w:space="0" w:color="auto"/>
              <w:left w:val="nil"/>
              <w:bottom w:val="single" w:sz="4" w:space="0" w:color="auto"/>
              <w:right w:val="nil"/>
            </w:tcBorders>
          </w:tcPr>
          <w:p w14:paraId="20C6D5AC" w14:textId="4867C883" w:rsidR="007156CB" w:rsidRDefault="007156CB" w:rsidP="007156CB">
            <w:pPr>
              <w:pStyle w:val="Tabletextcentred"/>
            </w:pPr>
            <w:r w:rsidRPr="007872FB">
              <w:t>$11,060</w:t>
            </w:r>
          </w:p>
        </w:tc>
        <w:tc>
          <w:tcPr>
            <w:tcW w:w="1698" w:type="dxa"/>
            <w:tcBorders>
              <w:top w:val="single" w:sz="4" w:space="0" w:color="auto"/>
              <w:left w:val="nil"/>
              <w:bottom w:val="single" w:sz="4" w:space="0" w:color="auto"/>
              <w:right w:val="nil"/>
            </w:tcBorders>
          </w:tcPr>
          <w:p w14:paraId="7751DC99" w14:textId="133DD518" w:rsidR="007156CB" w:rsidRPr="007872FB" w:rsidRDefault="007156CB" w:rsidP="007156CB">
            <w:pPr>
              <w:pStyle w:val="Tabletextcentred"/>
            </w:pPr>
            <w:r>
              <w:t>$44,242</w:t>
            </w:r>
          </w:p>
        </w:tc>
      </w:tr>
      <w:tr w:rsidR="007156CB" w:rsidRPr="005113AA" w14:paraId="09E58986" w14:textId="656D9D6D" w:rsidTr="007156CB">
        <w:trPr>
          <w:cantSplit/>
        </w:trPr>
        <w:tc>
          <w:tcPr>
            <w:tcW w:w="3969" w:type="dxa"/>
            <w:tcBorders>
              <w:top w:val="single" w:sz="4" w:space="0" w:color="auto"/>
              <w:left w:val="nil"/>
              <w:bottom w:val="single" w:sz="4" w:space="0" w:color="auto"/>
              <w:right w:val="nil"/>
            </w:tcBorders>
          </w:tcPr>
          <w:p w14:paraId="22E122F2" w14:textId="7D9E4CF4" w:rsidR="007156CB" w:rsidRPr="00187387" w:rsidRDefault="007156CB" w:rsidP="007156CB">
            <w:pPr>
              <w:pStyle w:val="Tabletext"/>
              <w:rPr>
                <w:rFonts w:ascii="Calibri" w:hAnsi="Calibri"/>
              </w:rPr>
            </w:pPr>
            <w:r>
              <w:rPr>
                <w:rFonts w:ascii="Calibri" w:hAnsi="Calibri"/>
              </w:rPr>
              <w:t>University of Melbourne, Melbourne Social Equity Institute</w:t>
            </w:r>
            <w:r w:rsidR="001159BE">
              <w:rPr>
                <w:rFonts w:ascii="Calibri" w:hAnsi="Calibri"/>
              </w:rPr>
              <w:t>—</w:t>
            </w:r>
            <w:r>
              <w:rPr>
                <w:rFonts w:ascii="Calibri" w:hAnsi="Calibri"/>
              </w:rPr>
              <w:t>‘</w:t>
            </w:r>
            <w:r>
              <w:rPr>
                <w:rFonts w:ascii="Calibri" w:hAnsi="Calibri"/>
                <w:i/>
              </w:rPr>
              <w:t>Thanks a bundle: Making telecommunications services more accessible for people with decision-making impairments</w:t>
            </w:r>
            <w:r>
              <w:rPr>
                <w:rFonts w:ascii="Calibri" w:hAnsi="Calibri"/>
              </w:rPr>
              <w:t>’</w:t>
            </w:r>
          </w:p>
        </w:tc>
        <w:tc>
          <w:tcPr>
            <w:tcW w:w="1735" w:type="dxa"/>
            <w:tcBorders>
              <w:top w:val="single" w:sz="4" w:space="0" w:color="auto"/>
              <w:left w:val="nil"/>
              <w:bottom w:val="single" w:sz="4" w:space="0" w:color="auto"/>
              <w:right w:val="nil"/>
            </w:tcBorders>
          </w:tcPr>
          <w:p w14:paraId="32065B95" w14:textId="64725C21" w:rsidR="007156CB" w:rsidRDefault="007156CB" w:rsidP="007156CB">
            <w:pPr>
              <w:pStyle w:val="Tabletextcentred"/>
            </w:pPr>
            <w:r>
              <w:t>$69,428</w:t>
            </w:r>
          </w:p>
        </w:tc>
        <w:tc>
          <w:tcPr>
            <w:tcW w:w="1698" w:type="dxa"/>
            <w:tcBorders>
              <w:top w:val="single" w:sz="4" w:space="0" w:color="auto"/>
              <w:left w:val="nil"/>
              <w:bottom w:val="single" w:sz="4" w:space="0" w:color="auto"/>
              <w:right w:val="nil"/>
            </w:tcBorders>
          </w:tcPr>
          <w:p w14:paraId="595BF0E0" w14:textId="459991E3" w:rsidR="007156CB" w:rsidRDefault="007156CB" w:rsidP="007156CB">
            <w:pPr>
              <w:pStyle w:val="Tabletextcentred"/>
            </w:pPr>
            <w:r w:rsidRPr="007872FB">
              <w:t>$34,714</w:t>
            </w:r>
          </w:p>
        </w:tc>
        <w:tc>
          <w:tcPr>
            <w:tcW w:w="1698" w:type="dxa"/>
            <w:tcBorders>
              <w:top w:val="single" w:sz="4" w:space="0" w:color="auto"/>
              <w:left w:val="nil"/>
              <w:bottom w:val="single" w:sz="4" w:space="0" w:color="auto"/>
              <w:right w:val="nil"/>
            </w:tcBorders>
          </w:tcPr>
          <w:p w14:paraId="393D38E3" w14:textId="4624C193" w:rsidR="007156CB" w:rsidRPr="007872FB" w:rsidRDefault="007156CB" w:rsidP="007156CB">
            <w:pPr>
              <w:pStyle w:val="Tabletextcentred"/>
            </w:pPr>
            <w:r>
              <w:t>$34,714</w:t>
            </w:r>
          </w:p>
        </w:tc>
      </w:tr>
      <w:tr w:rsidR="007156CB" w:rsidRPr="005113AA" w14:paraId="2C77EB83" w14:textId="2090B715" w:rsidTr="007156CB">
        <w:trPr>
          <w:cantSplit/>
        </w:trPr>
        <w:tc>
          <w:tcPr>
            <w:tcW w:w="3969" w:type="dxa"/>
            <w:tcBorders>
              <w:top w:val="single" w:sz="4" w:space="0" w:color="auto"/>
              <w:left w:val="nil"/>
              <w:bottom w:val="single" w:sz="4" w:space="0" w:color="auto"/>
              <w:right w:val="nil"/>
            </w:tcBorders>
          </w:tcPr>
          <w:p w14:paraId="47D0C023" w14:textId="09A3DB6D" w:rsidR="007156CB" w:rsidRPr="00D20283" w:rsidRDefault="007156CB" w:rsidP="007156CB">
            <w:pPr>
              <w:pStyle w:val="Tabletext"/>
              <w:rPr>
                <w:rFonts w:ascii="Calibri" w:hAnsi="Calibri"/>
              </w:rPr>
            </w:pPr>
            <w:r>
              <w:rPr>
                <w:rFonts w:ascii="Calibri" w:hAnsi="Calibri"/>
              </w:rPr>
              <w:t>Deakin University, Alfred Deakin Institute for Citizenship and Globalisation</w:t>
            </w:r>
            <w:r w:rsidR="001159BE">
              <w:rPr>
                <w:rFonts w:ascii="Calibri" w:hAnsi="Calibri"/>
              </w:rPr>
              <w:t>—</w:t>
            </w:r>
            <w:r>
              <w:rPr>
                <w:rFonts w:ascii="Calibri" w:hAnsi="Calibri"/>
                <w:i/>
              </w:rPr>
              <w:t xml:space="preserve">‘Risks, </w:t>
            </w:r>
            <w:r>
              <w:rPr>
                <w:rFonts w:ascii="Calibri" w:hAnsi="Calibri"/>
                <w:i/>
              </w:rPr>
              <w:lastRenderedPageBreak/>
              <w:t>Impacts and Accountability in the Consumer Spyware Industry’</w:t>
            </w:r>
          </w:p>
        </w:tc>
        <w:tc>
          <w:tcPr>
            <w:tcW w:w="1735" w:type="dxa"/>
            <w:tcBorders>
              <w:top w:val="single" w:sz="4" w:space="0" w:color="auto"/>
              <w:left w:val="nil"/>
              <w:bottom w:val="single" w:sz="4" w:space="0" w:color="auto"/>
              <w:right w:val="nil"/>
            </w:tcBorders>
          </w:tcPr>
          <w:p w14:paraId="2E67DEA0" w14:textId="7451A1EC" w:rsidR="007156CB" w:rsidRDefault="007156CB" w:rsidP="007156CB">
            <w:pPr>
              <w:pStyle w:val="Tabletextcentred"/>
            </w:pPr>
            <w:r>
              <w:lastRenderedPageBreak/>
              <w:t>$60,728</w:t>
            </w:r>
          </w:p>
        </w:tc>
        <w:tc>
          <w:tcPr>
            <w:tcW w:w="1698" w:type="dxa"/>
            <w:tcBorders>
              <w:top w:val="single" w:sz="4" w:space="0" w:color="auto"/>
              <w:left w:val="nil"/>
              <w:bottom w:val="single" w:sz="4" w:space="0" w:color="auto"/>
              <w:right w:val="nil"/>
            </w:tcBorders>
          </w:tcPr>
          <w:p w14:paraId="3B3176D4" w14:textId="14431395" w:rsidR="007156CB" w:rsidRDefault="007156CB" w:rsidP="007156CB">
            <w:pPr>
              <w:pStyle w:val="Tabletextcentred"/>
            </w:pPr>
            <w:r w:rsidRPr="007872FB">
              <w:t>$12,146</w:t>
            </w:r>
          </w:p>
        </w:tc>
        <w:tc>
          <w:tcPr>
            <w:tcW w:w="1698" w:type="dxa"/>
            <w:tcBorders>
              <w:top w:val="single" w:sz="4" w:space="0" w:color="auto"/>
              <w:left w:val="nil"/>
              <w:bottom w:val="single" w:sz="4" w:space="0" w:color="auto"/>
              <w:right w:val="nil"/>
            </w:tcBorders>
          </w:tcPr>
          <w:p w14:paraId="6ACC5E38" w14:textId="0B2305AA" w:rsidR="007156CB" w:rsidRPr="007872FB" w:rsidRDefault="007156CB" w:rsidP="007156CB">
            <w:pPr>
              <w:pStyle w:val="Tabletextcentred"/>
            </w:pPr>
            <w:r>
              <w:t>$36,436</w:t>
            </w:r>
            <w:r>
              <w:rPr>
                <w:rStyle w:val="FootnoteReference"/>
              </w:rPr>
              <w:footnoteReference w:id="3"/>
            </w:r>
          </w:p>
        </w:tc>
      </w:tr>
      <w:tr w:rsidR="007156CB" w:rsidRPr="005113AA" w14:paraId="7353F123" w14:textId="6162235F" w:rsidTr="00FA3913">
        <w:trPr>
          <w:cantSplit/>
        </w:trPr>
        <w:tc>
          <w:tcPr>
            <w:tcW w:w="3969" w:type="dxa"/>
            <w:tcBorders>
              <w:top w:val="single" w:sz="4" w:space="0" w:color="auto"/>
              <w:left w:val="nil"/>
              <w:bottom w:val="single" w:sz="4" w:space="0" w:color="auto"/>
              <w:right w:val="nil"/>
            </w:tcBorders>
          </w:tcPr>
          <w:p w14:paraId="5302A90A" w14:textId="32D207E1" w:rsidR="007156CB" w:rsidRPr="00187387" w:rsidRDefault="007156CB" w:rsidP="007156CB">
            <w:pPr>
              <w:pStyle w:val="Tabletext"/>
              <w:rPr>
                <w:rFonts w:ascii="Calibri" w:hAnsi="Calibri"/>
              </w:rPr>
            </w:pPr>
            <w:r>
              <w:rPr>
                <w:rFonts w:ascii="Calibri" w:hAnsi="Calibri"/>
              </w:rPr>
              <w:t>Curtin University, Department of Internet Studies</w:t>
            </w:r>
            <w:r w:rsidR="001159BE">
              <w:rPr>
                <w:rFonts w:ascii="Calibri" w:hAnsi="Calibri"/>
              </w:rPr>
              <w:t>—</w:t>
            </w:r>
            <w:r>
              <w:rPr>
                <w:rFonts w:ascii="Calibri" w:hAnsi="Calibri"/>
              </w:rPr>
              <w:t>‘</w:t>
            </w:r>
            <w:r>
              <w:rPr>
                <w:rFonts w:ascii="Calibri" w:hAnsi="Calibri"/>
                <w:i/>
              </w:rPr>
              <w:t>Audio Description in Australia: An Online Resource</w:t>
            </w:r>
            <w:r>
              <w:rPr>
                <w:rFonts w:ascii="Calibri" w:hAnsi="Calibri"/>
              </w:rPr>
              <w:t>’</w:t>
            </w:r>
          </w:p>
        </w:tc>
        <w:tc>
          <w:tcPr>
            <w:tcW w:w="1735" w:type="dxa"/>
            <w:tcBorders>
              <w:top w:val="single" w:sz="4" w:space="0" w:color="auto"/>
              <w:left w:val="nil"/>
              <w:bottom w:val="single" w:sz="4" w:space="0" w:color="auto"/>
              <w:right w:val="nil"/>
            </w:tcBorders>
          </w:tcPr>
          <w:p w14:paraId="281BD2DB" w14:textId="361381C7" w:rsidR="007156CB" w:rsidRDefault="007156CB" w:rsidP="007156CB">
            <w:pPr>
              <w:pStyle w:val="Tabletextcentred"/>
            </w:pPr>
            <w:r w:rsidRPr="00D20283">
              <w:t>$32,000</w:t>
            </w:r>
          </w:p>
        </w:tc>
        <w:tc>
          <w:tcPr>
            <w:tcW w:w="1698" w:type="dxa"/>
            <w:tcBorders>
              <w:top w:val="single" w:sz="4" w:space="0" w:color="auto"/>
              <w:left w:val="nil"/>
              <w:bottom w:val="single" w:sz="4" w:space="0" w:color="auto"/>
              <w:right w:val="nil"/>
            </w:tcBorders>
          </w:tcPr>
          <w:p w14:paraId="2807E890" w14:textId="3F87FA3B" w:rsidR="007156CB" w:rsidRDefault="007156CB" w:rsidP="007156CB">
            <w:pPr>
              <w:pStyle w:val="Tabletextcentred"/>
            </w:pPr>
            <w:r w:rsidRPr="007872FB">
              <w:t>$16,000</w:t>
            </w:r>
          </w:p>
        </w:tc>
        <w:tc>
          <w:tcPr>
            <w:tcW w:w="1698" w:type="dxa"/>
            <w:tcBorders>
              <w:top w:val="single" w:sz="4" w:space="0" w:color="auto"/>
              <w:left w:val="nil"/>
              <w:bottom w:val="single" w:sz="4" w:space="0" w:color="auto"/>
              <w:right w:val="nil"/>
            </w:tcBorders>
          </w:tcPr>
          <w:p w14:paraId="0CF3D273" w14:textId="757EE4BA" w:rsidR="007156CB" w:rsidRPr="007872FB" w:rsidRDefault="007156CB" w:rsidP="007156CB">
            <w:pPr>
              <w:pStyle w:val="Tabletextcentred"/>
            </w:pPr>
            <w:r>
              <w:t>$16,000</w:t>
            </w:r>
          </w:p>
        </w:tc>
      </w:tr>
      <w:tr w:rsidR="007156CB" w:rsidRPr="005113AA" w14:paraId="7CD7EFAA" w14:textId="68D1DC25" w:rsidTr="007156CB">
        <w:trPr>
          <w:cantSplit/>
        </w:trPr>
        <w:tc>
          <w:tcPr>
            <w:tcW w:w="3969" w:type="dxa"/>
            <w:tcBorders>
              <w:top w:val="single" w:sz="4" w:space="0" w:color="auto"/>
              <w:left w:val="nil"/>
              <w:bottom w:val="single" w:sz="12" w:space="0" w:color="auto"/>
              <w:right w:val="nil"/>
            </w:tcBorders>
          </w:tcPr>
          <w:p w14:paraId="1BEC4859" w14:textId="0045CBBB" w:rsidR="007156CB" w:rsidRPr="00E355F4" w:rsidRDefault="007156CB" w:rsidP="007156CB">
            <w:pPr>
              <w:pStyle w:val="Tabletext"/>
              <w:rPr>
                <w:rFonts w:ascii="Calibri" w:hAnsi="Calibri"/>
                <w:b/>
              </w:rPr>
            </w:pPr>
            <w:r>
              <w:rPr>
                <w:rFonts w:ascii="Calibri" w:hAnsi="Calibri"/>
                <w:b/>
              </w:rPr>
              <w:t>Total</w:t>
            </w:r>
          </w:p>
        </w:tc>
        <w:tc>
          <w:tcPr>
            <w:tcW w:w="1735" w:type="dxa"/>
            <w:tcBorders>
              <w:top w:val="single" w:sz="4" w:space="0" w:color="auto"/>
              <w:left w:val="nil"/>
              <w:bottom w:val="single" w:sz="12" w:space="0" w:color="auto"/>
              <w:right w:val="nil"/>
            </w:tcBorders>
          </w:tcPr>
          <w:p w14:paraId="52A04FC7" w14:textId="77FCB56C" w:rsidR="007156CB" w:rsidRPr="00E355F4" w:rsidRDefault="007156CB" w:rsidP="007156CB">
            <w:pPr>
              <w:pStyle w:val="Tabletextcentred"/>
              <w:rPr>
                <w:b/>
              </w:rPr>
            </w:pPr>
            <w:r>
              <w:rPr>
                <w:b/>
              </w:rPr>
              <w:t>$413,312</w:t>
            </w:r>
          </w:p>
        </w:tc>
        <w:tc>
          <w:tcPr>
            <w:tcW w:w="1698" w:type="dxa"/>
            <w:tcBorders>
              <w:top w:val="single" w:sz="4" w:space="0" w:color="auto"/>
              <w:left w:val="nil"/>
              <w:bottom w:val="single" w:sz="12" w:space="0" w:color="auto"/>
              <w:right w:val="nil"/>
            </w:tcBorders>
          </w:tcPr>
          <w:p w14:paraId="2A2562A8" w14:textId="7CDCA259" w:rsidR="007156CB" w:rsidRDefault="007156CB" w:rsidP="007156CB">
            <w:pPr>
              <w:pStyle w:val="Tabletextcentred"/>
              <w:rPr>
                <w:b/>
              </w:rPr>
            </w:pPr>
            <w:r w:rsidRPr="00E94FCA">
              <w:rPr>
                <w:b/>
              </w:rPr>
              <w:t>$119,692</w:t>
            </w:r>
          </w:p>
        </w:tc>
        <w:tc>
          <w:tcPr>
            <w:tcW w:w="1698" w:type="dxa"/>
            <w:tcBorders>
              <w:top w:val="single" w:sz="4" w:space="0" w:color="auto"/>
              <w:left w:val="nil"/>
              <w:bottom w:val="single" w:sz="12" w:space="0" w:color="auto"/>
              <w:right w:val="nil"/>
            </w:tcBorders>
          </w:tcPr>
          <w:p w14:paraId="55F76BBB" w14:textId="2019A6E3" w:rsidR="007156CB" w:rsidRPr="00E94FCA" w:rsidRDefault="007156CB" w:rsidP="007156CB">
            <w:pPr>
              <w:pStyle w:val="Tabletextcentred"/>
              <w:rPr>
                <w:b/>
              </w:rPr>
            </w:pPr>
            <w:r>
              <w:rPr>
                <w:b/>
              </w:rPr>
              <w:t>$271,355</w:t>
            </w:r>
          </w:p>
        </w:tc>
      </w:tr>
    </w:tbl>
    <w:p w14:paraId="35FCAF02" w14:textId="77777777" w:rsidR="009051EC" w:rsidRDefault="009051EC" w:rsidP="009051EC"/>
    <w:p w14:paraId="1B798F73" w14:textId="1C8FFE35" w:rsidR="009051EC" w:rsidRPr="00431355" w:rsidRDefault="009051EC" w:rsidP="009051EC">
      <w:r>
        <w:t xml:space="preserve">During the </w:t>
      </w:r>
      <w:r w:rsidR="00BE68EF">
        <w:t>2018–19</w:t>
      </w:r>
      <w:r>
        <w:t xml:space="preserve"> financial year, ACCAN short-listed eight projects in preparation for the </w:t>
      </w:r>
      <w:r w:rsidR="000C7BC9">
        <w:t>upcoming</w:t>
      </w:r>
      <w:r>
        <w:t xml:space="preserve"> multi-year grants round</w:t>
      </w:r>
      <w:r w:rsidR="000C7BC9">
        <w:t xml:space="preserve"> commencing in the 2019-20 financial year</w:t>
      </w:r>
      <w:r>
        <w:t>.</w:t>
      </w:r>
    </w:p>
    <w:p w14:paraId="7A395425" w14:textId="0B775C2C" w:rsidR="00F66970" w:rsidRDefault="00F66970" w:rsidP="00F66970">
      <w:pPr>
        <w:pStyle w:val="Heading2"/>
      </w:pPr>
      <w:bookmarkStart w:id="12" w:name="_Toc31619122"/>
      <w:r>
        <w:t>Financial accounts</w:t>
      </w:r>
      <w:bookmarkEnd w:id="12"/>
    </w:p>
    <w:p w14:paraId="313DD4C1" w14:textId="77777777" w:rsidR="00344243" w:rsidRDefault="00B10E0B" w:rsidP="00B10E0B">
      <w:pPr>
        <w:keepLines/>
        <w:spacing w:after="120"/>
      </w:pPr>
      <w:r w:rsidRPr="00DC52F5">
        <w:t>There were no significant changes in the nature of ACCAN’s activities during the financial year.</w:t>
      </w:r>
    </w:p>
    <w:p w14:paraId="626E9A1A" w14:textId="794258E0" w:rsidR="00B10E0B" w:rsidRPr="00DC52F5" w:rsidRDefault="00B10E0B" w:rsidP="00B10E0B">
      <w:pPr>
        <w:keepLines/>
        <w:spacing w:after="120"/>
      </w:pPr>
      <w:r w:rsidRPr="00DC52F5">
        <w:t xml:space="preserve">The independent auditor of ACCAN’s financial accounts found that the accounts were prepared in accordance with the </w:t>
      </w:r>
      <w:r w:rsidRPr="00DC52F5">
        <w:rPr>
          <w:i/>
        </w:rPr>
        <w:t>Corporations Act 2001</w:t>
      </w:r>
      <w:r w:rsidRPr="00DC52F5">
        <w:t xml:space="preserve"> and:</w:t>
      </w:r>
    </w:p>
    <w:p w14:paraId="481AB781" w14:textId="1C32B245" w:rsidR="00B10E0B" w:rsidRPr="00DC52F5" w:rsidRDefault="00B10E0B" w:rsidP="00B10E0B">
      <w:pPr>
        <w:keepLines/>
        <w:numPr>
          <w:ilvl w:val="0"/>
          <w:numId w:val="15"/>
        </w:numPr>
        <w:tabs>
          <w:tab w:val="left" w:pos="426"/>
        </w:tabs>
        <w:spacing w:after="120"/>
        <w:ind w:left="425" w:hanging="425"/>
      </w:pPr>
      <w:r w:rsidRPr="00DC52F5">
        <w:lastRenderedPageBreak/>
        <w:t>gave a true and fair view of ACCAN’s financial position as at 30 June 201</w:t>
      </w:r>
      <w:r w:rsidR="00D63EAE">
        <w:t>9</w:t>
      </w:r>
      <w:r w:rsidRPr="00DC52F5">
        <w:t xml:space="preserve"> and its performance for the year ended on that date; and</w:t>
      </w:r>
    </w:p>
    <w:p w14:paraId="43FEA475" w14:textId="102B1388" w:rsidR="00B10E0B" w:rsidRPr="00DC52F5" w:rsidRDefault="00B10E0B" w:rsidP="00B10E0B">
      <w:pPr>
        <w:keepLines/>
        <w:numPr>
          <w:ilvl w:val="0"/>
          <w:numId w:val="15"/>
        </w:numPr>
        <w:tabs>
          <w:tab w:val="left" w:pos="426"/>
        </w:tabs>
        <w:spacing w:after="120"/>
        <w:ind w:left="425" w:hanging="425"/>
      </w:pPr>
      <w:r w:rsidRPr="00DC52F5">
        <w:t>complied with Australian Accounting Standards</w:t>
      </w:r>
      <w:r w:rsidR="001159BE">
        <w:t>—</w:t>
      </w:r>
      <w:r w:rsidRPr="00DC52F5">
        <w:t xml:space="preserve">Reduced Disclosure Requirements, the </w:t>
      </w:r>
      <w:r w:rsidRPr="00DC52F5">
        <w:rPr>
          <w:i/>
        </w:rPr>
        <w:t xml:space="preserve">Australian Charities and Not-for-profits Commission Act 2012, </w:t>
      </w:r>
      <w:r w:rsidRPr="00DC52F5">
        <w:t xml:space="preserve">and </w:t>
      </w:r>
      <w:r w:rsidRPr="00DC52F5">
        <w:rPr>
          <w:i/>
        </w:rPr>
        <w:t>Australian Charities and Not-for-profits Commission Regulation 2013,</w:t>
      </w:r>
      <w:r w:rsidRPr="00DC52F5">
        <w:t xml:space="preserve"> and the </w:t>
      </w:r>
      <w:r w:rsidRPr="00DC52F5">
        <w:rPr>
          <w:i/>
        </w:rPr>
        <w:t>Corporations Regulations 2001.</w:t>
      </w:r>
    </w:p>
    <w:bookmarkEnd w:id="4"/>
    <w:bookmarkEnd w:id="5"/>
    <w:bookmarkEnd w:id="6"/>
    <w:p w14:paraId="6D8E412E" w14:textId="77777777" w:rsidR="00B10E0B" w:rsidRPr="00B10E0B" w:rsidRDefault="00B10E0B" w:rsidP="00B10E0B"/>
    <w:sectPr w:rsidR="00B10E0B" w:rsidRPr="00B10E0B" w:rsidSect="00FA3913">
      <w:headerReference w:type="default" r:id="rId22"/>
      <w:type w:val="continuous"/>
      <w:pgSz w:w="11906" w:h="16838"/>
      <w:pgMar w:top="1560" w:right="1276" w:bottom="1440" w:left="1440"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F764E" w14:textId="77777777" w:rsidR="004826AE" w:rsidRDefault="004826AE" w:rsidP="005113AA">
      <w:pPr>
        <w:spacing w:after="0"/>
      </w:pPr>
      <w:r>
        <w:separator/>
      </w:r>
    </w:p>
  </w:endnote>
  <w:endnote w:type="continuationSeparator" w:id="0">
    <w:p w14:paraId="08BE698E" w14:textId="77777777" w:rsidR="004826AE" w:rsidRDefault="004826AE" w:rsidP="005113AA">
      <w:pPr>
        <w:spacing w:after="0"/>
      </w:pPr>
      <w:r>
        <w:continuationSeparator/>
      </w:r>
    </w:p>
  </w:endnote>
  <w:endnote w:type="continuationNotice" w:id="1">
    <w:p w14:paraId="4A6F6ED2" w14:textId="77777777" w:rsidR="004826AE" w:rsidRDefault="004826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D803" w14:textId="77777777" w:rsidR="004826AE" w:rsidRDefault="004826A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37A6BC83" wp14:editId="129ABB12">
          <wp:extent cx="7596000" cy="400057"/>
          <wp:effectExtent l="0" t="0" r="5080" b="0"/>
          <wp:docPr id="16" name="Picture 16"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AB0A4F9" w14:textId="784B425E" w:rsidR="004826AE" w:rsidRPr="0037566A" w:rsidRDefault="004826AE" w:rsidP="005113AA">
    <w:pPr>
      <w:pStyle w:val="Footer"/>
      <w:tabs>
        <w:tab w:val="clear" w:pos="4513"/>
        <w:tab w:val="clear" w:pos="9026"/>
        <w:tab w:val="center" w:pos="4536"/>
        <w:tab w:val="right" w:pos="9498"/>
      </w:tabs>
      <w:ind w:right="-613"/>
      <w:rPr>
        <w:sz w:val="18"/>
        <w:szCs w:val="18"/>
      </w:rPr>
    </w:pPr>
    <w:r>
      <w:rPr>
        <w:sz w:val="18"/>
      </w:rPr>
      <w:t>Funding of telecommunications</w:t>
    </w:r>
    <w:r>
      <w:tab/>
    </w:r>
    <w:hyperlink r:id="rId2" w:history="1">
      <w:r w:rsidRPr="002725BE">
        <w:rPr>
          <w:rStyle w:val="Hyperlink"/>
          <w:sz w:val="18"/>
          <w:szCs w:val="18"/>
        </w:rPr>
        <w:t>www.communications.gov.au</w:t>
      </w:r>
    </w:hyperlink>
  </w:p>
  <w:p w14:paraId="75B5B74A" w14:textId="69FFE2BE" w:rsidR="004826AE" w:rsidRPr="00F66970" w:rsidRDefault="004826AE" w:rsidP="005113AA">
    <w:pPr>
      <w:pStyle w:val="Footer"/>
      <w:tabs>
        <w:tab w:val="clear" w:pos="4513"/>
        <w:tab w:val="clear" w:pos="9026"/>
        <w:tab w:val="center" w:pos="4536"/>
        <w:tab w:val="right" w:pos="9498"/>
      </w:tabs>
      <w:ind w:right="-46"/>
      <w:rPr>
        <w:rStyle w:val="Hyperlink"/>
        <w:color w:val="auto"/>
        <w:sz w:val="18"/>
        <w:szCs w:val="18"/>
        <w:u w:val="none"/>
      </w:rPr>
    </w:pPr>
    <w:proofErr w:type="gramStart"/>
    <w:r>
      <w:rPr>
        <w:sz w:val="18"/>
        <w:szCs w:val="18"/>
      </w:rPr>
      <w:t>consumer</w:t>
    </w:r>
    <w:proofErr w:type="gramEnd"/>
    <w:r>
      <w:rPr>
        <w:sz w:val="18"/>
        <w:szCs w:val="18"/>
      </w:rPr>
      <w:t xml:space="preserve"> representation grants</w:t>
    </w:r>
    <w:r w:rsidR="001159BE">
      <w:rPr>
        <w:sz w:val="18"/>
        <w:szCs w:val="18"/>
      </w:rPr>
      <w:t>—</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0622223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C53D0">
          <w:rPr>
            <w:bCs/>
            <w:noProof/>
            <w:sz w:val="18"/>
            <w:szCs w:val="18"/>
          </w:rPr>
          <w:t>6</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C53D0">
          <w:rPr>
            <w:bCs/>
            <w:noProof/>
            <w:sz w:val="18"/>
            <w:szCs w:val="18"/>
          </w:rPr>
          <w:t>6</w:t>
        </w:r>
        <w:r w:rsidRPr="0037566A">
          <w:rPr>
            <w:bCs/>
            <w:sz w:val="18"/>
            <w:szCs w:val="18"/>
          </w:rPr>
          <w:fldChar w:fldCharType="end"/>
        </w:r>
      </w:sdtContent>
    </w:sdt>
  </w:p>
  <w:p w14:paraId="57457756" w14:textId="06382B9F" w:rsidR="004826AE" w:rsidRPr="00007A3E" w:rsidRDefault="004826AE" w:rsidP="005113AA">
    <w:pPr>
      <w:pStyle w:val="Footer"/>
      <w:tabs>
        <w:tab w:val="clear" w:pos="4513"/>
        <w:tab w:val="clear" w:pos="9026"/>
        <w:tab w:val="center" w:pos="4536"/>
        <w:tab w:val="right" w:pos="9498"/>
      </w:tabs>
      <w:ind w:right="-613"/>
      <w:rPr>
        <w:rStyle w:val="Hyperlink"/>
        <w:color w:val="auto"/>
        <w:sz w:val="18"/>
        <w:szCs w:val="18"/>
      </w:rPr>
    </w:pPr>
    <w:r>
      <w:rPr>
        <w:sz w:val="18"/>
      </w:rPr>
      <w:t xml:space="preserve">Annual report </w:t>
    </w:r>
    <w:r w:rsidR="00BE68EF">
      <w:rPr>
        <w:sz w:val="18"/>
      </w:rPr>
      <w:t>2018–19</w:t>
    </w: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E9E0E" w14:textId="77777777" w:rsidR="004826AE" w:rsidRDefault="004826AE" w:rsidP="005113AA">
      <w:pPr>
        <w:spacing w:after="0"/>
      </w:pPr>
      <w:r>
        <w:separator/>
      </w:r>
    </w:p>
  </w:footnote>
  <w:footnote w:type="continuationSeparator" w:id="0">
    <w:p w14:paraId="3A975745" w14:textId="77777777" w:rsidR="004826AE" w:rsidRDefault="004826AE" w:rsidP="005113AA">
      <w:pPr>
        <w:spacing w:after="0"/>
      </w:pPr>
      <w:r>
        <w:continuationSeparator/>
      </w:r>
    </w:p>
  </w:footnote>
  <w:footnote w:type="continuationNotice" w:id="1">
    <w:p w14:paraId="07DBBFB1" w14:textId="77777777" w:rsidR="004826AE" w:rsidRDefault="004826AE">
      <w:pPr>
        <w:spacing w:after="0"/>
      </w:pPr>
    </w:p>
  </w:footnote>
  <w:footnote w:id="2">
    <w:p w14:paraId="59F8CA35" w14:textId="40760AA6" w:rsidR="007156CB" w:rsidRDefault="007156CB" w:rsidP="007156CB">
      <w:pPr>
        <w:pStyle w:val="FootnoteText"/>
      </w:pPr>
      <w:r>
        <w:rPr>
          <w:rStyle w:val="FootnoteReference"/>
        </w:rPr>
        <w:footnoteRef/>
      </w:r>
      <w:r>
        <w:t xml:space="preserve"> Final instalment of $10,121 will be paid in the financial year </w:t>
      </w:r>
      <w:r w:rsidR="00FA3913">
        <w:t>2019–20</w:t>
      </w:r>
      <w:r>
        <w:t xml:space="preserve"> upon completion of the project.</w:t>
      </w:r>
    </w:p>
  </w:footnote>
  <w:footnote w:id="3">
    <w:p w14:paraId="599CF564" w14:textId="39B6C664" w:rsidR="007156CB" w:rsidRDefault="007156CB" w:rsidP="007156CB">
      <w:pPr>
        <w:pStyle w:val="FootnoteText"/>
      </w:pPr>
      <w:r>
        <w:rPr>
          <w:rStyle w:val="FootnoteReference"/>
        </w:rPr>
        <w:footnoteRef/>
      </w:r>
      <w:r>
        <w:t xml:space="preserve"> Final instalment of $12,146 will be paid in the financial year </w:t>
      </w:r>
      <w:r w:rsidR="00FA3913">
        <w:t>2019–20</w:t>
      </w:r>
      <w:r>
        <w:t xml:space="preserve"> upon completion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92EC" w14:textId="6BCFB7DC" w:rsidR="004826AE" w:rsidRPr="00B637AD" w:rsidRDefault="004826AE" w:rsidP="00B637AD">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4D3C1E">
      <w:rPr>
        <w:color w:val="001C40"/>
      </w:rPr>
      <w:t>December</w:t>
    </w:r>
    <w:r>
      <w:rPr>
        <w:color w:val="001C40"/>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7BE5DD6"/>
    <w:multiLevelType w:val="hybridMultilevel"/>
    <w:tmpl w:val="223228B8"/>
    <w:lvl w:ilvl="0" w:tplc="94725890">
      <w:start w:val="1"/>
      <w:numFmt w:val="bullet"/>
      <w:lvlText w:val=""/>
      <w:lvlJc w:val="left"/>
      <w:pPr>
        <w:ind w:left="360" w:hanging="360"/>
      </w:pPr>
      <w:rPr>
        <w:rFonts w:ascii="Symbol" w:hAnsi="Symbol" w:hint="default"/>
      </w:rPr>
    </w:lvl>
    <w:lvl w:ilvl="1" w:tplc="26C813AE" w:tentative="1">
      <w:start w:val="1"/>
      <w:numFmt w:val="bullet"/>
      <w:lvlText w:val="o"/>
      <w:lvlJc w:val="left"/>
      <w:pPr>
        <w:ind w:left="1080" w:hanging="360"/>
      </w:pPr>
      <w:rPr>
        <w:rFonts w:ascii="Courier New" w:hAnsi="Courier New" w:cs="Courier New" w:hint="default"/>
      </w:rPr>
    </w:lvl>
    <w:lvl w:ilvl="2" w:tplc="7250DB22" w:tentative="1">
      <w:start w:val="1"/>
      <w:numFmt w:val="bullet"/>
      <w:lvlText w:val=""/>
      <w:lvlJc w:val="left"/>
      <w:pPr>
        <w:ind w:left="1800" w:hanging="360"/>
      </w:pPr>
      <w:rPr>
        <w:rFonts w:ascii="Wingdings" w:hAnsi="Wingdings" w:hint="default"/>
      </w:rPr>
    </w:lvl>
    <w:lvl w:ilvl="3" w:tplc="47BA3726" w:tentative="1">
      <w:start w:val="1"/>
      <w:numFmt w:val="bullet"/>
      <w:lvlText w:val=""/>
      <w:lvlJc w:val="left"/>
      <w:pPr>
        <w:ind w:left="2520" w:hanging="360"/>
      </w:pPr>
      <w:rPr>
        <w:rFonts w:ascii="Symbol" w:hAnsi="Symbol" w:hint="default"/>
      </w:rPr>
    </w:lvl>
    <w:lvl w:ilvl="4" w:tplc="35AA2740" w:tentative="1">
      <w:start w:val="1"/>
      <w:numFmt w:val="bullet"/>
      <w:lvlText w:val="o"/>
      <w:lvlJc w:val="left"/>
      <w:pPr>
        <w:ind w:left="3240" w:hanging="360"/>
      </w:pPr>
      <w:rPr>
        <w:rFonts w:ascii="Courier New" w:hAnsi="Courier New" w:cs="Courier New" w:hint="default"/>
      </w:rPr>
    </w:lvl>
    <w:lvl w:ilvl="5" w:tplc="223A9110" w:tentative="1">
      <w:start w:val="1"/>
      <w:numFmt w:val="bullet"/>
      <w:lvlText w:val=""/>
      <w:lvlJc w:val="left"/>
      <w:pPr>
        <w:ind w:left="3960" w:hanging="360"/>
      </w:pPr>
      <w:rPr>
        <w:rFonts w:ascii="Wingdings" w:hAnsi="Wingdings" w:hint="default"/>
      </w:rPr>
    </w:lvl>
    <w:lvl w:ilvl="6" w:tplc="8A901B0E" w:tentative="1">
      <w:start w:val="1"/>
      <w:numFmt w:val="bullet"/>
      <w:lvlText w:val=""/>
      <w:lvlJc w:val="left"/>
      <w:pPr>
        <w:ind w:left="4680" w:hanging="360"/>
      </w:pPr>
      <w:rPr>
        <w:rFonts w:ascii="Symbol" w:hAnsi="Symbol" w:hint="default"/>
      </w:rPr>
    </w:lvl>
    <w:lvl w:ilvl="7" w:tplc="29B2E75C" w:tentative="1">
      <w:start w:val="1"/>
      <w:numFmt w:val="bullet"/>
      <w:lvlText w:val="o"/>
      <w:lvlJc w:val="left"/>
      <w:pPr>
        <w:ind w:left="5400" w:hanging="360"/>
      </w:pPr>
      <w:rPr>
        <w:rFonts w:ascii="Courier New" w:hAnsi="Courier New" w:cs="Courier New" w:hint="default"/>
      </w:rPr>
    </w:lvl>
    <w:lvl w:ilvl="8" w:tplc="54D87BFE" w:tentative="1">
      <w:start w:val="1"/>
      <w:numFmt w:val="bullet"/>
      <w:lvlText w:val=""/>
      <w:lvlJc w:val="left"/>
      <w:pPr>
        <w:ind w:left="6120" w:hanging="360"/>
      </w:pPr>
      <w:rPr>
        <w:rFonts w:ascii="Wingdings" w:hAnsi="Wingdings" w:hint="default"/>
      </w:r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33"/>
    <w:rsid w:val="00003580"/>
    <w:rsid w:val="00007217"/>
    <w:rsid w:val="00007A3E"/>
    <w:rsid w:val="00043287"/>
    <w:rsid w:val="00061910"/>
    <w:rsid w:val="0007496D"/>
    <w:rsid w:val="00093372"/>
    <w:rsid w:val="000C53D0"/>
    <w:rsid w:val="000C7BC9"/>
    <w:rsid w:val="000E01ED"/>
    <w:rsid w:val="000E3BF4"/>
    <w:rsid w:val="000E4DD7"/>
    <w:rsid w:val="001159BE"/>
    <w:rsid w:val="00126B1A"/>
    <w:rsid w:val="00134D22"/>
    <w:rsid w:val="00140015"/>
    <w:rsid w:val="001503A7"/>
    <w:rsid w:val="00153DC4"/>
    <w:rsid w:val="00175036"/>
    <w:rsid w:val="00186E5E"/>
    <w:rsid w:val="00187387"/>
    <w:rsid w:val="00194EC0"/>
    <w:rsid w:val="001C6AEF"/>
    <w:rsid w:val="001E562A"/>
    <w:rsid w:val="001F5DB0"/>
    <w:rsid w:val="00221B02"/>
    <w:rsid w:val="00225882"/>
    <w:rsid w:val="00242A70"/>
    <w:rsid w:val="002613BF"/>
    <w:rsid w:val="00275DB6"/>
    <w:rsid w:val="0029047A"/>
    <w:rsid w:val="002B2A33"/>
    <w:rsid w:val="002B4F8C"/>
    <w:rsid w:val="002C4249"/>
    <w:rsid w:val="002C61EC"/>
    <w:rsid w:val="002D1669"/>
    <w:rsid w:val="002E0098"/>
    <w:rsid w:val="002E2FA6"/>
    <w:rsid w:val="002F23F7"/>
    <w:rsid w:val="00344243"/>
    <w:rsid w:val="00370FA2"/>
    <w:rsid w:val="003736A2"/>
    <w:rsid w:val="003879DA"/>
    <w:rsid w:val="003C3115"/>
    <w:rsid w:val="003D0DBE"/>
    <w:rsid w:val="003D193C"/>
    <w:rsid w:val="003D36BF"/>
    <w:rsid w:val="004119F7"/>
    <w:rsid w:val="00431355"/>
    <w:rsid w:val="00441CF9"/>
    <w:rsid w:val="00454CA5"/>
    <w:rsid w:val="00471D95"/>
    <w:rsid w:val="00474586"/>
    <w:rsid w:val="004826AE"/>
    <w:rsid w:val="00496690"/>
    <w:rsid w:val="004B1965"/>
    <w:rsid w:val="004D3C1E"/>
    <w:rsid w:val="004E705F"/>
    <w:rsid w:val="00500AD5"/>
    <w:rsid w:val="005113AA"/>
    <w:rsid w:val="005206FC"/>
    <w:rsid w:val="00527EFF"/>
    <w:rsid w:val="00533C2C"/>
    <w:rsid w:val="00546CFB"/>
    <w:rsid w:val="005621A8"/>
    <w:rsid w:val="005716B7"/>
    <w:rsid w:val="00593814"/>
    <w:rsid w:val="005B1C04"/>
    <w:rsid w:val="005B21CF"/>
    <w:rsid w:val="005B69D8"/>
    <w:rsid w:val="005F34B0"/>
    <w:rsid w:val="00600576"/>
    <w:rsid w:val="006343D6"/>
    <w:rsid w:val="006562F2"/>
    <w:rsid w:val="00665002"/>
    <w:rsid w:val="0069499E"/>
    <w:rsid w:val="006C3560"/>
    <w:rsid w:val="007156CB"/>
    <w:rsid w:val="007202F2"/>
    <w:rsid w:val="00724DCB"/>
    <w:rsid w:val="00770EAF"/>
    <w:rsid w:val="00775038"/>
    <w:rsid w:val="00780B1D"/>
    <w:rsid w:val="007A4D67"/>
    <w:rsid w:val="007A7933"/>
    <w:rsid w:val="007D3832"/>
    <w:rsid w:val="007D7C36"/>
    <w:rsid w:val="007F7F7C"/>
    <w:rsid w:val="00800F3F"/>
    <w:rsid w:val="0081105B"/>
    <w:rsid w:val="008142F0"/>
    <w:rsid w:val="00830420"/>
    <w:rsid w:val="00862ED9"/>
    <w:rsid w:val="00871683"/>
    <w:rsid w:val="00873165"/>
    <w:rsid w:val="00885521"/>
    <w:rsid w:val="008A480A"/>
    <w:rsid w:val="008B61A1"/>
    <w:rsid w:val="008F3EC5"/>
    <w:rsid w:val="00905009"/>
    <w:rsid w:val="009051EC"/>
    <w:rsid w:val="00910A7F"/>
    <w:rsid w:val="00913247"/>
    <w:rsid w:val="009423F3"/>
    <w:rsid w:val="00943D91"/>
    <w:rsid w:val="00956F7B"/>
    <w:rsid w:val="009B7325"/>
    <w:rsid w:val="009D51EB"/>
    <w:rsid w:val="00A0096F"/>
    <w:rsid w:val="00A135D9"/>
    <w:rsid w:val="00A26C6E"/>
    <w:rsid w:val="00A43771"/>
    <w:rsid w:val="00A4412F"/>
    <w:rsid w:val="00A5045D"/>
    <w:rsid w:val="00A53D8F"/>
    <w:rsid w:val="00A75657"/>
    <w:rsid w:val="00AD2158"/>
    <w:rsid w:val="00AF6852"/>
    <w:rsid w:val="00B10E0B"/>
    <w:rsid w:val="00B420C8"/>
    <w:rsid w:val="00B637AD"/>
    <w:rsid w:val="00B95389"/>
    <w:rsid w:val="00BB7E85"/>
    <w:rsid w:val="00BD77AF"/>
    <w:rsid w:val="00BE68EF"/>
    <w:rsid w:val="00BF672E"/>
    <w:rsid w:val="00C14793"/>
    <w:rsid w:val="00C2304B"/>
    <w:rsid w:val="00C23C8E"/>
    <w:rsid w:val="00C43C0A"/>
    <w:rsid w:val="00C54D61"/>
    <w:rsid w:val="00C971DA"/>
    <w:rsid w:val="00CB42DC"/>
    <w:rsid w:val="00CE0589"/>
    <w:rsid w:val="00D20283"/>
    <w:rsid w:val="00D20A4B"/>
    <w:rsid w:val="00D63EAE"/>
    <w:rsid w:val="00D83278"/>
    <w:rsid w:val="00DB5F2B"/>
    <w:rsid w:val="00DD4C78"/>
    <w:rsid w:val="00DD6805"/>
    <w:rsid w:val="00E145D8"/>
    <w:rsid w:val="00E21560"/>
    <w:rsid w:val="00E34E39"/>
    <w:rsid w:val="00E355F4"/>
    <w:rsid w:val="00E35D7D"/>
    <w:rsid w:val="00E43838"/>
    <w:rsid w:val="00E5532B"/>
    <w:rsid w:val="00E67284"/>
    <w:rsid w:val="00E928E3"/>
    <w:rsid w:val="00E96579"/>
    <w:rsid w:val="00E9751D"/>
    <w:rsid w:val="00EA6022"/>
    <w:rsid w:val="00EB20BA"/>
    <w:rsid w:val="00EB296B"/>
    <w:rsid w:val="00EE0C44"/>
    <w:rsid w:val="00EE5294"/>
    <w:rsid w:val="00F01397"/>
    <w:rsid w:val="00F02B64"/>
    <w:rsid w:val="00F11367"/>
    <w:rsid w:val="00F152BA"/>
    <w:rsid w:val="00F36D78"/>
    <w:rsid w:val="00F63D35"/>
    <w:rsid w:val="00F66970"/>
    <w:rsid w:val="00F75450"/>
    <w:rsid w:val="00F80866"/>
    <w:rsid w:val="00FA2D7C"/>
    <w:rsid w:val="00FA3913"/>
    <w:rsid w:val="00FA54D6"/>
    <w:rsid w:val="00FC08FD"/>
    <w:rsid w:val="00FC1B54"/>
    <w:rsid w:val="00FD5F64"/>
    <w:rsid w:val="00FE7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0C42247"/>
  <w15:chartTrackingRefBased/>
  <w15:docId w15:val="{0CAC972D-CF22-4842-9660-9AFF48CA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8EF"/>
    <w:pPr>
      <w:spacing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1159BE"/>
    <w:pPr>
      <w:keepNext/>
      <w:spacing w:before="120"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1159BE"/>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B637AD"/>
    <w:pPr>
      <w:numPr>
        <w:numId w:val="13"/>
      </w:numPr>
      <w:spacing w:after="120"/>
      <w:ind w:left="567" w:hanging="567"/>
      <w:contextualSpacing w:val="0"/>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061910"/>
    <w:pPr>
      <w:tabs>
        <w:tab w:val="right" w:leader="dot" w:pos="9072"/>
      </w:tabs>
      <w:spacing w:after="0"/>
      <w:ind w:left="56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 w:type="character" w:styleId="CommentReference">
    <w:name w:val="annotation reference"/>
    <w:basedOn w:val="DefaultParagraphFont"/>
    <w:uiPriority w:val="99"/>
    <w:semiHidden/>
    <w:unhideWhenUsed/>
    <w:rsid w:val="00474586"/>
    <w:rPr>
      <w:sz w:val="16"/>
      <w:szCs w:val="16"/>
    </w:rPr>
  </w:style>
  <w:style w:type="paragraph" w:styleId="CommentText">
    <w:name w:val="annotation text"/>
    <w:basedOn w:val="Normal"/>
    <w:link w:val="CommentTextChar"/>
    <w:uiPriority w:val="99"/>
    <w:unhideWhenUsed/>
    <w:rsid w:val="00474586"/>
    <w:rPr>
      <w:sz w:val="20"/>
      <w:szCs w:val="20"/>
    </w:rPr>
  </w:style>
  <w:style w:type="character" w:customStyle="1" w:styleId="CommentTextChar">
    <w:name w:val="Comment Text Char"/>
    <w:basedOn w:val="DefaultParagraphFont"/>
    <w:link w:val="CommentText"/>
    <w:uiPriority w:val="99"/>
    <w:rsid w:val="00474586"/>
    <w:rPr>
      <w:sz w:val="20"/>
      <w:szCs w:val="20"/>
    </w:rPr>
  </w:style>
  <w:style w:type="paragraph" w:styleId="CommentSubject">
    <w:name w:val="annotation subject"/>
    <w:basedOn w:val="CommentText"/>
    <w:next w:val="CommentText"/>
    <w:link w:val="CommentSubjectChar"/>
    <w:uiPriority w:val="99"/>
    <w:semiHidden/>
    <w:unhideWhenUsed/>
    <w:rsid w:val="00474586"/>
    <w:rPr>
      <w:b/>
      <w:bCs/>
    </w:rPr>
  </w:style>
  <w:style w:type="character" w:customStyle="1" w:styleId="CommentSubjectChar">
    <w:name w:val="Comment Subject Char"/>
    <w:basedOn w:val="CommentTextChar"/>
    <w:link w:val="CommentSubject"/>
    <w:uiPriority w:val="99"/>
    <w:semiHidden/>
    <w:rsid w:val="00474586"/>
    <w:rPr>
      <w:b/>
      <w:bCs/>
      <w:sz w:val="20"/>
      <w:szCs w:val="20"/>
    </w:rPr>
  </w:style>
  <w:style w:type="paragraph" w:styleId="BalloonText">
    <w:name w:val="Balloon Text"/>
    <w:basedOn w:val="Normal"/>
    <w:link w:val="BalloonTextChar"/>
    <w:uiPriority w:val="99"/>
    <w:semiHidden/>
    <w:unhideWhenUsed/>
    <w:rsid w:val="004745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opyright@communications.gov.au" TargetMode="External"/><Relationship Id="rId3" Type="http://schemas.openxmlformats.org/officeDocument/2006/relationships/customXml" Target="../customXml/item3.xml"/><Relationship Id="rId21" Type="http://schemas.openxmlformats.org/officeDocument/2006/relationships/hyperlink" Target="http://www.accan.org.au/submiss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pyright@communications.gov.au" TargetMode="External"/><Relationship Id="rId2" Type="http://schemas.openxmlformats.org/officeDocument/2006/relationships/customXml" Target="../customXml/item2.xml"/><Relationship Id="rId16" Type="http://schemas.openxmlformats.org/officeDocument/2006/relationships/hyperlink" Target="http://www.creativecommons.org/licenses/by/4.0" TargetMode="External"/><Relationship Id="rId20" Type="http://schemas.openxmlformats.org/officeDocument/2006/relationships/hyperlink" Target="http://accan.org.au/about/annual-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reativecommon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mc.gov.au/government/its-honou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3september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49F503160664391608491EDD8F087" ma:contentTypeVersion="0" ma:contentTypeDescription="Create a new document." ma:contentTypeScope="" ma:versionID="f34f2a6b0ac87f86fa202a145d001af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1F58-A3A3-4F57-BCB2-D01469F61177}">
  <ds:schemaRefs>
    <ds:schemaRef ds:uri="http://schemas.microsoft.com/sharepoint/v3/contenttype/forms"/>
  </ds:schemaRefs>
</ds:datastoreItem>
</file>

<file path=customXml/itemProps2.xml><?xml version="1.0" encoding="utf-8"?>
<ds:datastoreItem xmlns:ds="http://schemas.openxmlformats.org/officeDocument/2006/customXml" ds:itemID="{27127844-223D-488C-B56C-1BD365DDE54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583E373-B190-4EED-9024-71A31570B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52B6B9-C02A-40A3-B95F-938DC596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department--report--accessible--3september2019.dotx</Template>
  <TotalTime>0</TotalTime>
  <Pages>6</Pages>
  <Words>1437</Words>
  <Characters>8193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Funding of telecommunications consumer representation grants—Annual report 2018–19</vt:lpstr>
    </vt:vector>
  </TitlesOfParts>
  <Company>Department of Communications and the Arts</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of telecommunications consumer representation grants—Annual report 2018–19</dc:title>
  <dc:subject/>
  <dc:creator>Department of Communications and the Arts</dc:creator>
  <cp:keywords/>
  <dc:description/>
  <cp:lastModifiedBy>Hall, Theresa</cp:lastModifiedBy>
  <cp:revision>2</cp:revision>
  <cp:lastPrinted>2019-11-25T23:28:00Z</cp:lastPrinted>
  <dcterms:created xsi:type="dcterms:W3CDTF">2020-02-02T23:45:00Z</dcterms:created>
  <dcterms:modified xsi:type="dcterms:W3CDTF">2020-02-02T23:45:00Z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0x0101004A849F503160664391608491EDD8F087</vt:lpwstr>
  </property>
  <property fmtid="{D5CDD505-2E9C-101B-9397-08002B2CF9AE}" pid="3" name="trimRootDocACLCanViewDocument_List">
    <vt:lpwstr/>
  </property>
  <property fmtid="{D5CDD505-2E9C-101B-9397-08002B2CF9AE}" pid="4" name="TrimRevisionNumber">
    <vt:i4>1</vt:i4>
  </property>
  <property fmtid="{D5CDD505-2E9C-101B-9397-08002B2CF9AE}" pid="5" name="dd9c7627a75f4720a6ccce58a35e4d75">
    <vt:lpwstr/>
  </property>
  <property fmtid="{D5CDD505-2E9C-101B-9397-08002B2CF9AE}" pid="6" name="TaxCatchAll">
    <vt:lpwstr/>
  </property>
</Properties>
</file>