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9D28C" w14:textId="77777777" w:rsidR="003768DA" w:rsidRDefault="003768DA" w:rsidP="00822DBF">
      <w:pPr>
        <w:spacing w:after="0"/>
        <w:ind w:left="-1418"/>
      </w:pPr>
      <w:r>
        <w:rPr>
          <w:noProof/>
          <w:lang w:eastAsia="en-AU"/>
        </w:rPr>
        <w:drawing>
          <wp:inline distT="0" distB="0" distL="0" distR="0" wp14:anchorId="081D62ED" wp14:editId="6A68D791">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70B75F04" w14:textId="336A38A9" w:rsidR="003768DA" w:rsidRDefault="003768DA" w:rsidP="0030286B">
      <w:pPr>
        <w:spacing w:after="0"/>
        <w:sectPr w:rsidR="003768DA" w:rsidSect="003D71C5">
          <w:footerReference w:type="default" r:id="rId12"/>
          <w:pgSz w:w="11906" w:h="16838"/>
          <w:pgMar w:top="0" w:right="991" w:bottom="1440" w:left="1440" w:header="0" w:footer="397" w:gutter="0"/>
          <w:cols w:space="708"/>
          <w:docGrid w:linePitch="360"/>
        </w:sectPr>
      </w:pPr>
    </w:p>
    <w:p w14:paraId="45C51DB4" w14:textId="77777777" w:rsidR="00476103" w:rsidRPr="0030286B" w:rsidRDefault="00476103" w:rsidP="000A0587">
      <w:pPr>
        <w:pStyle w:val="Heading1"/>
      </w:pPr>
      <w:r w:rsidRPr="0030286B">
        <w:t>Funding of telecommunications consumer representation grants</w:t>
      </w:r>
    </w:p>
    <w:p w14:paraId="361168F8" w14:textId="77777777" w:rsidR="00772C27" w:rsidRPr="0030286B" w:rsidRDefault="00476103" w:rsidP="0030286B">
      <w:pPr>
        <w:spacing w:after="120"/>
        <w:rPr>
          <w:rFonts w:ascii="Segoe UI Semibold" w:hAnsi="Segoe UI Semibold" w:cs="Segoe UI Semibold"/>
          <w:color w:val="002D72"/>
        </w:rPr>
      </w:pPr>
      <w:r w:rsidRPr="0030286B">
        <w:rPr>
          <w:rFonts w:ascii="Segoe UI Semibold" w:hAnsi="Segoe UI Semibold" w:cs="Segoe UI Semibold"/>
          <w:color w:val="002D72"/>
        </w:rPr>
        <w:t>November</w:t>
      </w:r>
      <w:r w:rsidR="00772C27" w:rsidRPr="0030286B">
        <w:rPr>
          <w:rFonts w:ascii="Segoe UI Semibold" w:hAnsi="Segoe UI Semibold" w:cs="Segoe UI Semibold"/>
          <w:color w:val="002D72"/>
        </w:rPr>
        <w:t xml:space="preserve"> </w:t>
      </w:r>
      <w:r w:rsidRPr="0030286B">
        <w:rPr>
          <w:rFonts w:ascii="Segoe UI Semibold" w:hAnsi="Segoe UI Semibold" w:cs="Segoe UI Semibold"/>
          <w:color w:val="002D72"/>
        </w:rPr>
        <w:t>2020</w:t>
      </w:r>
    </w:p>
    <w:p w14:paraId="54F4BF1E" w14:textId="77777777" w:rsidR="00FD78B5" w:rsidRPr="00FD78B5" w:rsidRDefault="00FD78B5" w:rsidP="0038354B">
      <w:pPr>
        <w:spacing w:before="360" w:line="259" w:lineRule="auto"/>
        <w:rPr>
          <w:rFonts w:ascii="Segoe UI Semibold" w:eastAsia="MingLiU" w:hAnsi="Segoe UI Semibold" w:cs="Segoe UI Semibold"/>
          <w:color w:val="626E81"/>
          <w:sz w:val="28"/>
          <w:szCs w:val="26"/>
        </w:rPr>
      </w:pPr>
      <w:r w:rsidRPr="00FD78B5">
        <w:rPr>
          <w:rFonts w:ascii="Segoe UI Semibold" w:eastAsia="MingLiU" w:hAnsi="Segoe UI Semibold" w:cs="Segoe UI Semibold"/>
          <w:color w:val="626E81"/>
          <w:sz w:val="28"/>
          <w:szCs w:val="26"/>
        </w:rPr>
        <w:t>Annual report 2019</w:t>
      </w:r>
      <w:r w:rsidR="0038354B">
        <w:rPr>
          <w:rFonts w:ascii="Segoe UI Semibold" w:eastAsia="MingLiU" w:hAnsi="Segoe UI Semibold" w:cs="Segoe UI Semibold"/>
          <w:color w:val="626E81"/>
          <w:sz w:val="28"/>
          <w:szCs w:val="26"/>
        </w:rPr>
        <w:t>–</w:t>
      </w:r>
      <w:r w:rsidRPr="00FD78B5">
        <w:rPr>
          <w:rFonts w:ascii="Segoe UI Semibold" w:eastAsia="MingLiU" w:hAnsi="Segoe UI Semibold" w:cs="Segoe UI Semibold"/>
          <w:color w:val="626E81"/>
          <w:sz w:val="28"/>
          <w:szCs w:val="26"/>
        </w:rPr>
        <w:t>20</w:t>
      </w:r>
    </w:p>
    <w:p w14:paraId="4C54D79C" w14:textId="77777777" w:rsidR="00E7227D" w:rsidRDefault="00E7227D">
      <w:pPr>
        <w:spacing w:line="259" w:lineRule="auto"/>
      </w:pPr>
      <w:r>
        <w:br w:type="page"/>
      </w:r>
    </w:p>
    <w:p w14:paraId="6DE06338" w14:textId="77777777" w:rsidR="00E7227D" w:rsidRDefault="00E7227D" w:rsidP="002F1A23">
      <w:pPr>
        <w:spacing w:after="120" w:line="259" w:lineRule="auto"/>
      </w:pPr>
      <w:r>
        <w:lastRenderedPageBreak/>
        <w:t>© Commonwealth of Australia 2020</w:t>
      </w:r>
    </w:p>
    <w:p w14:paraId="544B5C98" w14:textId="77777777" w:rsidR="00E7227D" w:rsidRDefault="00E7227D" w:rsidP="00E7227D">
      <w:pPr>
        <w:pStyle w:val="Heading2notshowing"/>
      </w:pPr>
      <w:r>
        <w:t>Ownership of intellectual property rights in this publication</w:t>
      </w:r>
    </w:p>
    <w:p w14:paraId="6A2C19CB"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38E67423" w14:textId="77777777" w:rsidR="00E7227D" w:rsidRDefault="00E7227D" w:rsidP="00E7227D">
      <w:pPr>
        <w:pStyle w:val="Heading2notshowing"/>
      </w:pPr>
      <w:r>
        <w:t>Disclaimer</w:t>
      </w:r>
    </w:p>
    <w:p w14:paraId="7C023210"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7B47775C"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7FBB05D2" w14:textId="77777777" w:rsidR="00E7227D" w:rsidRDefault="00E7227D" w:rsidP="00E7227D">
      <w:pPr>
        <w:pStyle w:val="Heading2notshowing"/>
      </w:pPr>
      <w:r>
        <w:t>Creative Commons licence</w:t>
      </w:r>
    </w:p>
    <w:p w14:paraId="44DB3DCD"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29DECCB2"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635F9FBB" w14:textId="7777777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2020</w:t>
      </w:r>
      <w:r>
        <w:t>.</w:t>
      </w:r>
    </w:p>
    <w:p w14:paraId="667FA551" w14:textId="77777777" w:rsidR="00E7227D" w:rsidRDefault="00E7227D" w:rsidP="00E7227D">
      <w:pPr>
        <w:pStyle w:val="Heading2notshowing"/>
      </w:pPr>
      <w:r>
        <w:t>Use of the Coat of Arms</w:t>
      </w:r>
    </w:p>
    <w:p w14:paraId="49F61334" w14:textId="77777777" w:rsidR="00E7227D" w:rsidRDefault="00E7227D" w:rsidP="00E7227D">
      <w:pPr>
        <w:pStyle w:val="Normaldisclaimerpage"/>
      </w:pPr>
      <w:r>
        <w:t>The Department of the Prime Minister and Cabinet sets the terms under which the Coat of Arms is used. Please refer to the Commonwealth Coat of Arms</w:t>
      </w:r>
      <w:r w:rsidR="00EB29E7">
        <w:t>—</w:t>
      </w:r>
      <w:r>
        <w:t xml:space="preserve">Information and Guidelines publication available at </w:t>
      </w:r>
      <w:hyperlink r:id="rId14" w:history="1">
        <w:r w:rsidRPr="00AB127C">
          <w:rPr>
            <w:rStyle w:val="Hyperlink"/>
          </w:rPr>
          <w:t>www.pmc.gov.au</w:t>
        </w:r>
      </w:hyperlink>
      <w:r>
        <w:t>.</w:t>
      </w:r>
    </w:p>
    <w:p w14:paraId="004B989F" w14:textId="77777777" w:rsidR="00E7227D" w:rsidRDefault="00E7227D" w:rsidP="00E7227D">
      <w:pPr>
        <w:pStyle w:val="Heading2notshowing"/>
      </w:pPr>
      <w:r>
        <w:t>Contact us</w:t>
      </w:r>
    </w:p>
    <w:p w14:paraId="6F2AC05C" w14:textId="77777777" w:rsidR="00E7227D" w:rsidRDefault="00E7227D" w:rsidP="00E7227D">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562276E4"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r>
      <w:bookmarkStart w:id="0" w:name="_GoBack"/>
      <w:r>
        <w:t>Australia</w:t>
      </w:r>
    </w:p>
    <w:p w14:paraId="0337FF98"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bookmarkEnd w:id="0"/>
    <w:p w14:paraId="165519E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59CE6DEF" w14:textId="77777777" w:rsidR="00EB29E7" w:rsidRPr="006903D3" w:rsidRDefault="00EB29E7" w:rsidP="00EB29E7">
      <w:pPr>
        <w:pStyle w:val="Heading2notshowing"/>
      </w:pPr>
      <w:r w:rsidRPr="006903D3">
        <w:t>Contents</w:t>
      </w:r>
    </w:p>
    <w:p w14:paraId="66580D77" w14:textId="40AA84A8" w:rsidR="00D66BD8" w:rsidRDefault="00EB29E7">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63091694" w:history="1">
        <w:r w:rsidR="00D66BD8" w:rsidRPr="0006757B">
          <w:rPr>
            <w:rStyle w:val="Hyperlink"/>
            <w:noProof/>
          </w:rPr>
          <w:t>Purpose of Section 593 of the Telecommunications Act 1997</w:t>
        </w:r>
        <w:r w:rsidR="00D66BD8">
          <w:rPr>
            <w:noProof/>
            <w:webHidden/>
          </w:rPr>
          <w:tab/>
        </w:r>
        <w:r w:rsidR="00D66BD8">
          <w:rPr>
            <w:noProof/>
            <w:webHidden/>
          </w:rPr>
          <w:fldChar w:fldCharType="begin"/>
        </w:r>
        <w:r w:rsidR="00D66BD8">
          <w:rPr>
            <w:noProof/>
            <w:webHidden/>
          </w:rPr>
          <w:instrText xml:space="preserve"> PAGEREF _Toc63091694 \h </w:instrText>
        </w:r>
        <w:r w:rsidR="00D66BD8">
          <w:rPr>
            <w:noProof/>
            <w:webHidden/>
          </w:rPr>
        </w:r>
        <w:r w:rsidR="00D66BD8">
          <w:rPr>
            <w:noProof/>
            <w:webHidden/>
          </w:rPr>
          <w:fldChar w:fldCharType="separate"/>
        </w:r>
        <w:r w:rsidR="00D66BD8">
          <w:rPr>
            <w:noProof/>
            <w:webHidden/>
          </w:rPr>
          <w:t>4</w:t>
        </w:r>
        <w:r w:rsidR="00D66BD8">
          <w:rPr>
            <w:noProof/>
            <w:webHidden/>
          </w:rPr>
          <w:fldChar w:fldCharType="end"/>
        </w:r>
      </w:hyperlink>
    </w:p>
    <w:p w14:paraId="5B097255" w14:textId="0D608B3A" w:rsidR="00D66BD8" w:rsidRDefault="00D66BD8">
      <w:pPr>
        <w:pStyle w:val="TOC1"/>
        <w:rPr>
          <w:rFonts w:asciiTheme="minorHAnsi" w:eastAsiaTheme="minorEastAsia" w:hAnsiTheme="minorHAnsi"/>
          <w:b w:val="0"/>
          <w:noProof/>
          <w:color w:val="auto"/>
          <w:sz w:val="22"/>
          <w:lang w:eastAsia="en-AU"/>
        </w:rPr>
      </w:pPr>
      <w:hyperlink w:anchor="_Toc63091695" w:history="1">
        <w:r w:rsidRPr="0006757B">
          <w:rPr>
            <w:rStyle w:val="Hyperlink"/>
            <w:noProof/>
          </w:rPr>
          <w:t>Funding provided for 2019–20</w:t>
        </w:r>
        <w:r>
          <w:rPr>
            <w:noProof/>
            <w:webHidden/>
          </w:rPr>
          <w:tab/>
        </w:r>
        <w:r>
          <w:rPr>
            <w:noProof/>
            <w:webHidden/>
          </w:rPr>
          <w:fldChar w:fldCharType="begin"/>
        </w:r>
        <w:r>
          <w:rPr>
            <w:noProof/>
            <w:webHidden/>
          </w:rPr>
          <w:instrText xml:space="preserve"> PAGEREF _Toc63091695 \h </w:instrText>
        </w:r>
        <w:r>
          <w:rPr>
            <w:noProof/>
            <w:webHidden/>
          </w:rPr>
        </w:r>
        <w:r>
          <w:rPr>
            <w:noProof/>
            <w:webHidden/>
          </w:rPr>
          <w:fldChar w:fldCharType="separate"/>
        </w:r>
        <w:r>
          <w:rPr>
            <w:noProof/>
            <w:webHidden/>
          </w:rPr>
          <w:t>4</w:t>
        </w:r>
        <w:r>
          <w:rPr>
            <w:noProof/>
            <w:webHidden/>
          </w:rPr>
          <w:fldChar w:fldCharType="end"/>
        </w:r>
      </w:hyperlink>
    </w:p>
    <w:p w14:paraId="14741A7F" w14:textId="76829D55" w:rsidR="00D66BD8" w:rsidRDefault="00D66BD8">
      <w:pPr>
        <w:pStyle w:val="TOC1"/>
        <w:rPr>
          <w:rFonts w:asciiTheme="minorHAnsi" w:eastAsiaTheme="minorEastAsia" w:hAnsiTheme="minorHAnsi"/>
          <w:b w:val="0"/>
          <w:noProof/>
          <w:color w:val="auto"/>
          <w:sz w:val="22"/>
          <w:lang w:eastAsia="en-AU"/>
        </w:rPr>
      </w:pPr>
      <w:hyperlink w:anchor="_Toc63091696" w:history="1">
        <w:r w:rsidRPr="0006757B">
          <w:rPr>
            <w:rStyle w:val="Hyperlink"/>
            <w:noProof/>
          </w:rPr>
          <w:t>Assessment of ACCAN’s general performance</w:t>
        </w:r>
        <w:r>
          <w:rPr>
            <w:noProof/>
            <w:webHidden/>
          </w:rPr>
          <w:tab/>
        </w:r>
        <w:r>
          <w:rPr>
            <w:noProof/>
            <w:webHidden/>
          </w:rPr>
          <w:fldChar w:fldCharType="begin"/>
        </w:r>
        <w:r>
          <w:rPr>
            <w:noProof/>
            <w:webHidden/>
          </w:rPr>
          <w:instrText xml:space="preserve"> PAGEREF _Toc63091696 \h </w:instrText>
        </w:r>
        <w:r>
          <w:rPr>
            <w:noProof/>
            <w:webHidden/>
          </w:rPr>
        </w:r>
        <w:r>
          <w:rPr>
            <w:noProof/>
            <w:webHidden/>
          </w:rPr>
          <w:fldChar w:fldCharType="separate"/>
        </w:r>
        <w:r>
          <w:rPr>
            <w:noProof/>
            <w:webHidden/>
          </w:rPr>
          <w:t>4</w:t>
        </w:r>
        <w:r>
          <w:rPr>
            <w:noProof/>
            <w:webHidden/>
          </w:rPr>
          <w:fldChar w:fldCharType="end"/>
        </w:r>
      </w:hyperlink>
    </w:p>
    <w:p w14:paraId="45293807" w14:textId="07978298" w:rsidR="00D66BD8" w:rsidRDefault="00D66BD8">
      <w:pPr>
        <w:pStyle w:val="TOC1"/>
        <w:rPr>
          <w:rFonts w:asciiTheme="minorHAnsi" w:eastAsiaTheme="minorEastAsia" w:hAnsiTheme="minorHAnsi"/>
          <w:b w:val="0"/>
          <w:noProof/>
          <w:color w:val="auto"/>
          <w:sz w:val="22"/>
          <w:lang w:eastAsia="en-AU"/>
        </w:rPr>
      </w:pPr>
      <w:hyperlink w:anchor="_Toc63091697" w:history="1">
        <w:r w:rsidRPr="0006757B">
          <w:rPr>
            <w:rStyle w:val="Hyperlink"/>
            <w:noProof/>
          </w:rPr>
          <w:t>Independent Grants Program</w:t>
        </w:r>
        <w:r>
          <w:rPr>
            <w:noProof/>
            <w:webHidden/>
          </w:rPr>
          <w:tab/>
        </w:r>
        <w:r>
          <w:rPr>
            <w:noProof/>
            <w:webHidden/>
          </w:rPr>
          <w:fldChar w:fldCharType="begin"/>
        </w:r>
        <w:r>
          <w:rPr>
            <w:noProof/>
            <w:webHidden/>
          </w:rPr>
          <w:instrText xml:space="preserve"> PAGEREF _Toc63091697 \h </w:instrText>
        </w:r>
        <w:r>
          <w:rPr>
            <w:noProof/>
            <w:webHidden/>
          </w:rPr>
        </w:r>
        <w:r>
          <w:rPr>
            <w:noProof/>
            <w:webHidden/>
          </w:rPr>
          <w:fldChar w:fldCharType="separate"/>
        </w:r>
        <w:r>
          <w:rPr>
            <w:noProof/>
            <w:webHidden/>
          </w:rPr>
          <w:t>5</w:t>
        </w:r>
        <w:r>
          <w:rPr>
            <w:noProof/>
            <w:webHidden/>
          </w:rPr>
          <w:fldChar w:fldCharType="end"/>
        </w:r>
      </w:hyperlink>
    </w:p>
    <w:p w14:paraId="59573FBB" w14:textId="2A4A25BC" w:rsidR="00D66BD8" w:rsidRDefault="00D66BD8">
      <w:pPr>
        <w:pStyle w:val="TOC2"/>
        <w:rPr>
          <w:rFonts w:asciiTheme="minorHAnsi" w:eastAsiaTheme="minorEastAsia" w:hAnsiTheme="minorHAnsi"/>
          <w:noProof/>
          <w:sz w:val="22"/>
          <w:lang w:eastAsia="en-AU"/>
        </w:rPr>
      </w:pPr>
      <w:hyperlink w:anchor="_Toc63091698" w:history="1">
        <w:r w:rsidRPr="0006757B">
          <w:rPr>
            <w:rStyle w:val="Hyperlink"/>
            <w:noProof/>
          </w:rPr>
          <w:t>2018 grants round</w:t>
        </w:r>
        <w:r>
          <w:rPr>
            <w:noProof/>
            <w:webHidden/>
          </w:rPr>
          <w:tab/>
        </w:r>
        <w:r>
          <w:rPr>
            <w:noProof/>
            <w:webHidden/>
          </w:rPr>
          <w:fldChar w:fldCharType="begin"/>
        </w:r>
        <w:r>
          <w:rPr>
            <w:noProof/>
            <w:webHidden/>
          </w:rPr>
          <w:instrText xml:space="preserve"> PAGEREF _Toc63091698 \h </w:instrText>
        </w:r>
        <w:r>
          <w:rPr>
            <w:noProof/>
            <w:webHidden/>
          </w:rPr>
        </w:r>
        <w:r>
          <w:rPr>
            <w:noProof/>
            <w:webHidden/>
          </w:rPr>
          <w:fldChar w:fldCharType="separate"/>
        </w:r>
        <w:r>
          <w:rPr>
            <w:noProof/>
            <w:webHidden/>
          </w:rPr>
          <w:t>5</w:t>
        </w:r>
        <w:r>
          <w:rPr>
            <w:noProof/>
            <w:webHidden/>
          </w:rPr>
          <w:fldChar w:fldCharType="end"/>
        </w:r>
      </w:hyperlink>
    </w:p>
    <w:p w14:paraId="0334C4F3" w14:textId="5E8E75FB" w:rsidR="00D66BD8" w:rsidRDefault="00D66BD8">
      <w:pPr>
        <w:pStyle w:val="TOC2"/>
        <w:rPr>
          <w:rFonts w:asciiTheme="minorHAnsi" w:eastAsiaTheme="minorEastAsia" w:hAnsiTheme="minorHAnsi"/>
          <w:noProof/>
          <w:sz w:val="22"/>
          <w:lang w:eastAsia="en-AU"/>
        </w:rPr>
      </w:pPr>
      <w:hyperlink w:anchor="_Toc63091699" w:history="1">
        <w:r w:rsidRPr="0006757B">
          <w:rPr>
            <w:rStyle w:val="Hyperlink"/>
            <w:noProof/>
          </w:rPr>
          <w:t>2019 grants round</w:t>
        </w:r>
        <w:r>
          <w:rPr>
            <w:noProof/>
            <w:webHidden/>
          </w:rPr>
          <w:tab/>
        </w:r>
        <w:r>
          <w:rPr>
            <w:noProof/>
            <w:webHidden/>
          </w:rPr>
          <w:fldChar w:fldCharType="begin"/>
        </w:r>
        <w:r>
          <w:rPr>
            <w:noProof/>
            <w:webHidden/>
          </w:rPr>
          <w:instrText xml:space="preserve"> PAGEREF _Toc63091699 \h </w:instrText>
        </w:r>
        <w:r>
          <w:rPr>
            <w:noProof/>
            <w:webHidden/>
          </w:rPr>
        </w:r>
        <w:r>
          <w:rPr>
            <w:noProof/>
            <w:webHidden/>
          </w:rPr>
          <w:fldChar w:fldCharType="separate"/>
        </w:r>
        <w:r>
          <w:rPr>
            <w:noProof/>
            <w:webHidden/>
          </w:rPr>
          <w:t>6</w:t>
        </w:r>
        <w:r>
          <w:rPr>
            <w:noProof/>
            <w:webHidden/>
          </w:rPr>
          <w:fldChar w:fldCharType="end"/>
        </w:r>
      </w:hyperlink>
    </w:p>
    <w:p w14:paraId="1A7453DB" w14:textId="57DBBBB4" w:rsidR="00D66BD8" w:rsidRDefault="00D66BD8">
      <w:pPr>
        <w:pStyle w:val="TOC2"/>
        <w:rPr>
          <w:rFonts w:asciiTheme="minorHAnsi" w:eastAsiaTheme="minorEastAsia" w:hAnsiTheme="minorHAnsi"/>
          <w:noProof/>
          <w:sz w:val="22"/>
          <w:lang w:eastAsia="en-AU"/>
        </w:rPr>
      </w:pPr>
      <w:hyperlink w:anchor="_Toc63091700" w:history="1">
        <w:r w:rsidRPr="0006757B">
          <w:rPr>
            <w:rStyle w:val="Hyperlink"/>
            <w:noProof/>
          </w:rPr>
          <w:t>Upcoming 2020 grants round</w:t>
        </w:r>
        <w:r>
          <w:rPr>
            <w:noProof/>
            <w:webHidden/>
          </w:rPr>
          <w:tab/>
        </w:r>
        <w:r>
          <w:rPr>
            <w:noProof/>
            <w:webHidden/>
          </w:rPr>
          <w:fldChar w:fldCharType="begin"/>
        </w:r>
        <w:r>
          <w:rPr>
            <w:noProof/>
            <w:webHidden/>
          </w:rPr>
          <w:instrText xml:space="preserve"> PAGEREF _Toc63091700 \h </w:instrText>
        </w:r>
        <w:r>
          <w:rPr>
            <w:noProof/>
            <w:webHidden/>
          </w:rPr>
        </w:r>
        <w:r>
          <w:rPr>
            <w:noProof/>
            <w:webHidden/>
          </w:rPr>
          <w:fldChar w:fldCharType="separate"/>
        </w:r>
        <w:r>
          <w:rPr>
            <w:noProof/>
            <w:webHidden/>
          </w:rPr>
          <w:t>6</w:t>
        </w:r>
        <w:r>
          <w:rPr>
            <w:noProof/>
            <w:webHidden/>
          </w:rPr>
          <w:fldChar w:fldCharType="end"/>
        </w:r>
      </w:hyperlink>
    </w:p>
    <w:p w14:paraId="7BC1A72A" w14:textId="09406509" w:rsidR="00D66BD8" w:rsidRDefault="00D66BD8">
      <w:pPr>
        <w:pStyle w:val="TOC1"/>
        <w:rPr>
          <w:rFonts w:asciiTheme="minorHAnsi" w:eastAsiaTheme="minorEastAsia" w:hAnsiTheme="minorHAnsi"/>
          <w:b w:val="0"/>
          <w:noProof/>
          <w:color w:val="auto"/>
          <w:sz w:val="22"/>
          <w:lang w:eastAsia="en-AU"/>
        </w:rPr>
      </w:pPr>
      <w:hyperlink w:anchor="_Toc63091701" w:history="1">
        <w:r w:rsidRPr="0006757B">
          <w:rPr>
            <w:rStyle w:val="Hyperlink"/>
            <w:noProof/>
          </w:rPr>
          <w:t>Financial accounts</w:t>
        </w:r>
        <w:r>
          <w:rPr>
            <w:noProof/>
            <w:webHidden/>
          </w:rPr>
          <w:tab/>
        </w:r>
        <w:r>
          <w:rPr>
            <w:noProof/>
            <w:webHidden/>
          </w:rPr>
          <w:fldChar w:fldCharType="begin"/>
        </w:r>
        <w:r>
          <w:rPr>
            <w:noProof/>
            <w:webHidden/>
          </w:rPr>
          <w:instrText xml:space="preserve"> PAGEREF _Toc63091701 \h </w:instrText>
        </w:r>
        <w:r>
          <w:rPr>
            <w:noProof/>
            <w:webHidden/>
          </w:rPr>
        </w:r>
        <w:r>
          <w:rPr>
            <w:noProof/>
            <w:webHidden/>
          </w:rPr>
          <w:fldChar w:fldCharType="separate"/>
        </w:r>
        <w:r>
          <w:rPr>
            <w:noProof/>
            <w:webHidden/>
          </w:rPr>
          <w:t>6</w:t>
        </w:r>
        <w:r>
          <w:rPr>
            <w:noProof/>
            <w:webHidden/>
          </w:rPr>
          <w:fldChar w:fldCharType="end"/>
        </w:r>
      </w:hyperlink>
    </w:p>
    <w:p w14:paraId="67982AD9" w14:textId="04770DC6" w:rsidR="00EB29E7" w:rsidRDefault="00EB29E7" w:rsidP="00EB29E7">
      <w:r>
        <w:fldChar w:fldCharType="end"/>
      </w:r>
    </w:p>
    <w:p w14:paraId="53B0C59C" w14:textId="77777777" w:rsidR="00EB29E7" w:rsidRPr="005113AA" w:rsidRDefault="00EB29E7" w:rsidP="00EB29E7">
      <w:pPr>
        <w:pStyle w:val="Heading2notshowing"/>
      </w:pPr>
      <w:r w:rsidRPr="005113AA">
        <w:t>Tables / images</w:t>
      </w:r>
    </w:p>
    <w:p w14:paraId="02150AA6" w14:textId="796026B1" w:rsidR="00D66BD8" w:rsidRDefault="00EB29E7">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63091705" w:history="1">
        <w:r w:rsidR="00D66BD8" w:rsidRPr="00143D57">
          <w:rPr>
            <w:rStyle w:val="Hyperlink"/>
            <w:noProof/>
          </w:rPr>
          <w:t>Table 1: 2018 grants round projects funded in 2019–2020</w:t>
        </w:r>
        <w:r w:rsidR="00D66BD8">
          <w:rPr>
            <w:noProof/>
            <w:webHidden/>
          </w:rPr>
          <w:tab/>
        </w:r>
        <w:r w:rsidR="00D66BD8">
          <w:rPr>
            <w:noProof/>
            <w:webHidden/>
          </w:rPr>
          <w:fldChar w:fldCharType="begin"/>
        </w:r>
        <w:r w:rsidR="00D66BD8">
          <w:rPr>
            <w:noProof/>
            <w:webHidden/>
          </w:rPr>
          <w:instrText xml:space="preserve"> PAGEREF _Toc63091705 \h </w:instrText>
        </w:r>
        <w:r w:rsidR="00D66BD8">
          <w:rPr>
            <w:noProof/>
            <w:webHidden/>
          </w:rPr>
        </w:r>
        <w:r w:rsidR="00D66BD8">
          <w:rPr>
            <w:noProof/>
            <w:webHidden/>
          </w:rPr>
          <w:fldChar w:fldCharType="separate"/>
        </w:r>
        <w:r w:rsidR="00D66BD8">
          <w:rPr>
            <w:noProof/>
            <w:webHidden/>
          </w:rPr>
          <w:t>5</w:t>
        </w:r>
        <w:r w:rsidR="00D66BD8">
          <w:rPr>
            <w:noProof/>
            <w:webHidden/>
          </w:rPr>
          <w:fldChar w:fldCharType="end"/>
        </w:r>
      </w:hyperlink>
    </w:p>
    <w:p w14:paraId="7C4634CE" w14:textId="662BC76F" w:rsidR="00D66BD8" w:rsidRDefault="00D66BD8">
      <w:pPr>
        <w:pStyle w:val="TOC4"/>
        <w:rPr>
          <w:rFonts w:asciiTheme="minorHAnsi" w:eastAsiaTheme="minorEastAsia" w:hAnsiTheme="minorHAnsi"/>
          <w:noProof/>
          <w:sz w:val="22"/>
          <w:lang w:eastAsia="en-AU"/>
        </w:rPr>
      </w:pPr>
      <w:hyperlink w:anchor="_Toc63091706" w:history="1">
        <w:r w:rsidRPr="00143D57">
          <w:rPr>
            <w:rStyle w:val="Hyperlink"/>
            <w:noProof/>
          </w:rPr>
          <w:t>Table 2: 2019 grants round projects funded in 2019–2020</w:t>
        </w:r>
        <w:r>
          <w:rPr>
            <w:noProof/>
            <w:webHidden/>
          </w:rPr>
          <w:tab/>
        </w:r>
        <w:r>
          <w:rPr>
            <w:noProof/>
            <w:webHidden/>
          </w:rPr>
          <w:fldChar w:fldCharType="begin"/>
        </w:r>
        <w:r>
          <w:rPr>
            <w:noProof/>
            <w:webHidden/>
          </w:rPr>
          <w:instrText xml:space="preserve"> PAGEREF _Toc63091706 \h </w:instrText>
        </w:r>
        <w:r>
          <w:rPr>
            <w:noProof/>
            <w:webHidden/>
          </w:rPr>
        </w:r>
        <w:r>
          <w:rPr>
            <w:noProof/>
            <w:webHidden/>
          </w:rPr>
          <w:fldChar w:fldCharType="separate"/>
        </w:r>
        <w:r>
          <w:rPr>
            <w:noProof/>
            <w:webHidden/>
          </w:rPr>
          <w:t>6</w:t>
        </w:r>
        <w:r>
          <w:rPr>
            <w:noProof/>
            <w:webHidden/>
          </w:rPr>
          <w:fldChar w:fldCharType="end"/>
        </w:r>
      </w:hyperlink>
    </w:p>
    <w:p w14:paraId="4DE132EC" w14:textId="0BC0E4C5" w:rsidR="00A82DAF" w:rsidRDefault="00EB29E7" w:rsidP="00EB29E7">
      <w:r w:rsidRPr="005113AA">
        <w:fldChar w:fldCharType="end"/>
      </w:r>
    </w:p>
    <w:p w14:paraId="536B7009" w14:textId="77777777" w:rsidR="00A82DAF" w:rsidRDefault="00A82DAF" w:rsidP="00A82DAF"/>
    <w:p w14:paraId="5BB5DD1D"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6AF08530" w14:textId="77777777" w:rsidR="00772C27" w:rsidRDefault="00293CE3" w:rsidP="007A7E9E">
      <w:pPr>
        <w:pStyle w:val="Heading2"/>
      </w:pPr>
      <w:bookmarkStart w:id="1" w:name="_Toc57128449"/>
      <w:bookmarkStart w:id="2" w:name="_Toc63091694"/>
      <w:r>
        <w:t>Purpose of Section 593 of the Telecommunications Act</w:t>
      </w:r>
      <w:r w:rsidR="00BC1006">
        <w:t> </w:t>
      </w:r>
      <w:r>
        <w:t>1997</w:t>
      </w:r>
      <w:bookmarkEnd w:id="1"/>
      <w:bookmarkEnd w:id="2"/>
    </w:p>
    <w:p w14:paraId="2832729B" w14:textId="77777777" w:rsidR="00BD3DDF" w:rsidRPr="00F66970" w:rsidRDefault="00BD3DDF" w:rsidP="00BD3DDF">
      <w:r>
        <w:t xml:space="preserve">Section 593 of the </w:t>
      </w:r>
      <w:r w:rsidRPr="00BD3DDF">
        <w:rPr>
          <w:i/>
        </w:rPr>
        <w:t>Telecommunications Act</w:t>
      </w:r>
      <w:r>
        <w:t xml:space="preserve"> 1997 (Telco Act) </w:t>
      </w:r>
      <w:r w:rsidRPr="00F66970">
        <w:t>provides for the Minister for Communications</w:t>
      </w:r>
      <w:r w:rsidR="00DE2368">
        <w:t>, Cyber Safety and the Arts</w:t>
      </w:r>
      <w:r w:rsidRPr="00F66970">
        <w:t xml:space="preserve"> (Minister) to make grants of financial assistance to:</w:t>
      </w:r>
    </w:p>
    <w:p w14:paraId="32637B00" w14:textId="77777777" w:rsidR="00BD3DDF" w:rsidRPr="00BC1006" w:rsidRDefault="00BD3DDF" w:rsidP="00BC1006">
      <w:pPr>
        <w:pStyle w:val="Listparagraphbullets"/>
      </w:pPr>
      <w:r w:rsidRPr="00BC1006">
        <w:t>consumer bodies for purposes in connection with the representation of the interests of consumers in relation to telecommunications issues; and</w:t>
      </w:r>
    </w:p>
    <w:p w14:paraId="2D728EE9" w14:textId="77777777" w:rsidR="00BD3DDF" w:rsidRPr="00BC1006" w:rsidRDefault="00BD3DDF" w:rsidP="00BC1006">
      <w:pPr>
        <w:pStyle w:val="Listparagraphbullets"/>
      </w:pPr>
      <w:r w:rsidRPr="00BC1006">
        <w:t>persons or bodies for purposes in connection with research into social, economic, environmental or technological implications of developments relating to telecommunications.</w:t>
      </w:r>
    </w:p>
    <w:p w14:paraId="1EE1474E" w14:textId="77777777" w:rsidR="00217C11" w:rsidRDefault="00293CE3" w:rsidP="00217C11">
      <w:pPr>
        <w:pStyle w:val="Heading2"/>
      </w:pPr>
      <w:bookmarkStart w:id="3" w:name="_Toc57128450"/>
      <w:bookmarkStart w:id="4" w:name="_Toc63091695"/>
      <w:r>
        <w:t>Funding provided for 2019</w:t>
      </w:r>
      <w:r w:rsidR="00BC1006">
        <w:t>–</w:t>
      </w:r>
      <w:r>
        <w:t>20</w:t>
      </w:r>
      <w:bookmarkEnd w:id="3"/>
      <w:bookmarkEnd w:id="4"/>
    </w:p>
    <w:p w14:paraId="437939D4" w14:textId="77777777" w:rsidR="00F60AA2" w:rsidRDefault="007A7E9E" w:rsidP="00F60AA2">
      <w:r>
        <w:t xml:space="preserve">In </w:t>
      </w:r>
      <w:r w:rsidR="00BC1006">
        <w:t>2019–20</w:t>
      </w:r>
      <w:r>
        <w:t>, f</w:t>
      </w:r>
      <w:r w:rsidR="00F60AA2">
        <w:t>unding under section 593 of the Telco Act was provided only to the Australian Communications Consumer Action Network (ACCAN). This funding was provided under contract between ACCAN and the</w:t>
      </w:r>
      <w:r w:rsidR="000D2885">
        <w:t xml:space="preserve"> </w:t>
      </w:r>
      <w:r>
        <w:t>then-</w:t>
      </w:r>
      <w:r w:rsidR="00F60AA2">
        <w:t xml:space="preserve">Department of Communications </w:t>
      </w:r>
      <w:r w:rsidR="000D2885">
        <w:t xml:space="preserve">and the Arts </w:t>
      </w:r>
      <w:r w:rsidR="00F60AA2">
        <w:t>(the Funding Agreement).</w:t>
      </w:r>
      <w:r w:rsidR="001F2651">
        <w:t xml:space="preserve"> </w:t>
      </w:r>
      <w:r w:rsidR="00F60AA2">
        <w:t>ACCAN was provided with $2,</w:t>
      </w:r>
      <w:r w:rsidR="00DE2368">
        <w:t>322</w:t>
      </w:r>
      <w:r w:rsidR="00F60AA2">
        <w:t xml:space="preserve">,000 (GST-exclusive) for the </w:t>
      </w:r>
      <w:r w:rsidR="00BC1006">
        <w:t>2019–20</w:t>
      </w:r>
      <w:r w:rsidR="00F60AA2">
        <w:t xml:space="preserve"> financial year.</w:t>
      </w:r>
      <w:r w:rsidR="001C787A">
        <w:t xml:space="preserve"> The Department of Communications and the Arts merged with the Department of Infrastructure, Transport, Cities and Regional Development in February 2020</w:t>
      </w:r>
      <w:r>
        <w:t>,</w:t>
      </w:r>
      <w:r w:rsidR="00EF42F4">
        <w:t xml:space="preserve"> to form the Department of Infrastructure, Transport, Regional Development and Communications (DITRDC)</w:t>
      </w:r>
      <w:r>
        <w:t>,</w:t>
      </w:r>
      <w:r w:rsidR="00C65793">
        <w:t xml:space="preserve"> which now administers the section 593 grants</w:t>
      </w:r>
      <w:r w:rsidR="001C787A">
        <w:t>.</w:t>
      </w:r>
    </w:p>
    <w:p w14:paraId="1CAC403A" w14:textId="77777777" w:rsidR="00F60AA2" w:rsidRDefault="00F60AA2" w:rsidP="00F60AA2">
      <w:r>
        <w:t>Each quarterly payment to ACCAN under the Funding Agreement is subject to quarterly assessment of the six Key Performance Indicators (KPIs) and related activities, set out in the Funding Agreement.</w:t>
      </w:r>
    </w:p>
    <w:p w14:paraId="1728AC1E" w14:textId="77777777" w:rsidR="001C787A" w:rsidRDefault="00F60AA2" w:rsidP="00F60AA2">
      <w:r>
        <w:t xml:space="preserve">The funding provided to ACCAN under section 593 of the Telco Act is recovered from the annual carrier licence charge imposed on eligible carrier licences under the </w:t>
      </w:r>
      <w:r w:rsidRPr="00F60AA2">
        <w:t>Telecommunications (Carrier Licence Charges) Act 1997</w:t>
      </w:r>
      <w:r>
        <w:t>.</w:t>
      </w:r>
      <w:bookmarkStart w:id="5" w:name="_Most_common_accessibility"/>
      <w:bookmarkEnd w:id="5"/>
      <w:r>
        <w:t xml:space="preserve"> </w:t>
      </w:r>
    </w:p>
    <w:p w14:paraId="0E5FB379" w14:textId="77777777" w:rsidR="000740FB" w:rsidRDefault="00BD3DDF" w:rsidP="000740FB">
      <w:pPr>
        <w:pStyle w:val="Heading2"/>
      </w:pPr>
      <w:bookmarkStart w:id="6" w:name="_Toc57128451"/>
      <w:bookmarkStart w:id="7" w:name="_Toc63091696"/>
      <w:r>
        <w:t>Assessment of ACCAN’s general performance</w:t>
      </w:r>
      <w:bookmarkEnd w:id="6"/>
      <w:bookmarkEnd w:id="7"/>
    </w:p>
    <w:p w14:paraId="0874E1C2" w14:textId="77777777" w:rsidR="00F60AA2" w:rsidRDefault="00F60AA2" w:rsidP="00F60AA2">
      <w:pPr>
        <w:keepNext/>
      </w:pPr>
      <w:r>
        <w:t xml:space="preserve">Quarterly progress reports provided to the Department in </w:t>
      </w:r>
      <w:r w:rsidR="00BC1006">
        <w:t>2019–20</w:t>
      </w:r>
      <w:r>
        <w:t xml:space="preserve"> demonstrated that ACCAN satisfactorily met each of its KPIs and Funding Agreement milestones. ACCAN published its </w:t>
      </w:r>
      <w:r w:rsidR="00BC1006">
        <w:t>2019–20</w:t>
      </w:r>
      <w:r>
        <w:t xml:space="preserve"> </w:t>
      </w:r>
      <w:hyperlink r:id="rId20" w:history="1">
        <w:r w:rsidRPr="00F60AA2">
          <w:t>Annual Report</w:t>
        </w:r>
      </w:hyperlink>
      <w:r>
        <w:t xml:space="preserve"> on its website</w:t>
      </w:r>
      <w:r w:rsidR="00EF42F4">
        <w:t xml:space="preserve"> on </w:t>
      </w:r>
      <w:r w:rsidR="00824A22">
        <w:t>24 September 2020</w:t>
      </w:r>
      <w:r>
        <w:t xml:space="preserve">. The report showed that in </w:t>
      </w:r>
      <w:r w:rsidR="00BC1006">
        <w:t>2019–20</w:t>
      </w:r>
      <w:r>
        <w:t>, ACCAN:</w:t>
      </w:r>
    </w:p>
    <w:p w14:paraId="070576D1" w14:textId="77777777" w:rsidR="00F60AA2" w:rsidRPr="00830420" w:rsidRDefault="00F60AA2" w:rsidP="00F60AA2">
      <w:pPr>
        <w:pStyle w:val="Listparagraphbullets"/>
      </w:pPr>
      <w:r w:rsidRPr="00830420">
        <w:t xml:space="preserve">represented consumer interests </w:t>
      </w:r>
      <w:r>
        <w:t>on</w:t>
      </w:r>
      <w:r w:rsidRPr="00830420">
        <w:t xml:space="preserve"> </w:t>
      </w:r>
      <w:r w:rsidR="00035402" w:rsidRPr="00830420">
        <w:t>3</w:t>
      </w:r>
      <w:r w:rsidR="00035402">
        <w:t>1</w:t>
      </w:r>
      <w:r w:rsidR="00035402" w:rsidRPr="00830420">
        <w:t xml:space="preserve"> </w:t>
      </w:r>
      <w:r w:rsidRPr="00830420">
        <w:t>government, industry and regulatory committees;</w:t>
      </w:r>
    </w:p>
    <w:p w14:paraId="77ABF143" w14:textId="77777777" w:rsidR="00F60AA2" w:rsidRPr="00830420" w:rsidRDefault="00F60AA2" w:rsidP="00F60AA2">
      <w:pPr>
        <w:pStyle w:val="Listparagraphbullets"/>
      </w:pPr>
      <w:r w:rsidRPr="00830420">
        <w:t xml:space="preserve">made </w:t>
      </w:r>
      <w:r w:rsidR="00035402">
        <w:t>64</w:t>
      </w:r>
      <w:r w:rsidR="00035402" w:rsidRPr="00830420">
        <w:t xml:space="preserve"> </w:t>
      </w:r>
      <w:r w:rsidRPr="00830420">
        <w:t xml:space="preserve">submissions to government, regulatory and other inquiries, </w:t>
      </w:r>
      <w:r w:rsidR="00444C72">
        <w:t>most</w:t>
      </w:r>
      <w:r w:rsidR="00444C72" w:rsidRPr="00830420">
        <w:t xml:space="preserve"> </w:t>
      </w:r>
      <w:r w:rsidRPr="00830420">
        <w:t xml:space="preserve">of which are available at </w:t>
      </w:r>
      <w:hyperlink r:id="rId21" w:history="1">
        <w:r w:rsidRPr="00F60AA2">
          <w:t>www.accan.org.au/submissions</w:t>
        </w:r>
      </w:hyperlink>
      <w:r w:rsidRPr="00830420">
        <w:t>;</w:t>
      </w:r>
    </w:p>
    <w:p w14:paraId="1A53802B" w14:textId="77777777" w:rsidR="00F60AA2" w:rsidRDefault="00F60AA2" w:rsidP="00F60AA2">
      <w:pPr>
        <w:pStyle w:val="Listparagraphbullets"/>
      </w:pPr>
      <w:r w:rsidRPr="00830420">
        <w:t xml:space="preserve">raised consumer awareness, including publishing </w:t>
      </w:r>
      <w:r w:rsidR="00035402">
        <w:t>18</w:t>
      </w:r>
      <w:r w:rsidR="00035402" w:rsidRPr="00830420">
        <w:t xml:space="preserve"> </w:t>
      </w:r>
      <w:r w:rsidRPr="00830420">
        <w:t>new telecommunication consumer publications, achieving 1,</w:t>
      </w:r>
      <w:r w:rsidR="00035402">
        <w:t>160</w:t>
      </w:r>
      <w:r w:rsidR="00035402" w:rsidRPr="00830420">
        <w:t xml:space="preserve"> </w:t>
      </w:r>
      <w:r w:rsidRPr="00830420">
        <w:t xml:space="preserve">media mentions, and attracting </w:t>
      </w:r>
      <w:r w:rsidR="00035402" w:rsidRPr="00830420">
        <w:t>15</w:t>
      </w:r>
      <w:r w:rsidR="00035402">
        <w:t>4</w:t>
      </w:r>
      <w:r w:rsidRPr="00830420">
        <w:t>,1</w:t>
      </w:r>
      <w:r w:rsidR="00035402">
        <w:t>82</w:t>
      </w:r>
      <w:r w:rsidRPr="00830420">
        <w:t xml:space="preserve"> website visits;</w:t>
      </w:r>
    </w:p>
    <w:p w14:paraId="1068A999" w14:textId="77777777" w:rsidR="00035402" w:rsidRPr="00830420" w:rsidRDefault="00035402" w:rsidP="00F60AA2">
      <w:pPr>
        <w:pStyle w:val="Listparagraphbullets"/>
      </w:pPr>
      <w:r>
        <w:t>saw its social media audience grow to 4,947 followers across Twitter and Facebook;</w:t>
      </w:r>
    </w:p>
    <w:p w14:paraId="1A3EF9FF" w14:textId="77777777" w:rsidR="00F60AA2" w:rsidRPr="00830420" w:rsidRDefault="0095740D" w:rsidP="00F60AA2">
      <w:pPr>
        <w:pStyle w:val="Listparagraphbullets"/>
      </w:pPr>
      <w:r>
        <w:t>hosted</w:t>
      </w:r>
      <w:r w:rsidRPr="00830420">
        <w:t xml:space="preserve"> </w:t>
      </w:r>
      <w:r w:rsidR="00F60AA2" w:rsidRPr="00830420">
        <w:t>its</w:t>
      </w:r>
      <w:r>
        <w:t xml:space="preserve"> </w:t>
      </w:r>
      <w:r w:rsidR="00F60AA2" w:rsidRPr="00830420">
        <w:t>annual conference</w:t>
      </w:r>
      <w:r w:rsidR="0093162D">
        <w:t xml:space="preserve"> (</w:t>
      </w:r>
      <w:r w:rsidR="00DB537F">
        <w:t>on 11 and 12</w:t>
      </w:r>
      <w:r w:rsidR="0093162D">
        <w:t xml:space="preserve"> September 2019)</w:t>
      </w:r>
      <w:r w:rsidR="00F60AA2" w:rsidRPr="00830420">
        <w:t xml:space="preserve">, </w:t>
      </w:r>
      <w:proofErr w:type="spellStart"/>
      <w:r w:rsidR="00F60AA2" w:rsidRPr="00F60AA2">
        <w:t>ACCANect</w:t>
      </w:r>
      <w:proofErr w:type="spellEnd"/>
      <w:r w:rsidR="00BC1006">
        <w:t>—</w:t>
      </w:r>
      <w:r>
        <w:t>Communications Consumers: The Next 10 years</w:t>
      </w:r>
      <w:r w:rsidR="00F60AA2" w:rsidRPr="00F60AA2">
        <w:t>,</w:t>
      </w:r>
      <w:r w:rsidR="00F60AA2" w:rsidRPr="00830420">
        <w:t xml:space="preserve"> which was attended by </w:t>
      </w:r>
      <w:r w:rsidR="00634BEF" w:rsidRPr="00830420">
        <w:t>1</w:t>
      </w:r>
      <w:r w:rsidR="00634BEF">
        <w:t>70</w:t>
      </w:r>
      <w:r w:rsidR="00634BEF" w:rsidRPr="00830420">
        <w:t xml:space="preserve"> </w:t>
      </w:r>
      <w:r w:rsidR="00F60AA2" w:rsidRPr="00830420">
        <w:t>delegates;</w:t>
      </w:r>
    </w:p>
    <w:p w14:paraId="7D0973F0" w14:textId="77777777" w:rsidR="00F60AA2" w:rsidRPr="00830420" w:rsidRDefault="0095740D" w:rsidP="00BD1299">
      <w:pPr>
        <w:pStyle w:val="Listparagraphbullets"/>
        <w:ind w:right="-57"/>
      </w:pPr>
      <w:r>
        <w:t>launched Talking Telco with over 70 resources of consumer education material in multiple formats, channels and languages to help consumers understand their telecommunications rights</w:t>
      </w:r>
      <w:r w:rsidR="00F60AA2">
        <w:t>;</w:t>
      </w:r>
    </w:p>
    <w:p w14:paraId="6EB1C940" w14:textId="77777777" w:rsidR="00F60AA2" w:rsidRPr="00325626" w:rsidRDefault="00F60AA2" w:rsidP="00F60AA2">
      <w:pPr>
        <w:pStyle w:val="Listparagraphbullets"/>
      </w:pPr>
      <w:r w:rsidRPr="00325626">
        <w:t>commissioned</w:t>
      </w:r>
      <w:r w:rsidR="00E2714D" w:rsidRPr="000D2885">
        <w:t xml:space="preserve"> four</w:t>
      </w:r>
      <w:r w:rsidRPr="00325626">
        <w:t xml:space="preserve"> research projects </w:t>
      </w:r>
      <w:r w:rsidR="00710497" w:rsidRPr="00325626">
        <w:t>on</w:t>
      </w:r>
      <w:r w:rsidRPr="00325626">
        <w:t xml:space="preserve"> </w:t>
      </w:r>
      <w:r w:rsidR="00E2714D" w:rsidRPr="000D2885">
        <w:t>improving consumer safeguards and empowering consumer decision making</w:t>
      </w:r>
      <w:r w:rsidR="00C43983" w:rsidRPr="000D2885">
        <w:t>;</w:t>
      </w:r>
    </w:p>
    <w:p w14:paraId="3582A140" w14:textId="77777777" w:rsidR="00F60AA2" w:rsidRDefault="00F60AA2" w:rsidP="00F60AA2">
      <w:pPr>
        <w:pStyle w:val="Listparagraphbullets"/>
      </w:pPr>
      <w:r>
        <w:t xml:space="preserve">issued </w:t>
      </w:r>
      <w:r w:rsidR="00035402">
        <w:t xml:space="preserve">27 </w:t>
      </w:r>
      <w:r>
        <w:t>media releases on telecommunications consumer issues including</w:t>
      </w:r>
      <w:r w:rsidR="00035402">
        <w:t xml:space="preserve"> the No Australian Left Offline initiative, and the need for</w:t>
      </w:r>
      <w:r>
        <w:t xml:space="preserve"> broadband affordability and service reliability</w:t>
      </w:r>
      <w:r w:rsidR="00035402">
        <w:t xml:space="preserve"> </w:t>
      </w:r>
      <w:r w:rsidR="00710497">
        <w:t xml:space="preserve">which has been </w:t>
      </w:r>
      <w:r w:rsidR="006E26EE">
        <w:t>of particular significance</w:t>
      </w:r>
      <w:r w:rsidR="00035402">
        <w:t xml:space="preserve"> during the C</w:t>
      </w:r>
      <w:r w:rsidR="0093162D">
        <w:t>OVID</w:t>
      </w:r>
      <w:r w:rsidR="00035402">
        <w:t>-19 pandemic</w:t>
      </w:r>
      <w:r>
        <w:t>.</w:t>
      </w:r>
    </w:p>
    <w:p w14:paraId="6F70D79C" w14:textId="77777777" w:rsidR="00F60AA2" w:rsidRDefault="00F60AA2" w:rsidP="00F60AA2">
      <w:pPr>
        <w:keepNext/>
      </w:pPr>
      <w:r>
        <w:t>ACCAN reported a decrease in membership to 1</w:t>
      </w:r>
      <w:r w:rsidR="006E26EE">
        <w:t>09</w:t>
      </w:r>
      <w:r>
        <w:t xml:space="preserve"> organisational and </w:t>
      </w:r>
      <w:r w:rsidR="006E26EE">
        <w:t xml:space="preserve">96 </w:t>
      </w:r>
      <w:r>
        <w:t xml:space="preserve">individual members in </w:t>
      </w:r>
      <w:r w:rsidR="00BC1006">
        <w:t>2019–20</w:t>
      </w:r>
      <w:r>
        <w:t xml:space="preserve">, compared to </w:t>
      </w:r>
      <w:r w:rsidR="006E26EE">
        <w:t xml:space="preserve">111 </w:t>
      </w:r>
      <w:r>
        <w:t>organisational and 1</w:t>
      </w:r>
      <w:r w:rsidR="006E26EE">
        <w:t>02</w:t>
      </w:r>
      <w:r>
        <w:t xml:space="preserve"> individual members in </w:t>
      </w:r>
      <w:r w:rsidR="00BC1006">
        <w:t>2018–19</w:t>
      </w:r>
      <w:r>
        <w:t>. Org</w:t>
      </w:r>
      <w:r w:rsidR="0094088D">
        <w:t>anisational membership comprise</w:t>
      </w:r>
      <w:r w:rsidR="00F3352F">
        <w:t>d</w:t>
      </w:r>
      <w:r>
        <w:t xml:space="preserve"> of groups from disability advocacy, remote and rural consumers, indigenous organisations, culturally and linguistically diverse (CALD) groups, and others from across Australia.</w:t>
      </w:r>
    </w:p>
    <w:p w14:paraId="570C60D3" w14:textId="77777777" w:rsidR="00F60AA2" w:rsidRDefault="00F60AA2" w:rsidP="00F60AA2">
      <w:pPr>
        <w:keepNext/>
      </w:pPr>
      <w:r>
        <w:t>ACCAN held</w:t>
      </w:r>
      <w:r w:rsidR="0074264D">
        <w:t xml:space="preserve"> all of its</w:t>
      </w:r>
      <w:r>
        <w:t xml:space="preserve"> </w:t>
      </w:r>
      <w:r w:rsidR="006E26EE">
        <w:t xml:space="preserve">four </w:t>
      </w:r>
      <w:r>
        <w:t>advisory forums</w:t>
      </w:r>
      <w:r w:rsidR="006E26EE">
        <w:t xml:space="preserve"> virtually</w:t>
      </w:r>
      <w:r>
        <w:t xml:space="preserve"> during </w:t>
      </w:r>
      <w:r w:rsidR="0074264D">
        <w:t xml:space="preserve">the </w:t>
      </w:r>
      <w:r w:rsidR="00BC1006">
        <w:t>2019–20</w:t>
      </w:r>
      <w:r w:rsidR="006E26EE">
        <w:t xml:space="preserve"> period</w:t>
      </w:r>
      <w:r w:rsidR="007A7E9E">
        <w:t>,</w:t>
      </w:r>
      <w:r>
        <w:t xml:space="preserve"> </w:t>
      </w:r>
      <w:r w:rsidR="0074264D">
        <w:t xml:space="preserve">which included </w:t>
      </w:r>
      <w:r>
        <w:t>the Indigenous Advisory Forum, the Members Advisory Forum</w:t>
      </w:r>
      <w:r w:rsidR="006E26EE">
        <w:t>,</w:t>
      </w:r>
      <w:r>
        <w:t xml:space="preserve"> the Small Business Advisory Forum</w:t>
      </w:r>
      <w:r w:rsidR="006E26EE">
        <w:t xml:space="preserve"> and the Disability Advisory Forum</w:t>
      </w:r>
      <w:r w:rsidR="00BC1006">
        <w:t>.</w:t>
      </w:r>
    </w:p>
    <w:p w14:paraId="10EB60E3" w14:textId="77777777" w:rsidR="006D615B" w:rsidRPr="00BC1006" w:rsidRDefault="000D2885" w:rsidP="00BC1006">
      <w:r w:rsidRPr="00BC1006">
        <w:t>Dean Barton-Smith stepped down</w:t>
      </w:r>
      <w:r w:rsidR="00444C72" w:rsidRPr="00BC1006">
        <w:t xml:space="preserve"> as Director</w:t>
      </w:r>
      <w:r w:rsidRPr="00BC1006">
        <w:t xml:space="preserve"> from ACCAN’s board and</w:t>
      </w:r>
      <w:r w:rsidR="00DB537F" w:rsidRPr="00BC1006">
        <w:t xml:space="preserve"> subsequently</w:t>
      </w:r>
      <w:r w:rsidRPr="00BC1006">
        <w:t xml:space="preserve"> </w:t>
      </w:r>
      <w:r w:rsidR="0074264D" w:rsidRPr="00BC1006">
        <w:t xml:space="preserve">Keith </w:t>
      </w:r>
      <w:proofErr w:type="spellStart"/>
      <w:r w:rsidR="0074264D" w:rsidRPr="00BC1006">
        <w:t>Besgrove</w:t>
      </w:r>
      <w:proofErr w:type="spellEnd"/>
      <w:r w:rsidR="0074264D" w:rsidRPr="00BC1006">
        <w:t xml:space="preserve"> </w:t>
      </w:r>
      <w:r w:rsidRPr="00BC1006">
        <w:t>was appointed</w:t>
      </w:r>
      <w:r w:rsidR="0074264D" w:rsidRPr="00BC1006">
        <w:t xml:space="preserve"> </w:t>
      </w:r>
      <w:r w:rsidR="007A7E9E" w:rsidRPr="00BC1006">
        <w:t>Director</w:t>
      </w:r>
      <w:r w:rsidR="00BC1006" w:rsidRPr="00BC1006">
        <w:t>.</w:t>
      </w:r>
    </w:p>
    <w:p w14:paraId="30F09CF6" w14:textId="77777777" w:rsidR="00EF622D" w:rsidRDefault="00EF622D" w:rsidP="00DE77A3">
      <w:pPr>
        <w:pStyle w:val="Heading2"/>
      </w:pPr>
      <w:bookmarkStart w:id="8" w:name="_Toc57128452"/>
      <w:bookmarkStart w:id="9" w:name="_Toc63091697"/>
      <w:r w:rsidRPr="00EF622D">
        <w:t>Independent Grants Program</w:t>
      </w:r>
      <w:bookmarkEnd w:id="8"/>
      <w:bookmarkEnd w:id="9"/>
    </w:p>
    <w:p w14:paraId="19C2618F" w14:textId="77777777" w:rsidR="00EF622D" w:rsidRDefault="00EF622D" w:rsidP="00EF622D">
      <w:pPr>
        <w:keepNext/>
      </w:pPr>
      <w:r>
        <w:t>ACCAN administers a competitive Independent Grants Program (IGP) in accordance with its Funding Agreement.</w:t>
      </w:r>
    </w:p>
    <w:p w14:paraId="51257CC5" w14:textId="77777777" w:rsidR="00762DF3" w:rsidRDefault="00BD5CCE" w:rsidP="00170AC5">
      <w:pPr>
        <w:pStyle w:val="Heading3"/>
      </w:pPr>
      <w:bookmarkStart w:id="10" w:name="_Toc57128453"/>
      <w:bookmarkStart w:id="11" w:name="_Toc63091698"/>
      <w:r>
        <w:t xml:space="preserve">2018 </w:t>
      </w:r>
      <w:r w:rsidR="00762DF3">
        <w:t>grants round</w:t>
      </w:r>
      <w:bookmarkEnd w:id="10"/>
      <w:bookmarkEnd w:id="11"/>
    </w:p>
    <w:p w14:paraId="263078E5" w14:textId="77777777" w:rsidR="00762DF3" w:rsidRPr="008E7DC6" w:rsidRDefault="00762DF3" w:rsidP="008E7DC6">
      <w:r>
        <w:t>Two</w:t>
      </w:r>
      <w:r w:rsidR="008F5AE6">
        <w:t xml:space="preserve"> </w:t>
      </w:r>
      <w:r w:rsidR="00214A13">
        <w:t xml:space="preserve">projects </w:t>
      </w:r>
      <w:r w:rsidR="00F317F6">
        <w:t xml:space="preserve">funded </w:t>
      </w:r>
      <w:r w:rsidR="00F37D13">
        <w:t>under the 2018</w:t>
      </w:r>
      <w:r w:rsidR="00BD5CCE">
        <w:t xml:space="preserve"> grant</w:t>
      </w:r>
      <w:r w:rsidR="00742998">
        <w:t xml:space="preserve"> rounds </w:t>
      </w:r>
      <w:r w:rsidR="00723F1D">
        <w:t>required extra time to complete their project</w:t>
      </w:r>
      <w:r w:rsidR="005171E7">
        <w:t xml:space="preserve"> </w:t>
      </w:r>
      <w:r w:rsidR="007A7E9E">
        <w:t xml:space="preserve">after </w:t>
      </w:r>
      <w:r w:rsidR="005171E7">
        <w:t>30 June 2019</w:t>
      </w:r>
      <w:r w:rsidR="002D58E0">
        <w:t xml:space="preserve"> and</w:t>
      </w:r>
      <w:r w:rsidR="007A7E9E">
        <w:t>,</w:t>
      </w:r>
      <w:r w:rsidR="002D58E0">
        <w:t xml:space="preserve"> as a result</w:t>
      </w:r>
      <w:r w:rsidR="007A7E9E">
        <w:t>,</w:t>
      </w:r>
      <w:r w:rsidR="002D58E0">
        <w:t xml:space="preserve"> the</w:t>
      </w:r>
      <w:r w:rsidR="00723F1D">
        <w:t xml:space="preserve"> </w:t>
      </w:r>
      <w:r w:rsidR="008F5AE6">
        <w:t>final milestone payments</w:t>
      </w:r>
      <w:r w:rsidR="00723F1D">
        <w:t xml:space="preserve"> were</w:t>
      </w:r>
      <w:r w:rsidR="008F5AE6">
        <w:t xml:space="preserve"> paid in the </w:t>
      </w:r>
      <w:r w:rsidR="00BC1006">
        <w:t>2019–20</w:t>
      </w:r>
      <w:r w:rsidR="008F5AE6">
        <w:t xml:space="preserve"> financial year. </w:t>
      </w:r>
      <w:r>
        <w:t xml:space="preserve"> </w:t>
      </w:r>
    </w:p>
    <w:p w14:paraId="2C9AAF2D" w14:textId="77777777" w:rsidR="00012DDB" w:rsidRDefault="00012DDB" w:rsidP="00012DDB">
      <w:pPr>
        <w:pStyle w:val="Tablefigureheading"/>
      </w:pPr>
      <w:bookmarkStart w:id="12" w:name="_Toc63091705"/>
      <w:r>
        <w:t>Table 1: 2018 grants round projects funded in 2019–2020</w:t>
      </w:r>
      <w:bookmarkEnd w:id="12"/>
    </w:p>
    <w:tbl>
      <w:tblPr>
        <w:tblStyle w:val="PlainTable1"/>
        <w:tblW w:w="9209" w:type="dxa"/>
        <w:tblLook w:val="04A0" w:firstRow="1" w:lastRow="0" w:firstColumn="1" w:lastColumn="0" w:noHBand="0" w:noVBand="1"/>
        <w:tblDescription w:val="Table 1: 2018 grants round projects funded in 2019–2020"/>
      </w:tblPr>
      <w:tblGrid>
        <w:gridCol w:w="5807"/>
        <w:gridCol w:w="1559"/>
        <w:gridCol w:w="1843"/>
      </w:tblGrid>
      <w:tr w:rsidR="00BC1006" w:rsidRPr="00BC1006" w14:paraId="17A6CF73" w14:textId="77777777" w:rsidTr="00BC100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D5DCE4"/>
          </w:tcPr>
          <w:p w14:paraId="453F1DD9" w14:textId="77777777" w:rsidR="00BC1006" w:rsidRPr="0050001B" w:rsidRDefault="00BC1006" w:rsidP="0050001B">
            <w:pPr>
              <w:pStyle w:val="Tablerowcolumnheading"/>
              <w:rPr>
                <w:rFonts w:eastAsia="PMingLiU" w:cs="Mangal"/>
                <w:b/>
                <w:color w:val="4C5564"/>
                <w:lang w:eastAsia="zh-TW"/>
              </w:rPr>
            </w:pPr>
            <w:r w:rsidRPr="0050001B">
              <w:rPr>
                <w:b/>
              </w:rPr>
              <w:t>Recipient</w:t>
            </w:r>
          </w:p>
        </w:tc>
        <w:tc>
          <w:tcPr>
            <w:tcW w:w="1559" w:type="dxa"/>
            <w:shd w:val="clear" w:color="auto" w:fill="D5DCE4"/>
          </w:tcPr>
          <w:p w14:paraId="2168F922" w14:textId="77777777" w:rsidR="00BC1006" w:rsidRPr="0050001B" w:rsidRDefault="00BC1006" w:rsidP="0050001B">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50001B">
              <w:rPr>
                <w:b/>
              </w:rPr>
              <w:t>Grant amount (ex GST)</w:t>
            </w:r>
          </w:p>
        </w:tc>
        <w:tc>
          <w:tcPr>
            <w:tcW w:w="1843" w:type="dxa"/>
            <w:shd w:val="clear" w:color="auto" w:fill="D5DCE4"/>
          </w:tcPr>
          <w:p w14:paraId="532A4506" w14:textId="77777777" w:rsidR="00BC1006" w:rsidRPr="0050001B" w:rsidRDefault="00BC1006" w:rsidP="0050001B">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50001B">
              <w:rPr>
                <w:b/>
              </w:rPr>
              <w:t>Payments made in 2019–2020</w:t>
            </w:r>
          </w:p>
        </w:tc>
      </w:tr>
      <w:tr w:rsidR="00012DDB" w:rsidRPr="00BC1006" w14:paraId="1D8C4C09" w14:textId="77777777" w:rsidTr="00BC10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07" w:type="dxa"/>
          </w:tcPr>
          <w:p w14:paraId="75712133" w14:textId="77777777" w:rsidR="00012DDB" w:rsidRPr="00BC1006" w:rsidRDefault="00012DDB" w:rsidP="00012DDB">
            <w:pPr>
              <w:pStyle w:val="Tabletext"/>
              <w:rPr>
                <w:b w:val="0"/>
              </w:rPr>
            </w:pPr>
            <w:r w:rsidRPr="00BC1006">
              <w:rPr>
                <w:b w:val="0"/>
              </w:rPr>
              <w:t>University of Technology Sydney, Faculty of Law—‘Designing Responsive Regulation: Consumer and public participation in converged communications industry rule-making’</w:t>
            </w:r>
          </w:p>
        </w:tc>
        <w:tc>
          <w:tcPr>
            <w:tcW w:w="1559" w:type="dxa"/>
          </w:tcPr>
          <w:p w14:paraId="1013AB19" w14:textId="77777777" w:rsidR="00012DDB" w:rsidRPr="00B54D18" w:rsidRDefault="00012DDB" w:rsidP="00012DDB">
            <w:pPr>
              <w:pStyle w:val="Tabletextcentred"/>
              <w:cnfStyle w:val="000000100000" w:firstRow="0" w:lastRow="0" w:firstColumn="0" w:lastColumn="0" w:oddVBand="0" w:evenVBand="0" w:oddHBand="1" w:evenHBand="0" w:firstRowFirstColumn="0" w:firstRowLastColumn="0" w:lastRowFirstColumn="0" w:lastRowLastColumn="0"/>
            </w:pPr>
            <w:r>
              <w:t>$50,603</w:t>
            </w:r>
          </w:p>
        </w:tc>
        <w:tc>
          <w:tcPr>
            <w:tcW w:w="1843" w:type="dxa"/>
          </w:tcPr>
          <w:p w14:paraId="5D97A470" w14:textId="77777777" w:rsidR="00012DDB" w:rsidRPr="00B54D18" w:rsidRDefault="00012DDB" w:rsidP="00012DDB">
            <w:pPr>
              <w:pStyle w:val="Tabletextcentred"/>
              <w:cnfStyle w:val="000000100000" w:firstRow="0" w:lastRow="0" w:firstColumn="0" w:lastColumn="0" w:oddVBand="0" w:evenVBand="0" w:oddHBand="1" w:evenHBand="0" w:firstRowFirstColumn="0" w:firstRowLastColumn="0" w:lastRowFirstColumn="0" w:lastRowLastColumn="0"/>
            </w:pPr>
            <w:r>
              <w:t>$10,120</w:t>
            </w:r>
          </w:p>
        </w:tc>
      </w:tr>
      <w:tr w:rsidR="00012DDB" w:rsidRPr="00BC1006" w14:paraId="546E96E3" w14:textId="77777777" w:rsidTr="00BC1006">
        <w:trPr>
          <w:cantSplit/>
        </w:trPr>
        <w:tc>
          <w:tcPr>
            <w:cnfStyle w:val="001000000000" w:firstRow="0" w:lastRow="0" w:firstColumn="1" w:lastColumn="0" w:oddVBand="0" w:evenVBand="0" w:oddHBand="0" w:evenHBand="0" w:firstRowFirstColumn="0" w:firstRowLastColumn="0" w:lastRowFirstColumn="0" w:lastRowLastColumn="0"/>
            <w:tcW w:w="5807" w:type="dxa"/>
          </w:tcPr>
          <w:p w14:paraId="2A4DA59A" w14:textId="77777777" w:rsidR="00012DDB" w:rsidRPr="00BC1006" w:rsidRDefault="00012DDB" w:rsidP="00012DDB">
            <w:pPr>
              <w:pStyle w:val="Tabletext"/>
              <w:rPr>
                <w:b w:val="0"/>
              </w:rPr>
            </w:pPr>
            <w:r w:rsidRPr="00BC1006">
              <w:rPr>
                <w:b w:val="0"/>
              </w:rPr>
              <w:t>Deakin University, Alfred Deakin Institute for Citizenship and Globalisation—‘Risks, Impacts and Accountability in the Consumer Spyware Industry’</w:t>
            </w:r>
          </w:p>
        </w:tc>
        <w:tc>
          <w:tcPr>
            <w:tcW w:w="1559" w:type="dxa"/>
          </w:tcPr>
          <w:p w14:paraId="7FD6BE7D" w14:textId="77777777" w:rsidR="00012DDB" w:rsidRPr="00B54D18" w:rsidRDefault="00012DDB" w:rsidP="00012DDB">
            <w:pPr>
              <w:pStyle w:val="Tabletextcentred"/>
              <w:cnfStyle w:val="000000000000" w:firstRow="0" w:lastRow="0" w:firstColumn="0" w:lastColumn="0" w:oddVBand="0" w:evenVBand="0" w:oddHBand="0" w:evenHBand="0" w:firstRowFirstColumn="0" w:firstRowLastColumn="0" w:lastRowFirstColumn="0" w:lastRowLastColumn="0"/>
            </w:pPr>
            <w:r>
              <w:t>$60,728</w:t>
            </w:r>
          </w:p>
        </w:tc>
        <w:tc>
          <w:tcPr>
            <w:tcW w:w="1843" w:type="dxa"/>
          </w:tcPr>
          <w:p w14:paraId="6C56AE6E" w14:textId="77777777" w:rsidR="00012DDB" w:rsidRPr="00B54D18" w:rsidRDefault="00012DDB" w:rsidP="00012DDB">
            <w:pPr>
              <w:pStyle w:val="Tabletextcentred"/>
              <w:cnfStyle w:val="000000000000" w:firstRow="0" w:lastRow="0" w:firstColumn="0" w:lastColumn="0" w:oddVBand="0" w:evenVBand="0" w:oddHBand="0" w:evenHBand="0" w:firstRowFirstColumn="0" w:firstRowLastColumn="0" w:lastRowFirstColumn="0" w:lastRowLastColumn="0"/>
            </w:pPr>
            <w:r>
              <w:t>$12,146</w:t>
            </w:r>
          </w:p>
        </w:tc>
      </w:tr>
    </w:tbl>
    <w:p w14:paraId="319F7615" w14:textId="77777777" w:rsidR="00012DDB" w:rsidRDefault="00012DDB" w:rsidP="00012DDB">
      <w:pPr>
        <w:pStyle w:val="Sourcenote"/>
      </w:pPr>
      <w:r w:rsidRPr="00927D69">
        <w:t>Note:</w:t>
      </w:r>
      <w:r>
        <w:t xml:space="preserve"> </w:t>
      </w:r>
      <w:r w:rsidRPr="00927D69">
        <w:t>a</w:t>
      </w:r>
      <w:r w:rsidRPr="00C517F9">
        <w:t>n</w:t>
      </w:r>
      <w:r w:rsidRPr="008E7DC6">
        <w:t xml:space="preserve"> amount of $4,605 </w:t>
      </w:r>
      <w:r>
        <w:t>was</w:t>
      </w:r>
      <w:r w:rsidRPr="008E7DC6">
        <w:t xml:space="preserve"> </w:t>
      </w:r>
      <w:r>
        <w:t>unspent for the Deakin University project and refunded</w:t>
      </w:r>
      <w:r w:rsidRPr="008E7DC6">
        <w:t xml:space="preserve"> back to ACCAN during the </w:t>
      </w:r>
      <w:r>
        <w:t>2019–20</w:t>
      </w:r>
      <w:r w:rsidRPr="008E7DC6">
        <w:t xml:space="preserve"> financial year.</w:t>
      </w:r>
    </w:p>
    <w:p w14:paraId="4D81C185" w14:textId="77777777" w:rsidR="00475893" w:rsidRDefault="00BD5CCE" w:rsidP="00170AC5">
      <w:pPr>
        <w:pStyle w:val="Heading3"/>
      </w:pPr>
      <w:bookmarkStart w:id="13" w:name="_Toc57128454"/>
      <w:bookmarkStart w:id="14" w:name="_Toc63091699"/>
      <w:r>
        <w:t>2019 grants round</w:t>
      </w:r>
      <w:bookmarkEnd w:id="13"/>
      <w:bookmarkEnd w:id="14"/>
    </w:p>
    <w:p w14:paraId="05E9E682" w14:textId="77777777" w:rsidR="00967164" w:rsidRDefault="00EF622D" w:rsidP="00170AC5">
      <w:pPr>
        <w:keepNext/>
        <w:keepLines/>
      </w:pPr>
      <w:r>
        <w:t xml:space="preserve">In </w:t>
      </w:r>
      <w:r w:rsidR="00BC1006">
        <w:t>2019–20</w:t>
      </w:r>
      <w:r>
        <w:t xml:space="preserve">, ACCAN </w:t>
      </w:r>
      <w:r w:rsidR="006A2D36">
        <w:t xml:space="preserve">provided </w:t>
      </w:r>
      <w:r w:rsidR="007153DE">
        <w:t xml:space="preserve">funding to </w:t>
      </w:r>
      <w:r w:rsidR="00E2714D">
        <w:t xml:space="preserve">seven </w:t>
      </w:r>
      <w:r w:rsidR="007153DE">
        <w:t>recipients</w:t>
      </w:r>
      <w:r w:rsidR="00C414B1">
        <w:t xml:space="preserve"> who were successful</w:t>
      </w:r>
      <w:r>
        <w:t xml:space="preserve"> in the</w:t>
      </w:r>
      <w:r w:rsidR="005171E7">
        <w:t xml:space="preserve"> 2019 IGP</w:t>
      </w:r>
      <w:r w:rsidR="00EF6C0C">
        <w:t xml:space="preserve"> application process </w:t>
      </w:r>
      <w:r w:rsidR="00BD5CCE">
        <w:t>(</w:t>
      </w:r>
      <w:r w:rsidR="00EF6C0C">
        <w:t>run during the</w:t>
      </w:r>
      <w:r>
        <w:t xml:space="preserve"> </w:t>
      </w:r>
      <w:r w:rsidR="00BC1006">
        <w:t>2018–19</w:t>
      </w:r>
      <w:r>
        <w:t xml:space="preserve"> financial year</w:t>
      </w:r>
      <w:r w:rsidR="00BD5CCE">
        <w:t>)</w:t>
      </w:r>
      <w:r w:rsidR="00C414B1">
        <w:t>. Activity on</w:t>
      </w:r>
      <w:r w:rsidR="00EF6C0C">
        <w:t xml:space="preserve"> </w:t>
      </w:r>
      <w:r w:rsidR="00C414B1">
        <w:t>t</w:t>
      </w:r>
      <w:r w:rsidR="00753EDB">
        <w:t>he</w:t>
      </w:r>
      <w:r w:rsidR="00C414B1">
        <w:t>se</w:t>
      </w:r>
      <w:r w:rsidR="00753EDB">
        <w:t xml:space="preserve"> projects </w:t>
      </w:r>
      <w:r w:rsidR="00EF6C0C">
        <w:t xml:space="preserve">commenced in </w:t>
      </w:r>
      <w:r w:rsidR="00BC1006">
        <w:t>2019–20</w:t>
      </w:r>
      <w:r w:rsidR="00C414B1">
        <w:t>,</w:t>
      </w:r>
      <w:r>
        <w:t xml:space="preserve"> </w:t>
      </w:r>
      <w:r w:rsidR="00C414B1">
        <w:t>however d</w:t>
      </w:r>
      <w:r w:rsidR="007153DE">
        <w:t xml:space="preserve">ue to the impacts </w:t>
      </w:r>
      <w:r w:rsidR="00325626">
        <w:t>of</w:t>
      </w:r>
      <w:r w:rsidR="007153DE">
        <w:t xml:space="preserve"> C</w:t>
      </w:r>
      <w:r w:rsidR="0099239C">
        <w:t>OVID</w:t>
      </w:r>
      <w:r w:rsidR="007153DE">
        <w:t xml:space="preserve">-19, </w:t>
      </w:r>
      <w:r w:rsidR="00325626">
        <w:t>all</w:t>
      </w:r>
      <w:r w:rsidR="007153DE">
        <w:t xml:space="preserve"> grant projects have experienced delays in completing their projects</w:t>
      </w:r>
      <w:r w:rsidR="002D0BC8">
        <w:t>. M</w:t>
      </w:r>
      <w:r w:rsidR="00967164">
        <w:t>ost</w:t>
      </w:r>
      <w:r w:rsidR="002D0BC8">
        <w:t xml:space="preserve"> recipients</w:t>
      </w:r>
      <w:r w:rsidR="00967164">
        <w:t xml:space="preserve"> </w:t>
      </w:r>
      <w:r w:rsidR="007153DE">
        <w:t xml:space="preserve">have </w:t>
      </w:r>
      <w:r w:rsidR="000D2885">
        <w:t>renegotiated agreed milestones to be delivered</w:t>
      </w:r>
      <w:r w:rsidR="007153DE">
        <w:t xml:space="preserve"> </w:t>
      </w:r>
      <w:r w:rsidR="000D2885">
        <w:t>in</w:t>
      </w:r>
      <w:r w:rsidR="007153DE">
        <w:t xml:space="preserve"> </w:t>
      </w:r>
      <w:r w:rsidR="00325626">
        <w:t>the 2020-21 financial year</w:t>
      </w:r>
      <w:r w:rsidR="007153DE">
        <w:t>.</w:t>
      </w:r>
    </w:p>
    <w:p w14:paraId="793CBEDF" w14:textId="77777777" w:rsidR="00EF622D" w:rsidRDefault="00A7360B" w:rsidP="00EF622D">
      <w:pPr>
        <w:keepNext/>
      </w:pPr>
      <w:r>
        <w:t>One</w:t>
      </w:r>
      <w:r w:rsidR="00967164">
        <w:t xml:space="preserve"> project</w:t>
      </w:r>
      <w:r>
        <w:t xml:space="preserve"> </w:t>
      </w:r>
      <w:r w:rsidR="00C414B1">
        <w:t>was</w:t>
      </w:r>
      <w:r w:rsidR="00967164">
        <w:t xml:space="preserve"> completed</w:t>
      </w:r>
      <w:r w:rsidR="00C414B1">
        <w:t xml:space="preserve"> in the </w:t>
      </w:r>
      <w:r w:rsidR="00BC1006">
        <w:t>2019–20</w:t>
      </w:r>
      <w:r w:rsidR="00C414B1">
        <w:t xml:space="preserve"> financial year</w:t>
      </w:r>
      <w:r>
        <w:t>.</w:t>
      </w:r>
    </w:p>
    <w:p w14:paraId="2A737350" w14:textId="77777777" w:rsidR="001E4A13" w:rsidRDefault="001E4A13" w:rsidP="001E4A13">
      <w:pPr>
        <w:pStyle w:val="Tablefigureheading"/>
      </w:pPr>
      <w:bookmarkStart w:id="15" w:name="_Toc31814124"/>
      <w:bookmarkStart w:id="16" w:name="_Toc32920867"/>
      <w:bookmarkStart w:id="17" w:name="_Toc63091706"/>
      <w:r>
        <w:t xml:space="preserve">Table </w:t>
      </w:r>
      <w:r w:rsidR="00E32164">
        <w:t>2</w:t>
      </w:r>
      <w:r>
        <w:t xml:space="preserve">: </w:t>
      </w:r>
      <w:r w:rsidR="00AF5649">
        <w:t xml:space="preserve">2019 grants round projects </w:t>
      </w:r>
      <w:r>
        <w:t xml:space="preserve">funded in </w:t>
      </w:r>
      <w:r w:rsidR="00BC1006">
        <w:t>2019–</w:t>
      </w:r>
      <w:r w:rsidR="0050001B">
        <w:t>20</w:t>
      </w:r>
      <w:r w:rsidR="00BC1006">
        <w:t>20</w:t>
      </w:r>
      <w:bookmarkEnd w:id="15"/>
      <w:bookmarkEnd w:id="16"/>
      <w:bookmarkEnd w:id="17"/>
    </w:p>
    <w:tbl>
      <w:tblPr>
        <w:tblStyle w:val="PlainTable1"/>
        <w:tblW w:w="9209" w:type="dxa"/>
        <w:tblLook w:val="04A0" w:firstRow="1" w:lastRow="0" w:firstColumn="1" w:lastColumn="0" w:noHBand="0" w:noVBand="1"/>
        <w:tblDescription w:val="Table 2: 2019 grants round projects funded in 2019–2020"/>
      </w:tblPr>
      <w:tblGrid>
        <w:gridCol w:w="5807"/>
        <w:gridCol w:w="1559"/>
        <w:gridCol w:w="1843"/>
      </w:tblGrid>
      <w:tr w:rsidR="0050001B" w:rsidRPr="00BC1006" w14:paraId="6264BC35" w14:textId="77777777" w:rsidTr="00880B5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D5DCE4"/>
          </w:tcPr>
          <w:p w14:paraId="2A1B991C" w14:textId="77777777" w:rsidR="0050001B" w:rsidRPr="0050001B" w:rsidRDefault="0050001B" w:rsidP="00880B59">
            <w:pPr>
              <w:pStyle w:val="Tablerowcolumnheading"/>
              <w:rPr>
                <w:rFonts w:eastAsia="PMingLiU" w:cs="Mangal"/>
                <w:b/>
                <w:color w:val="4C5564"/>
                <w:lang w:eastAsia="zh-TW"/>
              </w:rPr>
            </w:pPr>
            <w:r w:rsidRPr="0050001B">
              <w:rPr>
                <w:b/>
              </w:rPr>
              <w:t>Recipient</w:t>
            </w:r>
          </w:p>
        </w:tc>
        <w:tc>
          <w:tcPr>
            <w:tcW w:w="1559" w:type="dxa"/>
            <w:shd w:val="clear" w:color="auto" w:fill="D5DCE4"/>
          </w:tcPr>
          <w:p w14:paraId="7FCD80DD" w14:textId="77777777" w:rsidR="0050001B" w:rsidRPr="0050001B" w:rsidRDefault="0050001B" w:rsidP="00880B5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50001B">
              <w:rPr>
                <w:b/>
              </w:rPr>
              <w:t>Grant amount (ex GST)</w:t>
            </w:r>
          </w:p>
        </w:tc>
        <w:tc>
          <w:tcPr>
            <w:tcW w:w="1843" w:type="dxa"/>
            <w:shd w:val="clear" w:color="auto" w:fill="D5DCE4"/>
          </w:tcPr>
          <w:p w14:paraId="09D5993F" w14:textId="77777777" w:rsidR="0050001B" w:rsidRPr="0050001B" w:rsidRDefault="0050001B" w:rsidP="00880B5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50001B">
              <w:rPr>
                <w:b/>
              </w:rPr>
              <w:t>Payments made in 2019–2020</w:t>
            </w:r>
          </w:p>
        </w:tc>
      </w:tr>
      <w:tr w:rsidR="0050001B" w:rsidRPr="00BC1006" w14:paraId="092406CD" w14:textId="77777777" w:rsidTr="00880B5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07" w:type="dxa"/>
          </w:tcPr>
          <w:p w14:paraId="4D95318B" w14:textId="77777777" w:rsidR="0050001B" w:rsidRPr="0050001B" w:rsidRDefault="0050001B" w:rsidP="0050001B">
            <w:pPr>
              <w:pStyle w:val="Tabletext"/>
              <w:rPr>
                <w:b w:val="0"/>
              </w:rPr>
            </w:pPr>
            <w:r w:rsidRPr="0050001B">
              <w:rPr>
                <w:b w:val="0"/>
              </w:rPr>
              <w:t>Monash University—‘Unregulated and segmented dark ads on social media: consumer education and regulatory options’</w:t>
            </w:r>
          </w:p>
        </w:tc>
        <w:tc>
          <w:tcPr>
            <w:tcW w:w="1559" w:type="dxa"/>
          </w:tcPr>
          <w:p w14:paraId="6F9A77BC" w14:textId="77777777" w:rsidR="0050001B" w:rsidRPr="00B54D18" w:rsidRDefault="0050001B" w:rsidP="0050001B">
            <w:pPr>
              <w:pStyle w:val="Tabletextcentred"/>
              <w:cnfStyle w:val="000000100000" w:firstRow="0" w:lastRow="0" w:firstColumn="0" w:lastColumn="0" w:oddVBand="0" w:evenVBand="0" w:oddHBand="1" w:evenHBand="0" w:firstRowFirstColumn="0" w:firstRowLastColumn="0" w:lastRowFirstColumn="0" w:lastRowLastColumn="0"/>
            </w:pPr>
            <w:r>
              <w:t>$49,579</w:t>
            </w:r>
          </w:p>
        </w:tc>
        <w:tc>
          <w:tcPr>
            <w:tcW w:w="1843" w:type="dxa"/>
          </w:tcPr>
          <w:p w14:paraId="13F06A20" w14:textId="77777777" w:rsidR="0050001B" w:rsidRPr="00B54D18" w:rsidRDefault="0050001B" w:rsidP="0050001B">
            <w:pPr>
              <w:pStyle w:val="Tabletextcentred"/>
              <w:cnfStyle w:val="000000100000" w:firstRow="0" w:lastRow="0" w:firstColumn="0" w:lastColumn="0" w:oddVBand="0" w:evenVBand="0" w:oddHBand="1" w:evenHBand="0" w:firstRowFirstColumn="0" w:firstRowLastColumn="0" w:lastRowFirstColumn="0" w:lastRowLastColumn="0"/>
            </w:pPr>
            <w:r>
              <w:t>$41,600</w:t>
            </w:r>
          </w:p>
        </w:tc>
      </w:tr>
      <w:tr w:rsidR="0050001B" w:rsidRPr="00BC1006" w14:paraId="2B2A9AF8" w14:textId="77777777" w:rsidTr="00880B59">
        <w:trPr>
          <w:cantSplit/>
        </w:trPr>
        <w:tc>
          <w:tcPr>
            <w:cnfStyle w:val="001000000000" w:firstRow="0" w:lastRow="0" w:firstColumn="1" w:lastColumn="0" w:oddVBand="0" w:evenVBand="0" w:oddHBand="0" w:evenHBand="0" w:firstRowFirstColumn="0" w:firstRowLastColumn="0" w:lastRowFirstColumn="0" w:lastRowLastColumn="0"/>
            <w:tcW w:w="5807" w:type="dxa"/>
          </w:tcPr>
          <w:p w14:paraId="46258A4A" w14:textId="77777777" w:rsidR="0050001B" w:rsidRPr="0050001B" w:rsidRDefault="0050001B" w:rsidP="0050001B">
            <w:pPr>
              <w:pStyle w:val="Tabletext"/>
              <w:rPr>
                <w:b w:val="0"/>
              </w:rPr>
            </w:pPr>
            <w:r w:rsidRPr="0050001B">
              <w:rPr>
                <w:b w:val="0"/>
              </w:rPr>
              <w:t>WESNET—‘Staying Safe: empowering women to navigate privacy, safety and security mobile apps in the Australian marketplace’</w:t>
            </w:r>
          </w:p>
        </w:tc>
        <w:tc>
          <w:tcPr>
            <w:tcW w:w="1559" w:type="dxa"/>
          </w:tcPr>
          <w:p w14:paraId="29370BFB" w14:textId="77777777" w:rsidR="0050001B" w:rsidRPr="00B54D18" w:rsidRDefault="0050001B" w:rsidP="0050001B">
            <w:pPr>
              <w:pStyle w:val="Tabletextcentred"/>
              <w:cnfStyle w:val="000000000000" w:firstRow="0" w:lastRow="0" w:firstColumn="0" w:lastColumn="0" w:oddVBand="0" w:evenVBand="0" w:oddHBand="0" w:evenHBand="0" w:firstRowFirstColumn="0" w:firstRowLastColumn="0" w:lastRowFirstColumn="0" w:lastRowLastColumn="0"/>
            </w:pPr>
            <w:r>
              <w:t>$49,807</w:t>
            </w:r>
          </w:p>
        </w:tc>
        <w:tc>
          <w:tcPr>
            <w:tcW w:w="1843" w:type="dxa"/>
          </w:tcPr>
          <w:p w14:paraId="3FD36085" w14:textId="77777777" w:rsidR="0050001B" w:rsidRPr="00B54D18" w:rsidRDefault="0050001B" w:rsidP="0050001B">
            <w:pPr>
              <w:pStyle w:val="Tabletextcentred"/>
              <w:cnfStyle w:val="000000000000" w:firstRow="0" w:lastRow="0" w:firstColumn="0" w:lastColumn="0" w:oddVBand="0" w:evenVBand="0" w:oddHBand="0" w:evenHBand="0" w:firstRowFirstColumn="0" w:firstRowLastColumn="0" w:lastRowFirstColumn="0" w:lastRowLastColumn="0"/>
            </w:pPr>
            <w:r>
              <w:t>$37,356</w:t>
            </w:r>
          </w:p>
        </w:tc>
      </w:tr>
      <w:tr w:rsidR="0050001B" w:rsidRPr="00BC1006" w14:paraId="523B9E69" w14:textId="77777777" w:rsidTr="00880B5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07" w:type="dxa"/>
          </w:tcPr>
          <w:p w14:paraId="1C87EEF8" w14:textId="77777777" w:rsidR="0050001B" w:rsidRPr="0050001B" w:rsidRDefault="0050001B" w:rsidP="0050001B">
            <w:pPr>
              <w:pStyle w:val="Tabletext"/>
              <w:rPr>
                <w:b w:val="0"/>
              </w:rPr>
            </w:pPr>
            <w:r w:rsidRPr="0050001B">
              <w:rPr>
                <w:b w:val="0"/>
              </w:rPr>
              <w:t>First Nations Media Australia—‘Indigenous communities’ experiences and perspectives of digital inclusion’</w:t>
            </w:r>
          </w:p>
        </w:tc>
        <w:tc>
          <w:tcPr>
            <w:tcW w:w="1559" w:type="dxa"/>
          </w:tcPr>
          <w:p w14:paraId="25E74F86" w14:textId="77777777" w:rsidR="0050001B" w:rsidRPr="00B54D18" w:rsidRDefault="0050001B" w:rsidP="0050001B">
            <w:pPr>
              <w:pStyle w:val="Tabletextcentred"/>
              <w:cnfStyle w:val="000000100000" w:firstRow="0" w:lastRow="0" w:firstColumn="0" w:lastColumn="0" w:oddVBand="0" w:evenVBand="0" w:oddHBand="1" w:evenHBand="0" w:firstRowFirstColumn="0" w:firstRowLastColumn="0" w:lastRowFirstColumn="0" w:lastRowLastColumn="0"/>
            </w:pPr>
            <w:r>
              <w:t>$49,670</w:t>
            </w:r>
          </w:p>
        </w:tc>
        <w:tc>
          <w:tcPr>
            <w:tcW w:w="1843" w:type="dxa"/>
          </w:tcPr>
          <w:p w14:paraId="35E2A0B2" w14:textId="77777777" w:rsidR="0050001B" w:rsidRPr="00B54D18" w:rsidRDefault="0050001B" w:rsidP="0050001B">
            <w:pPr>
              <w:pStyle w:val="Tabletextcentred"/>
              <w:cnfStyle w:val="000000100000" w:firstRow="0" w:lastRow="0" w:firstColumn="0" w:lastColumn="0" w:oddVBand="0" w:evenVBand="0" w:oddHBand="1" w:evenHBand="0" w:firstRowFirstColumn="0" w:firstRowLastColumn="0" w:lastRowFirstColumn="0" w:lastRowLastColumn="0"/>
            </w:pPr>
            <w:r>
              <w:t>$18,000</w:t>
            </w:r>
          </w:p>
        </w:tc>
      </w:tr>
      <w:tr w:rsidR="0050001B" w:rsidRPr="00BC1006" w14:paraId="1FCA492A" w14:textId="77777777" w:rsidTr="00880B59">
        <w:trPr>
          <w:cantSplit/>
        </w:trPr>
        <w:tc>
          <w:tcPr>
            <w:cnfStyle w:val="001000000000" w:firstRow="0" w:lastRow="0" w:firstColumn="1" w:lastColumn="0" w:oddVBand="0" w:evenVBand="0" w:oddHBand="0" w:evenHBand="0" w:firstRowFirstColumn="0" w:firstRowLastColumn="0" w:lastRowFirstColumn="0" w:lastRowLastColumn="0"/>
            <w:tcW w:w="5807" w:type="dxa"/>
          </w:tcPr>
          <w:p w14:paraId="54390280" w14:textId="77777777" w:rsidR="0050001B" w:rsidRPr="0050001B" w:rsidRDefault="0050001B" w:rsidP="0050001B">
            <w:pPr>
              <w:pStyle w:val="Tabletext"/>
              <w:rPr>
                <w:b w:val="0"/>
              </w:rPr>
            </w:pPr>
            <w:r w:rsidRPr="0050001B">
              <w:rPr>
                <w:b w:val="0"/>
              </w:rPr>
              <w:t>Deakin University—‘Regulating the Internet of Things to Protect Consumer Privacy’</w:t>
            </w:r>
          </w:p>
        </w:tc>
        <w:tc>
          <w:tcPr>
            <w:tcW w:w="1559" w:type="dxa"/>
          </w:tcPr>
          <w:p w14:paraId="2A21D8F8" w14:textId="77777777" w:rsidR="0050001B" w:rsidRPr="00B54D18" w:rsidRDefault="0050001B" w:rsidP="0050001B">
            <w:pPr>
              <w:pStyle w:val="Tabletextcentred"/>
              <w:cnfStyle w:val="000000000000" w:firstRow="0" w:lastRow="0" w:firstColumn="0" w:lastColumn="0" w:oddVBand="0" w:evenVBand="0" w:oddHBand="0" w:evenHBand="0" w:firstRowFirstColumn="0" w:firstRowLastColumn="0" w:lastRowFirstColumn="0" w:lastRowLastColumn="0"/>
            </w:pPr>
            <w:r>
              <w:t>$76,195</w:t>
            </w:r>
          </w:p>
        </w:tc>
        <w:tc>
          <w:tcPr>
            <w:tcW w:w="1843" w:type="dxa"/>
          </w:tcPr>
          <w:p w14:paraId="6F8D6E38" w14:textId="77777777" w:rsidR="0050001B" w:rsidRPr="00B54D18" w:rsidRDefault="0050001B" w:rsidP="0050001B">
            <w:pPr>
              <w:pStyle w:val="Tabletextcentred"/>
              <w:cnfStyle w:val="000000000000" w:firstRow="0" w:lastRow="0" w:firstColumn="0" w:lastColumn="0" w:oddVBand="0" w:evenVBand="0" w:oddHBand="0" w:evenHBand="0" w:firstRowFirstColumn="0" w:firstRowLastColumn="0" w:lastRowFirstColumn="0" w:lastRowLastColumn="0"/>
            </w:pPr>
            <w:r>
              <w:t>$38,098</w:t>
            </w:r>
          </w:p>
        </w:tc>
      </w:tr>
      <w:tr w:rsidR="0050001B" w:rsidRPr="00BC1006" w14:paraId="37FFB197" w14:textId="77777777" w:rsidTr="00880B5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07" w:type="dxa"/>
          </w:tcPr>
          <w:p w14:paraId="2E659C9C" w14:textId="77777777" w:rsidR="0050001B" w:rsidRPr="0050001B" w:rsidRDefault="0050001B" w:rsidP="0050001B">
            <w:pPr>
              <w:pStyle w:val="Tabletext"/>
              <w:rPr>
                <w:b w:val="0"/>
              </w:rPr>
            </w:pPr>
            <w:r w:rsidRPr="0050001B">
              <w:rPr>
                <w:b w:val="0"/>
              </w:rPr>
              <w:t>SACOSS—‘Telecommunications and the Working Poor’</w:t>
            </w:r>
          </w:p>
        </w:tc>
        <w:tc>
          <w:tcPr>
            <w:tcW w:w="1559" w:type="dxa"/>
          </w:tcPr>
          <w:p w14:paraId="0B35EA09" w14:textId="77777777" w:rsidR="0050001B" w:rsidRPr="00B54D18" w:rsidRDefault="0050001B" w:rsidP="0050001B">
            <w:pPr>
              <w:pStyle w:val="Tabletextcentred"/>
              <w:cnfStyle w:val="000000100000" w:firstRow="0" w:lastRow="0" w:firstColumn="0" w:lastColumn="0" w:oddVBand="0" w:evenVBand="0" w:oddHBand="1" w:evenHBand="0" w:firstRowFirstColumn="0" w:firstRowLastColumn="0" w:lastRowFirstColumn="0" w:lastRowLastColumn="0"/>
            </w:pPr>
            <w:r>
              <w:t>$99,112</w:t>
            </w:r>
          </w:p>
        </w:tc>
        <w:tc>
          <w:tcPr>
            <w:tcW w:w="1843" w:type="dxa"/>
          </w:tcPr>
          <w:p w14:paraId="2E601B2F" w14:textId="77777777" w:rsidR="0050001B" w:rsidRPr="00B54D18" w:rsidRDefault="0050001B" w:rsidP="0050001B">
            <w:pPr>
              <w:pStyle w:val="Tabletextcentred"/>
              <w:cnfStyle w:val="000000100000" w:firstRow="0" w:lastRow="0" w:firstColumn="0" w:lastColumn="0" w:oddVBand="0" w:evenVBand="0" w:oddHBand="1" w:evenHBand="0" w:firstRowFirstColumn="0" w:firstRowLastColumn="0" w:lastRowFirstColumn="0" w:lastRowLastColumn="0"/>
            </w:pPr>
            <w:r>
              <w:t>$74,334</w:t>
            </w:r>
          </w:p>
        </w:tc>
      </w:tr>
      <w:tr w:rsidR="0050001B" w:rsidRPr="00BC1006" w14:paraId="4E3F424C" w14:textId="77777777" w:rsidTr="00880B59">
        <w:trPr>
          <w:cantSplit/>
        </w:trPr>
        <w:tc>
          <w:tcPr>
            <w:cnfStyle w:val="001000000000" w:firstRow="0" w:lastRow="0" w:firstColumn="1" w:lastColumn="0" w:oddVBand="0" w:evenVBand="0" w:oddHBand="0" w:evenHBand="0" w:firstRowFirstColumn="0" w:firstRowLastColumn="0" w:lastRowFirstColumn="0" w:lastRowLastColumn="0"/>
            <w:tcW w:w="5807" w:type="dxa"/>
          </w:tcPr>
          <w:p w14:paraId="674CCDB0" w14:textId="77777777" w:rsidR="0050001B" w:rsidRPr="0050001B" w:rsidRDefault="0050001B" w:rsidP="0050001B">
            <w:pPr>
              <w:pStyle w:val="Tabletext"/>
              <w:rPr>
                <w:b w:val="0"/>
              </w:rPr>
            </w:pPr>
            <w:proofErr w:type="spellStart"/>
            <w:r w:rsidRPr="0050001B">
              <w:rPr>
                <w:b w:val="0"/>
              </w:rPr>
              <w:t>MoneyMob</w:t>
            </w:r>
            <w:proofErr w:type="spellEnd"/>
            <w:r w:rsidRPr="0050001B">
              <w:rPr>
                <w:b w:val="0"/>
              </w:rPr>
              <w:t xml:space="preserve"> </w:t>
            </w:r>
            <w:proofErr w:type="spellStart"/>
            <w:r w:rsidRPr="0050001B">
              <w:rPr>
                <w:b w:val="0"/>
              </w:rPr>
              <w:t>Talkabout</w:t>
            </w:r>
            <w:proofErr w:type="spellEnd"/>
            <w:r w:rsidRPr="0050001B">
              <w:rPr>
                <w:b w:val="0"/>
              </w:rPr>
              <w:t>—’Telecommunications Debt in Rural and Remote Indigenous Central Australian Communities’</w:t>
            </w:r>
          </w:p>
        </w:tc>
        <w:tc>
          <w:tcPr>
            <w:tcW w:w="1559" w:type="dxa"/>
          </w:tcPr>
          <w:p w14:paraId="087BBEFE" w14:textId="77777777" w:rsidR="0050001B" w:rsidRDefault="0050001B" w:rsidP="0050001B">
            <w:pPr>
              <w:pStyle w:val="Tabletextcentred"/>
              <w:cnfStyle w:val="000000000000" w:firstRow="0" w:lastRow="0" w:firstColumn="0" w:lastColumn="0" w:oddVBand="0" w:evenVBand="0" w:oddHBand="0" w:evenHBand="0" w:firstRowFirstColumn="0" w:firstRowLastColumn="0" w:lastRowFirstColumn="0" w:lastRowLastColumn="0"/>
            </w:pPr>
            <w:r>
              <w:t>$45,000</w:t>
            </w:r>
          </w:p>
        </w:tc>
        <w:tc>
          <w:tcPr>
            <w:tcW w:w="1843" w:type="dxa"/>
          </w:tcPr>
          <w:p w14:paraId="0E5AD8E3" w14:textId="77777777" w:rsidR="0050001B" w:rsidRPr="00B54D18" w:rsidRDefault="0050001B" w:rsidP="0050001B">
            <w:pPr>
              <w:pStyle w:val="Tabletextcentred"/>
              <w:cnfStyle w:val="000000000000" w:firstRow="0" w:lastRow="0" w:firstColumn="0" w:lastColumn="0" w:oddVBand="0" w:evenVBand="0" w:oddHBand="0" w:evenHBand="0" w:firstRowFirstColumn="0" w:firstRowLastColumn="0" w:lastRowFirstColumn="0" w:lastRowLastColumn="0"/>
            </w:pPr>
            <w:r>
              <w:t>$45,000</w:t>
            </w:r>
          </w:p>
        </w:tc>
      </w:tr>
      <w:tr w:rsidR="0050001B" w:rsidRPr="00BC1006" w14:paraId="54C846AC" w14:textId="77777777" w:rsidTr="00880B5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07" w:type="dxa"/>
          </w:tcPr>
          <w:p w14:paraId="6BDF4289" w14:textId="77777777" w:rsidR="0050001B" w:rsidRPr="0050001B" w:rsidRDefault="0050001B" w:rsidP="0050001B">
            <w:pPr>
              <w:pStyle w:val="Tabletext"/>
              <w:rPr>
                <w:b w:val="0"/>
              </w:rPr>
            </w:pPr>
            <w:proofErr w:type="spellStart"/>
            <w:r w:rsidRPr="0050001B">
              <w:rPr>
                <w:b w:val="0"/>
              </w:rPr>
              <w:t>WEstjustice</w:t>
            </w:r>
            <w:proofErr w:type="spellEnd"/>
            <w:r w:rsidRPr="0050001B">
              <w:rPr>
                <w:b w:val="0"/>
              </w:rPr>
              <w:t>—‘Newly-arrived consumers telecommunications advocacy project’</w:t>
            </w:r>
          </w:p>
        </w:tc>
        <w:tc>
          <w:tcPr>
            <w:tcW w:w="1559" w:type="dxa"/>
          </w:tcPr>
          <w:p w14:paraId="6F08754E" w14:textId="77777777" w:rsidR="0050001B" w:rsidRDefault="0050001B" w:rsidP="0050001B">
            <w:pPr>
              <w:pStyle w:val="Tabletextcentred"/>
              <w:cnfStyle w:val="000000100000" w:firstRow="0" w:lastRow="0" w:firstColumn="0" w:lastColumn="0" w:oddVBand="0" w:evenVBand="0" w:oddHBand="1" w:evenHBand="0" w:firstRowFirstColumn="0" w:firstRowLastColumn="0" w:lastRowFirstColumn="0" w:lastRowLastColumn="0"/>
            </w:pPr>
            <w:r>
              <w:t>$50,000</w:t>
            </w:r>
          </w:p>
        </w:tc>
        <w:tc>
          <w:tcPr>
            <w:tcW w:w="1843" w:type="dxa"/>
          </w:tcPr>
          <w:p w14:paraId="32893523" w14:textId="77777777" w:rsidR="0050001B" w:rsidRPr="00B54D18" w:rsidRDefault="0050001B" w:rsidP="0050001B">
            <w:pPr>
              <w:pStyle w:val="Tabletextcentred"/>
              <w:cnfStyle w:val="000000100000" w:firstRow="0" w:lastRow="0" w:firstColumn="0" w:lastColumn="0" w:oddVBand="0" w:evenVBand="0" w:oddHBand="1" w:evenHBand="0" w:firstRowFirstColumn="0" w:firstRowLastColumn="0" w:lastRowFirstColumn="0" w:lastRowLastColumn="0"/>
            </w:pPr>
            <w:r>
              <w:t>$20,000</w:t>
            </w:r>
          </w:p>
        </w:tc>
      </w:tr>
      <w:tr w:rsidR="0050001B" w:rsidRPr="00BC1006" w14:paraId="36598CA4" w14:textId="77777777" w:rsidTr="00880B59">
        <w:trPr>
          <w:cantSplit/>
        </w:trPr>
        <w:tc>
          <w:tcPr>
            <w:cnfStyle w:val="001000000000" w:firstRow="0" w:lastRow="0" w:firstColumn="1" w:lastColumn="0" w:oddVBand="0" w:evenVBand="0" w:oddHBand="0" w:evenHBand="0" w:firstRowFirstColumn="0" w:firstRowLastColumn="0" w:lastRowFirstColumn="0" w:lastRowLastColumn="0"/>
            <w:tcW w:w="5807" w:type="dxa"/>
          </w:tcPr>
          <w:p w14:paraId="224C0EDA" w14:textId="77777777" w:rsidR="0050001B" w:rsidRPr="0050001B" w:rsidRDefault="0050001B" w:rsidP="0050001B">
            <w:pPr>
              <w:pStyle w:val="Tabletext"/>
            </w:pPr>
            <w:r w:rsidRPr="0050001B">
              <w:t>Total</w:t>
            </w:r>
          </w:p>
        </w:tc>
        <w:tc>
          <w:tcPr>
            <w:tcW w:w="1559" w:type="dxa"/>
          </w:tcPr>
          <w:p w14:paraId="5AE276EB" w14:textId="77777777" w:rsidR="0050001B" w:rsidRPr="0050001B" w:rsidRDefault="0050001B" w:rsidP="0050001B">
            <w:pPr>
              <w:pStyle w:val="Tabletextcentred"/>
              <w:cnfStyle w:val="000000000000" w:firstRow="0" w:lastRow="0" w:firstColumn="0" w:lastColumn="0" w:oddVBand="0" w:evenVBand="0" w:oddHBand="0" w:evenHBand="0" w:firstRowFirstColumn="0" w:firstRowLastColumn="0" w:lastRowFirstColumn="0" w:lastRowLastColumn="0"/>
              <w:rPr>
                <w:b/>
              </w:rPr>
            </w:pPr>
            <w:r w:rsidRPr="0050001B">
              <w:rPr>
                <w:b/>
              </w:rPr>
              <w:t>$419,363</w:t>
            </w:r>
          </w:p>
        </w:tc>
        <w:tc>
          <w:tcPr>
            <w:tcW w:w="1843" w:type="dxa"/>
          </w:tcPr>
          <w:p w14:paraId="3CF8F847" w14:textId="77777777" w:rsidR="0050001B" w:rsidRPr="0050001B" w:rsidRDefault="0050001B" w:rsidP="0050001B">
            <w:pPr>
              <w:pStyle w:val="Tabletextcentred"/>
              <w:cnfStyle w:val="000000000000" w:firstRow="0" w:lastRow="0" w:firstColumn="0" w:lastColumn="0" w:oddVBand="0" w:evenVBand="0" w:oddHBand="0" w:evenHBand="0" w:firstRowFirstColumn="0" w:firstRowLastColumn="0" w:lastRowFirstColumn="0" w:lastRowLastColumn="0"/>
              <w:rPr>
                <w:b/>
              </w:rPr>
            </w:pPr>
            <w:r w:rsidRPr="0050001B">
              <w:rPr>
                <w:b/>
              </w:rPr>
              <w:t>$274,388</w:t>
            </w:r>
          </w:p>
        </w:tc>
      </w:tr>
    </w:tbl>
    <w:p w14:paraId="2475490B" w14:textId="77777777" w:rsidR="00475893" w:rsidRDefault="00475893" w:rsidP="00170AC5">
      <w:pPr>
        <w:pStyle w:val="Heading3"/>
      </w:pPr>
      <w:bookmarkStart w:id="18" w:name="_Toc57128455"/>
      <w:bookmarkStart w:id="19" w:name="_Toc63091700"/>
      <w:r>
        <w:t xml:space="preserve">Upcoming </w:t>
      </w:r>
      <w:r w:rsidR="00BD5CCE">
        <w:t xml:space="preserve">2020 </w:t>
      </w:r>
      <w:r>
        <w:t>grants round</w:t>
      </w:r>
      <w:bookmarkEnd w:id="18"/>
      <w:bookmarkEnd w:id="19"/>
    </w:p>
    <w:p w14:paraId="42800031" w14:textId="77777777" w:rsidR="00EF622D" w:rsidRPr="00BC1006" w:rsidRDefault="00967164" w:rsidP="00BC1006">
      <w:r w:rsidRPr="00BC1006">
        <w:t xml:space="preserve">During the </w:t>
      </w:r>
      <w:r w:rsidR="00BC1006" w:rsidRPr="00BC1006">
        <w:t>2019–20</w:t>
      </w:r>
      <w:r w:rsidRPr="00BC1006">
        <w:t xml:space="preserve"> financial year, ACCAN shortlisted eight projects </w:t>
      </w:r>
      <w:r w:rsidR="005171E7" w:rsidRPr="00BC1006">
        <w:t>for the</w:t>
      </w:r>
      <w:r w:rsidR="00F317F6" w:rsidRPr="00BC1006">
        <w:t xml:space="preserve"> upcoming</w:t>
      </w:r>
      <w:r w:rsidR="005171E7" w:rsidRPr="00BC1006">
        <w:t xml:space="preserve"> 2020 IGP round</w:t>
      </w:r>
      <w:r w:rsidR="006F5C7F" w:rsidRPr="00BC1006">
        <w:t>,</w:t>
      </w:r>
      <w:r w:rsidR="005171E7" w:rsidRPr="00BC1006">
        <w:t xml:space="preserve"> </w:t>
      </w:r>
      <w:r w:rsidR="00A97787" w:rsidRPr="00BC1006">
        <w:t xml:space="preserve">to be delivered and funded </w:t>
      </w:r>
      <w:r w:rsidR="00087847" w:rsidRPr="00BC1006">
        <w:t>during</w:t>
      </w:r>
      <w:r w:rsidR="00A97787" w:rsidRPr="00BC1006">
        <w:t xml:space="preserve"> the</w:t>
      </w:r>
      <w:r w:rsidR="00087847" w:rsidRPr="00BC1006">
        <w:t xml:space="preserve"> 2020</w:t>
      </w:r>
      <w:r w:rsidR="00BC1006">
        <w:t>–</w:t>
      </w:r>
      <w:r w:rsidR="00087847" w:rsidRPr="00BC1006">
        <w:t>21 and 2021</w:t>
      </w:r>
      <w:r w:rsidR="00BC1006">
        <w:t>–</w:t>
      </w:r>
      <w:r w:rsidR="00087847" w:rsidRPr="00BC1006">
        <w:t>22</w:t>
      </w:r>
      <w:r w:rsidR="0085301C" w:rsidRPr="00BC1006">
        <w:t xml:space="preserve"> financial years</w:t>
      </w:r>
      <w:r w:rsidRPr="00BC1006">
        <w:t>.</w:t>
      </w:r>
      <w:r w:rsidR="00475893" w:rsidRPr="00BC1006">
        <w:t xml:space="preserve"> The timeline for these projects has been </w:t>
      </w:r>
      <w:r w:rsidR="005A5C15" w:rsidRPr="00BC1006">
        <w:t>expanded</w:t>
      </w:r>
      <w:r w:rsidR="00475893" w:rsidRPr="00BC1006">
        <w:t xml:space="preserve"> to allow for </w:t>
      </w:r>
      <w:r w:rsidR="0088239A" w:rsidRPr="00BC1006">
        <w:t xml:space="preserve">any </w:t>
      </w:r>
      <w:r w:rsidR="00475893" w:rsidRPr="00BC1006">
        <w:t xml:space="preserve">further disruptions and restrictions relating to COVID-19. </w:t>
      </w:r>
      <w:r w:rsidR="0088239A" w:rsidRPr="00BC1006">
        <w:t>These</w:t>
      </w:r>
      <w:r w:rsidR="005A5C15" w:rsidRPr="00BC1006">
        <w:t xml:space="preserve"> projects </w:t>
      </w:r>
      <w:r w:rsidR="0088239A" w:rsidRPr="00BC1006">
        <w:t xml:space="preserve">must </w:t>
      </w:r>
      <w:r w:rsidR="00EF6383" w:rsidRPr="00BC1006">
        <w:t>be</w:t>
      </w:r>
      <w:r w:rsidR="00C43983" w:rsidRPr="00BC1006">
        <w:t xml:space="preserve"> completed </w:t>
      </w:r>
      <w:r w:rsidR="00FE7F1D" w:rsidRPr="00BC1006">
        <w:t>by</w:t>
      </w:r>
      <w:r w:rsidR="00BC1006">
        <w:t xml:space="preserve"> May 2022.</w:t>
      </w:r>
    </w:p>
    <w:p w14:paraId="43941F6F" w14:textId="77777777" w:rsidR="00EF622D" w:rsidRPr="00EF622D" w:rsidRDefault="00EF622D" w:rsidP="00DE77A3">
      <w:pPr>
        <w:pStyle w:val="Heading2"/>
      </w:pPr>
      <w:bookmarkStart w:id="20" w:name="_Toc57128456"/>
      <w:bookmarkStart w:id="21" w:name="_Toc63091701"/>
      <w:r w:rsidRPr="00EF622D">
        <w:t>Financial accounts</w:t>
      </w:r>
      <w:bookmarkEnd w:id="20"/>
      <w:bookmarkEnd w:id="21"/>
    </w:p>
    <w:p w14:paraId="2486B1AE" w14:textId="77777777" w:rsidR="00EF622D" w:rsidRPr="00BC1006" w:rsidRDefault="00EF622D" w:rsidP="00BC1006">
      <w:r w:rsidRPr="00BC1006">
        <w:t>There were no significant changes in the nature of ACCAN’s activities during the financial year. The independent auditor of ACCAN’s financial accounts found that the accounts were prepared in accordance with the Corporations Act 2001 and:</w:t>
      </w:r>
    </w:p>
    <w:p w14:paraId="5E5B1735" w14:textId="77777777" w:rsidR="00EF622D" w:rsidRPr="00BC1006" w:rsidRDefault="00EF622D" w:rsidP="00BC1006">
      <w:pPr>
        <w:pStyle w:val="Listparagraphbullets"/>
      </w:pPr>
      <w:r w:rsidRPr="00BC1006">
        <w:t>gave a true and fair view of ACCAN’s financial position as at 30 June 20</w:t>
      </w:r>
      <w:r w:rsidR="00EF6383" w:rsidRPr="00BC1006">
        <w:t>20</w:t>
      </w:r>
      <w:r w:rsidRPr="00BC1006">
        <w:t xml:space="preserve"> and its performance for the year ended on that date; and</w:t>
      </w:r>
    </w:p>
    <w:p w14:paraId="67963287" w14:textId="77777777" w:rsidR="00EF622D" w:rsidRPr="00BC1006" w:rsidRDefault="00EF622D" w:rsidP="00BC1006">
      <w:pPr>
        <w:pStyle w:val="Listparagraphbullets"/>
      </w:pPr>
      <w:r w:rsidRPr="00BC1006">
        <w:t>complied with Australian Accounting Standards</w:t>
      </w:r>
      <w:r w:rsidR="00BC1006">
        <w:t>—</w:t>
      </w:r>
      <w:r w:rsidRPr="00BC1006">
        <w:t>Reduced Disclosure Requirements, the Australian Charities and Not-for-profits Commission Act 2012, and Australian Charities and Not-for-profits Commission Regulation 2013, and the Corporations Regulations 2001.</w:t>
      </w:r>
    </w:p>
    <w:sectPr w:rsidR="00EF622D" w:rsidRPr="00BC1006" w:rsidSect="002F1A23">
      <w:headerReference w:type="default" r:id="rId22"/>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C3234" w14:textId="77777777" w:rsidR="006F5C7F" w:rsidRDefault="006F5C7F" w:rsidP="00FC413F">
      <w:pPr>
        <w:spacing w:after="0"/>
      </w:pPr>
      <w:r>
        <w:separator/>
      </w:r>
    </w:p>
  </w:endnote>
  <w:endnote w:type="continuationSeparator" w:id="0">
    <w:p w14:paraId="01CE0AC8" w14:textId="77777777" w:rsidR="006F5C7F" w:rsidRDefault="006F5C7F" w:rsidP="00FC413F">
      <w:pPr>
        <w:spacing w:after="0"/>
      </w:pPr>
      <w:r>
        <w:continuationSeparator/>
      </w:r>
    </w:p>
  </w:endnote>
  <w:endnote w:type="continuationNotice" w:id="1">
    <w:p w14:paraId="4C1A2D59" w14:textId="77777777" w:rsidR="006F5C7F" w:rsidRDefault="006F5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85AC" w14:textId="77777777" w:rsidR="006F5C7F" w:rsidRPr="00FC413F" w:rsidRDefault="006F5C7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197E1BE3" w14:textId="6B0175A7" w:rsidR="006F5C7F" w:rsidRPr="00FC413F" w:rsidRDefault="006F5C7F" w:rsidP="007077A8">
    <w:pPr>
      <w:pStyle w:val="Footer"/>
      <w:tabs>
        <w:tab w:val="clear" w:pos="4513"/>
        <w:tab w:val="clear" w:pos="9026"/>
        <w:tab w:val="left" w:pos="993"/>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D66BD8">
      <w:rPr>
        <w:rFonts w:cs="Segoe UI"/>
        <w:noProof/>
        <w:szCs w:val="18"/>
      </w:rPr>
      <w:t>3</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ab/>
      <w:t>Funding of telecommunications consumer representation grants</w:t>
    </w:r>
    <w:r w:rsidR="00BC1006">
      <w:rPr>
        <w:rFonts w:cs="Segoe UI"/>
        <w:noProof/>
        <w:szCs w:val="18"/>
      </w:rPr>
      <w:t>—</w:t>
    </w:r>
    <w:r>
      <w:rPr>
        <w:rFonts w:cs="Segoe UI"/>
        <w:noProof/>
        <w:szCs w:val="18"/>
      </w:rPr>
      <w:t xml:space="preserve">Annual report </w:t>
    </w:r>
    <w:r w:rsidR="00BC1006">
      <w:rPr>
        <w:rFonts w:cs="Segoe UI"/>
        <w:noProof/>
        <w:szCs w:val="18"/>
      </w:rPr>
      <w:t>2019–20</w:t>
    </w:r>
  </w:p>
  <w:p w14:paraId="16008572" w14:textId="77777777" w:rsidR="006F5C7F" w:rsidRPr="00FC413F" w:rsidRDefault="00D66BD8" w:rsidP="00A82DAF">
    <w:pPr>
      <w:pStyle w:val="Footer"/>
      <w:tabs>
        <w:tab w:val="clear" w:pos="4513"/>
        <w:tab w:val="clear" w:pos="9026"/>
      </w:tabs>
      <w:ind w:left="-567"/>
      <w:jc w:val="center"/>
      <w:rPr>
        <w:rFonts w:cs="Segoe UI"/>
        <w:szCs w:val="18"/>
      </w:rPr>
    </w:pPr>
    <w:hyperlink r:id="rId1" w:history="1">
      <w:r w:rsidR="006F5C7F" w:rsidRPr="00FC413F">
        <w:rPr>
          <w:rStyle w:val="Hyperlink"/>
          <w:rFonts w:cs="Segoe UI"/>
          <w:szCs w:val="18"/>
        </w:rPr>
        <w:t>infrastructure.gov.au</w:t>
      </w:r>
    </w:hyperlink>
    <w:r w:rsidR="006F5C7F" w:rsidRPr="00FC413F">
      <w:rPr>
        <w:rFonts w:cs="Segoe UI"/>
        <w:noProof/>
        <w:szCs w:val="18"/>
      </w:rPr>
      <w:t xml:space="preserve"> | </w:t>
    </w:r>
    <w:hyperlink r:id="rId2" w:history="1">
      <w:r w:rsidR="006F5C7F" w:rsidRPr="00FC413F">
        <w:rPr>
          <w:rStyle w:val="Hyperlink"/>
          <w:rFonts w:cs="Segoe UI"/>
          <w:szCs w:val="18"/>
        </w:rPr>
        <w:t>communications.gov.au</w:t>
      </w:r>
    </w:hyperlink>
    <w:r w:rsidR="006F5C7F">
      <w:t xml:space="preserve"> | </w:t>
    </w:r>
    <w:hyperlink r:id="rId3" w:history="1">
      <w:r w:rsidR="006F5C7F"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8B78B" w14:textId="77777777" w:rsidR="006F5C7F" w:rsidRDefault="006F5C7F" w:rsidP="00FC413F">
      <w:pPr>
        <w:spacing w:after="0"/>
      </w:pPr>
      <w:r>
        <w:separator/>
      </w:r>
    </w:p>
  </w:footnote>
  <w:footnote w:type="continuationSeparator" w:id="0">
    <w:p w14:paraId="025CDA3C" w14:textId="77777777" w:rsidR="006F5C7F" w:rsidRDefault="006F5C7F" w:rsidP="00FC413F">
      <w:pPr>
        <w:spacing w:after="0"/>
      </w:pPr>
      <w:r>
        <w:continuationSeparator/>
      </w:r>
    </w:p>
  </w:footnote>
  <w:footnote w:type="continuationNotice" w:id="1">
    <w:p w14:paraId="3634DBD5" w14:textId="77777777" w:rsidR="006F5C7F" w:rsidRDefault="006F5C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D2749" w14:textId="77777777" w:rsidR="006F5C7F" w:rsidRDefault="006F5C7F" w:rsidP="00FC413F">
    <w:pPr>
      <w:pStyle w:val="Header"/>
      <w:tabs>
        <w:tab w:val="right" w:pos="9475"/>
      </w:tabs>
      <w:ind w:left="-1418"/>
    </w:pPr>
    <w:r>
      <w:rPr>
        <w:noProof/>
        <w:lang w:eastAsia="en-AU"/>
      </w:rPr>
      <w:drawing>
        <wp:inline distT="0" distB="0" distL="0" distR="0" wp14:anchorId="200F2E37" wp14:editId="016CB58C">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7048E240" w14:textId="1CD98230" w:rsidR="006F5C7F" w:rsidRPr="00261FFA" w:rsidRDefault="006F5C7F" w:rsidP="00D47BFD">
    <w:pPr>
      <w:pStyle w:val="Header"/>
      <w:tabs>
        <w:tab w:val="clear" w:pos="4678"/>
      </w:tabs>
      <w:rPr>
        <w:rFonts w:cs="Segoe UI Light"/>
        <w:color w:val="001C40"/>
        <w:szCs w:val="18"/>
      </w:rPr>
    </w:pPr>
    <w:r w:rsidRPr="000D2885">
      <w:rPr>
        <w:rFonts w:cs="Segoe UI Light"/>
        <w:szCs w:val="18"/>
      </w:rPr>
      <w:t xml:space="preserve">November </w:t>
    </w:r>
    <w:r>
      <w:rPr>
        <w:rFonts w:cs="Segoe UI Light"/>
        <w:szCs w:val="18"/>
      </w:rPr>
      <w:t>2020</w:t>
    </w:r>
    <w:r w:rsidRPr="00261FFA">
      <w:rPr>
        <w:rFonts w:cs="Segoe UI Light"/>
        <w:szCs w:val="18"/>
      </w:rPr>
      <w:tab/>
    </w:r>
    <w:r w:rsidRPr="00261FFA">
      <w:rPr>
        <w:rFonts w:cs="Segoe UI Light"/>
        <w:color w:val="001C40"/>
        <w:szCs w:val="18"/>
      </w:rPr>
      <w:fldChar w:fldCharType="begin"/>
    </w:r>
    <w:r w:rsidRPr="00261FFA">
      <w:rPr>
        <w:rFonts w:cs="Segoe UI Light"/>
        <w:color w:val="001C40"/>
        <w:szCs w:val="18"/>
      </w:rPr>
      <w:instrText xml:space="preserve"> STYLEREF  "Heading 2—not showing"  \* MERGEFORMAT </w:instrText>
    </w:r>
    <w:r w:rsidRPr="00261FFA">
      <w:rPr>
        <w:rFonts w:cs="Segoe UI Light"/>
        <w:color w:val="001C40"/>
        <w:szCs w:val="18"/>
      </w:rPr>
      <w:fldChar w:fldCharType="separate"/>
    </w:r>
    <w:r w:rsidR="00D66BD8" w:rsidRPr="00D66BD8">
      <w:rPr>
        <w:rFonts w:cs="Segoe UI Light"/>
        <w:b/>
        <w:bCs/>
        <w:noProof/>
        <w:color w:val="001C40"/>
        <w:szCs w:val="18"/>
        <w:lang w:val="en-US"/>
      </w:rPr>
      <w:t>Contents</w:t>
    </w:r>
    <w:r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2A410" w14:textId="77777777" w:rsidR="006F5C7F" w:rsidRDefault="006F5C7F" w:rsidP="00FC413F">
    <w:pPr>
      <w:pStyle w:val="Header"/>
      <w:tabs>
        <w:tab w:val="right" w:pos="9475"/>
      </w:tabs>
      <w:ind w:left="-1418"/>
    </w:pPr>
    <w:r>
      <w:rPr>
        <w:noProof/>
        <w:lang w:eastAsia="en-AU"/>
      </w:rPr>
      <w:drawing>
        <wp:inline distT="0" distB="0" distL="0" distR="0" wp14:anchorId="427D6CDD" wp14:editId="60C62C2E">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491CE290" w14:textId="2228B28D" w:rsidR="006F5C7F" w:rsidRPr="00261FFA" w:rsidRDefault="006F5C7F" w:rsidP="00D47BFD">
    <w:pPr>
      <w:pStyle w:val="Header"/>
      <w:tabs>
        <w:tab w:val="clear" w:pos="4678"/>
      </w:tabs>
      <w:rPr>
        <w:rFonts w:cs="Segoe UI Light"/>
        <w:color w:val="001C40"/>
        <w:szCs w:val="18"/>
      </w:rPr>
    </w:pPr>
    <w:r w:rsidRPr="000D2885">
      <w:rPr>
        <w:rFonts w:cs="Segoe UI Light"/>
        <w:szCs w:val="18"/>
      </w:rPr>
      <w:t xml:space="preserve">November </w:t>
    </w:r>
    <w:r>
      <w:rPr>
        <w:rFonts w:cs="Segoe UI Light"/>
        <w:szCs w:val="18"/>
      </w:rPr>
      <w:t>2020</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D66BD8">
      <w:rPr>
        <w:rFonts w:cs="Segoe UI Light"/>
        <w:noProof/>
        <w:color w:val="001C40"/>
        <w:szCs w:val="18"/>
      </w:rPr>
      <w:t>Financial accounts</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BE5DD6"/>
    <w:multiLevelType w:val="hybridMultilevel"/>
    <w:tmpl w:val="223228B8"/>
    <w:lvl w:ilvl="0" w:tplc="94725890">
      <w:start w:val="1"/>
      <w:numFmt w:val="bullet"/>
      <w:lvlText w:val=""/>
      <w:lvlJc w:val="left"/>
      <w:pPr>
        <w:ind w:left="360" w:hanging="360"/>
      </w:pPr>
      <w:rPr>
        <w:rFonts w:ascii="Symbol" w:hAnsi="Symbol" w:hint="default"/>
      </w:rPr>
    </w:lvl>
    <w:lvl w:ilvl="1" w:tplc="26C813AE" w:tentative="1">
      <w:start w:val="1"/>
      <w:numFmt w:val="bullet"/>
      <w:lvlText w:val="o"/>
      <w:lvlJc w:val="left"/>
      <w:pPr>
        <w:ind w:left="1080" w:hanging="360"/>
      </w:pPr>
      <w:rPr>
        <w:rFonts w:ascii="Courier New" w:hAnsi="Courier New" w:cs="Courier New" w:hint="default"/>
      </w:rPr>
    </w:lvl>
    <w:lvl w:ilvl="2" w:tplc="7250DB22" w:tentative="1">
      <w:start w:val="1"/>
      <w:numFmt w:val="bullet"/>
      <w:lvlText w:val=""/>
      <w:lvlJc w:val="left"/>
      <w:pPr>
        <w:ind w:left="1800" w:hanging="360"/>
      </w:pPr>
      <w:rPr>
        <w:rFonts w:ascii="Wingdings" w:hAnsi="Wingdings" w:hint="default"/>
      </w:rPr>
    </w:lvl>
    <w:lvl w:ilvl="3" w:tplc="47BA3726" w:tentative="1">
      <w:start w:val="1"/>
      <w:numFmt w:val="bullet"/>
      <w:lvlText w:val=""/>
      <w:lvlJc w:val="left"/>
      <w:pPr>
        <w:ind w:left="2520" w:hanging="360"/>
      </w:pPr>
      <w:rPr>
        <w:rFonts w:ascii="Symbol" w:hAnsi="Symbol" w:hint="default"/>
      </w:rPr>
    </w:lvl>
    <w:lvl w:ilvl="4" w:tplc="35AA2740" w:tentative="1">
      <w:start w:val="1"/>
      <w:numFmt w:val="bullet"/>
      <w:lvlText w:val="o"/>
      <w:lvlJc w:val="left"/>
      <w:pPr>
        <w:ind w:left="3240" w:hanging="360"/>
      </w:pPr>
      <w:rPr>
        <w:rFonts w:ascii="Courier New" w:hAnsi="Courier New" w:cs="Courier New" w:hint="default"/>
      </w:rPr>
    </w:lvl>
    <w:lvl w:ilvl="5" w:tplc="223A9110" w:tentative="1">
      <w:start w:val="1"/>
      <w:numFmt w:val="bullet"/>
      <w:lvlText w:val=""/>
      <w:lvlJc w:val="left"/>
      <w:pPr>
        <w:ind w:left="3960" w:hanging="360"/>
      </w:pPr>
      <w:rPr>
        <w:rFonts w:ascii="Wingdings" w:hAnsi="Wingdings" w:hint="default"/>
      </w:rPr>
    </w:lvl>
    <w:lvl w:ilvl="6" w:tplc="8A901B0E" w:tentative="1">
      <w:start w:val="1"/>
      <w:numFmt w:val="bullet"/>
      <w:lvlText w:val=""/>
      <w:lvlJc w:val="left"/>
      <w:pPr>
        <w:ind w:left="4680" w:hanging="360"/>
      </w:pPr>
      <w:rPr>
        <w:rFonts w:ascii="Symbol" w:hAnsi="Symbol" w:hint="default"/>
      </w:rPr>
    </w:lvl>
    <w:lvl w:ilvl="7" w:tplc="29B2E75C" w:tentative="1">
      <w:start w:val="1"/>
      <w:numFmt w:val="bullet"/>
      <w:lvlText w:val="o"/>
      <w:lvlJc w:val="left"/>
      <w:pPr>
        <w:ind w:left="5400" w:hanging="360"/>
      </w:pPr>
      <w:rPr>
        <w:rFonts w:ascii="Courier New" w:hAnsi="Courier New" w:cs="Courier New" w:hint="default"/>
      </w:rPr>
    </w:lvl>
    <w:lvl w:ilvl="8" w:tplc="54D87BFE" w:tentative="1">
      <w:start w:val="1"/>
      <w:numFmt w:val="bullet"/>
      <w:lvlText w:val=""/>
      <w:lvlJc w:val="left"/>
      <w:pPr>
        <w:ind w:left="6120" w:hanging="360"/>
      </w:pPr>
      <w:rPr>
        <w:rFonts w:ascii="Wingdings" w:hAnsi="Wingdings" w:hint="default"/>
      </w:rPr>
    </w:lvl>
  </w:abstractNum>
  <w:abstractNum w:abstractNumId="3" w15:restartNumberingAfterBreak="0">
    <w:nsid w:val="580D2744"/>
    <w:multiLevelType w:val="hybridMultilevel"/>
    <w:tmpl w:val="042C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03"/>
    <w:rsid w:val="000054FA"/>
    <w:rsid w:val="00011E5A"/>
    <w:rsid w:val="00012DDB"/>
    <w:rsid w:val="00035402"/>
    <w:rsid w:val="00064D2A"/>
    <w:rsid w:val="000740FB"/>
    <w:rsid w:val="00087847"/>
    <w:rsid w:val="00090E62"/>
    <w:rsid w:val="000A0587"/>
    <w:rsid w:val="000C0244"/>
    <w:rsid w:val="000D2885"/>
    <w:rsid w:val="000D6980"/>
    <w:rsid w:val="000D7999"/>
    <w:rsid w:val="00105DA4"/>
    <w:rsid w:val="00133B7A"/>
    <w:rsid w:val="00166BA5"/>
    <w:rsid w:val="00170AC5"/>
    <w:rsid w:val="001A49EB"/>
    <w:rsid w:val="001C787A"/>
    <w:rsid w:val="001E4A13"/>
    <w:rsid w:val="001F2651"/>
    <w:rsid w:val="00204A64"/>
    <w:rsid w:val="00214A13"/>
    <w:rsid w:val="00217212"/>
    <w:rsid w:val="00217C11"/>
    <w:rsid w:val="00236F1B"/>
    <w:rsid w:val="00261FFA"/>
    <w:rsid w:val="00267239"/>
    <w:rsid w:val="00272982"/>
    <w:rsid w:val="00287C7E"/>
    <w:rsid w:val="00293CE3"/>
    <w:rsid w:val="002A5AB5"/>
    <w:rsid w:val="002D0BC8"/>
    <w:rsid w:val="002D58E0"/>
    <w:rsid w:val="002F1A23"/>
    <w:rsid w:val="00300077"/>
    <w:rsid w:val="0030286B"/>
    <w:rsid w:val="00305857"/>
    <w:rsid w:val="00310148"/>
    <w:rsid w:val="00321731"/>
    <w:rsid w:val="00323710"/>
    <w:rsid w:val="00325626"/>
    <w:rsid w:val="00342348"/>
    <w:rsid w:val="003768DA"/>
    <w:rsid w:val="0038354B"/>
    <w:rsid w:val="003934A9"/>
    <w:rsid w:val="003B6D01"/>
    <w:rsid w:val="003D71C5"/>
    <w:rsid w:val="003E3374"/>
    <w:rsid w:val="004109C0"/>
    <w:rsid w:val="00444C72"/>
    <w:rsid w:val="004468A7"/>
    <w:rsid w:val="00450062"/>
    <w:rsid w:val="0047336C"/>
    <w:rsid w:val="00475893"/>
    <w:rsid w:val="00476103"/>
    <w:rsid w:val="004903E2"/>
    <w:rsid w:val="00493CE6"/>
    <w:rsid w:val="004A752D"/>
    <w:rsid w:val="004D112D"/>
    <w:rsid w:val="0050001B"/>
    <w:rsid w:val="005171E7"/>
    <w:rsid w:val="0053410F"/>
    <w:rsid w:val="005A5C15"/>
    <w:rsid w:val="005B0758"/>
    <w:rsid w:val="005B4E9E"/>
    <w:rsid w:val="005D038B"/>
    <w:rsid w:val="00630D43"/>
    <w:rsid w:val="00634BEF"/>
    <w:rsid w:val="006452B1"/>
    <w:rsid w:val="0065116B"/>
    <w:rsid w:val="006542FA"/>
    <w:rsid w:val="00691FA2"/>
    <w:rsid w:val="006A2D36"/>
    <w:rsid w:val="006D43C7"/>
    <w:rsid w:val="006D615B"/>
    <w:rsid w:val="006E26EE"/>
    <w:rsid w:val="006F5C7F"/>
    <w:rsid w:val="007033BA"/>
    <w:rsid w:val="00704D38"/>
    <w:rsid w:val="007077A8"/>
    <w:rsid w:val="00710497"/>
    <w:rsid w:val="007153DE"/>
    <w:rsid w:val="00723F1D"/>
    <w:rsid w:val="00723F48"/>
    <w:rsid w:val="0074264D"/>
    <w:rsid w:val="00742998"/>
    <w:rsid w:val="00753EDB"/>
    <w:rsid w:val="00762DF3"/>
    <w:rsid w:val="0076622D"/>
    <w:rsid w:val="00772C27"/>
    <w:rsid w:val="00790F25"/>
    <w:rsid w:val="00793843"/>
    <w:rsid w:val="0079788A"/>
    <w:rsid w:val="007A7E9E"/>
    <w:rsid w:val="007B68AB"/>
    <w:rsid w:val="00814E1B"/>
    <w:rsid w:val="00822DBF"/>
    <w:rsid w:val="00824A22"/>
    <w:rsid w:val="00827804"/>
    <w:rsid w:val="0085301C"/>
    <w:rsid w:val="00866A14"/>
    <w:rsid w:val="0088239A"/>
    <w:rsid w:val="00886D27"/>
    <w:rsid w:val="008935C6"/>
    <w:rsid w:val="008A7B93"/>
    <w:rsid w:val="008B0191"/>
    <w:rsid w:val="008D21ED"/>
    <w:rsid w:val="008E7DC6"/>
    <w:rsid w:val="008F24DE"/>
    <w:rsid w:val="008F5AE6"/>
    <w:rsid w:val="00912D17"/>
    <w:rsid w:val="009276A3"/>
    <w:rsid w:val="009279AE"/>
    <w:rsid w:val="00927D69"/>
    <w:rsid w:val="0093162D"/>
    <w:rsid w:val="009374D5"/>
    <w:rsid w:val="0094088D"/>
    <w:rsid w:val="0095740D"/>
    <w:rsid w:val="00967164"/>
    <w:rsid w:val="00985DD5"/>
    <w:rsid w:val="0099239C"/>
    <w:rsid w:val="009B3CAA"/>
    <w:rsid w:val="00A4759C"/>
    <w:rsid w:val="00A5600C"/>
    <w:rsid w:val="00A7360B"/>
    <w:rsid w:val="00A82DAF"/>
    <w:rsid w:val="00A97787"/>
    <w:rsid w:val="00AD6112"/>
    <w:rsid w:val="00AE2967"/>
    <w:rsid w:val="00AF42AB"/>
    <w:rsid w:val="00AF5649"/>
    <w:rsid w:val="00B532BF"/>
    <w:rsid w:val="00B5393D"/>
    <w:rsid w:val="00BA422E"/>
    <w:rsid w:val="00BC0598"/>
    <w:rsid w:val="00BC1006"/>
    <w:rsid w:val="00BD1299"/>
    <w:rsid w:val="00BD3DDF"/>
    <w:rsid w:val="00BD5CCE"/>
    <w:rsid w:val="00C36E40"/>
    <w:rsid w:val="00C414B1"/>
    <w:rsid w:val="00C43983"/>
    <w:rsid w:val="00C517F9"/>
    <w:rsid w:val="00C62177"/>
    <w:rsid w:val="00C65793"/>
    <w:rsid w:val="00C74B54"/>
    <w:rsid w:val="00CD18C2"/>
    <w:rsid w:val="00CD2193"/>
    <w:rsid w:val="00CD21B5"/>
    <w:rsid w:val="00CD4E0C"/>
    <w:rsid w:val="00D165DC"/>
    <w:rsid w:val="00D25C79"/>
    <w:rsid w:val="00D47BFD"/>
    <w:rsid w:val="00D64922"/>
    <w:rsid w:val="00D66BD8"/>
    <w:rsid w:val="00D93C85"/>
    <w:rsid w:val="00DB537F"/>
    <w:rsid w:val="00DE2368"/>
    <w:rsid w:val="00DE77A3"/>
    <w:rsid w:val="00E2714D"/>
    <w:rsid w:val="00E32164"/>
    <w:rsid w:val="00E66247"/>
    <w:rsid w:val="00E7227D"/>
    <w:rsid w:val="00E76BC6"/>
    <w:rsid w:val="00E80E04"/>
    <w:rsid w:val="00EB29E7"/>
    <w:rsid w:val="00ED7809"/>
    <w:rsid w:val="00EF42F4"/>
    <w:rsid w:val="00EF622D"/>
    <w:rsid w:val="00EF6383"/>
    <w:rsid w:val="00EF6C0C"/>
    <w:rsid w:val="00F317F6"/>
    <w:rsid w:val="00F3352F"/>
    <w:rsid w:val="00F37D13"/>
    <w:rsid w:val="00F60AA2"/>
    <w:rsid w:val="00F61FA1"/>
    <w:rsid w:val="00F814AD"/>
    <w:rsid w:val="00F86EA8"/>
    <w:rsid w:val="00FA53CC"/>
    <w:rsid w:val="00FC413F"/>
    <w:rsid w:val="00FD3DAB"/>
    <w:rsid w:val="00FD78B5"/>
    <w:rsid w:val="00FE29D6"/>
    <w:rsid w:val="00FE7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25F0DCE"/>
  <w15:chartTrackingRefBased/>
  <w15:docId w15:val="{990A3AEA-A4F1-4EF3-A4CB-939CF5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01B"/>
    <w:pPr>
      <w:spacing w:line="240" w:lineRule="auto"/>
    </w:pPr>
    <w:rPr>
      <w:rFonts w:ascii="Segoe UI" w:hAnsi="Segoe UI"/>
      <w:sz w:val="21"/>
    </w:rPr>
  </w:style>
  <w:style w:type="paragraph" w:styleId="Heading1">
    <w:name w:val="heading 1"/>
    <w:basedOn w:val="Normal"/>
    <w:next w:val="Normal"/>
    <w:link w:val="Heading1Char"/>
    <w:uiPriority w:val="9"/>
    <w:qFormat/>
    <w:rsid w:val="000A0587"/>
    <w:pPr>
      <w:keepNext/>
      <w:keepLines/>
      <w:spacing w:before="1200" w:after="240"/>
      <w:outlineLvl w:val="0"/>
    </w:pPr>
    <w:rPr>
      <w:rFonts w:ascii="Segoe UI Semibold" w:eastAsiaTheme="majorEastAsia" w:hAnsi="Segoe UI Semibold" w:cs="Segoe UI Semibold"/>
      <w:color w:val="002D72"/>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0A0587"/>
    <w:rPr>
      <w:rFonts w:ascii="Segoe UI Semibold" w:eastAsiaTheme="majorEastAsia" w:hAnsi="Segoe UI Semibold" w:cs="Segoe UI Semibold"/>
      <w:color w:val="002D72"/>
      <w:sz w:val="48"/>
      <w:szCs w:val="48"/>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C1006"/>
    <w:pPr>
      <w:numPr>
        <w:numId w:val="2"/>
      </w:numPr>
      <w:ind w:left="567" w:hanging="567"/>
      <w:contextualSpacing w:val="0"/>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94088D"/>
    <w:pPr>
      <w:tabs>
        <w:tab w:val="right" w:leader="dot" w:pos="9072"/>
      </w:tabs>
      <w:spacing w:after="0"/>
      <w:ind w:left="85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character" w:styleId="FollowedHyperlink">
    <w:name w:val="FollowedHyperlink"/>
    <w:basedOn w:val="DefaultParagraphFont"/>
    <w:uiPriority w:val="99"/>
    <w:semiHidden/>
    <w:unhideWhenUsed/>
    <w:rsid w:val="00FD78B5"/>
    <w:rPr>
      <w:color w:val="954F72" w:themeColor="followedHyperlink"/>
      <w:u w:val="single"/>
    </w:rPr>
  </w:style>
  <w:style w:type="paragraph" w:styleId="BalloonText">
    <w:name w:val="Balloon Text"/>
    <w:basedOn w:val="Normal"/>
    <w:link w:val="BalloonTextChar"/>
    <w:uiPriority w:val="99"/>
    <w:semiHidden/>
    <w:unhideWhenUsed/>
    <w:rsid w:val="00325626"/>
    <w:pPr>
      <w:spacing w:after="0"/>
    </w:pPr>
    <w:rPr>
      <w:rFonts w:cs="Segoe UI"/>
      <w:sz w:val="18"/>
      <w:szCs w:val="18"/>
    </w:rPr>
  </w:style>
  <w:style w:type="character" w:customStyle="1" w:styleId="BalloonTextChar">
    <w:name w:val="Balloon Text Char"/>
    <w:basedOn w:val="DefaultParagraphFont"/>
    <w:link w:val="BalloonText"/>
    <w:uiPriority w:val="99"/>
    <w:semiHidden/>
    <w:rsid w:val="00325626"/>
    <w:rPr>
      <w:rFonts w:ascii="Segoe UI" w:hAnsi="Segoe UI" w:cs="Segoe UI"/>
      <w:sz w:val="18"/>
      <w:szCs w:val="18"/>
    </w:rPr>
  </w:style>
  <w:style w:type="character" w:styleId="CommentReference">
    <w:name w:val="annotation reference"/>
    <w:basedOn w:val="DefaultParagraphFont"/>
    <w:uiPriority w:val="99"/>
    <w:semiHidden/>
    <w:unhideWhenUsed/>
    <w:rsid w:val="00AF42AB"/>
    <w:rPr>
      <w:sz w:val="16"/>
      <w:szCs w:val="16"/>
    </w:rPr>
  </w:style>
  <w:style w:type="paragraph" w:styleId="CommentText">
    <w:name w:val="annotation text"/>
    <w:basedOn w:val="Normal"/>
    <w:link w:val="CommentTextChar"/>
    <w:uiPriority w:val="99"/>
    <w:unhideWhenUsed/>
    <w:rsid w:val="00AF42AB"/>
    <w:rPr>
      <w:sz w:val="20"/>
      <w:szCs w:val="20"/>
    </w:rPr>
  </w:style>
  <w:style w:type="character" w:customStyle="1" w:styleId="CommentTextChar">
    <w:name w:val="Comment Text Char"/>
    <w:basedOn w:val="DefaultParagraphFont"/>
    <w:link w:val="CommentText"/>
    <w:uiPriority w:val="99"/>
    <w:rsid w:val="00AF42AB"/>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AF42AB"/>
    <w:rPr>
      <w:b/>
      <w:bCs/>
    </w:rPr>
  </w:style>
  <w:style w:type="character" w:customStyle="1" w:styleId="CommentSubjectChar">
    <w:name w:val="Comment Subject Char"/>
    <w:basedOn w:val="CommentTextChar"/>
    <w:link w:val="CommentSubject"/>
    <w:uiPriority w:val="99"/>
    <w:semiHidden/>
    <w:rsid w:val="00AF42AB"/>
    <w:rPr>
      <w:rFonts w:ascii="Segoe UI" w:hAnsi="Segoe UI"/>
      <w:b/>
      <w:bCs/>
      <w:sz w:val="20"/>
      <w:szCs w:val="20"/>
    </w:rPr>
  </w:style>
  <w:style w:type="paragraph" w:styleId="Revision">
    <w:name w:val="Revision"/>
    <w:hidden/>
    <w:uiPriority w:val="99"/>
    <w:semiHidden/>
    <w:rsid w:val="006F5C7F"/>
    <w:pPr>
      <w:spacing w:after="0" w:line="240" w:lineRule="auto"/>
    </w:pPr>
    <w:rPr>
      <w:rFonts w:ascii="Segoe UI" w:hAnsi="Segoe U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hyperlink" Target="http://www.accan.org.au/submiss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yperlink" Target="http://accan.org.au/about/annual-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EDD2BC1136E49A18E74E8682CFA3E" ma:contentTypeVersion="0" ma:contentTypeDescription="Create a new document." ma:contentTypeScope="" ma:versionID="fcbeaa579fd036877767e0ddc3cac2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1BFB-9C86-46A7-82C8-7353A7F5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4AAB70-9B0D-4FE7-93A5-94A8FCF6C9CB}">
  <ds:schemaRefs>
    <ds:schemaRef ds:uri="http://schemas.microsoft.com/sharepoint/v3/contenttype/forms"/>
  </ds:schemaRefs>
</ds:datastoreItem>
</file>

<file path=customXml/itemProps3.xml><?xml version="1.0" encoding="utf-8"?>
<ds:datastoreItem xmlns:ds="http://schemas.openxmlformats.org/officeDocument/2006/customXml" ds:itemID="{DB2445EC-901B-480F-8E8A-E1FC4D8719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B3DC322-901A-4012-AEDF-BB7DB85C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1645</Words>
  <Characters>9694</Characters>
  <Application>Microsoft Office Word</Application>
  <DocSecurity>0</DocSecurity>
  <Lines>182</Lines>
  <Paragraphs>86</Paragraphs>
  <ScaleCrop>false</ScaleCrop>
  <HeadingPairs>
    <vt:vector size="2" baseType="variant">
      <vt:variant>
        <vt:lpstr>Title</vt:lpstr>
      </vt:variant>
      <vt:variant>
        <vt:i4>1</vt:i4>
      </vt:variant>
    </vt:vector>
  </HeadingPairs>
  <TitlesOfParts>
    <vt:vector size="1" baseType="lpstr">
      <vt:lpstr>Web accessible version - funding-of-telecommunications-consumer-representation-grants--annual-report-2019-20 </vt:lpstr>
    </vt:vector>
  </TitlesOfParts>
  <Company>Department of Infrastructure, Transport, Regional Development and Communications</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of telecommunications consumer representation grants</dc:title>
  <dc:subject/>
  <dc:creator>Department of Infrastructure, Transport, Regional Development and Communications</dc:creator>
  <cp:keywords/>
  <dc:description>6 May 2020</dc:description>
  <cp:lastModifiedBy>Hall, Theresa</cp:lastModifiedBy>
  <cp:revision>3</cp:revision>
  <dcterms:created xsi:type="dcterms:W3CDTF">2021-02-01T06:07:00Z</dcterms:created>
  <dcterms:modified xsi:type="dcterms:W3CDTF">2021-02-01T06:08:00Z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0x010100D6BEDD2BC1136E49A18E74E8682CFA3E</vt:lpwstr>
  </property>
  <property fmtid="{D5CDD505-2E9C-101B-9397-08002B2CF9AE}" pid="3" name="TrimRevisionNumber">
    <vt:i4>1</vt:i4>
  </property>
</Properties>
</file>