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A45" w:rsidRDefault="0000270B" w:rsidP="00822DBF">
      <w:pPr>
        <w:spacing w:after="0"/>
        <w:ind w:left="-1418"/>
        <w:sectPr w:rsidR="00133A45" w:rsidSect="00133A45">
          <w:headerReference w:type="default" r:id="rId11"/>
          <w:footerReference w:type="default" r:id="rId12"/>
          <w:footerReference w:type="first" r:id="rId13"/>
          <w:pgSz w:w="11906" w:h="16838"/>
          <w:pgMar w:top="0" w:right="991" w:bottom="1276" w:left="1440" w:header="0" w:footer="397" w:gutter="0"/>
          <w:cols w:space="708"/>
          <w:titlePg/>
          <w:docGrid w:linePitch="360"/>
        </w:sectPr>
      </w:pPr>
      <w:r>
        <w:rPr>
          <w:noProof/>
          <w:lang w:eastAsia="en-AU"/>
        </w:rPr>
        <w:drawing>
          <wp:inline distT="0" distB="0" distL="0" distR="0">
            <wp:extent cx="7558937" cy="1265274"/>
            <wp:effectExtent l="0" t="0" r="4445" b="0"/>
            <wp:docPr id="1" name="Picture 1" descr="Logo: Australian Government, Department of Infrastructure, Transport, Regional Development and Communications.&#10;&#10;&#10;&#10;www.infrastructure.gov.au&#10;www.communications.gov.au &#10;www.arts.gov.au&#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TRDC Word Header_Crest_A4 portrait.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99261" cy="1288763"/>
                    </a:xfrm>
                    <a:prstGeom prst="rect">
                      <a:avLst/>
                    </a:prstGeom>
                  </pic:spPr>
                </pic:pic>
              </a:graphicData>
            </a:graphic>
          </wp:inline>
        </w:drawing>
      </w:r>
    </w:p>
    <w:p w:rsidR="00772C27" w:rsidRPr="00C67323" w:rsidRDefault="003B2200" w:rsidP="0091397D">
      <w:pPr>
        <w:pStyle w:val="Heading1"/>
      </w:pPr>
      <w:r w:rsidRPr="00C67323">
        <w:t xml:space="preserve">Fact Sheet: </w:t>
      </w:r>
      <w:r w:rsidR="004E767E" w:rsidRPr="00C67323">
        <w:t xml:space="preserve">Screen </w:t>
      </w:r>
      <w:r w:rsidR="00291E8B" w:rsidRPr="00C67323">
        <w:t>production</w:t>
      </w:r>
      <w:r w:rsidR="004E767E" w:rsidRPr="00C67323">
        <w:t xml:space="preserve"> funding and incentives reforms</w:t>
      </w:r>
    </w:p>
    <w:p w:rsidR="00214781" w:rsidRPr="00214781" w:rsidRDefault="00214781" w:rsidP="00214781">
      <w:pPr>
        <w:rPr>
          <w:sz w:val="20"/>
        </w:rPr>
      </w:pPr>
      <w:r w:rsidRPr="00214781">
        <w:t xml:space="preserve">The Australian Government is making a number of improvements to its current policy settings to support the creation of film and television content in response to the </w:t>
      </w:r>
      <w:r w:rsidRPr="00214781">
        <w:rPr>
          <w:i/>
        </w:rPr>
        <w:t>Supporting Australian stories on our screens Options Paper</w:t>
      </w:r>
      <w:r w:rsidR="00D75185">
        <w:t>.</w:t>
      </w:r>
    </w:p>
    <w:p w:rsidR="003B2200" w:rsidRPr="003B2200" w:rsidRDefault="00103F64" w:rsidP="003B2200">
      <w:pPr>
        <w:pStyle w:val="Heading2"/>
      </w:pPr>
      <w:r>
        <w:t>Australian Screen Production Incentive</w:t>
      </w:r>
    </w:p>
    <w:p w:rsidR="00214781" w:rsidRPr="001D6533" w:rsidRDefault="00214781" w:rsidP="00214781">
      <w:r w:rsidRPr="001D6533">
        <w:t>The Australian Screen Production Incentive (ASPI), as the Australian Government’s primary mechanism for providing support to the screen industry, provides tax incentives for film, television and other screen production in Australia an</w:t>
      </w:r>
      <w:r w:rsidR="00302EB2">
        <w:t xml:space="preserve">d is available in three streams: the Producer Offset, the </w:t>
      </w:r>
      <w:r w:rsidR="00302EB2" w:rsidRPr="001D6533">
        <w:t>Post Digital and Visual Effects (PDV) Offset</w:t>
      </w:r>
      <w:r w:rsidR="00302EB2">
        <w:t xml:space="preserve"> and the Location Offset. </w:t>
      </w:r>
    </w:p>
    <w:p w:rsidR="00214781" w:rsidRDefault="00726628" w:rsidP="00214781">
      <w:bookmarkStart w:id="0" w:name="_Toc39483208"/>
      <w:r>
        <w:t>Following consultation on the options paper,</w:t>
      </w:r>
      <w:r w:rsidR="006B54CC">
        <w:t xml:space="preserve"> the Australian government is making a range of changes to the </w:t>
      </w:r>
      <w:r w:rsidR="00302EB2">
        <w:t>ASPI</w:t>
      </w:r>
      <w:r w:rsidR="006B54CC">
        <w:t xml:space="preserve"> to</w:t>
      </w:r>
      <w:r w:rsidR="006B54CC" w:rsidRPr="006B54CC">
        <w:t xml:space="preserve"> provide long-term, stable settings for the production sector, encouraging it to target expenditure towards onscreen quality and encourage the creation of original Australian stories</w:t>
      </w:r>
      <w:r w:rsidR="006B54CC">
        <w:t>.</w:t>
      </w:r>
    </w:p>
    <w:bookmarkEnd w:id="0"/>
    <w:p w:rsidR="002B23E0" w:rsidRPr="00BB3D46" w:rsidRDefault="003861D6" w:rsidP="002B23E0">
      <w:pPr>
        <w:pStyle w:val="Tablefigureheading"/>
      </w:pPr>
      <w:r>
        <w:t xml:space="preserve">Current </w:t>
      </w:r>
      <w:r w:rsidR="00A96B7A">
        <w:t xml:space="preserve">ASPI </w:t>
      </w:r>
      <w:r>
        <w:t>settings and</w:t>
      </w:r>
      <w:r w:rsidR="00A96B7A">
        <w:t xml:space="preserve"> new ASPI settings</w:t>
      </w:r>
    </w:p>
    <w:tbl>
      <w:tblPr>
        <w:tblStyle w:val="PlainTable11"/>
        <w:tblW w:w="0" w:type="auto"/>
        <w:tblLook w:val="04A0" w:firstRow="1" w:lastRow="0" w:firstColumn="1" w:lastColumn="0" w:noHBand="0" w:noVBand="1"/>
        <w:tblDescription w:val="Current ASPI settings and new ASPI settings"/>
      </w:tblPr>
      <w:tblGrid>
        <w:gridCol w:w="4957"/>
        <w:gridCol w:w="4400"/>
      </w:tblGrid>
      <w:tr w:rsidR="007E22B6" w:rsidRPr="00BB3D46" w:rsidTr="0091397D">
        <w:trPr>
          <w:cnfStyle w:val="100000000000" w:firstRow="1" w:lastRow="0" w:firstColumn="0" w:lastColumn="0" w:oddVBand="0" w:evenVBand="0" w:oddHBand="0" w:evenHBand="0" w:firstRowFirstColumn="0" w:firstRowLastColumn="0" w:lastRowFirstColumn="0" w:lastRowLastColumn="0"/>
          <w:cantSplit/>
          <w:trHeight w:val="397"/>
          <w:tblHeader/>
        </w:trPr>
        <w:tc>
          <w:tcPr>
            <w:cnfStyle w:val="001000000000" w:firstRow="0" w:lastRow="0" w:firstColumn="1" w:lastColumn="0" w:oddVBand="0" w:evenVBand="0" w:oddHBand="0" w:evenHBand="0" w:firstRowFirstColumn="0" w:firstRowLastColumn="0" w:lastRowFirstColumn="0" w:lastRowLastColumn="0"/>
            <w:tcW w:w="4957" w:type="dxa"/>
            <w:shd w:val="clear" w:color="auto" w:fill="D5DCE4"/>
          </w:tcPr>
          <w:p w:rsidR="007E22B6" w:rsidRPr="0000270B" w:rsidRDefault="007E22B6" w:rsidP="005C2A23">
            <w:pPr>
              <w:pStyle w:val="Tablerowcolumnheadingcentred"/>
              <w:rPr>
                <w:b/>
              </w:rPr>
            </w:pPr>
            <w:r>
              <w:rPr>
                <w:b/>
              </w:rPr>
              <w:t>Current setting</w:t>
            </w:r>
          </w:p>
        </w:tc>
        <w:tc>
          <w:tcPr>
            <w:tcW w:w="4400" w:type="dxa"/>
            <w:shd w:val="clear" w:color="auto" w:fill="D5DCE4"/>
          </w:tcPr>
          <w:p w:rsidR="007E22B6" w:rsidRPr="0000270B" w:rsidRDefault="007E22B6" w:rsidP="005C2A23">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New setting</w:t>
            </w:r>
          </w:p>
        </w:tc>
      </w:tr>
      <w:tr w:rsidR="003737D3" w:rsidRPr="00BB3D46" w:rsidTr="0091397D">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4957" w:type="dxa"/>
          </w:tcPr>
          <w:p w:rsidR="003737D3" w:rsidRPr="006B54CC" w:rsidRDefault="003737D3" w:rsidP="003737D3">
            <w:pPr>
              <w:pStyle w:val="Tabletextcentred"/>
              <w:jc w:val="left"/>
              <w:rPr>
                <w:b w:val="0"/>
              </w:rPr>
            </w:pPr>
            <w:r w:rsidRPr="007F246F">
              <w:rPr>
                <w:b w:val="0"/>
              </w:rPr>
              <w:t xml:space="preserve">Producer Offset rate for television content is 20 per cent </w:t>
            </w:r>
          </w:p>
        </w:tc>
        <w:tc>
          <w:tcPr>
            <w:tcW w:w="4400" w:type="dxa"/>
          </w:tcPr>
          <w:p w:rsidR="003737D3" w:rsidRPr="00BB3D46" w:rsidRDefault="003737D3" w:rsidP="003737D3">
            <w:pPr>
              <w:pStyle w:val="Tabletextcentred"/>
              <w:jc w:val="left"/>
              <w:cnfStyle w:val="000000100000" w:firstRow="0" w:lastRow="0" w:firstColumn="0" w:lastColumn="0" w:oddVBand="0" w:evenVBand="0" w:oddHBand="1" w:evenHBand="0" w:firstRowFirstColumn="0" w:firstRowLastColumn="0" w:lastRowFirstColumn="0" w:lastRowLastColumn="0"/>
            </w:pPr>
            <w:r>
              <w:t>Increase the Producer Offset rate to 30 per cent</w:t>
            </w:r>
          </w:p>
        </w:tc>
      </w:tr>
      <w:tr w:rsidR="003737D3" w:rsidRPr="00BB3D46" w:rsidTr="0091397D">
        <w:trPr>
          <w:cantSplit/>
          <w:trHeight w:val="397"/>
        </w:trPr>
        <w:tc>
          <w:tcPr>
            <w:cnfStyle w:val="001000000000" w:firstRow="0" w:lastRow="0" w:firstColumn="1" w:lastColumn="0" w:oddVBand="0" w:evenVBand="0" w:oddHBand="0" w:evenHBand="0" w:firstRowFirstColumn="0" w:firstRowLastColumn="0" w:lastRowFirstColumn="0" w:lastRowLastColumn="0"/>
            <w:tcW w:w="4957" w:type="dxa"/>
          </w:tcPr>
          <w:p w:rsidR="003737D3" w:rsidRPr="00BB3D46" w:rsidRDefault="003737D3" w:rsidP="00205178">
            <w:pPr>
              <w:pStyle w:val="Tabletextcentred"/>
              <w:jc w:val="left"/>
            </w:pPr>
            <w:r w:rsidRPr="007F246F">
              <w:rPr>
                <w:b w:val="0"/>
              </w:rPr>
              <w:t xml:space="preserve">Producer Offset minimum qualifying Australian production expenditure (QAPE) threshold for feature length content is $500,000 </w:t>
            </w:r>
          </w:p>
        </w:tc>
        <w:tc>
          <w:tcPr>
            <w:tcW w:w="4400" w:type="dxa"/>
          </w:tcPr>
          <w:p w:rsidR="003737D3" w:rsidRPr="00BB3D46" w:rsidRDefault="003737D3" w:rsidP="00205178">
            <w:pPr>
              <w:pStyle w:val="Tabletextcentred"/>
              <w:jc w:val="left"/>
              <w:cnfStyle w:val="000000000000" w:firstRow="0" w:lastRow="0" w:firstColumn="0" w:lastColumn="0" w:oddVBand="0" w:evenVBand="0" w:oddHBand="0" w:evenHBand="0" w:firstRowFirstColumn="0" w:firstRowLastColumn="0" w:lastRowFirstColumn="0" w:lastRowLastColumn="0"/>
            </w:pPr>
            <w:r>
              <w:t>Increase the minimum QAPE threshold for feature length content to $1 million</w:t>
            </w:r>
          </w:p>
        </w:tc>
      </w:tr>
      <w:tr w:rsidR="003737D3" w:rsidRPr="00BB3D46" w:rsidTr="0091397D">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4957" w:type="dxa"/>
          </w:tcPr>
          <w:p w:rsidR="003737D3" w:rsidRDefault="003737D3" w:rsidP="003737D3">
            <w:pPr>
              <w:pStyle w:val="Tabletextcentred"/>
              <w:jc w:val="left"/>
              <w:rPr>
                <w:b w:val="0"/>
              </w:rPr>
            </w:pPr>
            <w:r w:rsidRPr="007F246F">
              <w:rPr>
                <w:b w:val="0"/>
              </w:rPr>
              <w:t xml:space="preserve">Producer Offset </w:t>
            </w:r>
            <w:r>
              <w:rPr>
                <w:rFonts w:cs="Arial"/>
                <w:b w:val="0"/>
              </w:rPr>
              <w:t>‘Gallipoli Clause’</w:t>
            </w:r>
            <w:r w:rsidRPr="007F246F">
              <w:rPr>
                <w:rFonts w:cs="Arial"/>
                <w:b w:val="0"/>
              </w:rPr>
              <w:t xml:space="preserve"> permits some costs incurred outside of Australia to be claimed</w:t>
            </w:r>
            <w:r>
              <w:rPr>
                <w:rFonts w:cs="Arial"/>
                <w:b w:val="0"/>
              </w:rPr>
              <w:t xml:space="preserve"> as QAPE</w:t>
            </w:r>
          </w:p>
        </w:tc>
        <w:tc>
          <w:tcPr>
            <w:tcW w:w="4400" w:type="dxa"/>
          </w:tcPr>
          <w:p w:rsidR="003737D3" w:rsidRDefault="003737D3" w:rsidP="003737D3">
            <w:pPr>
              <w:pStyle w:val="Tabletextcentred"/>
              <w:jc w:val="left"/>
              <w:cnfStyle w:val="000000100000" w:firstRow="0" w:lastRow="0" w:firstColumn="0" w:lastColumn="0" w:oddVBand="0" w:evenVBand="0" w:oddHBand="1" w:evenHBand="0" w:firstRowFirstColumn="0" w:firstRowLastColumn="0" w:lastRowFirstColumn="0" w:lastRowLastColumn="0"/>
            </w:pPr>
            <w:r>
              <w:t>Remove the Gallipoli Clause from the Producer Offset</w:t>
            </w:r>
          </w:p>
        </w:tc>
      </w:tr>
      <w:tr w:rsidR="003737D3" w:rsidRPr="00BB3D46" w:rsidTr="0091397D">
        <w:trPr>
          <w:cantSplit/>
          <w:trHeight w:val="397"/>
        </w:trPr>
        <w:tc>
          <w:tcPr>
            <w:cnfStyle w:val="001000000000" w:firstRow="0" w:lastRow="0" w:firstColumn="1" w:lastColumn="0" w:oddVBand="0" w:evenVBand="0" w:oddHBand="0" w:evenHBand="0" w:firstRowFirstColumn="0" w:firstRowLastColumn="0" w:lastRowFirstColumn="0" w:lastRowLastColumn="0"/>
            <w:tcW w:w="4957" w:type="dxa"/>
          </w:tcPr>
          <w:p w:rsidR="003737D3" w:rsidRDefault="003737D3" w:rsidP="003737D3">
            <w:pPr>
              <w:pStyle w:val="Tabletextcentred"/>
              <w:jc w:val="left"/>
              <w:rPr>
                <w:b w:val="0"/>
              </w:rPr>
            </w:pPr>
            <w:r w:rsidRPr="007F246F">
              <w:rPr>
                <w:b w:val="0"/>
              </w:rPr>
              <w:t>Producer Offset</w:t>
            </w:r>
            <w:r>
              <w:rPr>
                <w:b w:val="0"/>
              </w:rPr>
              <w:t xml:space="preserve"> only enables a</w:t>
            </w:r>
            <w:r w:rsidRPr="007F246F">
              <w:rPr>
                <w:b w:val="0"/>
              </w:rPr>
              <w:t xml:space="preserve"> series to claim QAPE incurred up to 65 commercial hours</w:t>
            </w:r>
          </w:p>
        </w:tc>
        <w:tc>
          <w:tcPr>
            <w:tcW w:w="4400" w:type="dxa"/>
          </w:tcPr>
          <w:p w:rsidR="003737D3" w:rsidRDefault="003737D3" w:rsidP="003737D3">
            <w:pPr>
              <w:pStyle w:val="Tabletextcentred"/>
              <w:jc w:val="left"/>
              <w:cnfStyle w:val="000000000000" w:firstRow="0" w:lastRow="0" w:firstColumn="0" w:lastColumn="0" w:oddVBand="0" w:evenVBand="0" w:oddHBand="0" w:evenHBand="0" w:firstRowFirstColumn="0" w:firstRowLastColumn="0" w:lastRowFirstColumn="0" w:lastRowLastColumn="0"/>
            </w:pPr>
            <w:r>
              <w:t xml:space="preserve">Remove the 65 commercial hour cap for drama productions </w:t>
            </w:r>
          </w:p>
        </w:tc>
      </w:tr>
      <w:tr w:rsidR="003737D3" w:rsidRPr="00BB3D46" w:rsidTr="0091397D">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4957" w:type="dxa"/>
          </w:tcPr>
          <w:p w:rsidR="003737D3" w:rsidRDefault="003737D3" w:rsidP="00E514CC">
            <w:pPr>
              <w:pStyle w:val="Tabletextcentred"/>
              <w:jc w:val="left"/>
              <w:rPr>
                <w:b w:val="0"/>
              </w:rPr>
            </w:pPr>
            <w:r w:rsidRPr="007F246F">
              <w:rPr>
                <w:b w:val="0"/>
              </w:rPr>
              <w:t>Producer Offset caps Above the line (ATL) QAPE at 20</w:t>
            </w:r>
            <w:r w:rsidR="00DF1BE0">
              <w:rPr>
                <w:b w:val="0"/>
              </w:rPr>
              <w:t xml:space="preserve"> per cent</w:t>
            </w:r>
            <w:r w:rsidRPr="007F246F">
              <w:rPr>
                <w:b w:val="0"/>
              </w:rPr>
              <w:t xml:space="preserve"> of total film expenditure for all content except non-feature documentary</w:t>
            </w:r>
          </w:p>
        </w:tc>
        <w:tc>
          <w:tcPr>
            <w:tcW w:w="4400" w:type="dxa"/>
          </w:tcPr>
          <w:p w:rsidR="003737D3" w:rsidRPr="00634FB2" w:rsidRDefault="003737D3" w:rsidP="003737D3">
            <w:pPr>
              <w:pStyle w:val="Tabletextcentred"/>
              <w:jc w:val="left"/>
              <w:cnfStyle w:val="000000100000" w:firstRow="0" w:lastRow="0" w:firstColumn="0" w:lastColumn="0" w:oddVBand="0" w:evenVBand="0" w:oddHBand="1" w:evenHBand="0" w:firstRowFirstColumn="0" w:firstRowLastColumn="0" w:lastRowFirstColumn="0" w:lastRowLastColumn="0"/>
              <w:rPr>
                <w:lang w:eastAsia="en-AU"/>
              </w:rPr>
            </w:pPr>
            <w:r>
              <w:rPr>
                <w:lang w:eastAsia="en-AU"/>
              </w:rPr>
              <w:t xml:space="preserve">Extend the ATL cap non-feature documentary </w:t>
            </w:r>
          </w:p>
        </w:tc>
      </w:tr>
      <w:tr w:rsidR="003737D3" w:rsidRPr="00BB3D46" w:rsidTr="0091397D">
        <w:trPr>
          <w:cantSplit/>
          <w:trHeight w:val="397"/>
        </w:trPr>
        <w:tc>
          <w:tcPr>
            <w:cnfStyle w:val="001000000000" w:firstRow="0" w:lastRow="0" w:firstColumn="1" w:lastColumn="0" w:oddVBand="0" w:evenVBand="0" w:oddHBand="0" w:evenHBand="0" w:firstRowFirstColumn="0" w:firstRowLastColumn="0" w:lastRowFirstColumn="0" w:lastRowLastColumn="0"/>
            <w:tcW w:w="4957" w:type="dxa"/>
          </w:tcPr>
          <w:p w:rsidR="003737D3" w:rsidRDefault="003737D3" w:rsidP="003737D3">
            <w:pPr>
              <w:pStyle w:val="Tabletextcentred"/>
              <w:jc w:val="left"/>
              <w:rPr>
                <w:b w:val="0"/>
              </w:rPr>
            </w:pPr>
            <w:r w:rsidRPr="007F246F">
              <w:rPr>
                <w:b w:val="0"/>
              </w:rPr>
              <w:t xml:space="preserve">PDV Offset minimum PDV-QAPE threshold is $500,000 </w:t>
            </w:r>
          </w:p>
        </w:tc>
        <w:tc>
          <w:tcPr>
            <w:tcW w:w="4400" w:type="dxa"/>
          </w:tcPr>
          <w:p w:rsidR="003737D3" w:rsidRPr="00634FB2" w:rsidRDefault="003737D3" w:rsidP="003737D3">
            <w:pPr>
              <w:pStyle w:val="Tabletextcentred"/>
              <w:jc w:val="left"/>
              <w:cnfStyle w:val="000000000000" w:firstRow="0" w:lastRow="0" w:firstColumn="0" w:lastColumn="0" w:oddVBand="0" w:evenVBand="0" w:oddHBand="0" w:evenHBand="0" w:firstRowFirstColumn="0" w:firstRowLastColumn="0" w:lastRowFirstColumn="0" w:lastRowLastColumn="0"/>
              <w:rPr>
                <w:lang w:eastAsia="en-AU"/>
              </w:rPr>
            </w:pPr>
            <w:r>
              <w:t>Increase the minimum PDV-QAPE threshold to $1 million</w:t>
            </w:r>
          </w:p>
        </w:tc>
      </w:tr>
      <w:tr w:rsidR="003737D3" w:rsidRPr="00BB3D46" w:rsidTr="0091397D">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4957" w:type="dxa"/>
          </w:tcPr>
          <w:p w:rsidR="003737D3" w:rsidRDefault="003737D3" w:rsidP="003737D3">
            <w:pPr>
              <w:pStyle w:val="Tabletextcentred"/>
              <w:jc w:val="left"/>
              <w:rPr>
                <w:b w:val="0"/>
              </w:rPr>
            </w:pPr>
            <w:r w:rsidRPr="007F246F">
              <w:rPr>
                <w:b w:val="0"/>
              </w:rPr>
              <w:t>Under all three tax offsets productions are permitted to claim a certain percentage of their production spend as overheads not directly related to the making of the film to cover company expenses</w:t>
            </w:r>
          </w:p>
        </w:tc>
        <w:tc>
          <w:tcPr>
            <w:tcW w:w="4400" w:type="dxa"/>
          </w:tcPr>
          <w:p w:rsidR="003737D3" w:rsidRDefault="003737D3" w:rsidP="003737D3">
            <w:pPr>
              <w:pStyle w:val="Tabletextcentred"/>
              <w:jc w:val="left"/>
              <w:cnfStyle w:val="000000100000" w:firstRow="0" w:lastRow="0" w:firstColumn="0" w:lastColumn="0" w:oddVBand="0" w:evenVBand="0" w:oddHBand="1" w:evenHBand="0" w:firstRowFirstColumn="0" w:firstRowLastColumn="0" w:lastRowFirstColumn="0" w:lastRowLastColumn="0"/>
            </w:pPr>
            <w:r w:rsidRPr="00634FB2">
              <w:rPr>
                <w:lang w:eastAsia="en-AU"/>
              </w:rPr>
              <w:t xml:space="preserve">Remove overheads as eligible expenditure </w:t>
            </w:r>
            <w:r>
              <w:rPr>
                <w:lang w:eastAsia="en-AU"/>
              </w:rPr>
              <w:t>for</w:t>
            </w:r>
            <w:r w:rsidRPr="00634FB2">
              <w:rPr>
                <w:lang w:eastAsia="en-AU"/>
              </w:rPr>
              <w:t xml:space="preserve"> all three tax offsets</w:t>
            </w:r>
          </w:p>
        </w:tc>
      </w:tr>
      <w:tr w:rsidR="003737D3" w:rsidRPr="00BB3D46" w:rsidTr="0091397D">
        <w:trPr>
          <w:cantSplit/>
          <w:trHeight w:val="397"/>
        </w:trPr>
        <w:tc>
          <w:tcPr>
            <w:cnfStyle w:val="001000000000" w:firstRow="0" w:lastRow="0" w:firstColumn="1" w:lastColumn="0" w:oddVBand="0" w:evenVBand="0" w:oddHBand="0" w:evenHBand="0" w:firstRowFirstColumn="0" w:firstRowLastColumn="0" w:lastRowFirstColumn="0" w:lastRowLastColumn="0"/>
            <w:tcW w:w="4957" w:type="dxa"/>
          </w:tcPr>
          <w:p w:rsidR="003737D3" w:rsidRDefault="003737D3" w:rsidP="003737D3">
            <w:pPr>
              <w:pStyle w:val="Tabletextcentred"/>
              <w:jc w:val="left"/>
              <w:rPr>
                <w:b w:val="0"/>
              </w:rPr>
            </w:pPr>
            <w:r w:rsidRPr="007F246F">
              <w:rPr>
                <w:b w:val="0"/>
              </w:rPr>
              <w:t xml:space="preserve">Under all three tax offsets productions are able to claim </w:t>
            </w:r>
            <w:r w:rsidR="00DF1BE0">
              <w:rPr>
                <w:b w:val="0"/>
              </w:rPr>
              <w:t xml:space="preserve">uncapped </w:t>
            </w:r>
            <w:r w:rsidRPr="007F246F">
              <w:rPr>
                <w:b w:val="0"/>
              </w:rPr>
              <w:t>expenditure incurred on Australian held copyright</w:t>
            </w:r>
          </w:p>
        </w:tc>
        <w:tc>
          <w:tcPr>
            <w:tcW w:w="4400" w:type="dxa"/>
          </w:tcPr>
          <w:p w:rsidR="003737D3" w:rsidRDefault="003737D3" w:rsidP="003737D3">
            <w:pPr>
              <w:pStyle w:val="Tabletextcentred"/>
              <w:jc w:val="left"/>
              <w:cnfStyle w:val="000000000000" w:firstRow="0" w:lastRow="0" w:firstColumn="0" w:lastColumn="0" w:oddVBand="0" w:evenVBand="0" w:oddHBand="0" w:evenHBand="0" w:firstRowFirstColumn="0" w:firstRowLastColumn="0" w:lastRowFirstColumn="0" w:lastRowLastColumn="0"/>
            </w:pPr>
            <w:r>
              <w:t>Cap the</w:t>
            </w:r>
            <w:r w:rsidRPr="006E39B8">
              <w:t xml:space="preserve"> level of copyright expenditure that can be claimed</w:t>
            </w:r>
            <w:r>
              <w:t xml:space="preserve"> at 30 per cent of total production expenditure</w:t>
            </w:r>
            <w:r w:rsidRPr="006E39B8">
              <w:t xml:space="preserve"> under all three offsets</w:t>
            </w:r>
          </w:p>
        </w:tc>
      </w:tr>
    </w:tbl>
    <w:p w:rsidR="003737D3" w:rsidRDefault="003737D3" w:rsidP="00C67323">
      <w:pPr>
        <w:spacing w:before="240"/>
      </w:pPr>
      <w:r w:rsidRPr="006B54CC">
        <w:t xml:space="preserve">As the Australian Screen Production Incentive is underpinned by the </w:t>
      </w:r>
      <w:r w:rsidRPr="006B54CC">
        <w:rPr>
          <w:i/>
        </w:rPr>
        <w:t>Income Tax Assessment Act 1997</w:t>
      </w:r>
      <w:r w:rsidRPr="006B54CC">
        <w:t xml:space="preserve"> and changes will be implemented through legislative amendments. </w:t>
      </w:r>
      <w:r w:rsidRPr="00084799">
        <w:t xml:space="preserve">These amendments will come into effect for productions that commence </w:t>
      </w:r>
      <w:r w:rsidRPr="00084799">
        <w:lastRenderedPageBreak/>
        <w:t>principal photography or post, digital and visual effects</w:t>
      </w:r>
      <w:r>
        <w:t xml:space="preserve"> activity</w:t>
      </w:r>
      <w:r w:rsidRPr="00084799">
        <w:t xml:space="preserve"> on, or after 1 July 2021</w:t>
      </w:r>
      <w:r>
        <w:t>.</w:t>
      </w:r>
    </w:p>
    <w:p w:rsidR="0010554E" w:rsidRPr="00214781" w:rsidRDefault="0010554E" w:rsidP="003737D3">
      <w:r>
        <w:t xml:space="preserve">As per the announcement </w:t>
      </w:r>
      <w:r w:rsidRPr="00A54D75">
        <w:t xml:space="preserve">on </w:t>
      </w:r>
      <w:r w:rsidR="00A54D75" w:rsidRPr="00A54D75">
        <w:t>11</w:t>
      </w:r>
      <w:r w:rsidRPr="00A54D75">
        <w:t xml:space="preserve"> April 2021, </w:t>
      </w:r>
      <w:r w:rsidR="00843C97">
        <w:t xml:space="preserve">the Government has decided to retain the </w:t>
      </w:r>
      <w:r w:rsidR="00E727C0">
        <w:t>Producer </w:t>
      </w:r>
      <w:r>
        <w:t xml:space="preserve">Offset rate for feature film </w:t>
      </w:r>
      <w:r w:rsidR="00843C97">
        <w:t xml:space="preserve">at </w:t>
      </w:r>
      <w:r>
        <w:t xml:space="preserve">40 per. </w:t>
      </w:r>
      <w:r w:rsidR="00796B51">
        <w:t xml:space="preserve">For further information, see </w:t>
      </w:r>
      <w:r w:rsidR="00A54D75">
        <w:t xml:space="preserve">the </w:t>
      </w:r>
      <w:hyperlink r:id="rId15" w:history="1">
        <w:r w:rsidR="00A54D75" w:rsidRPr="006D0518">
          <w:rPr>
            <w:rStyle w:val="Hyperlink"/>
          </w:rPr>
          <w:t>media release.</w:t>
        </w:r>
      </w:hyperlink>
    </w:p>
    <w:p w:rsidR="003B2200" w:rsidRPr="003B2200" w:rsidRDefault="00103F64" w:rsidP="003B2200">
      <w:pPr>
        <w:pStyle w:val="Heading2"/>
      </w:pPr>
      <w:r>
        <w:t xml:space="preserve">Funding to support </w:t>
      </w:r>
      <w:r w:rsidR="00214781">
        <w:t xml:space="preserve">quality </w:t>
      </w:r>
      <w:r>
        <w:t xml:space="preserve">Australian </w:t>
      </w:r>
      <w:r w:rsidR="00214781">
        <w:t xml:space="preserve">screen </w:t>
      </w:r>
      <w:r>
        <w:t>content</w:t>
      </w:r>
    </w:p>
    <w:p w:rsidR="00F75EF9" w:rsidRPr="00F75EF9" w:rsidRDefault="00F75EF9" w:rsidP="00F75EF9">
      <w:r>
        <w:t xml:space="preserve">The Australian Government is </w:t>
      </w:r>
      <w:r w:rsidRPr="00F75EF9">
        <w:t xml:space="preserve">providing an additional $30 million to Screen </w:t>
      </w:r>
      <w:r>
        <w:t xml:space="preserve">Australia over two years from </w:t>
      </w:r>
      <w:r w:rsidRPr="00F75EF9">
        <w:t>2021</w:t>
      </w:r>
      <w:r w:rsidR="001A34EB">
        <w:t>–</w:t>
      </w:r>
      <w:r w:rsidRPr="00F75EF9">
        <w:t>22 for funding for Australian drama, documentary and children’s screen conte</w:t>
      </w:r>
      <w:r w:rsidR="00C67323">
        <w:t>nt across film and television.</w:t>
      </w:r>
    </w:p>
    <w:p w:rsidR="00F75EF9" w:rsidRPr="00D86572" w:rsidRDefault="00F75EF9" w:rsidP="00F75EF9">
      <w:pPr>
        <w:rPr>
          <w:bCs/>
        </w:rPr>
      </w:pPr>
      <w:r w:rsidRPr="00D86572">
        <w:rPr>
          <w:rFonts w:cs="Times New Roman"/>
        </w:rPr>
        <w:t xml:space="preserve">Screen Australia </w:t>
      </w:r>
      <w:r w:rsidRPr="00D86572">
        <w:rPr>
          <w:bCs/>
        </w:rPr>
        <w:t>is the Australian Government’s principal funding agency for providing support to Australian screen practitioners.</w:t>
      </w:r>
      <w:r w:rsidRPr="00D86572">
        <w:t xml:space="preserve"> It supports Australian stories on screen through direct and indirect funding, facilitates industry growth through enterprise funding, market support, targeted initiatives and partnerships, and resources the industry through research, advice and expertise. The Government will provide funding of $81.85 million in 2020</w:t>
      </w:r>
      <w:r w:rsidR="001A34EB">
        <w:t>–</w:t>
      </w:r>
      <w:r w:rsidRPr="00D86572">
        <w:t>21 to Screen Australia.</w:t>
      </w:r>
    </w:p>
    <w:p w:rsidR="00F75EF9" w:rsidRDefault="00F75EF9" w:rsidP="00F75EF9">
      <w:r w:rsidRPr="00AD1D4A">
        <w:t>This boost in funding to Screen Australia will enable it to target quality and culturally important Australian film and television content and support producers to find a pathway to audiences thereby resulting in a positive commercial return</w:t>
      </w:r>
      <w:r>
        <w:t>.</w:t>
      </w:r>
    </w:p>
    <w:p w:rsidR="00BB3D46" w:rsidRPr="00BB3D46" w:rsidRDefault="00F75EF9" w:rsidP="00F75EF9">
      <w:r w:rsidRPr="00F75EF9">
        <w:t>Funding will be delivered through Screen Australia’s competitive funding programs.</w:t>
      </w:r>
      <w:r>
        <w:t xml:space="preserve"> Information on how to apply for funding is available on Screen Australia’s website </w:t>
      </w:r>
      <w:hyperlink r:id="rId16" w:history="1">
        <w:r w:rsidRPr="005B1F23">
          <w:rPr>
            <w:rStyle w:val="Hyperlink"/>
          </w:rPr>
          <w:t>www.screenaustralia.gov.au</w:t>
        </w:r>
      </w:hyperlink>
      <w:r w:rsidR="001A34EB">
        <w:t>.</w:t>
      </w:r>
    </w:p>
    <w:p w:rsidR="00291E8B" w:rsidRDefault="00291E8B" w:rsidP="00291E8B">
      <w:pPr>
        <w:pStyle w:val="Heading2"/>
      </w:pPr>
      <w:r>
        <w:t>Funding to support script writing</w:t>
      </w:r>
      <w:r w:rsidR="0010028C">
        <w:t xml:space="preserve"> and script development</w:t>
      </w:r>
    </w:p>
    <w:p w:rsidR="00F75EF9" w:rsidRDefault="00F75EF9" w:rsidP="00827BA3">
      <w:r w:rsidRPr="00D86572">
        <w:t xml:space="preserve">The </w:t>
      </w:r>
      <w:r>
        <w:t xml:space="preserve">Australian </w:t>
      </w:r>
      <w:r w:rsidRPr="00D86572">
        <w:t xml:space="preserve">Government is </w:t>
      </w:r>
      <w:r>
        <w:t xml:space="preserve">also </w:t>
      </w:r>
      <w:r w:rsidRPr="00D86572">
        <w:t xml:space="preserve">providing an additional $3 million </w:t>
      </w:r>
      <w:r>
        <w:t xml:space="preserve">to Screen Australia </w:t>
      </w:r>
      <w:r w:rsidRPr="00D86572">
        <w:t xml:space="preserve">over three years from 2020-21 to support </w:t>
      </w:r>
      <w:r w:rsidR="00D73438">
        <w:t>a</w:t>
      </w:r>
      <w:r w:rsidR="00D73438" w:rsidRPr="00D86572">
        <w:t xml:space="preserve"> </w:t>
      </w:r>
      <w:r w:rsidRPr="00D86572">
        <w:t>Screen Writing and Script Development Fund</w:t>
      </w:r>
      <w:r>
        <w:t>.</w:t>
      </w:r>
    </w:p>
    <w:p w:rsidR="00600258" w:rsidRDefault="00827BA3" w:rsidP="00827BA3">
      <w:r w:rsidRPr="00644018">
        <w:t>In the contemporary screen production environment, comm</w:t>
      </w:r>
      <w:r>
        <w:t xml:space="preserve">issioners of content worldwide </w:t>
      </w:r>
      <w:r w:rsidRPr="00644018">
        <w:t>are looking for well-developed and well-written creative concepts</w:t>
      </w:r>
      <w:r>
        <w:t xml:space="preserve">. To support our sector to </w:t>
      </w:r>
      <w:r w:rsidRPr="00644018">
        <w:t>secur</w:t>
      </w:r>
      <w:r>
        <w:t>e work in this</w:t>
      </w:r>
      <w:r w:rsidRPr="00644018">
        <w:t xml:space="preserve"> global production industry, Australia’s script writers </w:t>
      </w:r>
      <w:r>
        <w:t xml:space="preserve">will be supported to spend time, hone </w:t>
      </w:r>
      <w:r w:rsidRPr="00644018">
        <w:t xml:space="preserve">skills and </w:t>
      </w:r>
      <w:r>
        <w:t xml:space="preserve">develop </w:t>
      </w:r>
      <w:r w:rsidRPr="00644018">
        <w:t xml:space="preserve">expertise to put forward polished, production-ready scripts. This </w:t>
      </w:r>
      <w:r>
        <w:t>Fund will</w:t>
      </w:r>
      <w:r w:rsidRPr="00644018">
        <w:t xml:space="preserve"> strengthen our industry’s ability to be competitive in a global environment</w:t>
      </w:r>
      <w:r w:rsidR="001A34EB">
        <w:t>.</w:t>
      </w:r>
    </w:p>
    <w:p w:rsidR="00827BA3" w:rsidRPr="00BB3D46" w:rsidRDefault="00827BA3" w:rsidP="00827BA3">
      <w:r w:rsidRPr="00F75EF9">
        <w:t>Funding will be deli</w:t>
      </w:r>
      <w:r>
        <w:t>vered through Screen Australia</w:t>
      </w:r>
      <w:r w:rsidRPr="00F75EF9">
        <w:t>.</w:t>
      </w:r>
      <w:r>
        <w:t xml:space="preserve"> Information on how to apply for funding is available on Screen Australia’s website </w:t>
      </w:r>
      <w:hyperlink r:id="rId17" w:history="1">
        <w:r w:rsidRPr="005B1F23">
          <w:rPr>
            <w:rStyle w:val="Hyperlink"/>
          </w:rPr>
          <w:t>www.screenaustralia.gov.au</w:t>
        </w:r>
      </w:hyperlink>
      <w:r w:rsidR="001A34EB">
        <w:t>.</w:t>
      </w:r>
    </w:p>
    <w:p w:rsidR="001F1F31" w:rsidRPr="003B2200" w:rsidRDefault="001F1F31" w:rsidP="001F1F31">
      <w:pPr>
        <w:pStyle w:val="Heading2"/>
      </w:pPr>
      <w:r>
        <w:lastRenderedPageBreak/>
        <w:t>Funding for quality Australian children’s content</w:t>
      </w:r>
    </w:p>
    <w:p w:rsidR="001F1F31" w:rsidRDefault="001F1F31" w:rsidP="001F1F31">
      <w:r>
        <w:t xml:space="preserve">The Australian Government is providing </w:t>
      </w:r>
      <w:r w:rsidRPr="00D86572">
        <w:t>$</w:t>
      </w:r>
      <w:r>
        <w:t>20</w:t>
      </w:r>
      <w:r w:rsidRPr="00D86572">
        <w:t xml:space="preserve"> million over </w:t>
      </w:r>
      <w:r>
        <w:t>two</w:t>
      </w:r>
      <w:r w:rsidRPr="00D86572">
        <w:t xml:space="preserve"> years </w:t>
      </w:r>
      <w:r>
        <w:t xml:space="preserve">from 2021-22 </w:t>
      </w:r>
      <w:r w:rsidRPr="00D86572">
        <w:t xml:space="preserve">to </w:t>
      </w:r>
      <w:r>
        <w:t>the Australia Children’s Television Foundation (ACTF) to invest in the development, production and distribution of Australian children’s content</w:t>
      </w:r>
      <w:r w:rsidRPr="00D86572">
        <w:t>.</w:t>
      </w:r>
    </w:p>
    <w:p w:rsidR="001F1F31" w:rsidRPr="00D86572" w:rsidRDefault="001F1F31" w:rsidP="001F1F31">
      <w:r w:rsidRPr="00863DEC">
        <w:t xml:space="preserve">This </w:t>
      </w:r>
      <w:r>
        <w:t>funding</w:t>
      </w:r>
      <w:r w:rsidRPr="00863DEC">
        <w:t xml:space="preserve"> will make sure young audiences continue to enjoy access to high quality Australian stories that are critical for education, entertainment and the development of a shared sense of culture and identity</w:t>
      </w:r>
      <w:r>
        <w:t>.</w:t>
      </w:r>
    </w:p>
    <w:p w:rsidR="002B23E0" w:rsidRPr="00BB3D46" w:rsidRDefault="001F1F31" w:rsidP="004E767E">
      <w:r w:rsidRPr="007E22B6">
        <w:t xml:space="preserve">The </w:t>
      </w:r>
      <w:r>
        <w:t>ACTF</w:t>
      </w:r>
      <w:r w:rsidRPr="007E22B6">
        <w:t xml:space="preserve"> provides funding to support the development, production and distribution of high quality Australian children’s content and educational resources</w:t>
      </w:r>
      <w:r w:rsidRPr="00644018">
        <w:rPr>
          <w:rFonts w:eastAsia="Arial" w:cs="Arial"/>
          <w:szCs w:val="24"/>
        </w:rPr>
        <w:t>.</w:t>
      </w:r>
      <w:r w:rsidR="006E61F8">
        <w:rPr>
          <w:rFonts w:eastAsia="Arial" w:cs="Arial"/>
          <w:szCs w:val="24"/>
        </w:rPr>
        <w:t xml:space="preserve"> </w:t>
      </w:r>
      <w:r w:rsidR="00B526C6">
        <w:t>Information on</w:t>
      </w:r>
      <w:r>
        <w:t xml:space="preserve"> eligibility</w:t>
      </w:r>
      <w:r w:rsidR="00B526C6">
        <w:t xml:space="preserve"> and how to apply </w:t>
      </w:r>
      <w:r>
        <w:t xml:space="preserve">for </w:t>
      </w:r>
      <w:r w:rsidR="00B526C6">
        <w:t>funding</w:t>
      </w:r>
      <w:r>
        <w:t xml:space="preserve"> from the ACTF can be found on its website </w:t>
      </w:r>
      <w:hyperlink r:id="rId18" w:history="1">
        <w:r w:rsidRPr="005B1F23">
          <w:rPr>
            <w:rStyle w:val="Hyperlink"/>
          </w:rPr>
          <w:t>www.actf.com.au</w:t>
        </w:r>
      </w:hyperlink>
      <w:r w:rsidR="001A34EB">
        <w:t>.</w:t>
      </w:r>
      <w:bookmarkStart w:id="1" w:name="_GoBack"/>
      <w:bookmarkEnd w:id="1"/>
    </w:p>
    <w:sectPr w:rsidR="002B23E0" w:rsidRPr="00BB3D46" w:rsidSect="00133A45">
      <w:type w:val="continuous"/>
      <w:pgSz w:w="11906" w:h="16838"/>
      <w:pgMar w:top="2269" w:right="991" w:bottom="1276" w:left="1440" w:header="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200" w:rsidRDefault="003B2200" w:rsidP="00FC413F">
      <w:pPr>
        <w:spacing w:after="0"/>
      </w:pPr>
      <w:r>
        <w:separator/>
      </w:r>
    </w:p>
  </w:endnote>
  <w:endnote w:type="continuationSeparator" w:id="0">
    <w:p w:rsidR="003B2200" w:rsidRDefault="003B2200"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A45" w:rsidRPr="00FC413F" w:rsidRDefault="00133A45" w:rsidP="00133A45">
    <w:pPr>
      <w:pStyle w:val="Footer"/>
      <w:tabs>
        <w:tab w:val="clear" w:pos="4513"/>
        <w:tab w:val="clear" w:pos="9026"/>
      </w:tabs>
      <w:ind w:left="-567"/>
      <w:rPr>
        <w:rFonts w:cs="Segoe UI"/>
        <w:szCs w:val="18"/>
      </w:rPr>
    </w:pPr>
    <w:r w:rsidRPr="00FC413F">
      <w:rPr>
        <w:rFonts w:cs="Segoe UI"/>
        <w:szCs w:val="18"/>
      </w:rPr>
      <w:t>________________________________________________________</w:t>
    </w:r>
    <w:r>
      <w:rPr>
        <w:rFonts w:cs="Segoe UI"/>
        <w:szCs w:val="18"/>
      </w:rPr>
      <w:t>___________________________________________</w:t>
    </w:r>
    <w:r w:rsidRPr="00FC413F">
      <w:rPr>
        <w:rFonts w:cs="Segoe UI"/>
        <w:szCs w:val="18"/>
      </w:rPr>
      <w:t>___________________________________</w:t>
    </w:r>
  </w:p>
  <w:p w:rsidR="00133A45" w:rsidRPr="00FC413F" w:rsidRDefault="00133A45" w:rsidP="00133A45">
    <w:pPr>
      <w:pStyle w:val="Footer"/>
      <w:tabs>
        <w:tab w:val="clear" w:pos="4513"/>
        <w:tab w:val="clear" w:pos="9026"/>
        <w:tab w:val="right" w:pos="9356"/>
      </w:tabs>
      <w:ind w:hanging="567"/>
      <w:rPr>
        <w:rFonts w:cs="Segoe UI"/>
        <w:szCs w:val="18"/>
      </w:rPr>
    </w:pPr>
    <w:r>
      <w:rPr>
        <w:rFonts w:cs="Segoe UI"/>
        <w:szCs w:val="18"/>
      </w:rPr>
      <w:fldChar w:fldCharType="begin"/>
    </w:r>
    <w:r>
      <w:rPr>
        <w:rFonts w:cs="Segoe UI"/>
        <w:szCs w:val="18"/>
      </w:rPr>
      <w:instrText xml:space="preserve"> PAGE  \* Arabic  \* MERGEFORMAT </w:instrText>
    </w:r>
    <w:r>
      <w:rPr>
        <w:rFonts w:cs="Segoe UI"/>
        <w:szCs w:val="18"/>
      </w:rPr>
      <w:fldChar w:fldCharType="separate"/>
    </w:r>
    <w:r w:rsidR="001A34EB">
      <w:rPr>
        <w:rFonts w:cs="Segoe UI"/>
        <w:noProof/>
        <w:szCs w:val="18"/>
      </w:rPr>
      <w:t>2</w:t>
    </w:r>
    <w:r>
      <w:rPr>
        <w:rFonts w:cs="Segoe UI"/>
        <w:szCs w:val="18"/>
      </w:rPr>
      <w:fldChar w:fldCharType="end"/>
    </w:r>
    <w:r w:rsidRPr="00FC413F">
      <w:rPr>
        <w:rFonts w:cs="Segoe UI"/>
        <w:noProof/>
        <w:szCs w:val="18"/>
      </w:rPr>
      <w:t>.</w:t>
    </w:r>
    <w:r w:rsidRPr="00FC413F">
      <w:rPr>
        <w:rFonts w:cs="Segoe UI"/>
        <w:noProof/>
        <w:szCs w:val="18"/>
      </w:rPr>
      <w:tab/>
    </w:r>
    <w:r w:rsidR="002051C8" w:rsidRPr="002051C8">
      <w:rPr>
        <w:rFonts w:cs="Segoe UI"/>
        <w:noProof/>
        <w:szCs w:val="18"/>
      </w:rPr>
      <w:t>Fact Sheet: Screen production funding and incentives reforms</w:t>
    </w:r>
  </w:p>
  <w:p w:rsidR="00133A45" w:rsidRPr="00FC413F" w:rsidRDefault="001A34EB" w:rsidP="00133A45">
    <w:pPr>
      <w:pStyle w:val="Footer"/>
      <w:tabs>
        <w:tab w:val="clear" w:pos="4513"/>
        <w:tab w:val="clear" w:pos="9026"/>
      </w:tabs>
      <w:ind w:left="-567"/>
      <w:jc w:val="center"/>
      <w:rPr>
        <w:rFonts w:cs="Segoe UI"/>
        <w:szCs w:val="18"/>
      </w:rPr>
    </w:pPr>
    <w:hyperlink r:id="rId1" w:history="1">
      <w:r w:rsidR="00133A45" w:rsidRPr="00FC413F">
        <w:rPr>
          <w:rStyle w:val="Hyperlink"/>
          <w:rFonts w:cs="Segoe UI"/>
          <w:szCs w:val="18"/>
        </w:rPr>
        <w:t>infrastructure.gov.au</w:t>
      </w:r>
    </w:hyperlink>
    <w:r w:rsidR="00133A45" w:rsidRPr="00FC413F">
      <w:rPr>
        <w:rFonts w:cs="Segoe UI"/>
        <w:noProof/>
        <w:szCs w:val="18"/>
      </w:rPr>
      <w:t xml:space="preserve"> | </w:t>
    </w:r>
    <w:hyperlink r:id="rId2" w:history="1">
      <w:r w:rsidR="00133A45" w:rsidRPr="00FC413F">
        <w:rPr>
          <w:rStyle w:val="Hyperlink"/>
          <w:rFonts w:cs="Segoe UI"/>
          <w:szCs w:val="18"/>
        </w:rPr>
        <w:t>communications.gov.au</w:t>
      </w:r>
    </w:hyperlink>
    <w:r w:rsidR="0000270B" w:rsidRPr="00FC413F">
      <w:rPr>
        <w:rFonts w:cs="Segoe UI"/>
        <w:noProof/>
        <w:szCs w:val="18"/>
      </w:rPr>
      <w:t xml:space="preserve"> |</w:t>
    </w:r>
    <w:r w:rsidR="0000270B">
      <w:rPr>
        <w:rFonts w:cs="Segoe UI"/>
        <w:noProof/>
        <w:szCs w:val="18"/>
      </w:rPr>
      <w:t xml:space="preserve"> </w:t>
    </w:r>
    <w:hyperlink r:id="rId3" w:history="1">
      <w:r w:rsidR="0000270B" w:rsidRPr="00FC413F">
        <w:rPr>
          <w:rStyle w:val="Hyperlink"/>
          <w:rFonts w:cs="Segoe UI"/>
          <w:szCs w:val="18"/>
        </w:rPr>
        <w:t>arts.gov.au</w:t>
      </w:r>
    </w:hyperlink>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70B" w:rsidRPr="00FC413F" w:rsidRDefault="0000270B" w:rsidP="0000270B">
    <w:pPr>
      <w:pStyle w:val="Footer"/>
      <w:tabs>
        <w:tab w:val="clear" w:pos="4513"/>
        <w:tab w:val="clear" w:pos="9026"/>
      </w:tabs>
      <w:ind w:left="-567"/>
      <w:rPr>
        <w:rFonts w:cs="Segoe UI"/>
        <w:szCs w:val="18"/>
      </w:rPr>
    </w:pPr>
    <w:r w:rsidRPr="00FC413F">
      <w:rPr>
        <w:rFonts w:cs="Segoe UI"/>
        <w:szCs w:val="18"/>
      </w:rPr>
      <w:t>________________________________________________________</w:t>
    </w:r>
    <w:r>
      <w:rPr>
        <w:rFonts w:cs="Segoe UI"/>
        <w:szCs w:val="18"/>
      </w:rPr>
      <w:t>___________________________________________</w:t>
    </w:r>
    <w:r w:rsidRPr="00FC413F">
      <w:rPr>
        <w:rFonts w:cs="Segoe UI"/>
        <w:szCs w:val="18"/>
      </w:rPr>
      <w:t>___________________________________</w:t>
    </w:r>
  </w:p>
  <w:p w:rsidR="0000270B" w:rsidRPr="00FC413F" w:rsidRDefault="0000270B" w:rsidP="0000270B">
    <w:pPr>
      <w:pStyle w:val="Footer"/>
      <w:tabs>
        <w:tab w:val="clear" w:pos="4513"/>
        <w:tab w:val="clear" w:pos="9026"/>
        <w:tab w:val="right" w:pos="9356"/>
      </w:tabs>
      <w:ind w:hanging="567"/>
      <w:rPr>
        <w:rFonts w:cs="Segoe UI"/>
        <w:szCs w:val="18"/>
      </w:rPr>
    </w:pPr>
    <w:r>
      <w:rPr>
        <w:rFonts w:cs="Segoe UI"/>
        <w:szCs w:val="18"/>
      </w:rPr>
      <w:fldChar w:fldCharType="begin"/>
    </w:r>
    <w:r>
      <w:rPr>
        <w:rFonts w:cs="Segoe UI"/>
        <w:szCs w:val="18"/>
      </w:rPr>
      <w:instrText xml:space="preserve"> PAGE  \* Arabic  \* MERGEFORMAT </w:instrText>
    </w:r>
    <w:r>
      <w:rPr>
        <w:rFonts w:cs="Segoe UI"/>
        <w:szCs w:val="18"/>
      </w:rPr>
      <w:fldChar w:fldCharType="separate"/>
    </w:r>
    <w:r w:rsidR="002A058A">
      <w:rPr>
        <w:rFonts w:cs="Segoe UI"/>
        <w:noProof/>
        <w:szCs w:val="18"/>
      </w:rPr>
      <w:t>1</w:t>
    </w:r>
    <w:r>
      <w:rPr>
        <w:rFonts w:cs="Segoe UI"/>
        <w:szCs w:val="18"/>
      </w:rPr>
      <w:fldChar w:fldCharType="end"/>
    </w:r>
    <w:r w:rsidRPr="00FC413F">
      <w:rPr>
        <w:rFonts w:cs="Segoe UI"/>
        <w:noProof/>
        <w:szCs w:val="18"/>
      </w:rPr>
      <w:t>.</w:t>
    </w:r>
    <w:r w:rsidRPr="00FC413F">
      <w:rPr>
        <w:rFonts w:cs="Segoe UI"/>
        <w:noProof/>
        <w:szCs w:val="18"/>
      </w:rPr>
      <w:tab/>
    </w:r>
    <w:r w:rsidR="002051C8" w:rsidRPr="002051C8">
      <w:rPr>
        <w:rFonts w:cs="Segoe UI"/>
        <w:noProof/>
        <w:szCs w:val="18"/>
      </w:rPr>
      <w:t>Fact Sheet: Screen production funding and incentives reforms</w:t>
    </w:r>
  </w:p>
  <w:p w:rsidR="0000270B" w:rsidRPr="00FC413F" w:rsidRDefault="001A34EB" w:rsidP="0000270B">
    <w:pPr>
      <w:pStyle w:val="Footer"/>
      <w:tabs>
        <w:tab w:val="clear" w:pos="4513"/>
        <w:tab w:val="clear" w:pos="9026"/>
      </w:tabs>
      <w:ind w:left="-567"/>
      <w:jc w:val="center"/>
      <w:rPr>
        <w:rFonts w:cs="Segoe UI"/>
        <w:szCs w:val="18"/>
      </w:rPr>
    </w:pPr>
    <w:hyperlink r:id="rId1" w:history="1">
      <w:r w:rsidR="0000270B" w:rsidRPr="00FC413F">
        <w:rPr>
          <w:rStyle w:val="Hyperlink"/>
          <w:rFonts w:cs="Segoe UI"/>
          <w:szCs w:val="18"/>
        </w:rPr>
        <w:t>infrastructure.gov.au</w:t>
      </w:r>
    </w:hyperlink>
    <w:r w:rsidR="0000270B" w:rsidRPr="00FC413F">
      <w:rPr>
        <w:rFonts w:cs="Segoe UI"/>
        <w:noProof/>
        <w:szCs w:val="18"/>
      </w:rPr>
      <w:t xml:space="preserve"> | </w:t>
    </w:r>
    <w:hyperlink r:id="rId2" w:history="1">
      <w:r w:rsidR="0000270B" w:rsidRPr="00FC413F">
        <w:rPr>
          <w:rStyle w:val="Hyperlink"/>
          <w:rFonts w:cs="Segoe UI"/>
          <w:szCs w:val="18"/>
        </w:rPr>
        <w:t>communications.gov.au</w:t>
      </w:r>
    </w:hyperlink>
    <w:r w:rsidR="0000270B" w:rsidRPr="00FC413F">
      <w:rPr>
        <w:rFonts w:cs="Segoe UI"/>
        <w:noProof/>
        <w:szCs w:val="18"/>
      </w:rPr>
      <w:t xml:space="preserve"> |</w:t>
    </w:r>
    <w:r w:rsidR="0000270B">
      <w:rPr>
        <w:rFonts w:cs="Segoe UI"/>
        <w:noProof/>
        <w:szCs w:val="18"/>
      </w:rPr>
      <w:t xml:space="preserve"> </w:t>
    </w:r>
    <w:hyperlink r:id="rId3" w:history="1">
      <w:r w:rsidR="0000270B" w:rsidRPr="00FC413F">
        <w:rPr>
          <w:rStyle w:val="Hyperlink"/>
          <w:rFonts w:cs="Segoe UI"/>
          <w:szCs w:val="18"/>
        </w:rPr>
        <w:t>arts.gov.au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200" w:rsidRDefault="003B2200" w:rsidP="00FC413F">
      <w:pPr>
        <w:spacing w:after="0"/>
      </w:pPr>
      <w:r>
        <w:separator/>
      </w:r>
    </w:p>
  </w:footnote>
  <w:footnote w:type="continuationSeparator" w:id="0">
    <w:p w:rsidR="003B2200" w:rsidRDefault="003B2200"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E04" w:rsidRDefault="00E80E04" w:rsidP="00FC413F">
    <w:pPr>
      <w:pStyle w:val="Header"/>
      <w:tabs>
        <w:tab w:val="right" w:pos="9475"/>
      </w:tabs>
      <w:ind w:left="-1418"/>
    </w:pPr>
    <w:r>
      <w:rPr>
        <w:noProof/>
        <w:lang w:eastAsia="en-AU"/>
      </w:rPr>
      <w:drawing>
        <wp:inline distT="0" distB="0" distL="0" distR="0" wp14:anchorId="54113138" wp14:editId="329A1320">
          <wp:extent cx="7570707" cy="1080198"/>
          <wp:effectExtent l="0" t="0" r="0" b="5715"/>
          <wp:docPr id="11" name="Picture 11" descr="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TRDC Word Header_Pattern_A4 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082" cy="1083961"/>
                  </a:xfrm>
                  <a:prstGeom prst="rect">
                    <a:avLst/>
                  </a:prstGeom>
                </pic:spPr>
              </pic:pic>
            </a:graphicData>
          </a:graphic>
        </wp:inline>
      </w:drawing>
    </w:r>
  </w:p>
  <w:p w:rsidR="00E80E04" w:rsidRPr="002A058A" w:rsidRDefault="00C67323" w:rsidP="00D47BFD">
    <w:pPr>
      <w:pStyle w:val="Header"/>
      <w:tabs>
        <w:tab w:val="clear" w:pos="4678"/>
      </w:tabs>
      <w:rPr>
        <w:rFonts w:cs="Segoe UI Light"/>
        <w:color w:val="001C40"/>
        <w:szCs w:val="18"/>
      </w:rPr>
    </w:pPr>
    <w:r>
      <w:rPr>
        <w:rFonts w:cs="Segoe UI Light"/>
        <w:szCs w:val="18"/>
      </w:rPr>
      <w:t>April 2021</w:t>
    </w:r>
    <w:r w:rsidR="00E80E04" w:rsidRPr="00261FFA">
      <w:rPr>
        <w:rFonts w:cs="Segoe UI Light"/>
        <w:szCs w:val="18"/>
      </w:rPr>
      <w:tab/>
    </w:r>
    <w:r w:rsidR="0000270B" w:rsidRPr="002A058A">
      <w:rPr>
        <w:rFonts w:cs="Segoe UI Light"/>
        <w:color w:val="001C40"/>
        <w:szCs w:val="18"/>
      </w:rPr>
      <w:fldChar w:fldCharType="begin"/>
    </w:r>
    <w:r w:rsidR="0000270B" w:rsidRPr="002A058A">
      <w:rPr>
        <w:rFonts w:cs="Segoe UI Light"/>
        <w:color w:val="001C40"/>
        <w:szCs w:val="18"/>
      </w:rPr>
      <w:instrText xml:space="preserve"> STYLEREF  "Heading 2"  \* MERGEFORMAT </w:instrText>
    </w:r>
    <w:r w:rsidR="0000270B" w:rsidRPr="002A058A">
      <w:rPr>
        <w:rFonts w:cs="Segoe UI Light"/>
        <w:color w:val="001C40"/>
        <w:szCs w:val="18"/>
      </w:rPr>
      <w:fldChar w:fldCharType="separate"/>
    </w:r>
    <w:r w:rsidR="001A34EB" w:rsidRPr="001A34EB">
      <w:rPr>
        <w:rFonts w:cs="Segoe UI Light"/>
        <w:bCs/>
        <w:noProof/>
        <w:color w:val="001C40"/>
        <w:szCs w:val="18"/>
        <w:lang w:val="en-US"/>
      </w:rPr>
      <w:t>Funding to</w:t>
    </w:r>
    <w:r w:rsidR="001A34EB">
      <w:rPr>
        <w:rFonts w:cs="Segoe UI Light"/>
        <w:noProof/>
        <w:color w:val="001C40"/>
        <w:szCs w:val="18"/>
      </w:rPr>
      <w:t xml:space="preserve"> support quality Australian screen content</w:t>
    </w:r>
    <w:r w:rsidR="0000270B" w:rsidRPr="002A058A">
      <w:rPr>
        <w:rFonts w:cs="Segoe UI Light"/>
        <w:color w:val="001C40"/>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500420"/>
    <w:multiLevelType w:val="hybridMultilevel"/>
    <w:tmpl w:val="F1365A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5E46EF"/>
    <w:multiLevelType w:val="hybridMultilevel"/>
    <w:tmpl w:val="02083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8E444A"/>
    <w:multiLevelType w:val="hybridMultilevel"/>
    <w:tmpl w:val="55BA35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4E92756"/>
    <w:multiLevelType w:val="hybridMultilevel"/>
    <w:tmpl w:val="7AACB4D4"/>
    <w:lvl w:ilvl="0" w:tplc="BB0C39E4">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04C70CE"/>
    <w:multiLevelType w:val="hybridMultilevel"/>
    <w:tmpl w:val="9DF683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1A14A6C"/>
    <w:multiLevelType w:val="hybridMultilevel"/>
    <w:tmpl w:val="7E7852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64B0E51"/>
    <w:multiLevelType w:val="hybridMultilevel"/>
    <w:tmpl w:val="2DA6C9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8827E7D"/>
    <w:multiLevelType w:val="hybridMultilevel"/>
    <w:tmpl w:val="AA168EC0"/>
    <w:lvl w:ilvl="0" w:tplc="E96A464C">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1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num>
  <w:num w:numId="15">
    <w:abstractNumId w:val="12"/>
  </w:num>
  <w:num w:numId="16">
    <w:abstractNumId w:val="11"/>
  </w:num>
  <w:num w:numId="17">
    <w:abstractNumId w:val="14"/>
  </w:num>
  <w:num w:numId="18">
    <w:abstractNumId w:val="16"/>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200"/>
    <w:rsid w:val="0000270B"/>
    <w:rsid w:val="0003502E"/>
    <w:rsid w:val="000740FB"/>
    <w:rsid w:val="00090E62"/>
    <w:rsid w:val="000C0244"/>
    <w:rsid w:val="000D2DAE"/>
    <w:rsid w:val="0010028C"/>
    <w:rsid w:val="00103F64"/>
    <w:rsid w:val="0010554E"/>
    <w:rsid w:val="00105DA4"/>
    <w:rsid w:val="00133A45"/>
    <w:rsid w:val="001A34EB"/>
    <w:rsid w:val="001F1F31"/>
    <w:rsid w:val="00204A64"/>
    <w:rsid w:val="00205178"/>
    <w:rsid w:val="002051C8"/>
    <w:rsid w:val="00214781"/>
    <w:rsid w:val="00217C11"/>
    <w:rsid w:val="00236F1B"/>
    <w:rsid w:val="0025260C"/>
    <w:rsid w:val="00261FFA"/>
    <w:rsid w:val="00272982"/>
    <w:rsid w:val="00277166"/>
    <w:rsid w:val="00282A65"/>
    <w:rsid w:val="00287C7E"/>
    <w:rsid w:val="00291E8B"/>
    <w:rsid w:val="002A058A"/>
    <w:rsid w:val="002A5AB5"/>
    <w:rsid w:val="002B23E0"/>
    <w:rsid w:val="002B6BC8"/>
    <w:rsid w:val="002F1A23"/>
    <w:rsid w:val="00300077"/>
    <w:rsid w:val="00302EB2"/>
    <w:rsid w:val="00310148"/>
    <w:rsid w:val="00323710"/>
    <w:rsid w:val="00342348"/>
    <w:rsid w:val="003737D3"/>
    <w:rsid w:val="0038570C"/>
    <w:rsid w:val="003861D6"/>
    <w:rsid w:val="003B2200"/>
    <w:rsid w:val="003B6D01"/>
    <w:rsid w:val="003D71C5"/>
    <w:rsid w:val="00436B04"/>
    <w:rsid w:val="004D633C"/>
    <w:rsid w:val="004E767E"/>
    <w:rsid w:val="005D038B"/>
    <w:rsid w:val="005E55BD"/>
    <w:rsid w:val="005F5335"/>
    <w:rsid w:val="00600258"/>
    <w:rsid w:val="00630D43"/>
    <w:rsid w:val="006452B1"/>
    <w:rsid w:val="006542FA"/>
    <w:rsid w:val="00691FA2"/>
    <w:rsid w:val="006B54CC"/>
    <w:rsid w:val="006D0518"/>
    <w:rsid w:val="006D43C7"/>
    <w:rsid w:val="006E1F70"/>
    <w:rsid w:val="006E61F8"/>
    <w:rsid w:val="00726628"/>
    <w:rsid w:val="00772C27"/>
    <w:rsid w:val="00790F25"/>
    <w:rsid w:val="00793843"/>
    <w:rsid w:val="00796B51"/>
    <w:rsid w:val="0079788A"/>
    <w:rsid w:val="007B68AB"/>
    <w:rsid w:val="007E22B6"/>
    <w:rsid w:val="00816C89"/>
    <w:rsid w:val="00822DBF"/>
    <w:rsid w:val="00827BA3"/>
    <w:rsid w:val="00843C97"/>
    <w:rsid w:val="008A7B93"/>
    <w:rsid w:val="008F24DE"/>
    <w:rsid w:val="00912D17"/>
    <w:rsid w:val="0091397D"/>
    <w:rsid w:val="009276A3"/>
    <w:rsid w:val="009279AE"/>
    <w:rsid w:val="00985DD5"/>
    <w:rsid w:val="00A4759C"/>
    <w:rsid w:val="00A54D75"/>
    <w:rsid w:val="00A5600C"/>
    <w:rsid w:val="00A82DAF"/>
    <w:rsid w:val="00A96B7A"/>
    <w:rsid w:val="00AF4697"/>
    <w:rsid w:val="00B526C6"/>
    <w:rsid w:val="00B5393D"/>
    <w:rsid w:val="00BB3D46"/>
    <w:rsid w:val="00BC0598"/>
    <w:rsid w:val="00C36E40"/>
    <w:rsid w:val="00C62177"/>
    <w:rsid w:val="00C661B9"/>
    <w:rsid w:val="00C67323"/>
    <w:rsid w:val="00D47BFD"/>
    <w:rsid w:val="00D64922"/>
    <w:rsid w:val="00D73438"/>
    <w:rsid w:val="00D75185"/>
    <w:rsid w:val="00DF1BE0"/>
    <w:rsid w:val="00E21FB2"/>
    <w:rsid w:val="00E514CC"/>
    <w:rsid w:val="00E7227D"/>
    <w:rsid w:val="00E727C0"/>
    <w:rsid w:val="00E76BC6"/>
    <w:rsid w:val="00E80E04"/>
    <w:rsid w:val="00EE6EE8"/>
    <w:rsid w:val="00F61FA1"/>
    <w:rsid w:val="00F75EF9"/>
    <w:rsid w:val="00F814AD"/>
    <w:rsid w:val="00FC413F"/>
    <w:rsid w:val="00FD3D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7CA3A3C"/>
  <w15:chartTrackingRefBased/>
  <w15:docId w15:val="{7801C029-D58B-4985-B16F-B36D2532E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270B"/>
    <w:pPr>
      <w:spacing w:line="240" w:lineRule="auto"/>
    </w:pPr>
    <w:rPr>
      <w:rFonts w:ascii="Segoe UI" w:hAnsi="Segoe UI"/>
      <w:sz w:val="21"/>
    </w:rPr>
  </w:style>
  <w:style w:type="paragraph" w:styleId="Heading1">
    <w:name w:val="heading 1"/>
    <w:basedOn w:val="Normal"/>
    <w:next w:val="Normal"/>
    <w:link w:val="Heading1Char"/>
    <w:uiPriority w:val="9"/>
    <w:qFormat/>
    <w:rsid w:val="00C67323"/>
    <w:pPr>
      <w:keepNext/>
      <w:keepLines/>
      <w:spacing w:before="240" w:after="240"/>
      <w:outlineLvl w:val="0"/>
    </w:pPr>
    <w:rPr>
      <w:rFonts w:ascii="Segoe UI Semibold" w:eastAsiaTheme="majorEastAsia" w:hAnsi="Segoe UI Semibold" w:cs="Segoe UI Semibold"/>
      <w:color w:val="002D72"/>
      <w:sz w:val="48"/>
      <w:szCs w:val="48"/>
    </w:rPr>
  </w:style>
  <w:style w:type="paragraph" w:styleId="Heading2">
    <w:name w:val="heading 2"/>
    <w:basedOn w:val="Normal"/>
    <w:next w:val="Normal"/>
    <w:link w:val="Heading2Char"/>
    <w:uiPriority w:val="9"/>
    <w:unhideWhenUsed/>
    <w:qFormat/>
    <w:rsid w:val="00772C27"/>
    <w:pPr>
      <w:keepNext/>
      <w:spacing w:before="120" w:after="120"/>
      <w:outlineLvl w:val="1"/>
    </w:pPr>
    <w:rPr>
      <w:rFonts w:ascii="Segoe UI Semibold" w:eastAsia="MingLiU" w:hAnsi="Segoe UI Semibold" w:cs="Segoe UI Semibold"/>
      <w:color w:val="002D72"/>
      <w:sz w:val="36"/>
      <w:szCs w:val="26"/>
    </w:rPr>
  </w:style>
  <w:style w:type="paragraph" w:styleId="Heading3">
    <w:name w:val="heading 3"/>
    <w:basedOn w:val="Normal"/>
    <w:next w:val="Normal"/>
    <w:link w:val="Heading3Char"/>
    <w:uiPriority w:val="9"/>
    <w:unhideWhenUsed/>
    <w:qFormat/>
    <w:rsid w:val="00772C27"/>
    <w:pPr>
      <w:keepNext/>
      <w:spacing w:before="120" w:after="120"/>
      <w:outlineLvl w:val="2"/>
    </w:pPr>
    <w:rPr>
      <w:rFonts w:ascii="Segoe UI Semibold" w:eastAsia="MingLiU" w:hAnsi="Segoe UI Semibold" w:cs="Segoe UI Semibold"/>
      <w:color w:val="002D72"/>
      <w:sz w:val="30"/>
      <w:szCs w:val="30"/>
    </w:rPr>
  </w:style>
  <w:style w:type="paragraph" w:styleId="Heading4">
    <w:name w:val="heading 4"/>
    <w:basedOn w:val="Normal"/>
    <w:next w:val="Normal"/>
    <w:link w:val="Heading4Char"/>
    <w:uiPriority w:val="9"/>
    <w:unhideWhenUsed/>
    <w:qFormat/>
    <w:rsid w:val="00C36E40"/>
    <w:pPr>
      <w:keepNext/>
      <w:spacing w:before="120" w:after="120"/>
      <w:outlineLvl w:val="3"/>
    </w:pPr>
    <w:rPr>
      <w:rFonts w:ascii="Segoe UI Semibold" w:eastAsia="MingLiU" w:hAnsi="Segoe UI Semibold" w:cs="Segoe UI Semibold"/>
      <w:color w:val="4C5564"/>
      <w:sz w:val="26"/>
      <w:szCs w:val="26"/>
    </w:rPr>
  </w:style>
  <w:style w:type="paragraph" w:styleId="Heading5">
    <w:name w:val="heading 5"/>
    <w:basedOn w:val="Normal"/>
    <w:next w:val="Normal"/>
    <w:link w:val="Heading5Char"/>
    <w:uiPriority w:val="9"/>
    <w:unhideWhenUsed/>
    <w:qFormat/>
    <w:rsid w:val="00C36E40"/>
    <w:pPr>
      <w:keepNext/>
      <w:spacing w:before="120" w:after="120"/>
      <w:outlineLvl w:val="4"/>
    </w:pPr>
    <w:rPr>
      <w:rFonts w:ascii="Segoe UI Semibold" w:eastAsia="MingLiU" w:hAnsi="Segoe UI Semibold" w:cs="Segoe UI Semibold"/>
      <w:color w:val="4C5564"/>
    </w:rPr>
  </w:style>
  <w:style w:type="paragraph" w:styleId="Heading6">
    <w:name w:val="heading 6"/>
    <w:basedOn w:val="Normal"/>
    <w:next w:val="Normal"/>
    <w:link w:val="Heading6Char"/>
    <w:uiPriority w:val="9"/>
    <w:unhideWhenUsed/>
    <w:qFormat/>
    <w:rsid w:val="00C36E40"/>
    <w:pPr>
      <w:keepNext/>
      <w:spacing w:before="120" w:after="120"/>
      <w:outlineLvl w:val="5"/>
    </w:pPr>
    <w:rPr>
      <w:rFonts w:ascii="Segoe UI Semibold" w:eastAsia="MingLiU" w:hAnsi="Segoe UI Semibold" w:cs="Segoe UI Semibold"/>
      <w:color w:val="4C5564"/>
      <w:sz w:val="20"/>
      <w:szCs w:val="20"/>
    </w:rPr>
  </w:style>
  <w:style w:type="paragraph" w:styleId="Heading7">
    <w:name w:val="heading 7"/>
    <w:basedOn w:val="Normal"/>
    <w:next w:val="Normal"/>
    <w:link w:val="Heading7Char"/>
    <w:uiPriority w:val="9"/>
    <w:unhideWhenUsed/>
    <w:qFormat/>
    <w:rsid w:val="00C36E40"/>
    <w:pPr>
      <w:keepNext/>
      <w:keepLines/>
      <w:spacing w:before="40" w:after="0"/>
      <w:outlineLvl w:val="6"/>
    </w:pPr>
    <w:rPr>
      <w:rFonts w:ascii="Segoe UI Semibold" w:eastAsiaTheme="majorEastAsia" w:hAnsi="Segoe UI Semibold" w:cs="Segoe UI Semibold"/>
      <w:iCs/>
      <w:color w:val="4C5564"/>
      <w:sz w:val="18"/>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985DD5"/>
    <w:pPr>
      <w:numPr>
        <w:numId w:val="1"/>
      </w:numPr>
      <w:ind w:left="1134" w:hanging="567"/>
    </w:p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C67323"/>
    <w:rPr>
      <w:rFonts w:ascii="Segoe UI Semibold" w:eastAsiaTheme="majorEastAsia" w:hAnsi="Segoe UI Semibold" w:cs="Segoe UI Semibold"/>
      <w:color w:val="002D72"/>
      <w:sz w:val="48"/>
      <w:szCs w:val="48"/>
    </w:rPr>
  </w:style>
  <w:style w:type="character" w:customStyle="1" w:styleId="Heading2Char">
    <w:name w:val="Heading 2 Char"/>
    <w:basedOn w:val="DefaultParagraphFont"/>
    <w:link w:val="Heading2"/>
    <w:uiPriority w:val="9"/>
    <w:rsid w:val="00772C27"/>
    <w:rPr>
      <w:rFonts w:ascii="Segoe UI Semibold" w:eastAsia="MingLiU" w:hAnsi="Segoe UI Semibold" w:cs="Segoe UI Semibold"/>
      <w:color w:val="002D72"/>
      <w:sz w:val="36"/>
      <w:szCs w:val="26"/>
    </w:rPr>
  </w:style>
  <w:style w:type="character" w:customStyle="1" w:styleId="Heading3Char">
    <w:name w:val="Heading 3 Char"/>
    <w:basedOn w:val="DefaultParagraphFont"/>
    <w:link w:val="Heading3"/>
    <w:uiPriority w:val="9"/>
    <w:rsid w:val="00772C27"/>
    <w:rPr>
      <w:rFonts w:ascii="Segoe UI Semibold" w:eastAsia="MingLiU" w:hAnsi="Segoe UI Semibold" w:cs="Segoe UI Semibold"/>
      <w:color w:val="002D72"/>
      <w:sz w:val="30"/>
      <w:szCs w:val="30"/>
    </w:rPr>
  </w:style>
  <w:style w:type="character" w:customStyle="1" w:styleId="Heading4Char">
    <w:name w:val="Heading 4 Char"/>
    <w:basedOn w:val="DefaultParagraphFont"/>
    <w:link w:val="Heading4"/>
    <w:uiPriority w:val="9"/>
    <w:rsid w:val="00C36E40"/>
    <w:rPr>
      <w:rFonts w:ascii="Segoe UI Semibold" w:eastAsia="MingLiU" w:hAnsi="Segoe UI Semibold" w:cs="Segoe UI Semibold"/>
      <w:color w:val="4C5564"/>
      <w:sz w:val="26"/>
      <w:szCs w:val="26"/>
    </w:rPr>
  </w:style>
  <w:style w:type="character" w:customStyle="1" w:styleId="Heading5Char">
    <w:name w:val="Heading 5 Char"/>
    <w:basedOn w:val="DefaultParagraphFont"/>
    <w:link w:val="Heading5"/>
    <w:uiPriority w:val="9"/>
    <w:rsid w:val="00C36E40"/>
    <w:rPr>
      <w:rFonts w:ascii="Segoe UI Semibold" w:eastAsia="MingLiU" w:hAnsi="Segoe UI Semibold" w:cs="Segoe UI Semibold"/>
      <w:color w:val="4C5564"/>
      <w:sz w:val="21"/>
    </w:rPr>
  </w:style>
  <w:style w:type="character" w:customStyle="1" w:styleId="Heading6Char">
    <w:name w:val="Heading 6 Char"/>
    <w:basedOn w:val="DefaultParagraphFont"/>
    <w:link w:val="Heading6"/>
    <w:uiPriority w:val="9"/>
    <w:rsid w:val="00C36E40"/>
    <w:rPr>
      <w:rFonts w:ascii="Segoe UI Semibold" w:eastAsia="MingLiU" w:hAnsi="Segoe UI Semibold" w:cs="Segoe UI Semibold"/>
      <w:color w:val="4C5564"/>
      <w:sz w:val="20"/>
      <w:szCs w:val="20"/>
    </w:rPr>
  </w:style>
  <w:style w:type="character" w:customStyle="1" w:styleId="Heading7Char">
    <w:name w:val="Heading 7 Char"/>
    <w:basedOn w:val="DefaultParagraphFont"/>
    <w:link w:val="Heading7"/>
    <w:uiPriority w:val="9"/>
    <w:rsid w:val="00C36E40"/>
    <w:rPr>
      <w:rFonts w:ascii="Segoe UI Semibold" w:eastAsiaTheme="majorEastAsia" w:hAnsi="Segoe UI Semibold" w:cs="Segoe UI Semibold"/>
      <w:iCs/>
      <w:color w:val="4C5564"/>
      <w:sz w:val="18"/>
      <w:szCs w:val="18"/>
    </w:rPr>
  </w:style>
  <w:style w:type="paragraph" w:customStyle="1" w:styleId="Heading2notshowing">
    <w:name w:val="Heading 2—not showing"/>
    <w:basedOn w:val="Normal"/>
    <w:next w:val="Normal"/>
    <w:qFormat/>
    <w:rsid w:val="003D71C5"/>
    <w:pPr>
      <w:keepNext/>
      <w:spacing w:after="120"/>
      <w:outlineLvl w:val="1"/>
    </w:pPr>
    <w:rPr>
      <w:rFonts w:ascii="Segoe UI Semibold" w:eastAsia="MingLiU" w:hAnsi="Segoe UI Semibold" w:cs="Segoe UI Semibold"/>
      <w:color w:val="4C5564"/>
      <w:sz w:val="28"/>
      <w:szCs w:val="26"/>
    </w:rPr>
  </w:style>
  <w:style w:type="paragraph" w:customStyle="1" w:styleId="Heading3notshowing">
    <w:name w:val="Heading 3—not showing"/>
    <w:basedOn w:val="Normal"/>
    <w:next w:val="Normal"/>
    <w:qFormat/>
    <w:rsid w:val="00C36E40"/>
    <w:pPr>
      <w:keepNext/>
      <w:spacing w:after="120"/>
      <w:outlineLvl w:val="2"/>
    </w:pPr>
    <w:rPr>
      <w:rFonts w:ascii="Segoe UI Semibold" w:eastAsia="MingLiU" w:hAnsi="Segoe UI Semibold" w:cs="Segoe UI Semibold"/>
      <w:color w:val="4C5564"/>
      <w:sz w:val="24"/>
      <w:szCs w:val="30"/>
    </w:rPr>
  </w:style>
  <w:style w:type="paragraph" w:styleId="Quote">
    <w:name w:val="Quote"/>
    <w:basedOn w:val="Normal"/>
    <w:next w:val="Normal"/>
    <w:link w:val="QuoteChar"/>
    <w:uiPriority w:val="29"/>
    <w:qFormat/>
    <w:rsid w:val="00C36E40"/>
    <w:pPr>
      <w:tabs>
        <w:tab w:val="right" w:pos="9072"/>
      </w:tabs>
      <w:ind w:left="567"/>
    </w:pPr>
    <w:rPr>
      <w:b/>
      <w:color w:val="4C5564"/>
      <w:sz w:val="20"/>
      <w:szCs w:val="20"/>
    </w:rPr>
  </w:style>
  <w:style w:type="character" w:customStyle="1" w:styleId="QuoteChar">
    <w:name w:val="Quote Char"/>
    <w:basedOn w:val="DefaultParagraphFont"/>
    <w:link w:val="Quote"/>
    <w:uiPriority w:val="29"/>
    <w:rsid w:val="00C36E40"/>
    <w:rPr>
      <w:rFonts w:ascii="Segoe UI" w:hAnsi="Segoe UI"/>
      <w:b/>
      <w:color w:val="4C5564"/>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aliases w:val="Bullet point,CV text,Dot pt,F5 List Paragraph,FooterText,L,List Paragraph1,List Paragraph11,List Paragraph111,List Paragraph2,Medium Grid 1 - Accent 21,NFP GP Bulleted List,Numbered Paragraph,Recommendation,numbered,列出段,列出段落,列,Bullet List"/>
    <w:basedOn w:val="Normal"/>
    <w:link w:val="ListParagraphChar"/>
    <w:uiPriority w:val="34"/>
    <w:qFormat/>
    <w:rsid w:val="00B5393D"/>
    <w:pPr>
      <w:numPr>
        <w:numId w:val="3"/>
      </w:numPr>
      <w:ind w:left="567" w:hanging="567"/>
      <w:contextualSpacing/>
    </w:pPr>
  </w:style>
  <w:style w:type="paragraph" w:customStyle="1" w:styleId="Tabletext">
    <w:name w:val="Table text"/>
    <w:basedOn w:val="Normal"/>
    <w:qFormat/>
    <w:rsid w:val="00217C11"/>
    <w:pPr>
      <w:spacing w:after="0"/>
    </w:pPr>
    <w:rPr>
      <w:rFonts w:eastAsia="Times New Roman" w:cs="Times New Roman"/>
      <w:sz w:val="20"/>
      <w:szCs w:val="20"/>
    </w:rPr>
  </w:style>
  <w:style w:type="paragraph" w:customStyle="1" w:styleId="Tablerowcolumnheading">
    <w:name w:val="Table row/column heading"/>
    <w:basedOn w:val="Normal"/>
    <w:next w:val="Normal"/>
    <w:rsid w:val="00323710"/>
    <w:pPr>
      <w:spacing w:after="0"/>
    </w:pPr>
    <w:rPr>
      <w:rFonts w:eastAsia="Times New Roman" w:cs="Times New Roman"/>
      <w:b/>
      <w:bCs/>
      <w:color w:val="002D72"/>
      <w:sz w:val="20"/>
      <w:szCs w:val="20"/>
    </w:rPr>
  </w:style>
  <w:style w:type="paragraph" w:styleId="FootnoteText">
    <w:name w:val="footnote text"/>
    <w:aliases w:val="ACMA Footnote Text Char1,Footnote Text Char1,Footnote text,ACMA Footnote Text"/>
    <w:basedOn w:val="Normal"/>
    <w:link w:val="FootnoteTextChar"/>
    <w:uiPriority w:val="99"/>
    <w:unhideWhenUsed/>
    <w:rsid w:val="00217C11"/>
    <w:pPr>
      <w:spacing w:after="0"/>
    </w:pPr>
    <w:rPr>
      <w:sz w:val="20"/>
      <w:szCs w:val="20"/>
    </w:rPr>
  </w:style>
  <w:style w:type="character" w:customStyle="1" w:styleId="FootnoteTextChar">
    <w:name w:val="Footnote Text Char"/>
    <w:aliases w:val="ACMA Footnote Text Char1 Char,Footnote Text Char1 Char,Footnote text Char,ACMA 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E80E04"/>
    <w:pPr>
      <w:keepNext/>
      <w:spacing w:after="0"/>
    </w:pPr>
    <w:rPr>
      <w:rFonts w:ascii="Segoe UI Semibold" w:hAnsi="Segoe UI Semibold"/>
      <w:color w:val="002D72"/>
      <w:sz w:val="20"/>
    </w:rPr>
  </w:style>
  <w:style w:type="paragraph" w:customStyle="1" w:styleId="Tabletextcentred">
    <w:name w:val="Table text centred"/>
    <w:basedOn w:val="Tabletext"/>
    <w:next w:val="NoSpacing"/>
    <w:rsid w:val="00217C11"/>
    <w:pPr>
      <w:jc w:val="center"/>
    </w:pPr>
  </w:style>
  <w:style w:type="paragraph" w:customStyle="1" w:styleId="Tablerowcolumnheadingcentred">
    <w:name w:val="Table row/column heading centred"/>
    <w:basedOn w:val="Tablerowcolumnheading"/>
    <w:next w:val="Normal"/>
    <w:rsid w:val="00217C11"/>
    <w:pPr>
      <w:jc w:val="center"/>
    </w:pPr>
    <w:rPr>
      <w:bCs w:val="0"/>
    </w:rPr>
  </w:style>
  <w:style w:type="paragraph" w:customStyle="1" w:styleId="Sourcenote">
    <w:name w:val="Source / note"/>
    <w:basedOn w:val="Normal"/>
    <w:qFormat/>
    <w:rsid w:val="00C36E40"/>
    <w:rPr>
      <w:rFonts w:eastAsia="PMingLiU" w:cs="Mangal"/>
      <w:color w:val="4C5564"/>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rPr>
      <w:sz w:val="20"/>
    </w:rPr>
  </w:style>
  <w:style w:type="paragraph" w:styleId="TOC3">
    <w:name w:val="toc 3"/>
    <w:basedOn w:val="Normal"/>
    <w:next w:val="Normal"/>
    <w:autoRedefine/>
    <w:uiPriority w:val="39"/>
    <w:unhideWhenUsed/>
    <w:rsid w:val="000740FB"/>
    <w:pPr>
      <w:tabs>
        <w:tab w:val="right" w:leader="dot" w:pos="9072"/>
      </w:tabs>
      <w:spacing w:after="0"/>
      <w:ind w:left="1701"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FP GP Bulleted List Char"/>
    <w:basedOn w:val="DefaultParagraphFont"/>
    <w:link w:val="ListParagraph"/>
    <w:uiPriority w:val="34"/>
    <w:qFormat/>
    <w:locked/>
    <w:rsid w:val="00214781"/>
    <w:rPr>
      <w:rFonts w:ascii="Segoe UI" w:hAnsi="Segoe UI"/>
      <w:sz w:val="21"/>
    </w:rPr>
  </w:style>
  <w:style w:type="paragraph" w:styleId="BodyText">
    <w:name w:val="Body Text"/>
    <w:aliases w:val="CAB Body Text"/>
    <w:link w:val="BodyTextChar"/>
    <w:qFormat/>
    <w:rsid w:val="000D2DAE"/>
    <w:pPr>
      <w:spacing w:before="120" w:after="0" w:line="240" w:lineRule="auto"/>
    </w:pPr>
    <w:rPr>
      <w:rFonts w:ascii="Arial" w:hAnsi="Arial"/>
    </w:rPr>
  </w:style>
  <w:style w:type="character" w:customStyle="1" w:styleId="BodyTextChar">
    <w:name w:val="Body Text Char"/>
    <w:aliases w:val="CAB Body Text Char"/>
    <w:basedOn w:val="DefaultParagraphFont"/>
    <w:link w:val="BodyText"/>
    <w:rsid w:val="000D2DAE"/>
    <w:rPr>
      <w:rFonts w:ascii="Arial" w:hAnsi="Arial"/>
    </w:rPr>
  </w:style>
  <w:style w:type="character" w:styleId="FollowedHyperlink">
    <w:name w:val="FollowedHyperlink"/>
    <w:basedOn w:val="DefaultParagraphFont"/>
    <w:uiPriority w:val="99"/>
    <w:semiHidden/>
    <w:unhideWhenUsed/>
    <w:rsid w:val="001F1F31"/>
    <w:rPr>
      <w:color w:val="954F72" w:themeColor="followedHyperlink"/>
      <w:u w:val="single"/>
    </w:rPr>
  </w:style>
  <w:style w:type="character" w:styleId="CommentReference">
    <w:name w:val="annotation reference"/>
    <w:basedOn w:val="DefaultParagraphFont"/>
    <w:uiPriority w:val="99"/>
    <w:semiHidden/>
    <w:unhideWhenUsed/>
    <w:rsid w:val="00DF1BE0"/>
    <w:rPr>
      <w:sz w:val="16"/>
      <w:szCs w:val="16"/>
    </w:rPr>
  </w:style>
  <w:style w:type="paragraph" w:styleId="CommentText">
    <w:name w:val="annotation text"/>
    <w:basedOn w:val="Normal"/>
    <w:link w:val="CommentTextChar"/>
    <w:uiPriority w:val="99"/>
    <w:semiHidden/>
    <w:unhideWhenUsed/>
    <w:rsid w:val="00DF1BE0"/>
    <w:rPr>
      <w:sz w:val="20"/>
      <w:szCs w:val="20"/>
    </w:rPr>
  </w:style>
  <w:style w:type="character" w:customStyle="1" w:styleId="CommentTextChar">
    <w:name w:val="Comment Text Char"/>
    <w:basedOn w:val="DefaultParagraphFont"/>
    <w:link w:val="CommentText"/>
    <w:uiPriority w:val="99"/>
    <w:semiHidden/>
    <w:rsid w:val="00DF1BE0"/>
    <w:rPr>
      <w:rFonts w:ascii="Segoe UI" w:hAnsi="Segoe UI"/>
      <w:sz w:val="20"/>
      <w:szCs w:val="20"/>
    </w:rPr>
  </w:style>
  <w:style w:type="paragraph" w:styleId="CommentSubject">
    <w:name w:val="annotation subject"/>
    <w:basedOn w:val="CommentText"/>
    <w:next w:val="CommentText"/>
    <w:link w:val="CommentSubjectChar"/>
    <w:uiPriority w:val="99"/>
    <w:semiHidden/>
    <w:unhideWhenUsed/>
    <w:rsid w:val="00DF1BE0"/>
    <w:rPr>
      <w:b/>
      <w:bCs/>
    </w:rPr>
  </w:style>
  <w:style w:type="character" w:customStyle="1" w:styleId="CommentSubjectChar">
    <w:name w:val="Comment Subject Char"/>
    <w:basedOn w:val="CommentTextChar"/>
    <w:link w:val="CommentSubject"/>
    <w:uiPriority w:val="99"/>
    <w:semiHidden/>
    <w:rsid w:val="00DF1BE0"/>
    <w:rPr>
      <w:rFonts w:ascii="Segoe UI" w:hAnsi="Segoe UI"/>
      <w:b/>
      <w:bCs/>
      <w:sz w:val="20"/>
      <w:szCs w:val="20"/>
    </w:rPr>
  </w:style>
  <w:style w:type="paragraph" w:styleId="BalloonText">
    <w:name w:val="Balloon Text"/>
    <w:basedOn w:val="Normal"/>
    <w:link w:val="BalloonTextChar"/>
    <w:uiPriority w:val="99"/>
    <w:semiHidden/>
    <w:unhideWhenUsed/>
    <w:rsid w:val="00DF1BE0"/>
    <w:pPr>
      <w:spacing w:after="0"/>
    </w:pPr>
    <w:rPr>
      <w:rFonts w:cs="Segoe UI"/>
      <w:sz w:val="18"/>
      <w:szCs w:val="18"/>
    </w:rPr>
  </w:style>
  <w:style w:type="character" w:customStyle="1" w:styleId="BalloonTextChar">
    <w:name w:val="Balloon Text Char"/>
    <w:basedOn w:val="DefaultParagraphFont"/>
    <w:link w:val="BalloonText"/>
    <w:uiPriority w:val="99"/>
    <w:semiHidden/>
    <w:rsid w:val="00DF1B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actf.com.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screenaustralia.gov.au" TargetMode="External"/><Relationship Id="rId2" Type="http://schemas.openxmlformats.org/officeDocument/2006/relationships/customXml" Target="../customXml/item2.xml"/><Relationship Id="rId16" Type="http://schemas.openxmlformats.org/officeDocument/2006/relationships/hyperlink" Target="http://www.screenaustralia.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https://www.paulfletcher.com.au/media-releases/supporting-australian-screen-productio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hyperlink" Target="http://www.infrastructure.gov.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hyperlink" Target="http://www.infrastructur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8B38658BA54E469EAFF079AC3EB7FA" ma:contentTypeVersion="0" ma:contentTypeDescription="Create a new document." ma:contentTypeScope="" ma:versionID="383bbf4e3a690ae0a172fb906ed71b3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6F4B7-FB8F-439D-8FAF-CAA98C6B945B}">
  <ds:schemaRefs>
    <ds:schemaRef ds:uri="http://schemas.microsoft.com/sharepoint/v3/contenttype/forms"/>
  </ds:schemaRefs>
</ds:datastoreItem>
</file>

<file path=customXml/itemProps2.xml><?xml version="1.0" encoding="utf-8"?>
<ds:datastoreItem xmlns:ds="http://schemas.openxmlformats.org/officeDocument/2006/customXml" ds:itemID="{18C2694A-E8F5-4ACE-87A7-81C0151E371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B8C1B741-68AA-4CDD-839A-8934F19623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A306013-D05F-43D2-AF8E-8C8D17EEB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899</Words>
  <Characters>5129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Fact Sheet: Screen production funding and incentives reforms</vt:lpstr>
    </vt:vector>
  </TitlesOfParts>
  <Company>Department of Infrastructure, Transport, Regional Development and Communications</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Screen production funding and incentives reforms</dc:title>
  <dc:subject/>
  <dc:creator>Department of Infrastructure, Transport, Regional Development and Communications</dc:creator>
  <cp:keywords/>
  <dc:description>6 May 2020</dc:description>
  <cp:lastModifiedBy>Hall, Theresa</cp:lastModifiedBy>
  <cp:revision>10</cp:revision>
  <dcterms:created xsi:type="dcterms:W3CDTF">2021-04-15T06:57:00Z</dcterms:created>
  <dcterms:modified xsi:type="dcterms:W3CDTF">2021-04-15T07:11:00Z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0x010100128B38658BA54E469EAFF079AC3EB7FA</vt:lpwstr>
  </property>
  <property fmtid="{D5CDD505-2E9C-101B-9397-08002B2CF9AE}" pid="3" name="TrimRevisionNumber">
    <vt:i4>5</vt:i4>
  </property>
</Properties>
</file>