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38DD" w14:textId="77777777" w:rsidR="008456D5" w:rsidRDefault="00996B8C" w:rsidP="00996B8C">
      <w:pPr>
        <w:spacing w:before="0"/>
        <w:ind w:left="-1020"/>
      </w:pPr>
      <w:r>
        <w:rPr>
          <w:noProof/>
          <w:lang w:eastAsia="en-AU"/>
        </w:rPr>
        <w:drawing>
          <wp:inline distT="0" distB="0" distL="0" distR="0" wp14:anchorId="3D07C96F" wp14:editId="6EC775EC">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p w14:paraId="697D524B" w14:textId="77777777" w:rsidR="005653A9" w:rsidRDefault="002738A2" w:rsidP="005653A9">
      <w:pPr>
        <w:pStyle w:val="AreaHeading"/>
        <w:spacing w:before="240" w:after="120"/>
      </w:pPr>
      <w:r>
        <w:t>Vehicle Safety Operations</w:t>
      </w:r>
    </w:p>
    <w:sdt>
      <w:sdtPr>
        <w:alias w:val="Title"/>
        <w:tag w:val=""/>
        <w:id w:val="975726233"/>
        <w:placeholder>
          <w:docPart w:val="6D8F3E86C57A4575960C0A664C61D1D9"/>
        </w:placeholder>
        <w:dataBinding w:prefixMappings="xmlns:ns0='http://purl.org/dc/elements/1.1/' xmlns:ns1='http://schemas.openxmlformats.org/package/2006/metadata/core-properties' " w:xpath="/ns1:coreProperties[1]/ns0:title[1]" w:storeItemID="{6C3C8BC8-F283-45AE-878A-BAB7291924A1}"/>
        <w:text/>
      </w:sdtPr>
      <w:sdtEndPr/>
      <w:sdtContent>
        <w:p w14:paraId="07CB098D" w14:textId="77777777" w:rsidR="00F55519" w:rsidRPr="00BE3AD8" w:rsidRDefault="002738A2" w:rsidP="004F77AA">
          <w:pPr>
            <w:pStyle w:val="Title"/>
            <w:spacing w:before="0"/>
          </w:pPr>
          <w:r>
            <w:t>Our compliance approach and model</w:t>
          </w:r>
        </w:p>
      </w:sdtContent>
    </w:sdt>
    <w:p w14:paraId="133A14D5" w14:textId="77777777" w:rsidR="00DE4FE2" w:rsidRPr="00BE3AD8" w:rsidRDefault="002738A2" w:rsidP="00BE3AD8">
      <w:pPr>
        <w:pStyle w:val="Subtitle"/>
      </w:pPr>
      <w:r>
        <w:t>Regulating under the Road Vehicle Standards Act 2018</w:t>
      </w:r>
    </w:p>
    <w:sdt>
      <w:sdtPr>
        <w:alias w:val="Publish Date"/>
        <w:tag w:val=""/>
        <w:id w:val="452527336"/>
        <w:placeholder>
          <w:docPart w:val="7A2F6B584C094393BA552931E79200A8"/>
        </w:placeholder>
        <w:dataBinding w:prefixMappings="xmlns:ns0='http://schemas.microsoft.com/office/2006/coverPageProps' " w:xpath="/ns0:CoverPageProperties[1]/ns0:PublishDate[1]" w:storeItemID="{55AF091B-3C7A-41E3-B477-F2FDAA23CFDA}"/>
        <w:date w:fullDate="2022-05-02T00:00:00Z">
          <w:dateFormat w:val="MMMM yyyy"/>
          <w:lid w:val="en-AU"/>
          <w:storeMappedDataAs w:val="dateTime"/>
          <w:calendar w:val="gregorian"/>
        </w:date>
      </w:sdtPr>
      <w:sdtEndPr/>
      <w:sdtContent>
        <w:p w14:paraId="363DE21B" w14:textId="1D64333F" w:rsidR="00DE4FE2" w:rsidRDefault="0021670B" w:rsidP="00DE4FE2">
          <w:pPr>
            <w:pStyle w:val="CoverDate"/>
          </w:pPr>
          <w:r>
            <w:t>May 2022</w:t>
          </w:r>
        </w:p>
      </w:sdtContent>
    </w:sdt>
    <w:p w14:paraId="7F17FE85" w14:textId="77777777" w:rsidR="00DE4FE2" w:rsidRPr="00775456" w:rsidRDefault="00DE4FE2" w:rsidP="00D02062">
      <w:pPr>
        <w:pBdr>
          <w:bottom w:val="single" w:sz="4" w:space="1" w:color="C0D48F" w:themeColor="accent5"/>
        </w:pBdr>
        <w:rPr>
          <w:sz w:val="16"/>
          <w:szCs w:val="16"/>
        </w:rPr>
      </w:pPr>
    </w:p>
    <w:p w14:paraId="568C36EA" w14:textId="77777777" w:rsidR="00E95BA5" w:rsidRPr="00775456" w:rsidRDefault="00E95BA5" w:rsidP="00E95BA5">
      <w:pPr>
        <w:rPr>
          <w:sz w:val="16"/>
          <w:szCs w:val="16"/>
        </w:rPr>
      </w:pPr>
      <w:bookmarkStart w:id="0" w:name="_Toc49855348"/>
    </w:p>
    <w:p w14:paraId="5C239FEC" w14:textId="77777777" w:rsidR="00E95BA5" w:rsidRPr="00775456" w:rsidRDefault="00E95BA5" w:rsidP="00D02062">
      <w:pPr>
        <w:pStyle w:val="Heading1"/>
        <w:rPr>
          <w:sz w:val="16"/>
          <w:szCs w:val="16"/>
        </w:rPr>
        <w:sectPr w:rsidR="00E95BA5" w:rsidRPr="00775456"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p>
    <w:p w14:paraId="5DBB16AC" w14:textId="77777777" w:rsidR="00310F4D" w:rsidRPr="00310F4D" w:rsidRDefault="00310F4D" w:rsidP="00310F4D">
      <w:pPr>
        <w:pStyle w:val="Introduction"/>
        <w:rPr>
          <w:rStyle w:val="Hyperlink"/>
          <w:color w:val="377B88"/>
          <w:u w:val="none"/>
        </w:rPr>
      </w:pPr>
      <w:r w:rsidRPr="00310F4D">
        <w:rPr>
          <w:rStyle w:val="Hyperlink"/>
          <w:color w:val="377B88"/>
          <w:u w:val="none"/>
        </w:rPr>
        <w:t>Contents</w:t>
      </w:r>
    </w:p>
    <w:bookmarkStart w:id="1" w:name="_GoBack"/>
    <w:bookmarkEnd w:id="1"/>
    <w:p w14:paraId="7E0263D8" w14:textId="51273D65" w:rsidR="0004562B" w:rsidRDefault="00310F4D">
      <w:pPr>
        <w:pStyle w:val="TOC1"/>
        <w:rPr>
          <w:rFonts w:eastAsiaTheme="minorEastAsia"/>
          <w:noProof/>
          <w:color w:val="auto"/>
          <w:kern w:val="0"/>
          <w:sz w:val="22"/>
          <w:szCs w:val="22"/>
          <w:lang w:eastAsia="en-AU"/>
        </w:rPr>
      </w:pPr>
      <w:r>
        <w:rPr>
          <w:rStyle w:val="Hyperlink"/>
          <w:noProof/>
          <w:color w:val="auto"/>
          <w:u w:val="none"/>
        </w:rPr>
        <w:fldChar w:fldCharType="begin"/>
      </w:r>
      <w:r>
        <w:rPr>
          <w:rStyle w:val="Hyperlink"/>
          <w:noProof/>
          <w:color w:val="auto"/>
          <w:u w:val="none"/>
        </w:rPr>
        <w:instrText xml:space="preserve"> TOC \o "1-2" \h \z \u </w:instrText>
      </w:r>
      <w:r>
        <w:rPr>
          <w:rStyle w:val="Hyperlink"/>
          <w:noProof/>
          <w:color w:val="auto"/>
          <w:u w:val="none"/>
        </w:rPr>
        <w:fldChar w:fldCharType="separate"/>
      </w:r>
      <w:hyperlink w:anchor="_Toc102383198" w:history="1">
        <w:r w:rsidR="0004562B" w:rsidRPr="00706F5C">
          <w:rPr>
            <w:rStyle w:val="Hyperlink"/>
            <w:noProof/>
          </w:rPr>
          <w:t>Purpose and context</w:t>
        </w:r>
        <w:r w:rsidR="0004562B">
          <w:rPr>
            <w:noProof/>
            <w:webHidden/>
          </w:rPr>
          <w:tab/>
        </w:r>
        <w:r w:rsidR="0004562B">
          <w:rPr>
            <w:noProof/>
            <w:webHidden/>
          </w:rPr>
          <w:fldChar w:fldCharType="begin"/>
        </w:r>
        <w:r w:rsidR="0004562B">
          <w:rPr>
            <w:noProof/>
            <w:webHidden/>
          </w:rPr>
          <w:instrText xml:space="preserve"> PAGEREF _Toc102383198 \h </w:instrText>
        </w:r>
        <w:r w:rsidR="0004562B">
          <w:rPr>
            <w:noProof/>
            <w:webHidden/>
          </w:rPr>
        </w:r>
        <w:r w:rsidR="0004562B">
          <w:rPr>
            <w:noProof/>
            <w:webHidden/>
          </w:rPr>
          <w:fldChar w:fldCharType="separate"/>
        </w:r>
        <w:r w:rsidR="0004562B">
          <w:rPr>
            <w:noProof/>
            <w:webHidden/>
          </w:rPr>
          <w:t>2</w:t>
        </w:r>
        <w:r w:rsidR="0004562B">
          <w:rPr>
            <w:noProof/>
            <w:webHidden/>
          </w:rPr>
          <w:fldChar w:fldCharType="end"/>
        </w:r>
      </w:hyperlink>
    </w:p>
    <w:p w14:paraId="3CBD5718" w14:textId="107BBBAD" w:rsidR="0004562B" w:rsidRDefault="0004562B">
      <w:pPr>
        <w:pStyle w:val="TOC2"/>
        <w:tabs>
          <w:tab w:val="right" w:pos="9854"/>
        </w:tabs>
        <w:rPr>
          <w:rFonts w:eastAsiaTheme="minorEastAsia"/>
          <w:noProof/>
          <w:color w:val="auto"/>
          <w:kern w:val="0"/>
          <w:sz w:val="22"/>
          <w:szCs w:val="22"/>
          <w:lang w:eastAsia="en-AU"/>
        </w:rPr>
      </w:pPr>
      <w:hyperlink w:anchor="_Toc102383199" w:history="1">
        <w:r w:rsidRPr="00706F5C">
          <w:rPr>
            <w:rStyle w:val="Hyperlink"/>
            <w:noProof/>
          </w:rPr>
          <w:t>Vehicle Safety Operations risk framework</w:t>
        </w:r>
        <w:r>
          <w:rPr>
            <w:noProof/>
            <w:webHidden/>
          </w:rPr>
          <w:tab/>
        </w:r>
        <w:r>
          <w:rPr>
            <w:noProof/>
            <w:webHidden/>
          </w:rPr>
          <w:fldChar w:fldCharType="begin"/>
        </w:r>
        <w:r>
          <w:rPr>
            <w:noProof/>
            <w:webHidden/>
          </w:rPr>
          <w:instrText xml:space="preserve"> PAGEREF _Toc102383199 \h </w:instrText>
        </w:r>
        <w:r>
          <w:rPr>
            <w:noProof/>
            <w:webHidden/>
          </w:rPr>
        </w:r>
        <w:r>
          <w:rPr>
            <w:noProof/>
            <w:webHidden/>
          </w:rPr>
          <w:fldChar w:fldCharType="separate"/>
        </w:r>
        <w:r>
          <w:rPr>
            <w:noProof/>
            <w:webHidden/>
          </w:rPr>
          <w:t>2</w:t>
        </w:r>
        <w:r>
          <w:rPr>
            <w:noProof/>
            <w:webHidden/>
          </w:rPr>
          <w:fldChar w:fldCharType="end"/>
        </w:r>
      </w:hyperlink>
    </w:p>
    <w:p w14:paraId="46C316D9" w14:textId="65F365A5" w:rsidR="0004562B" w:rsidRDefault="0004562B">
      <w:pPr>
        <w:pStyle w:val="TOC2"/>
        <w:tabs>
          <w:tab w:val="right" w:pos="9854"/>
        </w:tabs>
        <w:rPr>
          <w:rFonts w:eastAsiaTheme="minorEastAsia"/>
          <w:noProof/>
          <w:color w:val="auto"/>
          <w:kern w:val="0"/>
          <w:sz w:val="22"/>
          <w:szCs w:val="22"/>
          <w:lang w:eastAsia="en-AU"/>
        </w:rPr>
      </w:pPr>
      <w:hyperlink w:anchor="_Toc102383200" w:history="1">
        <w:r w:rsidRPr="00706F5C">
          <w:rPr>
            <w:rStyle w:val="Hyperlink"/>
            <w:noProof/>
          </w:rPr>
          <w:t>Application of the risk framework principles</w:t>
        </w:r>
        <w:r>
          <w:rPr>
            <w:noProof/>
            <w:webHidden/>
          </w:rPr>
          <w:tab/>
        </w:r>
        <w:r>
          <w:rPr>
            <w:noProof/>
            <w:webHidden/>
          </w:rPr>
          <w:fldChar w:fldCharType="begin"/>
        </w:r>
        <w:r>
          <w:rPr>
            <w:noProof/>
            <w:webHidden/>
          </w:rPr>
          <w:instrText xml:space="preserve"> PAGEREF _Toc102383200 \h </w:instrText>
        </w:r>
        <w:r>
          <w:rPr>
            <w:noProof/>
            <w:webHidden/>
          </w:rPr>
        </w:r>
        <w:r>
          <w:rPr>
            <w:noProof/>
            <w:webHidden/>
          </w:rPr>
          <w:fldChar w:fldCharType="separate"/>
        </w:r>
        <w:r>
          <w:rPr>
            <w:noProof/>
            <w:webHidden/>
          </w:rPr>
          <w:t>2</w:t>
        </w:r>
        <w:r>
          <w:rPr>
            <w:noProof/>
            <w:webHidden/>
          </w:rPr>
          <w:fldChar w:fldCharType="end"/>
        </w:r>
      </w:hyperlink>
    </w:p>
    <w:p w14:paraId="45506896" w14:textId="38863346" w:rsidR="0004562B" w:rsidRDefault="0004562B">
      <w:pPr>
        <w:pStyle w:val="TOC2"/>
        <w:tabs>
          <w:tab w:val="right" w:pos="9854"/>
        </w:tabs>
        <w:rPr>
          <w:rFonts w:eastAsiaTheme="minorEastAsia"/>
          <w:noProof/>
          <w:color w:val="auto"/>
          <w:kern w:val="0"/>
          <w:sz w:val="22"/>
          <w:szCs w:val="22"/>
          <w:lang w:eastAsia="en-AU"/>
        </w:rPr>
      </w:pPr>
      <w:hyperlink w:anchor="_Toc102383201" w:history="1">
        <w:r w:rsidRPr="00706F5C">
          <w:rPr>
            <w:rStyle w:val="Hyperlink"/>
            <w:noProof/>
          </w:rPr>
          <w:t>New legislation</w:t>
        </w:r>
        <w:r>
          <w:rPr>
            <w:noProof/>
            <w:webHidden/>
          </w:rPr>
          <w:tab/>
        </w:r>
        <w:r>
          <w:rPr>
            <w:noProof/>
            <w:webHidden/>
          </w:rPr>
          <w:fldChar w:fldCharType="begin"/>
        </w:r>
        <w:r>
          <w:rPr>
            <w:noProof/>
            <w:webHidden/>
          </w:rPr>
          <w:instrText xml:space="preserve"> PAGEREF _Toc102383201 \h </w:instrText>
        </w:r>
        <w:r>
          <w:rPr>
            <w:noProof/>
            <w:webHidden/>
          </w:rPr>
        </w:r>
        <w:r>
          <w:rPr>
            <w:noProof/>
            <w:webHidden/>
          </w:rPr>
          <w:fldChar w:fldCharType="separate"/>
        </w:r>
        <w:r>
          <w:rPr>
            <w:noProof/>
            <w:webHidden/>
          </w:rPr>
          <w:t>2</w:t>
        </w:r>
        <w:r>
          <w:rPr>
            <w:noProof/>
            <w:webHidden/>
          </w:rPr>
          <w:fldChar w:fldCharType="end"/>
        </w:r>
      </w:hyperlink>
    </w:p>
    <w:p w14:paraId="38C90F98" w14:textId="7CBD7859" w:rsidR="0004562B" w:rsidRDefault="0004562B">
      <w:pPr>
        <w:pStyle w:val="TOC1"/>
        <w:rPr>
          <w:rFonts w:eastAsiaTheme="minorEastAsia"/>
          <w:noProof/>
          <w:color w:val="auto"/>
          <w:kern w:val="0"/>
          <w:sz w:val="22"/>
          <w:szCs w:val="22"/>
          <w:lang w:eastAsia="en-AU"/>
        </w:rPr>
      </w:pPr>
      <w:hyperlink w:anchor="_Toc102383202" w:history="1">
        <w:r w:rsidRPr="00706F5C">
          <w:rPr>
            <w:rStyle w:val="Hyperlink"/>
            <w:noProof/>
          </w:rPr>
          <w:t>A risk-based approach to compliance management</w:t>
        </w:r>
        <w:r>
          <w:rPr>
            <w:noProof/>
            <w:webHidden/>
          </w:rPr>
          <w:tab/>
        </w:r>
        <w:r>
          <w:rPr>
            <w:noProof/>
            <w:webHidden/>
          </w:rPr>
          <w:fldChar w:fldCharType="begin"/>
        </w:r>
        <w:r>
          <w:rPr>
            <w:noProof/>
            <w:webHidden/>
          </w:rPr>
          <w:instrText xml:space="preserve"> PAGEREF _Toc102383202 \h </w:instrText>
        </w:r>
        <w:r>
          <w:rPr>
            <w:noProof/>
            <w:webHidden/>
          </w:rPr>
        </w:r>
        <w:r>
          <w:rPr>
            <w:noProof/>
            <w:webHidden/>
          </w:rPr>
          <w:fldChar w:fldCharType="separate"/>
        </w:r>
        <w:r>
          <w:rPr>
            <w:noProof/>
            <w:webHidden/>
          </w:rPr>
          <w:t>3</w:t>
        </w:r>
        <w:r>
          <w:rPr>
            <w:noProof/>
            <w:webHidden/>
          </w:rPr>
          <w:fldChar w:fldCharType="end"/>
        </w:r>
      </w:hyperlink>
    </w:p>
    <w:p w14:paraId="1468108A" w14:textId="3B10833C" w:rsidR="0004562B" w:rsidRDefault="0004562B">
      <w:pPr>
        <w:pStyle w:val="TOC2"/>
        <w:tabs>
          <w:tab w:val="right" w:pos="9854"/>
        </w:tabs>
        <w:rPr>
          <w:rFonts w:eastAsiaTheme="minorEastAsia"/>
          <w:noProof/>
          <w:color w:val="auto"/>
          <w:kern w:val="0"/>
          <w:sz w:val="22"/>
          <w:szCs w:val="22"/>
          <w:lang w:eastAsia="en-AU"/>
        </w:rPr>
      </w:pPr>
      <w:hyperlink w:anchor="_Toc102383203" w:history="1">
        <w:r w:rsidRPr="00706F5C">
          <w:rPr>
            <w:rStyle w:val="Hyperlink"/>
            <w:noProof/>
          </w:rPr>
          <w:t>Vehicle Safety Operations regulatory posture</w:t>
        </w:r>
        <w:r>
          <w:rPr>
            <w:noProof/>
            <w:webHidden/>
          </w:rPr>
          <w:tab/>
        </w:r>
        <w:r>
          <w:rPr>
            <w:noProof/>
            <w:webHidden/>
          </w:rPr>
          <w:fldChar w:fldCharType="begin"/>
        </w:r>
        <w:r>
          <w:rPr>
            <w:noProof/>
            <w:webHidden/>
          </w:rPr>
          <w:instrText xml:space="preserve"> PAGEREF _Toc102383203 \h </w:instrText>
        </w:r>
        <w:r>
          <w:rPr>
            <w:noProof/>
            <w:webHidden/>
          </w:rPr>
        </w:r>
        <w:r>
          <w:rPr>
            <w:noProof/>
            <w:webHidden/>
          </w:rPr>
          <w:fldChar w:fldCharType="separate"/>
        </w:r>
        <w:r>
          <w:rPr>
            <w:noProof/>
            <w:webHidden/>
          </w:rPr>
          <w:t>4</w:t>
        </w:r>
        <w:r>
          <w:rPr>
            <w:noProof/>
            <w:webHidden/>
          </w:rPr>
          <w:fldChar w:fldCharType="end"/>
        </w:r>
      </w:hyperlink>
    </w:p>
    <w:p w14:paraId="774F3B32" w14:textId="0F2DED46" w:rsidR="0004562B" w:rsidRDefault="0004562B">
      <w:pPr>
        <w:pStyle w:val="TOC1"/>
        <w:rPr>
          <w:rFonts w:eastAsiaTheme="minorEastAsia"/>
          <w:noProof/>
          <w:color w:val="auto"/>
          <w:kern w:val="0"/>
          <w:sz w:val="22"/>
          <w:szCs w:val="22"/>
          <w:lang w:eastAsia="en-AU"/>
        </w:rPr>
      </w:pPr>
      <w:hyperlink w:anchor="_Toc102383204" w:history="1">
        <w:r w:rsidRPr="00706F5C">
          <w:rPr>
            <w:rStyle w:val="Hyperlink"/>
            <w:noProof/>
          </w:rPr>
          <w:t>Our compliance model</w:t>
        </w:r>
        <w:r>
          <w:rPr>
            <w:noProof/>
            <w:webHidden/>
          </w:rPr>
          <w:tab/>
        </w:r>
        <w:r>
          <w:rPr>
            <w:noProof/>
            <w:webHidden/>
          </w:rPr>
          <w:fldChar w:fldCharType="begin"/>
        </w:r>
        <w:r>
          <w:rPr>
            <w:noProof/>
            <w:webHidden/>
          </w:rPr>
          <w:instrText xml:space="preserve"> PAGEREF _Toc102383204 \h </w:instrText>
        </w:r>
        <w:r>
          <w:rPr>
            <w:noProof/>
            <w:webHidden/>
          </w:rPr>
        </w:r>
        <w:r>
          <w:rPr>
            <w:noProof/>
            <w:webHidden/>
          </w:rPr>
          <w:fldChar w:fldCharType="separate"/>
        </w:r>
        <w:r>
          <w:rPr>
            <w:noProof/>
            <w:webHidden/>
          </w:rPr>
          <w:t>4</w:t>
        </w:r>
        <w:r>
          <w:rPr>
            <w:noProof/>
            <w:webHidden/>
          </w:rPr>
          <w:fldChar w:fldCharType="end"/>
        </w:r>
      </w:hyperlink>
    </w:p>
    <w:p w14:paraId="359EEECA" w14:textId="59688CD3" w:rsidR="0004562B" w:rsidRDefault="0004562B">
      <w:pPr>
        <w:pStyle w:val="TOC2"/>
        <w:tabs>
          <w:tab w:val="right" w:pos="9854"/>
        </w:tabs>
        <w:rPr>
          <w:rFonts w:eastAsiaTheme="minorEastAsia"/>
          <w:noProof/>
          <w:color w:val="auto"/>
          <w:kern w:val="0"/>
          <w:sz w:val="22"/>
          <w:szCs w:val="22"/>
          <w:lang w:eastAsia="en-AU"/>
        </w:rPr>
      </w:pPr>
      <w:hyperlink w:anchor="_Toc102383205" w:history="1">
        <w:r w:rsidRPr="00706F5C">
          <w:rPr>
            <w:rStyle w:val="Hyperlink"/>
            <w:noProof/>
          </w:rPr>
          <w:t>Introduction of the compliance model</w:t>
        </w:r>
        <w:r>
          <w:rPr>
            <w:noProof/>
            <w:webHidden/>
          </w:rPr>
          <w:tab/>
        </w:r>
        <w:r>
          <w:rPr>
            <w:noProof/>
            <w:webHidden/>
          </w:rPr>
          <w:fldChar w:fldCharType="begin"/>
        </w:r>
        <w:r>
          <w:rPr>
            <w:noProof/>
            <w:webHidden/>
          </w:rPr>
          <w:instrText xml:space="preserve"> PAGEREF _Toc102383205 \h </w:instrText>
        </w:r>
        <w:r>
          <w:rPr>
            <w:noProof/>
            <w:webHidden/>
          </w:rPr>
        </w:r>
        <w:r>
          <w:rPr>
            <w:noProof/>
            <w:webHidden/>
          </w:rPr>
          <w:fldChar w:fldCharType="separate"/>
        </w:r>
        <w:r>
          <w:rPr>
            <w:noProof/>
            <w:webHidden/>
          </w:rPr>
          <w:t>4</w:t>
        </w:r>
        <w:r>
          <w:rPr>
            <w:noProof/>
            <w:webHidden/>
          </w:rPr>
          <w:fldChar w:fldCharType="end"/>
        </w:r>
      </w:hyperlink>
    </w:p>
    <w:p w14:paraId="2D3B9E84" w14:textId="289B3069" w:rsidR="0004562B" w:rsidRDefault="0004562B">
      <w:pPr>
        <w:pStyle w:val="TOC2"/>
        <w:tabs>
          <w:tab w:val="right" w:pos="9854"/>
        </w:tabs>
        <w:rPr>
          <w:rFonts w:eastAsiaTheme="minorEastAsia"/>
          <w:noProof/>
          <w:color w:val="auto"/>
          <w:kern w:val="0"/>
          <w:sz w:val="22"/>
          <w:szCs w:val="22"/>
          <w:lang w:eastAsia="en-AU"/>
        </w:rPr>
      </w:pPr>
      <w:hyperlink w:anchor="_Toc102383206" w:history="1">
        <w:r w:rsidRPr="00706F5C">
          <w:rPr>
            <w:rStyle w:val="Hyperlink"/>
            <w:noProof/>
          </w:rPr>
          <w:t>Compliance types</w:t>
        </w:r>
        <w:r>
          <w:rPr>
            <w:noProof/>
            <w:webHidden/>
          </w:rPr>
          <w:tab/>
        </w:r>
        <w:r>
          <w:rPr>
            <w:noProof/>
            <w:webHidden/>
          </w:rPr>
          <w:fldChar w:fldCharType="begin"/>
        </w:r>
        <w:r>
          <w:rPr>
            <w:noProof/>
            <w:webHidden/>
          </w:rPr>
          <w:instrText xml:space="preserve"> PAGEREF _Toc102383206 \h </w:instrText>
        </w:r>
        <w:r>
          <w:rPr>
            <w:noProof/>
            <w:webHidden/>
          </w:rPr>
        </w:r>
        <w:r>
          <w:rPr>
            <w:noProof/>
            <w:webHidden/>
          </w:rPr>
          <w:fldChar w:fldCharType="separate"/>
        </w:r>
        <w:r>
          <w:rPr>
            <w:noProof/>
            <w:webHidden/>
          </w:rPr>
          <w:t>5</w:t>
        </w:r>
        <w:r>
          <w:rPr>
            <w:noProof/>
            <w:webHidden/>
          </w:rPr>
          <w:fldChar w:fldCharType="end"/>
        </w:r>
      </w:hyperlink>
    </w:p>
    <w:p w14:paraId="633CED57" w14:textId="305D4473" w:rsidR="0004562B" w:rsidRDefault="0004562B">
      <w:pPr>
        <w:pStyle w:val="TOC1"/>
        <w:rPr>
          <w:rFonts w:eastAsiaTheme="minorEastAsia"/>
          <w:noProof/>
          <w:color w:val="auto"/>
          <w:kern w:val="0"/>
          <w:sz w:val="22"/>
          <w:szCs w:val="22"/>
          <w:lang w:eastAsia="en-AU"/>
        </w:rPr>
      </w:pPr>
      <w:hyperlink w:anchor="_Toc102383207" w:history="1">
        <w:r w:rsidRPr="00706F5C">
          <w:rPr>
            <w:rStyle w:val="Hyperlink"/>
            <w:noProof/>
          </w:rPr>
          <w:t>Key enhancements to compliance and enforcement</w:t>
        </w:r>
        <w:r>
          <w:rPr>
            <w:noProof/>
            <w:webHidden/>
          </w:rPr>
          <w:tab/>
        </w:r>
        <w:r>
          <w:rPr>
            <w:noProof/>
            <w:webHidden/>
          </w:rPr>
          <w:fldChar w:fldCharType="begin"/>
        </w:r>
        <w:r>
          <w:rPr>
            <w:noProof/>
            <w:webHidden/>
          </w:rPr>
          <w:instrText xml:space="preserve"> PAGEREF _Toc102383207 \h </w:instrText>
        </w:r>
        <w:r>
          <w:rPr>
            <w:noProof/>
            <w:webHidden/>
          </w:rPr>
        </w:r>
        <w:r>
          <w:rPr>
            <w:noProof/>
            <w:webHidden/>
          </w:rPr>
          <w:fldChar w:fldCharType="separate"/>
        </w:r>
        <w:r>
          <w:rPr>
            <w:noProof/>
            <w:webHidden/>
          </w:rPr>
          <w:t>7</w:t>
        </w:r>
        <w:r>
          <w:rPr>
            <w:noProof/>
            <w:webHidden/>
          </w:rPr>
          <w:fldChar w:fldCharType="end"/>
        </w:r>
      </w:hyperlink>
    </w:p>
    <w:p w14:paraId="336A1612" w14:textId="03A85558" w:rsidR="0004562B" w:rsidRDefault="0004562B">
      <w:pPr>
        <w:pStyle w:val="TOC2"/>
        <w:tabs>
          <w:tab w:val="right" w:pos="9854"/>
        </w:tabs>
        <w:rPr>
          <w:rFonts w:eastAsiaTheme="minorEastAsia"/>
          <w:noProof/>
          <w:color w:val="auto"/>
          <w:kern w:val="0"/>
          <w:sz w:val="22"/>
          <w:szCs w:val="22"/>
          <w:lang w:eastAsia="en-AU"/>
        </w:rPr>
      </w:pPr>
      <w:hyperlink w:anchor="_Toc102383208" w:history="1">
        <w:r w:rsidRPr="00706F5C">
          <w:rPr>
            <w:rStyle w:val="Hyperlink"/>
            <w:noProof/>
          </w:rPr>
          <w:t>Monitoring powers</w:t>
        </w:r>
        <w:r>
          <w:rPr>
            <w:noProof/>
            <w:webHidden/>
          </w:rPr>
          <w:tab/>
        </w:r>
        <w:r>
          <w:rPr>
            <w:noProof/>
            <w:webHidden/>
          </w:rPr>
          <w:fldChar w:fldCharType="begin"/>
        </w:r>
        <w:r>
          <w:rPr>
            <w:noProof/>
            <w:webHidden/>
          </w:rPr>
          <w:instrText xml:space="preserve"> PAGEREF _Toc102383208 \h </w:instrText>
        </w:r>
        <w:r>
          <w:rPr>
            <w:noProof/>
            <w:webHidden/>
          </w:rPr>
        </w:r>
        <w:r>
          <w:rPr>
            <w:noProof/>
            <w:webHidden/>
          </w:rPr>
          <w:fldChar w:fldCharType="separate"/>
        </w:r>
        <w:r>
          <w:rPr>
            <w:noProof/>
            <w:webHidden/>
          </w:rPr>
          <w:t>7</w:t>
        </w:r>
        <w:r>
          <w:rPr>
            <w:noProof/>
            <w:webHidden/>
          </w:rPr>
          <w:fldChar w:fldCharType="end"/>
        </w:r>
      </w:hyperlink>
    </w:p>
    <w:p w14:paraId="07DD86DC" w14:textId="3A38BE30" w:rsidR="0004562B" w:rsidRDefault="0004562B">
      <w:pPr>
        <w:pStyle w:val="TOC2"/>
        <w:tabs>
          <w:tab w:val="right" w:pos="9854"/>
        </w:tabs>
        <w:rPr>
          <w:rFonts w:eastAsiaTheme="minorEastAsia"/>
          <w:noProof/>
          <w:color w:val="auto"/>
          <w:kern w:val="0"/>
          <w:sz w:val="22"/>
          <w:szCs w:val="22"/>
          <w:lang w:eastAsia="en-AU"/>
        </w:rPr>
      </w:pPr>
      <w:hyperlink w:anchor="_Toc102383209" w:history="1">
        <w:r w:rsidRPr="00706F5C">
          <w:rPr>
            <w:rStyle w:val="Hyperlink"/>
            <w:noProof/>
          </w:rPr>
          <w:t>Investigation powers</w:t>
        </w:r>
        <w:r>
          <w:rPr>
            <w:noProof/>
            <w:webHidden/>
          </w:rPr>
          <w:tab/>
        </w:r>
        <w:r>
          <w:rPr>
            <w:noProof/>
            <w:webHidden/>
          </w:rPr>
          <w:fldChar w:fldCharType="begin"/>
        </w:r>
        <w:r>
          <w:rPr>
            <w:noProof/>
            <w:webHidden/>
          </w:rPr>
          <w:instrText xml:space="preserve"> PAGEREF _Toc102383209 \h </w:instrText>
        </w:r>
        <w:r>
          <w:rPr>
            <w:noProof/>
            <w:webHidden/>
          </w:rPr>
        </w:r>
        <w:r>
          <w:rPr>
            <w:noProof/>
            <w:webHidden/>
          </w:rPr>
          <w:fldChar w:fldCharType="separate"/>
        </w:r>
        <w:r>
          <w:rPr>
            <w:noProof/>
            <w:webHidden/>
          </w:rPr>
          <w:t>7</w:t>
        </w:r>
        <w:r>
          <w:rPr>
            <w:noProof/>
            <w:webHidden/>
          </w:rPr>
          <w:fldChar w:fldCharType="end"/>
        </w:r>
      </w:hyperlink>
    </w:p>
    <w:p w14:paraId="588B62FD" w14:textId="30EBBA19" w:rsidR="0004562B" w:rsidRDefault="0004562B">
      <w:pPr>
        <w:pStyle w:val="TOC2"/>
        <w:tabs>
          <w:tab w:val="right" w:pos="9854"/>
        </w:tabs>
        <w:rPr>
          <w:rFonts w:eastAsiaTheme="minorEastAsia"/>
          <w:noProof/>
          <w:color w:val="auto"/>
          <w:kern w:val="0"/>
          <w:sz w:val="22"/>
          <w:szCs w:val="22"/>
          <w:lang w:eastAsia="en-AU"/>
        </w:rPr>
      </w:pPr>
      <w:hyperlink w:anchor="_Toc102383210" w:history="1">
        <w:r w:rsidRPr="00706F5C">
          <w:rPr>
            <w:rStyle w:val="Hyperlink"/>
            <w:noProof/>
          </w:rPr>
          <w:t>Civil penalties</w:t>
        </w:r>
        <w:r>
          <w:rPr>
            <w:noProof/>
            <w:webHidden/>
          </w:rPr>
          <w:tab/>
        </w:r>
        <w:r>
          <w:rPr>
            <w:noProof/>
            <w:webHidden/>
          </w:rPr>
          <w:fldChar w:fldCharType="begin"/>
        </w:r>
        <w:r>
          <w:rPr>
            <w:noProof/>
            <w:webHidden/>
          </w:rPr>
          <w:instrText xml:space="preserve"> PAGEREF _Toc102383210 \h </w:instrText>
        </w:r>
        <w:r>
          <w:rPr>
            <w:noProof/>
            <w:webHidden/>
          </w:rPr>
        </w:r>
        <w:r>
          <w:rPr>
            <w:noProof/>
            <w:webHidden/>
          </w:rPr>
          <w:fldChar w:fldCharType="separate"/>
        </w:r>
        <w:r>
          <w:rPr>
            <w:noProof/>
            <w:webHidden/>
          </w:rPr>
          <w:t>8</w:t>
        </w:r>
        <w:r>
          <w:rPr>
            <w:noProof/>
            <w:webHidden/>
          </w:rPr>
          <w:fldChar w:fldCharType="end"/>
        </w:r>
      </w:hyperlink>
    </w:p>
    <w:p w14:paraId="76615F2B" w14:textId="3743C704" w:rsidR="0004562B" w:rsidRDefault="0004562B">
      <w:pPr>
        <w:pStyle w:val="TOC2"/>
        <w:tabs>
          <w:tab w:val="right" w:pos="9854"/>
        </w:tabs>
        <w:rPr>
          <w:rFonts w:eastAsiaTheme="minorEastAsia"/>
          <w:noProof/>
          <w:color w:val="auto"/>
          <w:kern w:val="0"/>
          <w:sz w:val="22"/>
          <w:szCs w:val="22"/>
          <w:lang w:eastAsia="en-AU"/>
        </w:rPr>
      </w:pPr>
      <w:hyperlink w:anchor="_Toc102383211" w:history="1">
        <w:r w:rsidRPr="00706F5C">
          <w:rPr>
            <w:rStyle w:val="Hyperlink"/>
            <w:noProof/>
          </w:rPr>
          <w:t>Infringement notices</w:t>
        </w:r>
        <w:r>
          <w:rPr>
            <w:noProof/>
            <w:webHidden/>
          </w:rPr>
          <w:tab/>
        </w:r>
        <w:r>
          <w:rPr>
            <w:noProof/>
            <w:webHidden/>
          </w:rPr>
          <w:fldChar w:fldCharType="begin"/>
        </w:r>
        <w:r>
          <w:rPr>
            <w:noProof/>
            <w:webHidden/>
          </w:rPr>
          <w:instrText xml:space="preserve"> PAGEREF _Toc102383211 \h </w:instrText>
        </w:r>
        <w:r>
          <w:rPr>
            <w:noProof/>
            <w:webHidden/>
          </w:rPr>
        </w:r>
        <w:r>
          <w:rPr>
            <w:noProof/>
            <w:webHidden/>
          </w:rPr>
          <w:fldChar w:fldCharType="separate"/>
        </w:r>
        <w:r>
          <w:rPr>
            <w:noProof/>
            <w:webHidden/>
          </w:rPr>
          <w:t>8</w:t>
        </w:r>
        <w:r>
          <w:rPr>
            <w:noProof/>
            <w:webHidden/>
          </w:rPr>
          <w:fldChar w:fldCharType="end"/>
        </w:r>
      </w:hyperlink>
    </w:p>
    <w:p w14:paraId="108CFDF8" w14:textId="12BBB29C" w:rsidR="0004562B" w:rsidRDefault="0004562B">
      <w:pPr>
        <w:pStyle w:val="TOC2"/>
        <w:tabs>
          <w:tab w:val="right" w:pos="9854"/>
        </w:tabs>
        <w:rPr>
          <w:rFonts w:eastAsiaTheme="minorEastAsia"/>
          <w:noProof/>
          <w:color w:val="auto"/>
          <w:kern w:val="0"/>
          <w:sz w:val="22"/>
          <w:szCs w:val="22"/>
          <w:lang w:eastAsia="en-AU"/>
        </w:rPr>
      </w:pPr>
      <w:hyperlink w:anchor="_Toc102383212" w:history="1">
        <w:r w:rsidRPr="00706F5C">
          <w:rPr>
            <w:rStyle w:val="Hyperlink"/>
            <w:noProof/>
          </w:rPr>
          <w:t>Enforceable undertakings</w:t>
        </w:r>
        <w:r>
          <w:rPr>
            <w:noProof/>
            <w:webHidden/>
          </w:rPr>
          <w:tab/>
        </w:r>
        <w:r>
          <w:rPr>
            <w:noProof/>
            <w:webHidden/>
          </w:rPr>
          <w:fldChar w:fldCharType="begin"/>
        </w:r>
        <w:r>
          <w:rPr>
            <w:noProof/>
            <w:webHidden/>
          </w:rPr>
          <w:instrText xml:space="preserve"> PAGEREF _Toc102383212 \h </w:instrText>
        </w:r>
        <w:r>
          <w:rPr>
            <w:noProof/>
            <w:webHidden/>
          </w:rPr>
        </w:r>
        <w:r>
          <w:rPr>
            <w:noProof/>
            <w:webHidden/>
          </w:rPr>
          <w:fldChar w:fldCharType="separate"/>
        </w:r>
        <w:r>
          <w:rPr>
            <w:noProof/>
            <w:webHidden/>
          </w:rPr>
          <w:t>8</w:t>
        </w:r>
        <w:r>
          <w:rPr>
            <w:noProof/>
            <w:webHidden/>
          </w:rPr>
          <w:fldChar w:fldCharType="end"/>
        </w:r>
      </w:hyperlink>
    </w:p>
    <w:p w14:paraId="0BF7C4A0" w14:textId="3E5DBB57" w:rsidR="0004562B" w:rsidRDefault="0004562B">
      <w:pPr>
        <w:pStyle w:val="TOC2"/>
        <w:tabs>
          <w:tab w:val="right" w:pos="9854"/>
        </w:tabs>
        <w:rPr>
          <w:rFonts w:eastAsiaTheme="minorEastAsia"/>
          <w:noProof/>
          <w:color w:val="auto"/>
          <w:kern w:val="0"/>
          <w:sz w:val="22"/>
          <w:szCs w:val="22"/>
          <w:lang w:eastAsia="en-AU"/>
        </w:rPr>
      </w:pPr>
      <w:hyperlink w:anchor="_Toc102383213" w:history="1">
        <w:r w:rsidRPr="00706F5C">
          <w:rPr>
            <w:rStyle w:val="Hyperlink"/>
            <w:noProof/>
          </w:rPr>
          <w:t>Injunctions</w:t>
        </w:r>
        <w:r>
          <w:rPr>
            <w:noProof/>
            <w:webHidden/>
          </w:rPr>
          <w:tab/>
        </w:r>
        <w:r>
          <w:rPr>
            <w:noProof/>
            <w:webHidden/>
          </w:rPr>
          <w:fldChar w:fldCharType="begin"/>
        </w:r>
        <w:r>
          <w:rPr>
            <w:noProof/>
            <w:webHidden/>
          </w:rPr>
          <w:instrText xml:space="preserve"> PAGEREF _Toc102383213 \h </w:instrText>
        </w:r>
        <w:r>
          <w:rPr>
            <w:noProof/>
            <w:webHidden/>
          </w:rPr>
        </w:r>
        <w:r>
          <w:rPr>
            <w:noProof/>
            <w:webHidden/>
          </w:rPr>
          <w:fldChar w:fldCharType="separate"/>
        </w:r>
        <w:r>
          <w:rPr>
            <w:noProof/>
            <w:webHidden/>
          </w:rPr>
          <w:t>9</w:t>
        </w:r>
        <w:r>
          <w:rPr>
            <w:noProof/>
            <w:webHidden/>
          </w:rPr>
          <w:fldChar w:fldCharType="end"/>
        </w:r>
      </w:hyperlink>
    </w:p>
    <w:p w14:paraId="3B3EE413" w14:textId="6EDC17B8" w:rsidR="0004562B" w:rsidRDefault="0004562B">
      <w:pPr>
        <w:pStyle w:val="TOC1"/>
        <w:rPr>
          <w:rFonts w:eastAsiaTheme="minorEastAsia"/>
          <w:noProof/>
          <w:color w:val="auto"/>
          <w:kern w:val="0"/>
          <w:sz w:val="22"/>
          <w:szCs w:val="22"/>
          <w:lang w:eastAsia="en-AU"/>
        </w:rPr>
      </w:pPr>
      <w:hyperlink w:anchor="_Toc102383214" w:history="1">
        <w:r w:rsidRPr="00706F5C">
          <w:rPr>
            <w:rStyle w:val="Hyperlink"/>
            <w:noProof/>
          </w:rPr>
          <w:t xml:space="preserve">The new </w:t>
        </w:r>
        <w:r w:rsidRPr="00706F5C">
          <w:rPr>
            <w:rStyle w:val="Hyperlink"/>
            <w:b/>
            <w:noProof/>
          </w:rPr>
          <w:t>Ro</w:t>
        </w:r>
        <w:r w:rsidRPr="00706F5C">
          <w:rPr>
            <w:rStyle w:val="Hyperlink"/>
            <w:noProof/>
          </w:rPr>
          <w:t xml:space="preserve">ad </w:t>
        </w:r>
        <w:r w:rsidRPr="00706F5C">
          <w:rPr>
            <w:rStyle w:val="Hyperlink"/>
            <w:b/>
            <w:noProof/>
          </w:rPr>
          <w:t>Ve</w:t>
        </w:r>
        <w:r w:rsidRPr="00706F5C">
          <w:rPr>
            <w:rStyle w:val="Hyperlink"/>
            <w:noProof/>
          </w:rPr>
          <w:t xml:space="preserve">hicle </w:t>
        </w:r>
        <w:r w:rsidRPr="00706F5C">
          <w:rPr>
            <w:rStyle w:val="Hyperlink"/>
            <w:b/>
            <w:noProof/>
          </w:rPr>
          <w:t>R</w:t>
        </w:r>
        <w:r w:rsidRPr="00706F5C">
          <w:rPr>
            <w:rStyle w:val="Hyperlink"/>
            <w:noProof/>
          </w:rPr>
          <w:t>egulator IT system (ROVER)</w:t>
        </w:r>
        <w:r>
          <w:rPr>
            <w:noProof/>
            <w:webHidden/>
          </w:rPr>
          <w:tab/>
        </w:r>
        <w:r>
          <w:rPr>
            <w:noProof/>
            <w:webHidden/>
          </w:rPr>
          <w:fldChar w:fldCharType="begin"/>
        </w:r>
        <w:r>
          <w:rPr>
            <w:noProof/>
            <w:webHidden/>
          </w:rPr>
          <w:instrText xml:space="preserve"> PAGEREF _Toc102383214 \h </w:instrText>
        </w:r>
        <w:r>
          <w:rPr>
            <w:noProof/>
            <w:webHidden/>
          </w:rPr>
        </w:r>
        <w:r>
          <w:rPr>
            <w:noProof/>
            <w:webHidden/>
          </w:rPr>
          <w:fldChar w:fldCharType="separate"/>
        </w:r>
        <w:r>
          <w:rPr>
            <w:noProof/>
            <w:webHidden/>
          </w:rPr>
          <w:t>9</w:t>
        </w:r>
        <w:r>
          <w:rPr>
            <w:noProof/>
            <w:webHidden/>
          </w:rPr>
          <w:fldChar w:fldCharType="end"/>
        </w:r>
      </w:hyperlink>
    </w:p>
    <w:p w14:paraId="76C07E59" w14:textId="00EC8529" w:rsidR="0004562B" w:rsidRDefault="0004562B">
      <w:pPr>
        <w:pStyle w:val="TOC1"/>
        <w:rPr>
          <w:rFonts w:eastAsiaTheme="minorEastAsia"/>
          <w:noProof/>
          <w:color w:val="auto"/>
          <w:kern w:val="0"/>
          <w:sz w:val="22"/>
          <w:szCs w:val="22"/>
          <w:lang w:eastAsia="en-AU"/>
        </w:rPr>
      </w:pPr>
      <w:hyperlink w:anchor="_Toc102383215" w:history="1">
        <w:r w:rsidRPr="00706F5C">
          <w:rPr>
            <w:rStyle w:val="Hyperlink"/>
            <w:noProof/>
          </w:rPr>
          <w:t>More information</w:t>
        </w:r>
        <w:r>
          <w:rPr>
            <w:noProof/>
            <w:webHidden/>
          </w:rPr>
          <w:tab/>
        </w:r>
        <w:r>
          <w:rPr>
            <w:noProof/>
            <w:webHidden/>
          </w:rPr>
          <w:fldChar w:fldCharType="begin"/>
        </w:r>
        <w:r>
          <w:rPr>
            <w:noProof/>
            <w:webHidden/>
          </w:rPr>
          <w:instrText xml:space="preserve"> PAGEREF _Toc102383215 \h </w:instrText>
        </w:r>
        <w:r>
          <w:rPr>
            <w:noProof/>
            <w:webHidden/>
          </w:rPr>
        </w:r>
        <w:r>
          <w:rPr>
            <w:noProof/>
            <w:webHidden/>
          </w:rPr>
          <w:fldChar w:fldCharType="separate"/>
        </w:r>
        <w:r>
          <w:rPr>
            <w:noProof/>
            <w:webHidden/>
          </w:rPr>
          <w:t>10</w:t>
        </w:r>
        <w:r>
          <w:rPr>
            <w:noProof/>
            <w:webHidden/>
          </w:rPr>
          <w:fldChar w:fldCharType="end"/>
        </w:r>
      </w:hyperlink>
    </w:p>
    <w:p w14:paraId="51BC072E" w14:textId="09224464" w:rsidR="0004562B" w:rsidRDefault="0004562B">
      <w:pPr>
        <w:pStyle w:val="TOC2"/>
        <w:tabs>
          <w:tab w:val="right" w:pos="9854"/>
        </w:tabs>
        <w:rPr>
          <w:rFonts w:eastAsiaTheme="minorEastAsia"/>
          <w:noProof/>
          <w:color w:val="auto"/>
          <w:kern w:val="0"/>
          <w:sz w:val="22"/>
          <w:szCs w:val="22"/>
          <w:lang w:eastAsia="en-AU"/>
        </w:rPr>
      </w:pPr>
      <w:hyperlink w:anchor="_Toc102383216" w:history="1">
        <w:r w:rsidRPr="00706F5C">
          <w:rPr>
            <w:rStyle w:val="Hyperlink"/>
            <w:noProof/>
          </w:rPr>
          <w:t>Glossary</w:t>
        </w:r>
        <w:r>
          <w:rPr>
            <w:noProof/>
            <w:webHidden/>
          </w:rPr>
          <w:tab/>
        </w:r>
        <w:r>
          <w:rPr>
            <w:noProof/>
            <w:webHidden/>
          </w:rPr>
          <w:fldChar w:fldCharType="begin"/>
        </w:r>
        <w:r>
          <w:rPr>
            <w:noProof/>
            <w:webHidden/>
          </w:rPr>
          <w:instrText xml:space="preserve"> PAGEREF _Toc102383216 \h </w:instrText>
        </w:r>
        <w:r>
          <w:rPr>
            <w:noProof/>
            <w:webHidden/>
          </w:rPr>
        </w:r>
        <w:r>
          <w:rPr>
            <w:noProof/>
            <w:webHidden/>
          </w:rPr>
          <w:fldChar w:fldCharType="separate"/>
        </w:r>
        <w:r>
          <w:rPr>
            <w:noProof/>
            <w:webHidden/>
          </w:rPr>
          <w:t>10</w:t>
        </w:r>
        <w:r>
          <w:rPr>
            <w:noProof/>
            <w:webHidden/>
          </w:rPr>
          <w:fldChar w:fldCharType="end"/>
        </w:r>
      </w:hyperlink>
    </w:p>
    <w:p w14:paraId="1C9ECC67" w14:textId="33DB4568" w:rsidR="00310F4D" w:rsidRDefault="00310F4D" w:rsidP="00395042">
      <w:pPr>
        <w:rPr>
          <w:rStyle w:val="Hyperlink"/>
          <w:noProof/>
          <w:color w:val="auto"/>
          <w:sz w:val="24"/>
          <w:u w:val="none" w:color="4BB3B5" w:themeColor="accent2"/>
        </w:rPr>
      </w:pPr>
      <w:r>
        <w:rPr>
          <w:rStyle w:val="Hyperlink"/>
          <w:noProof/>
          <w:color w:val="auto"/>
          <w:sz w:val="24"/>
          <w:u w:val="none" w:color="4BB3B5" w:themeColor="accent2"/>
        </w:rPr>
        <w:fldChar w:fldCharType="end"/>
      </w:r>
    </w:p>
    <w:p w14:paraId="13143BF9" w14:textId="77777777" w:rsidR="00310F4D" w:rsidRDefault="00310F4D">
      <w:pPr>
        <w:suppressAutoHyphens w:val="0"/>
        <w:rPr>
          <w:rStyle w:val="Hyperlink"/>
          <w:noProof/>
          <w:color w:val="auto"/>
          <w:sz w:val="24"/>
          <w:u w:val="none" w:color="4BB3B5" w:themeColor="accent2"/>
        </w:rPr>
      </w:pPr>
      <w:r>
        <w:rPr>
          <w:rStyle w:val="Hyperlink"/>
          <w:noProof/>
          <w:color w:val="auto"/>
          <w:sz w:val="24"/>
          <w:u w:val="none" w:color="4BB3B5" w:themeColor="accent2"/>
        </w:rPr>
        <w:br w:type="page"/>
      </w:r>
    </w:p>
    <w:p w14:paraId="0A4D8DE9" w14:textId="77777777" w:rsidR="002738A2" w:rsidRDefault="002738A2" w:rsidP="002738A2">
      <w:pPr>
        <w:pStyle w:val="Heading1"/>
      </w:pPr>
      <w:bookmarkStart w:id="2" w:name="_Toc102383198"/>
      <w:r>
        <w:lastRenderedPageBreak/>
        <w:t>Purpose and context</w:t>
      </w:r>
      <w:bookmarkEnd w:id="2"/>
    </w:p>
    <w:p w14:paraId="5C49DDF0" w14:textId="77777777" w:rsidR="002738A2" w:rsidRDefault="002738A2" w:rsidP="00F55519">
      <w:pPr>
        <w:pStyle w:val="Introduction"/>
      </w:pPr>
      <w:r>
        <w:t xml:space="preserve">The Vehicle Safety Operations Compliance Model (the </w:t>
      </w:r>
      <w:r w:rsidR="0075426F">
        <w:rPr>
          <w:lang w:val="en-US"/>
        </w:rPr>
        <w:t xml:space="preserve">compliance </w:t>
      </w:r>
      <w:r w:rsidR="004D1742">
        <w:rPr>
          <w:lang w:val="en-US"/>
        </w:rPr>
        <w:t>model</w:t>
      </w:r>
      <w:r>
        <w:t xml:space="preserve">), represents the department’s approach to ensuring compliance with the </w:t>
      </w:r>
      <w:r w:rsidRPr="000D620B">
        <w:rPr>
          <w:i/>
        </w:rPr>
        <w:t>Road Vehicle Standards Act 2018</w:t>
      </w:r>
      <w:r>
        <w:t xml:space="preserve"> (the RVSA), the </w:t>
      </w:r>
      <w:r w:rsidRPr="00253552">
        <w:rPr>
          <w:i/>
        </w:rPr>
        <w:t>Road Vehicle Standards Rules 2019</w:t>
      </w:r>
      <w:r>
        <w:t xml:space="preserve"> (the </w:t>
      </w:r>
      <w:r w:rsidR="0075426F">
        <w:t>R</w:t>
      </w:r>
      <w:r w:rsidR="0075426F">
        <w:rPr>
          <w:lang w:val="en-US"/>
        </w:rPr>
        <w:t>ules</w:t>
      </w:r>
      <w:r>
        <w:t>) and Australian Design Rules for Road Vehicles (ADRs).</w:t>
      </w:r>
    </w:p>
    <w:p w14:paraId="18D4262B" w14:textId="77777777" w:rsidR="00013EEB" w:rsidRDefault="002738A2" w:rsidP="002738A2">
      <w:r>
        <w:t>The department is responsible for supporting the safety, environmental and anti-theft performance of all road vehicles being provided to the Australian market for the first time. To achieve this outcome, the department’s Vehicle Safety Operations (VSO)</w:t>
      </w:r>
      <w:r w:rsidR="005F2189">
        <w:t xml:space="preserve"> </w:t>
      </w:r>
      <w:r>
        <w:t xml:space="preserve">branch takes a risk-based approach to the management of compliance with the RVSA, the </w:t>
      </w:r>
      <w:r w:rsidR="0075426F">
        <w:t xml:space="preserve">Rules </w:t>
      </w:r>
      <w:r>
        <w:t>and the ADRs.</w:t>
      </w:r>
    </w:p>
    <w:p w14:paraId="1DC8FB44" w14:textId="77777777" w:rsidR="002738A2" w:rsidRDefault="002738A2" w:rsidP="002738A2">
      <w:pPr>
        <w:pStyle w:val="Heading2"/>
      </w:pPr>
      <w:bookmarkStart w:id="3" w:name="_Toc102383199"/>
      <w:r>
        <w:t>Vehicle Safety Operations risk framework</w:t>
      </w:r>
      <w:bookmarkEnd w:id="3"/>
    </w:p>
    <w:p w14:paraId="425C29A8" w14:textId="2EFC84A5" w:rsidR="002738A2" w:rsidRDefault="00C25557" w:rsidP="002738A2">
      <w:r>
        <w:t>Our compliance m</w:t>
      </w:r>
      <w:r w:rsidR="002738A2">
        <w:t xml:space="preserve">odel uses principles from </w:t>
      </w:r>
      <w:r w:rsidR="002738A2" w:rsidRPr="00633B38">
        <w:t xml:space="preserve">the </w:t>
      </w:r>
      <w:r w:rsidR="009A3ADA" w:rsidRPr="00633B38">
        <w:t xml:space="preserve">Vehicle Safety Standards </w:t>
      </w:r>
      <w:r w:rsidR="00633B38" w:rsidRPr="00633B38">
        <w:t xml:space="preserve">Regulatory </w:t>
      </w:r>
      <w:r w:rsidR="009A3ADA" w:rsidRPr="00633B38">
        <w:t xml:space="preserve">Risk Framework </w:t>
      </w:r>
      <w:r w:rsidR="002738A2" w:rsidRPr="00633B38">
        <w:t>(the framework).</w:t>
      </w:r>
      <w:r w:rsidR="002738A2">
        <w:t xml:space="preserve"> </w:t>
      </w:r>
    </w:p>
    <w:p w14:paraId="64B6F695" w14:textId="77777777" w:rsidR="00530946" w:rsidRDefault="002738A2" w:rsidP="002738A2">
      <w:r>
        <w:t>The framework</w:t>
      </w:r>
      <w:r w:rsidR="00565C56">
        <w:t xml:space="preserve"> princip</w:t>
      </w:r>
      <w:r w:rsidR="005F2189">
        <w:t>le</w:t>
      </w:r>
      <w:r w:rsidR="00565C56">
        <w:t>s</w:t>
      </w:r>
      <w:r>
        <w:t>:</w:t>
      </w:r>
    </w:p>
    <w:p w14:paraId="5A1EA930" w14:textId="77777777" w:rsidR="00420026" w:rsidRDefault="00420026" w:rsidP="00420026">
      <w:pPr>
        <w:pStyle w:val="Bullet1"/>
      </w:pPr>
      <w:r>
        <w:t>set a consistent approach to identifying, assessing and prioritising regulatory risks</w:t>
      </w:r>
    </w:p>
    <w:p w14:paraId="654D8854" w14:textId="77777777" w:rsidR="00420026" w:rsidRDefault="00420026" w:rsidP="00420026">
      <w:pPr>
        <w:pStyle w:val="Bullet1"/>
      </w:pPr>
      <w:r>
        <w:t>detail how to allocate resources and identify appropriate activities to address risks</w:t>
      </w:r>
    </w:p>
    <w:p w14:paraId="6A73DBF3" w14:textId="77777777" w:rsidR="00530946" w:rsidRDefault="00420026" w:rsidP="00420026">
      <w:pPr>
        <w:pStyle w:val="Bullet1"/>
      </w:pPr>
      <w:r>
        <w:t>outline how a risk-based regulatory approach will be embedded within VSO.</w:t>
      </w:r>
    </w:p>
    <w:p w14:paraId="79C9E685" w14:textId="77777777" w:rsidR="00420026" w:rsidRDefault="00420026" w:rsidP="00420026">
      <w:pPr>
        <w:pStyle w:val="Heading2"/>
      </w:pPr>
      <w:bookmarkStart w:id="4" w:name="_Toc102383200"/>
      <w:r>
        <w:t>Application of the risk framework princip</w:t>
      </w:r>
      <w:r w:rsidR="0075426F">
        <w:t>les</w:t>
      </w:r>
      <w:bookmarkEnd w:id="4"/>
    </w:p>
    <w:p w14:paraId="519D7613" w14:textId="77777777" w:rsidR="00420026" w:rsidRDefault="00420026" w:rsidP="00420026">
      <w:r>
        <w:t>We apply the risk framework princip</w:t>
      </w:r>
      <w:r w:rsidR="0075426F">
        <w:t>les</w:t>
      </w:r>
      <w:r>
        <w:t xml:space="preserve"> when: </w:t>
      </w:r>
    </w:p>
    <w:p w14:paraId="20C79730" w14:textId="77777777" w:rsidR="00420026" w:rsidRDefault="00420026" w:rsidP="00420026">
      <w:pPr>
        <w:pStyle w:val="Bullet1"/>
      </w:pPr>
      <w:r>
        <w:t>assessing applications from regulated entities</w:t>
      </w:r>
    </w:p>
    <w:p w14:paraId="23FFCF93" w14:textId="77777777" w:rsidR="00420026" w:rsidRDefault="00420026" w:rsidP="00420026">
      <w:pPr>
        <w:pStyle w:val="Bullet1"/>
      </w:pPr>
      <w:r>
        <w:t>selecting regulated entities for inspection or investigation (except where there is a legislative requirement to undertake an inspection)</w:t>
      </w:r>
    </w:p>
    <w:p w14:paraId="27CB0AA7" w14:textId="77777777" w:rsidR="00420026" w:rsidRDefault="00420026" w:rsidP="00420026">
      <w:pPr>
        <w:pStyle w:val="Bullet1"/>
      </w:pPr>
      <w:r>
        <w:t>educating or engaging with regulated entities</w:t>
      </w:r>
    </w:p>
    <w:p w14:paraId="336470C0" w14:textId="77777777" w:rsidR="00420026" w:rsidRDefault="00420026" w:rsidP="00420026">
      <w:pPr>
        <w:pStyle w:val="Bullet1"/>
      </w:pPr>
      <w:r>
        <w:t>conducting activities to verify that a regulated entity is complying with their obligations</w:t>
      </w:r>
    </w:p>
    <w:p w14:paraId="2F46458D" w14:textId="77777777" w:rsidR="00420026" w:rsidRDefault="00420026" w:rsidP="00420026">
      <w:pPr>
        <w:pStyle w:val="Bullet1"/>
      </w:pPr>
      <w:r>
        <w:t>responding to instances of non-compliance</w:t>
      </w:r>
    </w:p>
    <w:p w14:paraId="35E6F6DC" w14:textId="77777777" w:rsidR="00420026" w:rsidRPr="00420026" w:rsidRDefault="00420026" w:rsidP="00420026">
      <w:pPr>
        <w:pStyle w:val="Bullet1"/>
      </w:pPr>
      <w:r w:rsidRPr="00420026">
        <w:t>reviewing operational activities</w:t>
      </w:r>
    </w:p>
    <w:p w14:paraId="78991815" w14:textId="77777777" w:rsidR="00420026" w:rsidRDefault="00313112" w:rsidP="00420026">
      <w:pPr>
        <w:pStyle w:val="Bullet1"/>
      </w:pPr>
      <w:r>
        <w:t>developing VSO regulatory risk a</w:t>
      </w:r>
      <w:r w:rsidR="00420026">
        <w:t xml:space="preserve">ssessment processes, </w:t>
      </w:r>
      <w:r w:rsidR="00420026">
        <w:rPr>
          <w:lang w:val="en-US"/>
        </w:rPr>
        <w:t>compliance</w:t>
      </w:r>
      <w:r w:rsidR="00420026">
        <w:t xml:space="preserve"> </w:t>
      </w:r>
      <w:r w:rsidR="00420026">
        <w:rPr>
          <w:lang w:val="en-US"/>
        </w:rPr>
        <w:t xml:space="preserve">plans </w:t>
      </w:r>
      <w:r w:rsidR="00420026">
        <w:t>and operational plans</w:t>
      </w:r>
    </w:p>
    <w:p w14:paraId="243DC661" w14:textId="77777777" w:rsidR="002738A2" w:rsidRDefault="00420026" w:rsidP="00420026">
      <w:pPr>
        <w:pStyle w:val="Bullet1"/>
      </w:pPr>
      <w:r>
        <w:t>allocating resources to compliance activities, and applying enforcement responses</w:t>
      </w:r>
      <w:r w:rsidR="00C461E6">
        <w:rPr>
          <w:lang w:val="en-US"/>
        </w:rPr>
        <w:t>.</w:t>
      </w:r>
    </w:p>
    <w:p w14:paraId="70F04EAD" w14:textId="77777777" w:rsidR="00420026" w:rsidRDefault="00420026" w:rsidP="00420026">
      <w:pPr>
        <w:pStyle w:val="Heading2"/>
      </w:pPr>
      <w:bookmarkStart w:id="5" w:name="_Toc102383201"/>
      <w:r>
        <w:t>New legislation</w:t>
      </w:r>
      <w:bookmarkEnd w:id="5"/>
    </w:p>
    <w:p w14:paraId="4E747A6B" w14:textId="508F5630" w:rsidR="00173AB0" w:rsidRPr="00340872" w:rsidRDefault="00173AB0" w:rsidP="00173AB0">
      <w:r w:rsidRPr="00340872">
        <w:t>The RVSA was drafted to reflect Australia’s current automotive landscape, which has substantially changed since the prior legislation was introduced in 1989 and significantly influences how vehicles are now being imported and supplied for the first time to the Australian market. At a high-level, the RVSA supports voluntary compliance by linking current industry practices to clear, relevant and objective legislative criteria for importing and providing road vehicles to the Australian market.</w:t>
      </w:r>
    </w:p>
    <w:p w14:paraId="6589462B" w14:textId="49A6AEFD" w:rsidR="00173AB0" w:rsidRPr="00340872" w:rsidRDefault="00173AB0" w:rsidP="00173AB0">
      <w:r w:rsidRPr="00340872">
        <w:t>The Australian Government has introduced the RVSA to provide more choice in road vehicles for Australians. The department has considered the issue of choice when developing the RVSA because community demand influences compliance behaviour. The RVSA offers a robust legislative framework to accommodate consumer choice to the best degree practicable while also ensuring approved road vehicles are safe, have appropriate anti-theft technology and comply with environmental standards. This focus enables entities that are regulated under the RVSA to remain compliant with legislative requirements without unnecessarily impeding the choices of the consumers they set out to serve.  </w:t>
      </w:r>
    </w:p>
    <w:p w14:paraId="3382E852" w14:textId="58477CB3" w:rsidR="00420026" w:rsidRDefault="00173AB0" w:rsidP="00420026">
      <w:r w:rsidRPr="00340872">
        <w:t>The department recognises that it is easier to comply with legislation that takes a measured and proportionate response to issues of non-compliance.</w:t>
      </w:r>
      <w:r>
        <w:t xml:space="preserve"> </w:t>
      </w:r>
      <w:r w:rsidR="00420026">
        <w:t>To help ensure compliance with the RVSA, the department has a range of new</w:t>
      </w:r>
      <w:r w:rsidR="00C25557">
        <w:t xml:space="preserve"> </w:t>
      </w:r>
      <w:r w:rsidR="00B455EE">
        <w:t>regulatory</w:t>
      </w:r>
      <w:r w:rsidR="00420026">
        <w:t xml:space="preserve"> </w:t>
      </w:r>
      <w:r w:rsidR="00420026">
        <w:lastRenderedPageBreak/>
        <w:t>powers to support proportionate and effective regulatory responses when dealing with any matters of non-compliance or safety.</w:t>
      </w:r>
    </w:p>
    <w:p w14:paraId="401768C8" w14:textId="77777777" w:rsidR="002738A2" w:rsidRDefault="00420026" w:rsidP="004D1742">
      <w:pPr>
        <w:keepNext/>
      </w:pPr>
      <w:r>
        <w:t xml:space="preserve">New </w:t>
      </w:r>
      <w:r w:rsidR="00B455EE">
        <w:t xml:space="preserve">legislative </w:t>
      </w:r>
      <w:r>
        <w:t>provisions in the RVSA include, but a</w:t>
      </w:r>
      <w:r w:rsidR="00162969">
        <w:t>re not limited to</w:t>
      </w:r>
      <w:r w:rsidR="005F2189">
        <w:t>,</w:t>
      </w:r>
      <w:r w:rsidR="00162969">
        <w:t xml:space="preserve"> the following:</w:t>
      </w:r>
    </w:p>
    <w:p w14:paraId="5D1B9613" w14:textId="77777777" w:rsidR="000D620B" w:rsidRDefault="000D620B" w:rsidP="000D620B">
      <w:pPr>
        <w:pStyle w:val="Bullet1"/>
      </w:pPr>
      <w:r>
        <w:rPr>
          <w:lang w:val="en-US"/>
        </w:rPr>
        <w:t>A</w:t>
      </w:r>
      <w:r>
        <w:t xml:space="preserve"> framework through which the Minister is empowered to recall road vehicles and approved road vehicle components that are unsafe or do not comply with national road vehicle standards. Previously, vehicle-related recalls were administered in Australia by the Australian </w:t>
      </w:r>
      <w:r>
        <w:rPr>
          <w:lang w:val="en-US"/>
        </w:rPr>
        <w:t>Competition</w:t>
      </w:r>
      <w:r>
        <w:t xml:space="preserve"> and Consumer Commission (ACCC) using powers under the Australian Consumer Law and the </w:t>
      </w:r>
      <w:r w:rsidRPr="000D620B">
        <w:rPr>
          <w:i/>
        </w:rPr>
        <w:t>Competition and Consumer Act 2010</w:t>
      </w:r>
      <w:r>
        <w:t>.</w:t>
      </w:r>
    </w:p>
    <w:p w14:paraId="06593371" w14:textId="77777777" w:rsidR="000D620B" w:rsidRDefault="000D620B" w:rsidP="000D620B">
      <w:pPr>
        <w:pStyle w:val="Bullet1"/>
      </w:pPr>
      <w:r>
        <w:rPr>
          <w:lang w:val="en-US"/>
        </w:rPr>
        <w:t>T</w:t>
      </w:r>
      <w:r>
        <w:t xml:space="preserve">he triggering of certain provisions of the </w:t>
      </w:r>
      <w:r w:rsidRPr="000D620B">
        <w:rPr>
          <w:i/>
        </w:rPr>
        <w:t>Regulatory Powers (Standard Provisions) Act 2014</w:t>
      </w:r>
      <w:r>
        <w:t xml:space="preserve"> (</w:t>
      </w:r>
      <w:r w:rsidR="00156EFA">
        <w:rPr>
          <w:lang w:val="en-US"/>
        </w:rPr>
        <w:t>RPA</w:t>
      </w:r>
      <w:r>
        <w:t>), thereby expanding the department’s regulatory powers and allowing for a range of compliance and enforcement responses. These powers, for example, include civil and administrative penalties (such as infringement notices).</w:t>
      </w:r>
    </w:p>
    <w:p w14:paraId="2717360B" w14:textId="77777777" w:rsidR="000D620B" w:rsidRDefault="000D620B" w:rsidP="000D620B">
      <w:pPr>
        <w:pStyle w:val="Bullet1"/>
      </w:pPr>
      <w:r>
        <w:rPr>
          <w:lang w:val="en-US"/>
        </w:rPr>
        <w:t>T</w:t>
      </w:r>
      <w:r>
        <w:t xml:space="preserve">he use of computer programs to make decisions. This has led to the development of the new ROVER IT system through which applications will be submitted online, recorded and processed. </w:t>
      </w:r>
    </w:p>
    <w:p w14:paraId="4080FC1E" w14:textId="77777777" w:rsidR="002738A2" w:rsidRDefault="000D620B" w:rsidP="000D620B">
      <w:pPr>
        <w:pStyle w:val="Bullet1"/>
      </w:pPr>
      <w:r>
        <w:rPr>
          <w:lang w:val="en-US"/>
        </w:rPr>
        <w:t>A</w:t>
      </w:r>
      <w:r>
        <w:t xml:space="preserve"> </w:t>
      </w:r>
      <w:r w:rsidR="0075426F">
        <w:rPr>
          <w:lang w:val="en-US"/>
        </w:rPr>
        <w:t xml:space="preserve">publicly available </w:t>
      </w:r>
      <w:r>
        <w:t xml:space="preserve">Register of Approved Vehicles (RAV), </w:t>
      </w:r>
      <w:r w:rsidR="0075426F">
        <w:rPr>
          <w:lang w:val="en-US"/>
        </w:rPr>
        <w:t>where</w:t>
      </w:r>
      <w:r>
        <w:t xml:space="preserve"> road vehicle</w:t>
      </w:r>
      <w:r w:rsidR="0075426F">
        <w:rPr>
          <w:lang w:val="en-US"/>
        </w:rPr>
        <w:t xml:space="preserve"> details</w:t>
      </w:r>
      <w:r>
        <w:t xml:space="preserve"> must be entered before </w:t>
      </w:r>
      <w:r w:rsidR="00E02A9A">
        <w:rPr>
          <w:lang w:val="en-US"/>
        </w:rPr>
        <w:t>vehicles</w:t>
      </w:r>
      <w:r>
        <w:t xml:space="preserve"> are </w:t>
      </w:r>
      <w:r w:rsidR="0075426F">
        <w:rPr>
          <w:lang w:val="en-US"/>
        </w:rPr>
        <w:t>provided</w:t>
      </w:r>
      <w:r w:rsidR="0075426F">
        <w:t xml:space="preserve"> </w:t>
      </w:r>
      <w:r w:rsidRPr="00913F7D">
        <w:t>to</w:t>
      </w:r>
      <w:r>
        <w:t xml:space="preserve"> the Australian market</w:t>
      </w:r>
      <w:r w:rsidR="0075426F">
        <w:rPr>
          <w:lang w:val="en-US"/>
        </w:rPr>
        <w:t xml:space="preserve"> for the first time</w:t>
      </w:r>
      <w:r>
        <w:t>. The RAV (and the Specialist and Enthusiast Vehicles Register), will be maintained by the department and are publicly accessible via the department’s website.</w:t>
      </w:r>
    </w:p>
    <w:p w14:paraId="2F54E69D" w14:textId="77777777" w:rsidR="000D620B" w:rsidRDefault="000D620B" w:rsidP="000D620B">
      <w:pPr>
        <w:pStyle w:val="Heading1"/>
      </w:pPr>
      <w:bookmarkStart w:id="6" w:name="_Toc102383202"/>
      <w:r>
        <w:t>A risk-based approach to compliance management</w:t>
      </w:r>
      <w:bookmarkEnd w:id="6"/>
      <w:r>
        <w:t xml:space="preserve"> </w:t>
      </w:r>
    </w:p>
    <w:p w14:paraId="671FD519" w14:textId="77777777" w:rsidR="000D620B" w:rsidRDefault="000D620B" w:rsidP="000D620B">
      <w:r>
        <w:t xml:space="preserve">A risk-based approach </w:t>
      </w:r>
      <w:r w:rsidR="00B455EE">
        <w:t xml:space="preserve">to compliance management </w:t>
      </w:r>
      <w:r>
        <w:t xml:space="preserve">means that where the risk of an event is high or the consequence of an event is significant, there is a higher degree of compliance activity. Conversely, where the likelihood of an event is low and/or consequences of an event minor, a </w:t>
      </w:r>
      <w:r w:rsidR="00B408E9">
        <w:t>proportionate co</w:t>
      </w:r>
      <w:r w:rsidR="00B455EE">
        <w:t>mpliance</w:t>
      </w:r>
      <w:r w:rsidR="00B408E9">
        <w:t xml:space="preserve"> response</w:t>
      </w:r>
      <w:r w:rsidR="00B455EE">
        <w:t xml:space="preserve"> </w:t>
      </w:r>
      <w:r w:rsidR="00B408E9">
        <w:t>i</w:t>
      </w:r>
      <w:r>
        <w:t xml:space="preserve">s taken. </w:t>
      </w:r>
    </w:p>
    <w:p w14:paraId="4B3F0589" w14:textId="77777777" w:rsidR="000D620B" w:rsidRDefault="000D620B" w:rsidP="000D620B">
      <w:r>
        <w:t xml:space="preserve">This </w:t>
      </w:r>
      <w:r w:rsidR="00B455EE">
        <w:t>risk</w:t>
      </w:r>
      <w:r w:rsidR="0075426F">
        <w:t>-</w:t>
      </w:r>
      <w:r w:rsidR="00B455EE">
        <w:t xml:space="preserve">based </w:t>
      </w:r>
      <w:r>
        <w:t xml:space="preserve">approach helps ensure that compliance activities are focussed on regulated areas and regulated entities that pose the greatest compliance risk, without </w:t>
      </w:r>
      <w:r w:rsidR="00B455EE">
        <w:t xml:space="preserve">impeding </w:t>
      </w:r>
      <w:r>
        <w:t>the regulated industry’s ability to operate.</w:t>
      </w:r>
    </w:p>
    <w:p w14:paraId="4BC4305C" w14:textId="77777777" w:rsidR="000D620B" w:rsidRDefault="000D620B" w:rsidP="000D620B">
      <w:r>
        <w:t xml:space="preserve">A risk-based approach does not mean eliminating all risks, or taking a ‘no-touch’ approach to lower-risk regulated entities or </w:t>
      </w:r>
      <w:r w:rsidR="008C53DF">
        <w:t>behaviours</w:t>
      </w:r>
      <w:r>
        <w:t>.</w:t>
      </w:r>
    </w:p>
    <w:p w14:paraId="40802039" w14:textId="77777777" w:rsidR="008C53DF" w:rsidRDefault="008C53DF" w:rsidP="008C53DF">
      <w:r>
        <w:t>A risk-based approach utilises the following elements:</w:t>
      </w:r>
    </w:p>
    <w:p w14:paraId="0E610CA4" w14:textId="77777777" w:rsidR="008C53DF" w:rsidRDefault="008C53DF" w:rsidP="008C53DF">
      <w:pPr>
        <w:pStyle w:val="Bullet1"/>
      </w:pPr>
      <w:r w:rsidRPr="008C53DF">
        <w:rPr>
          <w:b/>
        </w:rPr>
        <w:t>Risk identification:</w:t>
      </w:r>
      <w:r>
        <w:t xml:space="preserve"> actively identifying and documenting historical, current and emerging risks that relate to our regulatory outcomes.</w:t>
      </w:r>
    </w:p>
    <w:p w14:paraId="668526FC" w14:textId="77777777" w:rsidR="008C53DF" w:rsidRDefault="008C53DF" w:rsidP="008C53DF">
      <w:pPr>
        <w:pStyle w:val="Bullet1"/>
      </w:pPr>
      <w:r w:rsidRPr="008C53DF">
        <w:rPr>
          <w:b/>
        </w:rPr>
        <w:t>Risk assessment:</w:t>
      </w:r>
      <w:r>
        <w:t xml:space="preserve"> assessing the likelihood and consequence of identified risks, taking into account the effectiveness of any controls</w:t>
      </w:r>
      <w:r w:rsidR="00C461E6">
        <w:rPr>
          <w:lang w:val="en-US"/>
        </w:rPr>
        <w:t>.</w:t>
      </w:r>
    </w:p>
    <w:p w14:paraId="1D35883C" w14:textId="6457C842" w:rsidR="008C53DF" w:rsidRPr="009D0B93" w:rsidRDefault="008C53DF" w:rsidP="008C53DF">
      <w:pPr>
        <w:pStyle w:val="Bullet1"/>
      </w:pPr>
      <w:r w:rsidRPr="008C53DF">
        <w:rPr>
          <w:b/>
        </w:rPr>
        <w:t>Risk prioritisation:</w:t>
      </w:r>
      <w:r>
        <w:t xml:space="preserve"> prioritising the risks, together with the risk assessment, to inform the design of compliance activities, allocation of resources to compliance activities and selection of the most appropriate compliance or enforcement response</w:t>
      </w:r>
      <w:r w:rsidR="00C461E6">
        <w:rPr>
          <w:lang w:val="en-US"/>
        </w:rPr>
        <w:t>.</w:t>
      </w:r>
    </w:p>
    <w:p w14:paraId="47DF095A" w14:textId="77777777" w:rsidR="009D0B93" w:rsidRDefault="009D0B93" w:rsidP="009D0B93">
      <w:pPr>
        <w:pStyle w:val="Bullet1"/>
      </w:pPr>
      <w:r w:rsidRPr="008C53DF">
        <w:rPr>
          <w:b/>
        </w:rPr>
        <w:t>Control assessment:</w:t>
      </w:r>
      <w:r>
        <w:t xml:space="preserve"> identifying and assessing the effectiveness of controls currently used to modify or prevent the likelihood or consequence of the risk</w:t>
      </w:r>
      <w:r>
        <w:rPr>
          <w:lang w:val="en-US"/>
        </w:rPr>
        <w:t>.</w:t>
      </w:r>
    </w:p>
    <w:p w14:paraId="29B834D9" w14:textId="77777777" w:rsidR="008C53DF" w:rsidRDefault="008C53DF" w:rsidP="008C53DF">
      <w:pPr>
        <w:pStyle w:val="Bullet1"/>
      </w:pPr>
      <w:r w:rsidRPr="008C53DF">
        <w:rPr>
          <w:b/>
        </w:rPr>
        <w:t>Allocation of resources to compliance activities:</w:t>
      </w:r>
      <w:r>
        <w:t xml:space="preserve"> allocating resources to compliance activities in proportion to the risk</w:t>
      </w:r>
      <w:r w:rsidR="00B455EE">
        <w:rPr>
          <w:lang w:val="en-US"/>
        </w:rPr>
        <w:t xml:space="preserve"> and</w:t>
      </w:r>
      <w:r>
        <w:t xml:space="preserve"> guided by </w:t>
      </w:r>
      <w:r w:rsidR="00B455EE">
        <w:rPr>
          <w:lang w:val="en-US"/>
        </w:rPr>
        <w:t xml:space="preserve">the </w:t>
      </w:r>
      <w:r>
        <w:t>risk priority</w:t>
      </w:r>
      <w:r w:rsidR="00C461E6">
        <w:rPr>
          <w:lang w:val="en-US"/>
        </w:rPr>
        <w:t>.</w:t>
      </w:r>
    </w:p>
    <w:p w14:paraId="1AD03483" w14:textId="77777777" w:rsidR="008C53DF" w:rsidRDefault="008C53DF" w:rsidP="008C53DF">
      <w:pPr>
        <w:pStyle w:val="Bullet1"/>
      </w:pPr>
      <w:r w:rsidRPr="008C53DF">
        <w:rPr>
          <w:b/>
        </w:rPr>
        <w:t>Tailoring of the enforcement response:</w:t>
      </w:r>
      <w:r>
        <w:t xml:space="preserve"> tailoring enforcement or compliance responses based on the severity and behavioural drivers of the non-compliance</w:t>
      </w:r>
      <w:r w:rsidR="00C461E6">
        <w:rPr>
          <w:lang w:val="en-US"/>
        </w:rPr>
        <w:t>.</w:t>
      </w:r>
    </w:p>
    <w:p w14:paraId="407B4A99" w14:textId="77777777" w:rsidR="008C53DF" w:rsidRDefault="008C53DF" w:rsidP="00310F4D">
      <w:pPr>
        <w:keepNext/>
      </w:pPr>
      <w:r>
        <w:lastRenderedPageBreak/>
        <w:t>A risk-based approach aims to deliver better regulatory outcomes, while minimising the regulatory burden on low-risk regulated areas or entities. The implementation of an effective risk-based approach results in, but is not limited to:</w:t>
      </w:r>
    </w:p>
    <w:p w14:paraId="54E9B496" w14:textId="77777777" w:rsidR="008C53DF" w:rsidRDefault="008C53DF" w:rsidP="00310F4D">
      <w:pPr>
        <w:pStyle w:val="Bullet1"/>
        <w:keepNext/>
      </w:pPr>
      <w:r>
        <w:t>a flexible, yet consistent approach to the monitoring and management of compliance</w:t>
      </w:r>
    </w:p>
    <w:p w14:paraId="24C1B2A3" w14:textId="77777777" w:rsidR="008C53DF" w:rsidRDefault="008C53DF" w:rsidP="00310F4D">
      <w:pPr>
        <w:pStyle w:val="Bullet1"/>
        <w:keepNext/>
      </w:pPr>
      <w:r>
        <w:t xml:space="preserve">the </w:t>
      </w:r>
      <w:r w:rsidR="0075426F">
        <w:rPr>
          <w:lang w:val="en-US"/>
        </w:rPr>
        <w:t xml:space="preserve">efficient and </w:t>
      </w:r>
      <w:r>
        <w:t>effective allocation of limited resources proportionate to the identified risk</w:t>
      </w:r>
    </w:p>
    <w:p w14:paraId="35EEF061" w14:textId="77777777" w:rsidR="008C53DF" w:rsidRDefault="008C53DF" w:rsidP="00310F4D">
      <w:pPr>
        <w:pStyle w:val="Bullet1"/>
        <w:keepNext/>
      </w:pPr>
      <w:r>
        <w:t>direction of the ‘cost’ of compliance</w:t>
      </w:r>
      <w:r w:rsidR="0075426F">
        <w:rPr>
          <w:lang w:val="en-US"/>
        </w:rPr>
        <w:t xml:space="preserve"> and enforcement activities</w:t>
      </w:r>
      <w:r>
        <w:t xml:space="preserve"> to higher-risk areas or entities</w:t>
      </w:r>
    </w:p>
    <w:p w14:paraId="2A8898EC" w14:textId="77777777" w:rsidR="008C53DF" w:rsidRDefault="008C53DF" w:rsidP="00310F4D">
      <w:pPr>
        <w:pStyle w:val="Bullet1"/>
        <w:keepNext/>
      </w:pPr>
      <w:r>
        <w:t xml:space="preserve">lower-risk entities being subject to a lighter touch compliance approach (not no touch), with any </w:t>
      </w:r>
      <w:r w:rsidRPr="00B455EE">
        <w:t>intervention designed to provide an incentive to voluntarily comply with obligations</w:t>
      </w:r>
    </w:p>
    <w:p w14:paraId="555F6DD9" w14:textId="77777777" w:rsidR="008C53DF" w:rsidRDefault="008C53DF" w:rsidP="00310F4D">
      <w:pPr>
        <w:pStyle w:val="Bullet1"/>
        <w:keepNext/>
      </w:pPr>
      <w:r>
        <w:t>higher-risk entities being subject to greater regulatory scrutiny and intervention</w:t>
      </w:r>
    </w:p>
    <w:p w14:paraId="49060F0C" w14:textId="77777777" w:rsidR="008C53DF" w:rsidRDefault="008C53DF" w:rsidP="00310F4D">
      <w:pPr>
        <w:pStyle w:val="Bullet1"/>
        <w:keepNext/>
      </w:pPr>
      <w:r>
        <w:t>proportionate responses to non-compliance</w:t>
      </w:r>
    </w:p>
    <w:p w14:paraId="087C2ACF" w14:textId="77777777" w:rsidR="000D620B" w:rsidRDefault="008C53DF" w:rsidP="008C53DF">
      <w:pPr>
        <w:pStyle w:val="Bullet1"/>
      </w:pPr>
      <w:r>
        <w:t xml:space="preserve">flexibility to adapt to changing circumstances. This is where VSO regulatory strategies, </w:t>
      </w:r>
      <w:r w:rsidR="0075426F">
        <w:rPr>
          <w:lang w:val="en-US"/>
        </w:rPr>
        <w:t xml:space="preserve">compliance </w:t>
      </w:r>
      <w:r>
        <w:t>activities and responses are adjusted to reflect changing priorities resulting from new or evolving risks</w:t>
      </w:r>
      <w:r w:rsidR="00D127B4">
        <w:rPr>
          <w:lang w:val="en-US"/>
        </w:rPr>
        <w:t>,</w:t>
      </w:r>
      <w:r>
        <w:t xml:space="preserve"> changes in stakeholder expectations</w:t>
      </w:r>
      <w:r w:rsidR="00D127B4">
        <w:rPr>
          <w:lang w:val="en-US"/>
        </w:rPr>
        <w:t>,</w:t>
      </w:r>
      <w:r>
        <w:t xml:space="preserve"> or the behaviour </w:t>
      </w:r>
      <w:r w:rsidR="0075426F">
        <w:rPr>
          <w:lang w:val="en-US"/>
        </w:rPr>
        <w:t xml:space="preserve">and motivations </w:t>
      </w:r>
      <w:r>
        <w:t>of regulated entities.</w:t>
      </w:r>
    </w:p>
    <w:p w14:paraId="1E830CCF" w14:textId="77777777" w:rsidR="008C53DF" w:rsidRDefault="008C53DF" w:rsidP="008C53DF">
      <w:pPr>
        <w:pStyle w:val="Heading2"/>
      </w:pPr>
      <w:bookmarkStart w:id="7" w:name="_Toc102383203"/>
      <w:r>
        <w:t>Vehicle Safety Operations regulatory posture</w:t>
      </w:r>
      <w:bookmarkEnd w:id="7"/>
    </w:p>
    <w:p w14:paraId="248F313A" w14:textId="77777777" w:rsidR="000D620B" w:rsidRDefault="008C53DF" w:rsidP="008C53DF">
      <w:r>
        <w:t>Our current ‘regulatory posture’ is one of considered risk appetite and risk tolerance, coupled with a compliance and enforcement program that is risk-aware, proportionate, evidence-based and outcome-oriented.</w:t>
      </w:r>
    </w:p>
    <w:p w14:paraId="644A283B" w14:textId="77777777" w:rsidR="008C53DF" w:rsidRDefault="002254E4" w:rsidP="002254E4">
      <w:r w:rsidRPr="002254E4">
        <w:t>Overall, the department operates with a ‘moderate’ appetite for risk, recognising that it is not possible to eliminate all of the risks inherent in our work.</w:t>
      </w:r>
    </w:p>
    <w:p w14:paraId="0BF65287" w14:textId="77777777" w:rsidR="002254E4" w:rsidRDefault="002254E4" w:rsidP="002254E4">
      <w:r>
        <w:t xml:space="preserve">For example, while the department has a moderate risk appetite for regulatory risks, it has a low tolerance for systemic non-compliance with regulation. Similarly, the department has a moderate risk appetite for our service delivery work, with a low tolerance for risks to community wellbeing. </w:t>
      </w:r>
    </w:p>
    <w:p w14:paraId="03C8B886" w14:textId="77777777" w:rsidR="002254E4" w:rsidRDefault="002254E4" w:rsidP="002254E4">
      <w:r>
        <w:t xml:space="preserve">We are committed to maintaining effective and efficient regulatory frameworks that are fit-for-purpose, proportionate to risk, and reviewed for continuous improvement. In achieving these goals we use a risk-based approach to our compliance and enforcement activities with a focus on achieving proportionate practical outcomes. </w:t>
      </w:r>
    </w:p>
    <w:p w14:paraId="465B97FD" w14:textId="77777777" w:rsidR="008C53DF" w:rsidRDefault="002254E4" w:rsidP="002254E4">
      <w:r>
        <w:t xml:space="preserve">Our relationships with stakeholders help us to achieve our purpose and objectives, with open discussions seen as critical to designing our policy </w:t>
      </w:r>
      <w:r w:rsidR="0075426F">
        <w:t xml:space="preserve">intent </w:t>
      </w:r>
      <w:r>
        <w:t>and regulatory approaches. It is important to us that we understand the different perspectives of our stakeholders, even where we may not agree.</w:t>
      </w:r>
    </w:p>
    <w:p w14:paraId="42E29E4D" w14:textId="77777777" w:rsidR="002254E4" w:rsidRDefault="002254E4" w:rsidP="002254E4">
      <w:pPr>
        <w:pStyle w:val="Heading1"/>
      </w:pPr>
      <w:bookmarkStart w:id="8" w:name="_Toc102383204"/>
      <w:r>
        <w:t>Our compliance model</w:t>
      </w:r>
      <w:bookmarkEnd w:id="8"/>
    </w:p>
    <w:p w14:paraId="0ADFBE34" w14:textId="6FD570C0" w:rsidR="002254E4" w:rsidRDefault="002254E4" w:rsidP="002254E4">
      <w:r>
        <w:t xml:space="preserve">The compliance model, detailed below, will guide our work over the transitional period following </w:t>
      </w:r>
      <w:r w:rsidR="00E11F4A">
        <w:t>the commencement</w:t>
      </w:r>
      <w:r>
        <w:t xml:space="preserve"> of the RVSA on 1 July 2021. </w:t>
      </w:r>
      <w:r w:rsidR="0021670B">
        <w:t>The transitional period ends on 1 July 2023.</w:t>
      </w:r>
    </w:p>
    <w:p w14:paraId="44907648" w14:textId="77777777" w:rsidR="002254E4" w:rsidRDefault="002254E4" w:rsidP="002254E4">
      <w:r>
        <w:t xml:space="preserve">The </w:t>
      </w:r>
      <w:r w:rsidR="0075426F">
        <w:t xml:space="preserve">compliance </w:t>
      </w:r>
      <w:r>
        <w:t xml:space="preserve">model does the following: </w:t>
      </w:r>
    </w:p>
    <w:p w14:paraId="75167421" w14:textId="6A5367F0" w:rsidR="002254E4" w:rsidRDefault="002254E4" w:rsidP="002254E4">
      <w:pPr>
        <w:pStyle w:val="Bullet1"/>
      </w:pPr>
      <w:r>
        <w:t>reflects our approach to regulating, particularly in the transitional period</w:t>
      </w:r>
    </w:p>
    <w:p w14:paraId="79721D3B" w14:textId="77777777" w:rsidR="002254E4" w:rsidRDefault="002254E4" w:rsidP="002254E4">
      <w:pPr>
        <w:pStyle w:val="Bullet1"/>
      </w:pPr>
      <w:r>
        <w:t xml:space="preserve">sets out </w:t>
      </w:r>
      <w:r w:rsidR="00F1413D">
        <w:rPr>
          <w:lang w:val="en-US"/>
        </w:rPr>
        <w:t xml:space="preserve">an </w:t>
      </w:r>
      <w:r>
        <w:t xml:space="preserve">escalating compliance response to </w:t>
      </w:r>
      <w:r w:rsidR="003F3802">
        <w:rPr>
          <w:lang w:val="en-US"/>
        </w:rPr>
        <w:t xml:space="preserve">escalating </w:t>
      </w:r>
      <w:r w:rsidR="0075426F">
        <w:rPr>
          <w:lang w:val="en-US"/>
        </w:rPr>
        <w:t xml:space="preserve">risk and </w:t>
      </w:r>
      <w:r>
        <w:t>non-compliant behaviours</w:t>
      </w:r>
    </w:p>
    <w:p w14:paraId="29D85B65" w14:textId="77777777" w:rsidR="002254E4" w:rsidRDefault="002254E4" w:rsidP="002254E4">
      <w:pPr>
        <w:pStyle w:val="Bullet1"/>
      </w:pPr>
      <w:r>
        <w:t xml:space="preserve">shows the relationship between non-compliant behaviour and the likely corresponding VSO regulatory response </w:t>
      </w:r>
    </w:p>
    <w:p w14:paraId="6C36E803" w14:textId="77777777" w:rsidR="002254E4" w:rsidRDefault="002254E4" w:rsidP="002254E4">
      <w:pPr>
        <w:pStyle w:val="Bullet1"/>
      </w:pPr>
      <w:r>
        <w:t xml:space="preserve">guides our compliance activities </w:t>
      </w:r>
      <w:r w:rsidR="0075426F">
        <w:rPr>
          <w:lang w:val="en-US"/>
        </w:rPr>
        <w:t xml:space="preserve">and enforcement responses </w:t>
      </w:r>
      <w:r>
        <w:t xml:space="preserve">while supporting industry as it adjusts to new </w:t>
      </w:r>
      <w:r w:rsidR="0075426F">
        <w:rPr>
          <w:lang w:val="en-US"/>
        </w:rPr>
        <w:t>legislation</w:t>
      </w:r>
      <w:r>
        <w:t xml:space="preserve"> </w:t>
      </w:r>
    </w:p>
    <w:p w14:paraId="116FAF62" w14:textId="77777777" w:rsidR="002254E4" w:rsidRDefault="002254E4" w:rsidP="002254E4">
      <w:pPr>
        <w:pStyle w:val="Bullet1"/>
      </w:pPr>
      <w:r>
        <w:t xml:space="preserve">allows flexibility in addressing non-compliance issues </w:t>
      </w:r>
      <w:r w:rsidR="0075426F">
        <w:rPr>
          <w:lang w:val="en-US"/>
        </w:rPr>
        <w:t xml:space="preserve">and risks </w:t>
      </w:r>
      <w:r>
        <w:t>as they arise</w:t>
      </w:r>
      <w:r w:rsidR="00DA1AB6">
        <w:rPr>
          <w:lang w:val="en-US"/>
        </w:rPr>
        <w:t>,</w:t>
      </w:r>
      <w:r>
        <w:t xml:space="preserve"> and </w:t>
      </w:r>
    </w:p>
    <w:p w14:paraId="04A7F27C" w14:textId="77777777" w:rsidR="002254E4" w:rsidRDefault="002254E4" w:rsidP="002254E4">
      <w:pPr>
        <w:pStyle w:val="Bullet1"/>
      </w:pPr>
      <w:r>
        <w:t>complements our current regulatory posture.</w:t>
      </w:r>
    </w:p>
    <w:p w14:paraId="3A0E3525" w14:textId="77777777" w:rsidR="002254E4" w:rsidRDefault="002254E4" w:rsidP="002254E4">
      <w:pPr>
        <w:pStyle w:val="Heading2"/>
      </w:pPr>
      <w:bookmarkStart w:id="9" w:name="_Toc102383205"/>
      <w:r>
        <w:t xml:space="preserve">Introduction of the </w:t>
      </w:r>
      <w:r w:rsidR="00967395">
        <w:t xml:space="preserve">compliance </w:t>
      </w:r>
      <w:r>
        <w:t>model</w:t>
      </w:r>
      <w:bookmarkEnd w:id="9"/>
    </w:p>
    <w:p w14:paraId="4E19ABD3" w14:textId="77777777" w:rsidR="002254E4" w:rsidRDefault="002254E4" w:rsidP="002254E4">
      <w:r>
        <w:t>It is anticipated that regulated entities and industry stakeholders will require reasonable time to become familiar with the changes under the RVSA and</w:t>
      </w:r>
      <w:r w:rsidR="00DA1AB6">
        <w:t>,</w:t>
      </w:r>
      <w:r>
        <w:t xml:space="preserve"> importantly</w:t>
      </w:r>
      <w:r w:rsidR="00DA1AB6">
        <w:t>,</w:t>
      </w:r>
      <w:r>
        <w:t xml:space="preserve"> their new obligations. Additionally, time will be required for industry to become familiar with new application processes and support systems that have been developed by the department. </w:t>
      </w:r>
    </w:p>
    <w:p w14:paraId="49E1A042" w14:textId="77777777" w:rsidR="002254E4" w:rsidRDefault="002254E4" w:rsidP="002254E4">
      <w:r>
        <w:lastRenderedPageBreak/>
        <w:t xml:space="preserve">The </w:t>
      </w:r>
      <w:r w:rsidR="00967395">
        <w:t xml:space="preserve">compliance </w:t>
      </w:r>
      <w:r>
        <w:t>model takes these matters into consideration, and during the transition, education of the sector will be the primary focus of VSO.</w:t>
      </w:r>
    </w:p>
    <w:p w14:paraId="6FCDDF50" w14:textId="5D529372" w:rsidR="002254E4" w:rsidRDefault="002254E4" w:rsidP="002254E4">
      <w:pPr>
        <w:pStyle w:val="Box2Text"/>
        <w:jc w:val="center"/>
      </w:pPr>
      <w:r w:rsidRPr="002254E4">
        <w:rPr>
          <w:b/>
        </w:rPr>
        <w:t>Education will be our key compliance and enforcement focus</w:t>
      </w:r>
      <w:r w:rsidRPr="002254E4">
        <w:t xml:space="preserve"> during the transition</w:t>
      </w:r>
      <w:r w:rsidR="0059176B">
        <w:rPr>
          <w:lang w:val="en-US"/>
        </w:rPr>
        <w:t>al</w:t>
      </w:r>
      <w:r w:rsidRPr="002254E4">
        <w:t xml:space="preserve"> period </w:t>
      </w:r>
      <w:r w:rsidR="0059176B">
        <w:rPr>
          <w:lang w:val="en-US"/>
        </w:rPr>
        <w:t>from 1 July 202</w:t>
      </w:r>
      <w:r w:rsidR="002F50E6">
        <w:rPr>
          <w:lang w:val="en-US"/>
        </w:rPr>
        <w:t>1</w:t>
      </w:r>
      <w:r w:rsidRPr="002254E4">
        <w:t>.</w:t>
      </w:r>
    </w:p>
    <w:p w14:paraId="47FCEA03" w14:textId="43EF74E6" w:rsidR="002254E4" w:rsidRDefault="002254E4" w:rsidP="002254E4">
      <w:r w:rsidRPr="002254E4">
        <w:t xml:space="preserve">During the transition period the </w:t>
      </w:r>
      <w:r w:rsidR="0059176B">
        <w:t xml:space="preserve">compliance </w:t>
      </w:r>
      <w:r w:rsidRPr="002254E4">
        <w:t>model will also be reviewed regularly, taking into consideration any legislative changes, emerging risks and, importantly, industry feedback.</w:t>
      </w:r>
    </w:p>
    <w:p w14:paraId="4CAA48EF" w14:textId="77777777" w:rsidR="002254E4" w:rsidRDefault="002254E4" w:rsidP="002254E4">
      <w:pPr>
        <w:pStyle w:val="Heading2"/>
      </w:pPr>
      <w:bookmarkStart w:id="10" w:name="_Toc102383206"/>
      <w:r>
        <w:t>Compliance types</w:t>
      </w:r>
      <w:bookmarkEnd w:id="10"/>
    </w:p>
    <w:p w14:paraId="3BBCDC7B" w14:textId="77777777" w:rsidR="002254E4" w:rsidRDefault="002254E4" w:rsidP="002254E4">
      <w:r>
        <w:t xml:space="preserve">The </w:t>
      </w:r>
      <w:r w:rsidR="0059176B">
        <w:t xml:space="preserve">compliance </w:t>
      </w:r>
      <w:r>
        <w:t xml:space="preserve">model recognises there are varying </w:t>
      </w:r>
      <w:r w:rsidR="00F1413D">
        <w:t xml:space="preserve">degrees </w:t>
      </w:r>
      <w:r>
        <w:t xml:space="preserve">of </w:t>
      </w:r>
      <w:r w:rsidR="00F1413D">
        <w:t xml:space="preserve">compliant and non-compliant </w:t>
      </w:r>
      <w:r>
        <w:t>behaviour</w:t>
      </w:r>
      <w:r w:rsidR="00F1413D">
        <w:t>. E</w:t>
      </w:r>
      <w:r>
        <w:t xml:space="preserve">ach behaviour requires a different compliance and enforcement approach to </w:t>
      </w:r>
      <w:r w:rsidR="0059176B">
        <w:t>respon</w:t>
      </w:r>
      <w:r w:rsidR="00596A4A">
        <w:t>d</w:t>
      </w:r>
      <w:r w:rsidR="0059176B">
        <w:t xml:space="preserve"> to </w:t>
      </w:r>
      <w:r>
        <w:t xml:space="preserve">any non-compliance, encourage a return to compliance or enforce compliance. We use four main </w:t>
      </w:r>
      <w:r w:rsidR="0059176B">
        <w:t xml:space="preserve">types </w:t>
      </w:r>
      <w:r>
        <w:t>when considering non-compliance and responding to non-compliance:</w:t>
      </w:r>
    </w:p>
    <w:p w14:paraId="5763247D" w14:textId="77777777" w:rsidR="002254E4" w:rsidRDefault="002254E4" w:rsidP="002254E4">
      <w:pPr>
        <w:pStyle w:val="Bullet1"/>
      </w:pPr>
      <w:r>
        <w:t>voluntary compliance</w:t>
      </w:r>
    </w:p>
    <w:p w14:paraId="117BA608" w14:textId="77777777" w:rsidR="002254E4" w:rsidRDefault="002254E4" w:rsidP="002254E4">
      <w:pPr>
        <w:pStyle w:val="Bullet1"/>
      </w:pPr>
      <w:r>
        <w:t>assisted compliance</w:t>
      </w:r>
    </w:p>
    <w:p w14:paraId="4F9D337B" w14:textId="77777777" w:rsidR="002254E4" w:rsidRDefault="002254E4" w:rsidP="002254E4">
      <w:pPr>
        <w:pStyle w:val="Bullet1"/>
      </w:pPr>
      <w:r>
        <w:t>directed compliance</w:t>
      </w:r>
    </w:p>
    <w:p w14:paraId="5CCCE6D3" w14:textId="77777777" w:rsidR="002254E4" w:rsidRDefault="002254E4" w:rsidP="002254E4">
      <w:pPr>
        <w:pStyle w:val="Bullet1"/>
      </w:pPr>
      <w:r>
        <w:t>enforced compliance</w:t>
      </w:r>
    </w:p>
    <w:p w14:paraId="525E0F15" w14:textId="615398EB" w:rsidR="002254E4" w:rsidRDefault="002254E4" w:rsidP="00C25557">
      <w:r>
        <w:t xml:space="preserve">This approach is often represented in </w:t>
      </w:r>
      <w:r w:rsidR="00811BBA">
        <w:t xml:space="preserve">the shape of </w:t>
      </w:r>
      <w:r>
        <w:t xml:space="preserve">a pyramid, where the majority of regulated entities are voluntarily compliant and supported by education material to assist </w:t>
      </w:r>
      <w:r w:rsidR="003F3802">
        <w:t>them in</w:t>
      </w:r>
      <w:r w:rsidR="007E4270">
        <w:t xml:space="preserve"> remaining </w:t>
      </w:r>
      <w:r>
        <w:t>compliant. Moving to the top part of the pyramid, intentional or repeated non-complian</w:t>
      </w:r>
      <w:r w:rsidR="0059176B">
        <w:t>t behaviour</w:t>
      </w:r>
      <w:r>
        <w:t xml:space="preserve"> will be addressed through appropriate and escalating </w:t>
      </w:r>
      <w:r w:rsidR="00B2353F">
        <w:t xml:space="preserve">compliance and </w:t>
      </w:r>
      <w:r>
        <w:t>enforcement responses.</w:t>
      </w:r>
      <w:r w:rsidR="00D413DA" w:rsidRPr="00D413DA">
        <w:rPr>
          <w:noProof/>
          <w:lang w:eastAsia="en-AU"/>
        </w:rPr>
        <w:t xml:space="preserve"> </w:t>
      </w:r>
    </w:p>
    <w:p w14:paraId="543B55B3" w14:textId="4F4914A2" w:rsidR="003C680C" w:rsidRDefault="00DC6766" w:rsidP="00D413DA">
      <w:pPr>
        <w:pStyle w:val="Caption"/>
        <w:jc w:val="center"/>
        <w:rPr>
          <w:noProof/>
          <w:lang w:eastAsia="en-AU"/>
        </w:rPr>
      </w:pPr>
      <w:r>
        <w:rPr>
          <w:noProof/>
          <w:lang w:eastAsia="en-AU"/>
        </w:rPr>
        <w:drawing>
          <wp:inline distT="0" distB="0" distL="0" distR="0" wp14:anchorId="41A978C6" wp14:editId="1D4D5C1A">
            <wp:extent cx="5442509" cy="441833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7179" cy="4430239"/>
                    </a:xfrm>
                    <a:prstGeom prst="rect">
                      <a:avLst/>
                    </a:prstGeom>
                  </pic:spPr>
                </pic:pic>
              </a:graphicData>
            </a:graphic>
          </wp:inline>
        </w:drawing>
      </w:r>
    </w:p>
    <w:p w14:paraId="7D756846" w14:textId="2596C04C" w:rsidR="00D413DA" w:rsidRDefault="00D413DA" w:rsidP="00D413DA">
      <w:pPr>
        <w:pStyle w:val="Caption"/>
        <w:jc w:val="center"/>
      </w:pPr>
      <w:r>
        <w:t xml:space="preserve">The Vehicle Safety Operations compliance </w:t>
      </w:r>
      <w:r w:rsidR="00811BBA">
        <w:t>model</w:t>
      </w:r>
    </w:p>
    <w:p w14:paraId="36ADC41D" w14:textId="631AF11F" w:rsidR="002254E4" w:rsidRDefault="00913F7D" w:rsidP="00173AB0">
      <w:pPr>
        <w:pStyle w:val="Heading3"/>
      </w:pPr>
      <w:r>
        <w:br w:type="page"/>
      </w:r>
      <w:r w:rsidR="002254E4">
        <w:lastRenderedPageBreak/>
        <w:t xml:space="preserve">Voluntary </w:t>
      </w:r>
      <w:r w:rsidR="00156EFA">
        <w:t>c</w:t>
      </w:r>
      <w:r w:rsidR="002254E4">
        <w:t>ompliance</w:t>
      </w:r>
    </w:p>
    <w:p w14:paraId="43495C1C" w14:textId="77777777" w:rsidR="002254E4" w:rsidRDefault="002254E4" w:rsidP="002254E4">
      <w:r>
        <w:t>The</w:t>
      </w:r>
      <w:r w:rsidR="0059176B">
        <w:t xml:space="preserve"> compliance</w:t>
      </w:r>
      <w:r>
        <w:t xml:space="preserve"> model recognises that industry largely endeavours to operate within the law and strives to be compliant. The department will assist industry by providing high quality explanatory guidance materials, streamlined processes and points of contact for assistance with issues or concerns. </w:t>
      </w:r>
    </w:p>
    <w:p w14:paraId="705F7443" w14:textId="77777777" w:rsidR="002254E4" w:rsidRDefault="002254E4" w:rsidP="002254E4">
      <w:r>
        <w:t>Information about compliance obligations are built into the ROVER IT system</w:t>
      </w:r>
      <w:r w:rsidR="003F3802">
        <w:t xml:space="preserve">, </w:t>
      </w:r>
      <w:r>
        <w:t>which aids in facilitating voluntary compliance</w:t>
      </w:r>
      <w:r w:rsidR="003F3802">
        <w:t>.</w:t>
      </w:r>
      <w:r>
        <w:t xml:space="preserve"> </w:t>
      </w:r>
      <w:r w:rsidR="003F3802">
        <w:t xml:space="preserve">Further, </w:t>
      </w:r>
      <w:r>
        <w:t xml:space="preserve">a declaration-based system </w:t>
      </w:r>
      <w:r w:rsidR="003F3802">
        <w:t xml:space="preserve">has been adopted </w:t>
      </w:r>
      <w:r>
        <w:t xml:space="preserve">to simplify </w:t>
      </w:r>
      <w:r w:rsidR="003F3802">
        <w:t xml:space="preserve">the </w:t>
      </w:r>
      <w:r>
        <w:t>application requirements and reduce the number of onsite inspections needed during an application process.</w:t>
      </w:r>
    </w:p>
    <w:p w14:paraId="18FC233B" w14:textId="77777777" w:rsidR="002254E4" w:rsidRDefault="002254E4" w:rsidP="002254E4">
      <w:r>
        <w:t xml:space="preserve">The department’s website also contains easily accessed compliance-related information addressing a wide range of areas to assist industry in identifying the changes to the regulated operating environment and the regulated entities’ obligations. </w:t>
      </w:r>
    </w:p>
    <w:p w14:paraId="1BE04FB3" w14:textId="77777777" w:rsidR="002254E4" w:rsidRDefault="002254E4" w:rsidP="002254E4">
      <w:r>
        <w:t xml:space="preserve">The information provided covers the new legislation, vehicle importation and certification, the Registered Automotive Workshop Scheme (RAWS), applications, links to relevant State and Territory authorities and many more areas of significance to industry, including information about how to report a vehicle safety or a non-compliance issue. </w:t>
      </w:r>
    </w:p>
    <w:p w14:paraId="075E4186" w14:textId="77777777" w:rsidR="002254E4" w:rsidRDefault="002254E4" w:rsidP="002254E4">
      <w:r>
        <w:t>All public information is subject to frequent</w:t>
      </w:r>
      <w:r w:rsidR="0059176B">
        <w:t xml:space="preserve"> review and </w:t>
      </w:r>
      <w:r>
        <w:t>updates and industry is encouraged to regularly check the department’s website</w:t>
      </w:r>
      <w:r w:rsidR="004158B3">
        <w:t xml:space="preserve"> and provide feedback through relevant consultative forums</w:t>
      </w:r>
      <w:r>
        <w:t>.</w:t>
      </w:r>
    </w:p>
    <w:p w14:paraId="46046DB2" w14:textId="77777777" w:rsidR="00156EFA" w:rsidRDefault="00156EFA" w:rsidP="00156EFA">
      <w:pPr>
        <w:pStyle w:val="Heading3"/>
      </w:pPr>
      <w:r>
        <w:t>Assisted compliance</w:t>
      </w:r>
    </w:p>
    <w:p w14:paraId="32F13276" w14:textId="77777777" w:rsidR="00156EFA" w:rsidRDefault="00156EFA" w:rsidP="00156EFA">
      <w:r>
        <w:t xml:space="preserve">When non-compliance occurs through error or inability to comply with an aspect of an entity’s obligations, our aim is to assist. We will provide targeted guidance and education to assist in achieving, or re-establishing compliance. If this proves unachievable, previously issued approvals may be varied, suspended or </w:t>
      </w:r>
      <w:r w:rsidR="004158B3">
        <w:t>revoked</w:t>
      </w:r>
      <w:r w:rsidR="00930CF1">
        <w:t>,</w:t>
      </w:r>
      <w:r>
        <w:t xml:space="preserve"> as appropriate</w:t>
      </w:r>
      <w:r w:rsidR="004158B3">
        <w:t>, initiated either by the department o</w:t>
      </w:r>
      <w:r w:rsidR="00C26458">
        <w:t>r</w:t>
      </w:r>
      <w:r w:rsidR="004158B3">
        <w:t xml:space="preserve"> the approval holder</w:t>
      </w:r>
      <w:r>
        <w:t>.</w:t>
      </w:r>
    </w:p>
    <w:p w14:paraId="6A29A8D0" w14:textId="77777777" w:rsidR="00156EFA" w:rsidRDefault="00156EFA" w:rsidP="00156EFA">
      <w:r>
        <w:t xml:space="preserve">Assistance may also be provided through inspection and monitoring activities to identify compliance and/or potential or actual non-compliance. These activities may be conducted either </w:t>
      </w:r>
      <w:r w:rsidR="004158B3">
        <w:t xml:space="preserve">using remote technology </w:t>
      </w:r>
      <w:r>
        <w:t xml:space="preserve">or onsite. It is important to note that initial assistance is provided through education about compliance obligations and how to meet them. However, regulatory consideration of non-compliance which falls within this second tier recognises an escalation in seriousness which may also justify proportionate enforcement action. </w:t>
      </w:r>
    </w:p>
    <w:p w14:paraId="5B3E2C7F" w14:textId="77777777" w:rsidR="00156EFA" w:rsidRDefault="00156EFA" w:rsidP="00156EFA">
      <w:r>
        <w:t>Importantly, assisted compliance is not provided with a view to providing information to avoid compliance with regulatory obligations.</w:t>
      </w:r>
    </w:p>
    <w:p w14:paraId="7B3DE46B" w14:textId="77777777" w:rsidR="00156EFA" w:rsidRDefault="00156EFA" w:rsidP="00156EFA">
      <w:pPr>
        <w:pStyle w:val="Heading3"/>
      </w:pPr>
      <w:r>
        <w:t>Directed compliance</w:t>
      </w:r>
    </w:p>
    <w:p w14:paraId="1070C660" w14:textId="77777777" w:rsidR="00156EFA" w:rsidRDefault="00F52FAB" w:rsidP="00156EFA">
      <w:r>
        <w:t>T</w:t>
      </w:r>
      <w:r w:rsidR="00156EFA">
        <w:t xml:space="preserve">he likelihood of detection is seen as a strong deterrent to deliberate non-compliance. We will conduct inspections and regular compliance monitoring in conjunction with planned proactive compliance </w:t>
      </w:r>
      <w:r w:rsidR="00A8311D">
        <w:t>activities that</w:t>
      </w:r>
      <w:r w:rsidR="00156EFA">
        <w:t xml:space="preserve"> target identified risks and suspected deliberate non-compliant behaviours. </w:t>
      </w:r>
    </w:p>
    <w:p w14:paraId="5176FAC2" w14:textId="77777777" w:rsidR="00156EFA" w:rsidRDefault="00156EFA" w:rsidP="00156EFA">
      <w:r>
        <w:t xml:space="preserve">Our regulatory activities in this category may involve </w:t>
      </w:r>
      <w:r w:rsidR="004158B3">
        <w:t xml:space="preserve">varying, suspending or revoking approvals or </w:t>
      </w:r>
      <w:r>
        <w:t xml:space="preserve">executing monitoring and investigation warrants, issuing infringement notices, accepting enforceable undertakings or seeking court issued injunctions. Referral of matters for prosecution may also be considered, dependent upon the duration or seriousness of any detected non-compliance. </w:t>
      </w:r>
    </w:p>
    <w:p w14:paraId="5C7ED2EB" w14:textId="77777777" w:rsidR="00156EFA" w:rsidRDefault="00156EFA" w:rsidP="00156EFA">
      <w:pPr>
        <w:pStyle w:val="Heading3"/>
      </w:pPr>
      <w:r>
        <w:t>Enforced compliance</w:t>
      </w:r>
    </w:p>
    <w:p w14:paraId="086E7789" w14:textId="77777777" w:rsidR="002254E4" w:rsidRDefault="00156EFA" w:rsidP="00156EFA">
      <w:r>
        <w:t xml:space="preserve">In cases involving deliberate or repeated serious non-compliance we are prepared to apply all relevant enforcement options provided under the law, including seeking prosecution. When considering the actions to be taken, we will consider an entity’s compliance history and responses to any previous interactions with us.  </w:t>
      </w:r>
    </w:p>
    <w:p w14:paraId="10EC8768" w14:textId="77777777" w:rsidR="00156EFA" w:rsidRDefault="00156EFA" w:rsidP="00156EFA">
      <w:pPr>
        <w:pStyle w:val="Heading1"/>
      </w:pPr>
      <w:bookmarkStart w:id="11" w:name="_Toc102383207"/>
      <w:r>
        <w:lastRenderedPageBreak/>
        <w:t>Key enhancements to compliance and enforcement</w:t>
      </w:r>
      <w:bookmarkEnd w:id="11"/>
    </w:p>
    <w:p w14:paraId="5D1362F1" w14:textId="77777777" w:rsidR="00156EFA" w:rsidRDefault="00156EFA" w:rsidP="00E874AF">
      <w:pPr>
        <w:keepNext/>
      </w:pPr>
      <w:r>
        <w:t xml:space="preserve">A significant change under the RVSA is that the department now has access to broader </w:t>
      </w:r>
      <w:r w:rsidR="002B467F">
        <w:t>regulatory</w:t>
      </w:r>
      <w:r>
        <w:t xml:space="preserve"> powers under the provisions of the RPA. These include: </w:t>
      </w:r>
    </w:p>
    <w:p w14:paraId="4BC7A04D" w14:textId="77777777" w:rsidR="00156EFA" w:rsidRDefault="00156EFA" w:rsidP="00E874AF">
      <w:pPr>
        <w:pStyle w:val="Bullet1"/>
        <w:keepNext/>
      </w:pPr>
      <w:r>
        <w:t>strengthened monitoring powers (Part 2 of the RPA)</w:t>
      </w:r>
    </w:p>
    <w:p w14:paraId="445D8144" w14:textId="77777777" w:rsidR="00156EFA" w:rsidRDefault="00156EFA" w:rsidP="00156EFA">
      <w:pPr>
        <w:pStyle w:val="Bullet1"/>
      </w:pPr>
      <w:r>
        <w:t>strengthened investigation powers (Part 3 of the RPA)</w:t>
      </w:r>
    </w:p>
    <w:p w14:paraId="5234D8A1" w14:textId="77777777" w:rsidR="00156EFA" w:rsidRDefault="00E32E0A" w:rsidP="00156EFA">
      <w:pPr>
        <w:pStyle w:val="Bullet1"/>
      </w:pPr>
      <w:r>
        <w:rPr>
          <w:lang w:val="en-US"/>
        </w:rPr>
        <w:t xml:space="preserve">seeking </w:t>
      </w:r>
      <w:r w:rsidR="00156EFA">
        <w:t>civil penalties (Part 4 of the RPA)</w:t>
      </w:r>
    </w:p>
    <w:p w14:paraId="50678AE7" w14:textId="77777777" w:rsidR="00156EFA" w:rsidRDefault="00E32E0A" w:rsidP="00156EFA">
      <w:pPr>
        <w:pStyle w:val="Bullet1"/>
      </w:pPr>
      <w:r>
        <w:rPr>
          <w:lang w:val="en-US"/>
        </w:rPr>
        <w:t>issuing</w:t>
      </w:r>
      <w:r w:rsidR="00156EFA">
        <w:t xml:space="preserve"> infringement notices (Part 5 of the RPA)</w:t>
      </w:r>
    </w:p>
    <w:p w14:paraId="2F48A7C5" w14:textId="77777777" w:rsidR="00156EFA" w:rsidRDefault="00156EFA" w:rsidP="00156EFA">
      <w:pPr>
        <w:pStyle w:val="Bullet1"/>
      </w:pPr>
      <w:r>
        <w:t>accepting enforceable undertakings (Part 6 of the RPA)</w:t>
      </w:r>
    </w:p>
    <w:p w14:paraId="115900F8" w14:textId="77777777" w:rsidR="00156EFA" w:rsidRDefault="00E32E0A" w:rsidP="00156EFA">
      <w:pPr>
        <w:pStyle w:val="Bullet1"/>
      </w:pPr>
      <w:r>
        <w:rPr>
          <w:lang w:val="en-US"/>
        </w:rPr>
        <w:t>seeking</w:t>
      </w:r>
      <w:r w:rsidR="00156EFA">
        <w:t xml:space="preserve"> injunctions (Part 7 of the RPA).</w:t>
      </w:r>
    </w:p>
    <w:p w14:paraId="1E86D9C0" w14:textId="77777777" w:rsidR="00156EFA" w:rsidRDefault="00156EFA" w:rsidP="00156EFA">
      <w:r>
        <w:t xml:space="preserve">The RVSA also sets </w:t>
      </w:r>
      <w:r w:rsidRPr="00F1413D">
        <w:t>ou</w:t>
      </w:r>
      <w:r w:rsidR="00F1413D" w:rsidRPr="00C25557">
        <w:t>t</w:t>
      </w:r>
      <w:r w:rsidRPr="00F1413D">
        <w:t xml:space="preserve"> a</w:t>
      </w:r>
      <w:r>
        <w:t xml:space="preserve"> range of criminal offences that on conviction can result in significant financial penalties. </w:t>
      </w:r>
    </w:p>
    <w:p w14:paraId="365C624F" w14:textId="77777777" w:rsidR="002254E4" w:rsidRDefault="00156EFA" w:rsidP="00156EFA">
      <w:r>
        <w:t xml:space="preserve">Many of these new </w:t>
      </w:r>
      <w:r w:rsidR="003D2106">
        <w:t xml:space="preserve">regulatory </w:t>
      </w:r>
      <w:r>
        <w:t xml:space="preserve">powers were not prescribed in the </w:t>
      </w:r>
      <w:r w:rsidRPr="00156EFA">
        <w:rPr>
          <w:i/>
        </w:rPr>
        <w:t>Motor Vehicle Standards Act 1989</w:t>
      </w:r>
      <w:r>
        <w:t xml:space="preserve"> (MVSA).</w:t>
      </w:r>
    </w:p>
    <w:p w14:paraId="11343616" w14:textId="77777777" w:rsidR="007F7986" w:rsidRDefault="007F7986" w:rsidP="007F7986">
      <w:pPr>
        <w:pStyle w:val="Heading2"/>
      </w:pPr>
      <w:bookmarkStart w:id="12" w:name="_Toc102383208"/>
      <w:r>
        <w:t>Monitoring powers</w:t>
      </w:r>
      <w:bookmarkEnd w:id="12"/>
    </w:p>
    <w:p w14:paraId="1B0BA51D" w14:textId="77777777" w:rsidR="009A3ADA" w:rsidRDefault="009A3ADA" w:rsidP="009A3ADA">
      <w:r w:rsidRPr="009A3ADA">
        <w:t xml:space="preserve">Section 50 of the RVSA states that provisions of the RVSA, and offences against the </w:t>
      </w:r>
      <w:r w:rsidRPr="009A3ADA">
        <w:rPr>
          <w:i/>
        </w:rPr>
        <w:t>Crimes Act 1914</w:t>
      </w:r>
      <w:r w:rsidRPr="009A3ADA">
        <w:t xml:space="preserve"> or the </w:t>
      </w:r>
      <w:r w:rsidRPr="00253552">
        <w:rPr>
          <w:i/>
        </w:rPr>
        <w:t>Criminal Code</w:t>
      </w:r>
      <w:r w:rsidRPr="009A3ADA">
        <w:t xml:space="preserve"> that relate to the RVSA, are subject to monitoring under Part 2 of the RPA.</w:t>
      </w:r>
    </w:p>
    <w:p w14:paraId="28CA0913" w14:textId="77777777" w:rsidR="007F7986" w:rsidRDefault="007F7986" w:rsidP="007F7986">
      <w:r>
        <w:t xml:space="preserve">This means that </w:t>
      </w:r>
      <w:r w:rsidR="009A3ADA">
        <w:t xml:space="preserve">we can undertake </w:t>
      </w:r>
      <w:r>
        <w:t>monitoring</w:t>
      </w:r>
      <w:r w:rsidR="003D2106">
        <w:t xml:space="preserve"> </w:t>
      </w:r>
      <w:r>
        <w:t xml:space="preserve">to determine compliance or non-compliance with provisions of the RVSA. We can also monitor whether </w:t>
      </w:r>
      <w:r w:rsidR="008F36B3">
        <w:t xml:space="preserve">or not </w:t>
      </w:r>
      <w:r>
        <w:t xml:space="preserve">information that has been given in compliance, or purported compliance, with the RVSA is correct. </w:t>
      </w:r>
    </w:p>
    <w:p w14:paraId="69CAF8F0" w14:textId="77777777" w:rsidR="00005AC7" w:rsidRDefault="00005AC7" w:rsidP="00005AC7">
      <w:r w:rsidRPr="00005AC7">
        <w:t>To conduct monitoring activities, an author</w:t>
      </w:r>
      <w:r w:rsidR="003D2106">
        <w:t>ised person (i.e. an inspector)</w:t>
      </w:r>
      <w:r w:rsidR="00B2353F">
        <w:t>,</w:t>
      </w:r>
      <w:r w:rsidRPr="00005AC7">
        <w:t xml:space="preserve"> may enter a premise</w:t>
      </w:r>
      <w:r w:rsidR="004158B3">
        <w:t>s</w:t>
      </w:r>
      <w:r w:rsidRPr="00005AC7">
        <w:t xml:space="preserve"> </w:t>
      </w:r>
      <w:r w:rsidR="008F36B3">
        <w:t>either</w:t>
      </w:r>
      <w:r w:rsidRPr="00005AC7">
        <w:t xml:space="preserve"> with the consent of the occupier, or under a monitoring warrant. </w:t>
      </w:r>
      <w:r>
        <w:t xml:space="preserve">The inspector may also, </w:t>
      </w:r>
      <w:r w:rsidRPr="00005AC7">
        <w:t>under s</w:t>
      </w:r>
      <w:r>
        <w:t>ection </w:t>
      </w:r>
      <w:r w:rsidRPr="00005AC7">
        <w:t>23(1)</w:t>
      </w:r>
      <w:r>
        <w:t xml:space="preserve"> of the RPA </w:t>
      </w:r>
      <w:r w:rsidRPr="00005AC7">
        <w:t xml:space="preserve">and </w:t>
      </w:r>
      <w:r>
        <w:t>section </w:t>
      </w:r>
      <w:r w:rsidRPr="00005AC7">
        <w:t>50(5)</w:t>
      </w:r>
      <w:r>
        <w:t xml:space="preserve"> of the RVSA, </w:t>
      </w:r>
      <w:r w:rsidRPr="00005AC7">
        <w:t xml:space="preserve">be </w:t>
      </w:r>
      <w:r w:rsidR="008F36B3">
        <w:t xml:space="preserve">formally </w:t>
      </w:r>
      <w:r w:rsidRPr="00005AC7">
        <w:t xml:space="preserve">assisted by other persons in exercising powers </w:t>
      </w:r>
      <w:r w:rsidR="00F52FAB">
        <w:t xml:space="preserve">and functions </w:t>
      </w:r>
      <w:r w:rsidRPr="00005AC7">
        <w:t xml:space="preserve">where that assistance is reasonable and necessary. </w:t>
      </w:r>
    </w:p>
    <w:p w14:paraId="2ABD03A1" w14:textId="77777777" w:rsidR="00005AC7" w:rsidRDefault="008F36B3" w:rsidP="00005AC7">
      <w:r>
        <w:t>When p</w:t>
      </w:r>
      <w:r w:rsidR="00FE2DEF">
        <w:t xml:space="preserve">ersons assisting </w:t>
      </w:r>
      <w:r w:rsidR="00005AC7" w:rsidRPr="00005AC7">
        <w:t>exercise a power or perform a function or duty under the direction of the inspector, that power, function or duty is taken to</w:t>
      </w:r>
      <w:r>
        <w:t xml:space="preserve"> have been</w:t>
      </w:r>
      <w:r w:rsidR="00005AC7" w:rsidRPr="00005AC7">
        <w:t xml:space="preserve"> exercised or performed by the inspector being assisted. For this reason</w:t>
      </w:r>
      <w:r>
        <w:t xml:space="preserve"> persons assisting </w:t>
      </w:r>
      <w:r w:rsidR="00005AC7" w:rsidRPr="00005AC7">
        <w:t>are likely to be depar</w:t>
      </w:r>
      <w:r w:rsidR="003D2106">
        <w:t xml:space="preserve">tmental, law enforcement, </w:t>
      </w:r>
      <w:r w:rsidR="00005AC7" w:rsidRPr="00005AC7">
        <w:t>regulatory personnel, or individuals with particular relevant expertise.</w:t>
      </w:r>
    </w:p>
    <w:p w14:paraId="3040F54E" w14:textId="77777777" w:rsidR="007F7986" w:rsidRDefault="007F7986" w:rsidP="00005AC7">
      <w:r>
        <w:t>Monitoring powers that can be exercised include, but are not limited to</w:t>
      </w:r>
      <w:r w:rsidR="008F36B3">
        <w:t>:</w:t>
      </w:r>
    </w:p>
    <w:p w14:paraId="470F858E" w14:textId="77777777" w:rsidR="007F7986" w:rsidRDefault="007F7986" w:rsidP="007F7986">
      <w:pPr>
        <w:pStyle w:val="Bullet1"/>
      </w:pPr>
      <w:r>
        <w:t>searching a premises and any</w:t>
      </w:r>
      <w:r w:rsidR="00F52FAB">
        <w:rPr>
          <w:lang w:val="en-US"/>
        </w:rPr>
        <w:t xml:space="preserve"> </w:t>
      </w:r>
      <w:r>
        <w:t>thing on a premises</w:t>
      </w:r>
    </w:p>
    <w:p w14:paraId="398378B8" w14:textId="77777777" w:rsidR="007F7986" w:rsidRDefault="007F7986" w:rsidP="007F7986">
      <w:pPr>
        <w:pStyle w:val="Bullet1"/>
      </w:pPr>
      <w:r>
        <w:t>examining or observing an activity conducted on the premises</w:t>
      </w:r>
    </w:p>
    <w:p w14:paraId="03BB0669" w14:textId="77777777" w:rsidR="007F7986" w:rsidRDefault="007F7986" w:rsidP="007F7986">
      <w:pPr>
        <w:pStyle w:val="Bullet1"/>
      </w:pPr>
      <w:r>
        <w:t xml:space="preserve">make any still or moving images or recording of the premises or </w:t>
      </w:r>
      <w:r w:rsidR="006A35D5">
        <w:t>any</w:t>
      </w:r>
      <w:r w:rsidR="00F52FAB">
        <w:rPr>
          <w:lang w:val="en-US"/>
        </w:rPr>
        <w:t xml:space="preserve"> </w:t>
      </w:r>
      <w:r w:rsidR="006A35D5">
        <w:rPr>
          <w:lang w:val="en-US"/>
        </w:rPr>
        <w:t>t</w:t>
      </w:r>
      <w:r w:rsidR="006A35D5">
        <w:t>hing</w:t>
      </w:r>
      <w:r>
        <w:t xml:space="preserve"> on the premises</w:t>
      </w:r>
    </w:p>
    <w:p w14:paraId="38F19C46" w14:textId="77777777" w:rsidR="007F7986" w:rsidRDefault="007F7986" w:rsidP="007F7986">
      <w:pPr>
        <w:pStyle w:val="Bullet1"/>
      </w:pPr>
      <w:r>
        <w:t>inspecting any document on the premises.</w:t>
      </w:r>
    </w:p>
    <w:p w14:paraId="2804F0C3" w14:textId="77777777" w:rsidR="007F7986" w:rsidRDefault="007F7986" w:rsidP="007F7986">
      <w:r>
        <w:t xml:space="preserve">In addition to these monitoring powers, inspectors have additional </w:t>
      </w:r>
      <w:r w:rsidR="0042471A">
        <w:t xml:space="preserve">monitoring </w:t>
      </w:r>
      <w:r>
        <w:t>power</w:t>
      </w:r>
      <w:r w:rsidR="0042471A">
        <w:t>s</w:t>
      </w:r>
      <w:r>
        <w:t xml:space="preserve"> to sample </w:t>
      </w:r>
      <w:r w:rsidR="006A35D5">
        <w:t>any</w:t>
      </w:r>
      <w:r w:rsidR="00F52FAB">
        <w:t xml:space="preserve"> </w:t>
      </w:r>
      <w:r w:rsidR="006A35D5">
        <w:t>thing</w:t>
      </w:r>
      <w:r>
        <w:t xml:space="preserve"> on the premises and the power to remove and test such samples. </w:t>
      </w:r>
    </w:p>
    <w:p w14:paraId="60953FAE" w14:textId="77777777" w:rsidR="00156EFA" w:rsidRDefault="007F7986" w:rsidP="007F7986">
      <w:r>
        <w:t xml:space="preserve">These monitoring powers are a strengthening of powers that were available under the MVSA.  </w:t>
      </w:r>
    </w:p>
    <w:p w14:paraId="58B8E40E" w14:textId="77777777" w:rsidR="00CC0C67" w:rsidRDefault="00CC0C67" w:rsidP="00CC0C67">
      <w:pPr>
        <w:pStyle w:val="Heading2"/>
      </w:pPr>
      <w:bookmarkStart w:id="13" w:name="_Toc102383209"/>
      <w:r>
        <w:t>Investigation powers</w:t>
      </w:r>
      <w:bookmarkEnd w:id="13"/>
    </w:p>
    <w:p w14:paraId="4811D1DD" w14:textId="77777777" w:rsidR="009A3ADA" w:rsidRDefault="009A3ADA" w:rsidP="00CC0C67">
      <w:r w:rsidRPr="009A3ADA">
        <w:t>Section 52 of the RVSA delineates investigation from monitoring by stating that an offence against the RVSA</w:t>
      </w:r>
      <w:r w:rsidR="00B9061B">
        <w:t>,</w:t>
      </w:r>
      <w:r w:rsidRPr="009A3ADA">
        <w:t xml:space="preserve"> or a civil penalty provision of the RVSA</w:t>
      </w:r>
      <w:r w:rsidR="00B9061B">
        <w:t>,</w:t>
      </w:r>
      <w:r w:rsidRPr="009A3ADA">
        <w:t xml:space="preserve"> or an offence against the </w:t>
      </w:r>
      <w:r w:rsidRPr="00253552">
        <w:rPr>
          <w:i/>
        </w:rPr>
        <w:t>Crimes Act 1914</w:t>
      </w:r>
      <w:r w:rsidRPr="009A3ADA">
        <w:t xml:space="preserve"> or the </w:t>
      </w:r>
      <w:r w:rsidRPr="00253552">
        <w:rPr>
          <w:i/>
        </w:rPr>
        <w:t>Criminal Code</w:t>
      </w:r>
      <w:r w:rsidRPr="009A3ADA">
        <w:t xml:space="preserve"> that relates to the RVSA, is subject to investigation under Part 3 of the RPA.</w:t>
      </w:r>
    </w:p>
    <w:p w14:paraId="6EACF0E3" w14:textId="77777777" w:rsidR="00CC0C67" w:rsidRDefault="00CC0C67" w:rsidP="00CC0C67">
      <w:r>
        <w:t xml:space="preserve">Part 3 of the RPA creates a legal framework for gathering material that relates to the contravention of offence provisions and civil penalty provisions. </w:t>
      </w:r>
    </w:p>
    <w:p w14:paraId="7BA219FD" w14:textId="77777777" w:rsidR="00FE2DEF" w:rsidRDefault="00FE2DEF" w:rsidP="00CC0C67">
      <w:r w:rsidRPr="00FE2DEF">
        <w:t xml:space="preserve">An authorised person (i.e. an inspector), may enter premises if the authorised person suspects on reasonable grounds that there may be material on the premises related to the contravention of an offence provision or a civil penalty </w:t>
      </w:r>
      <w:r w:rsidRPr="00FE2DEF">
        <w:lastRenderedPageBreak/>
        <w:t xml:space="preserve">provision. Entry must be with </w:t>
      </w:r>
      <w:r>
        <w:t xml:space="preserve">the </w:t>
      </w:r>
      <w:r w:rsidRPr="00FE2DEF">
        <w:t>consent of the occupier of the premises or under an investigation warrant. While on the premises the authorised person may exercise investigation powers, and may have persons ass</w:t>
      </w:r>
      <w:r>
        <w:t>isting</w:t>
      </w:r>
      <w:r w:rsidR="00177BF1">
        <w:t>.</w:t>
      </w:r>
      <w:r w:rsidRPr="00FE2DEF">
        <w:t xml:space="preserve"> </w:t>
      </w:r>
    </w:p>
    <w:p w14:paraId="14CC03E9" w14:textId="77777777" w:rsidR="00FE2DEF" w:rsidRDefault="00FE2DEF" w:rsidP="00CC0C67">
      <w:r w:rsidRPr="00FE2DEF">
        <w:t xml:space="preserve">Investigation powers are similar to the monitoring powers that are </w:t>
      </w:r>
      <w:r w:rsidR="00177BF1">
        <w:t xml:space="preserve">briefly </w:t>
      </w:r>
      <w:r w:rsidRPr="00FE2DEF">
        <w:t>listed above.</w:t>
      </w:r>
    </w:p>
    <w:p w14:paraId="71BEC501" w14:textId="77777777" w:rsidR="00CC0C67" w:rsidRDefault="00CC0C67" w:rsidP="00CC0C67">
      <w:r>
        <w:t>An investigation is different from compliance monitoring. An investigation activity is significant and is conducted with a view to referring a completed Brief of Evidence to the Commonwealth Director</w:t>
      </w:r>
      <w:r w:rsidR="008772F4">
        <w:t xml:space="preserve"> </w:t>
      </w:r>
      <w:r>
        <w:t xml:space="preserve">of Public Prosecutions (CDPP), for consideration of prosecution action. </w:t>
      </w:r>
    </w:p>
    <w:p w14:paraId="3E989C84" w14:textId="77777777" w:rsidR="00156EFA" w:rsidRDefault="00CC0C67" w:rsidP="00CC0C67">
      <w:r>
        <w:t>Investigation activities may also result in other enforcement decisions such as the issuing of infringement notices.</w:t>
      </w:r>
    </w:p>
    <w:p w14:paraId="7FB9562E" w14:textId="77777777" w:rsidR="00CC0C67" w:rsidRDefault="00CC0C67" w:rsidP="00CC0C67">
      <w:r w:rsidRPr="00CC0C67">
        <w:t>These investigation powers are a strengthening of powers that were available under the MVSA</w:t>
      </w:r>
      <w:r>
        <w:t>.</w:t>
      </w:r>
    </w:p>
    <w:p w14:paraId="042C27F0" w14:textId="77777777" w:rsidR="00CC0C67" w:rsidRDefault="00CC0C67" w:rsidP="00CC0C67">
      <w:pPr>
        <w:pStyle w:val="Heading2"/>
      </w:pPr>
      <w:bookmarkStart w:id="14" w:name="_Toc102383210"/>
      <w:r>
        <w:t>Civil penalties</w:t>
      </w:r>
      <w:bookmarkEnd w:id="14"/>
    </w:p>
    <w:p w14:paraId="2D04D42B" w14:textId="77777777" w:rsidR="009A3ADA" w:rsidRDefault="009A3ADA" w:rsidP="00CC0C67">
      <w:r>
        <w:t>Under s</w:t>
      </w:r>
      <w:r w:rsidRPr="009A3ADA">
        <w:t>ection 54 of the RVSA, civil penalty provisions are enforceable under Part 4 of the RPA. Part 4 of the RPA allo</w:t>
      </w:r>
      <w:r>
        <w:t>ws an authorised applicant (</w:t>
      </w:r>
      <w:r w:rsidR="008772F4">
        <w:t xml:space="preserve">i.e. </w:t>
      </w:r>
      <w:r w:rsidRPr="009A3ADA">
        <w:t>the Minister</w:t>
      </w:r>
      <w:r w:rsidR="00C1655E">
        <w:t>,</w:t>
      </w:r>
      <w:r w:rsidRPr="009A3ADA">
        <w:t xml:space="preserve"> the </w:t>
      </w:r>
      <w:r w:rsidR="008772F4">
        <w:t xml:space="preserve">department </w:t>
      </w:r>
      <w:r w:rsidRPr="009A3ADA">
        <w:t>Secretary</w:t>
      </w:r>
      <w:r w:rsidR="00C1655E">
        <w:t xml:space="preserve">, </w:t>
      </w:r>
      <w:r w:rsidRPr="009A3ADA">
        <w:t>an S</w:t>
      </w:r>
      <w:r w:rsidR="004158B3">
        <w:t xml:space="preserve">enior </w:t>
      </w:r>
      <w:r w:rsidRPr="009A3ADA">
        <w:t>E</w:t>
      </w:r>
      <w:r w:rsidR="004158B3">
        <w:t xml:space="preserve">xecutive </w:t>
      </w:r>
      <w:r w:rsidRPr="009A3ADA">
        <w:t>S</w:t>
      </w:r>
      <w:r w:rsidR="004158B3">
        <w:t>ervice (SES)</w:t>
      </w:r>
      <w:r w:rsidRPr="009A3ADA">
        <w:t xml:space="preserve"> employee or acting SES employee of the </w:t>
      </w:r>
      <w:r>
        <w:t>d</w:t>
      </w:r>
      <w:r w:rsidRPr="009A3ADA">
        <w:t xml:space="preserve">epartment), to apply to a relevant court for an order that a person </w:t>
      </w:r>
      <w:r w:rsidR="008772F4">
        <w:t xml:space="preserve">- </w:t>
      </w:r>
      <w:r w:rsidRPr="009A3ADA">
        <w:t>includ</w:t>
      </w:r>
      <w:r w:rsidR="008772F4">
        <w:t>ing</w:t>
      </w:r>
      <w:r w:rsidRPr="009A3ADA">
        <w:t xml:space="preserve"> a body corporate</w:t>
      </w:r>
      <w:r w:rsidR="008772F4">
        <w:t xml:space="preserve"> -</w:t>
      </w:r>
      <w:r w:rsidRPr="009A3ADA">
        <w:t xml:space="preserve"> who is alleged to have contravened a civil penalty provision of the RVSA, pay the Commonwealth a pecuniary penalty (</w:t>
      </w:r>
      <w:r w:rsidR="00A8311D">
        <w:t>a monetary penalty</w:t>
      </w:r>
      <w:r w:rsidRPr="009A3ADA">
        <w:t>).</w:t>
      </w:r>
    </w:p>
    <w:p w14:paraId="2D4C2F05" w14:textId="77777777" w:rsidR="00CC0C67" w:rsidRDefault="00CC0C67" w:rsidP="00CC0C67">
      <w:r>
        <w:t xml:space="preserve">The </w:t>
      </w:r>
      <w:r w:rsidR="00177BF1">
        <w:t xml:space="preserve">authorised </w:t>
      </w:r>
      <w:r>
        <w:t>applicant must make an application within 6 years of the alleged contravention.</w:t>
      </w:r>
    </w:p>
    <w:p w14:paraId="5EB48B89" w14:textId="77777777" w:rsidR="00CC0C67" w:rsidRDefault="00CC0C67" w:rsidP="00CC0C67">
      <w:r>
        <w:t>If the relevant court is satisfied that person has contravened a civil penalty provision of the RVSA, the court may order the person to pay a penalty that the court determines is appropriate.</w:t>
      </w:r>
    </w:p>
    <w:p w14:paraId="4F59F3DD" w14:textId="77777777" w:rsidR="00CC0C67" w:rsidRDefault="00CC0C67" w:rsidP="00CC0C67">
      <w:r>
        <w:t>A single civil penalty order may be made by the court for multiple contraventions</w:t>
      </w:r>
      <w:r w:rsidR="00CC5AD8">
        <w:t xml:space="preserve"> of a civil penalty provision</w:t>
      </w:r>
      <w:r>
        <w:t>.</w:t>
      </w:r>
    </w:p>
    <w:p w14:paraId="48ED511B" w14:textId="77777777" w:rsidR="00CC0C67" w:rsidRDefault="00CC0C67" w:rsidP="00CC0C67">
      <w:r w:rsidRPr="00CC0C67">
        <w:t xml:space="preserve">The MVSA </w:t>
      </w:r>
      <w:r w:rsidR="004158B3">
        <w:t>did not prescribe</w:t>
      </w:r>
      <w:r w:rsidRPr="00CC0C67">
        <w:t xml:space="preserve"> provisions related to civil penalties (i.e. court</w:t>
      </w:r>
      <w:r w:rsidR="00177BF1">
        <w:t xml:space="preserve"> </w:t>
      </w:r>
      <w:r w:rsidRPr="00CC0C67">
        <w:t>issued fines).</w:t>
      </w:r>
    </w:p>
    <w:p w14:paraId="534D6142" w14:textId="77777777" w:rsidR="00CC0C67" w:rsidRDefault="00CC0C67" w:rsidP="00CC0C67">
      <w:pPr>
        <w:pStyle w:val="Heading2"/>
      </w:pPr>
      <w:bookmarkStart w:id="15" w:name="_Toc102383211"/>
      <w:r>
        <w:t>Infringement notices</w:t>
      </w:r>
      <w:bookmarkEnd w:id="15"/>
    </w:p>
    <w:p w14:paraId="5A9902C2" w14:textId="77777777" w:rsidR="007A05DB" w:rsidRDefault="007A05DB" w:rsidP="00EA5E36">
      <w:r w:rsidRPr="007A05DB">
        <w:t xml:space="preserve">Section 55 of the RVSA </w:t>
      </w:r>
      <w:r w:rsidR="00812047">
        <w:t xml:space="preserve">and </w:t>
      </w:r>
      <w:r w:rsidRPr="007A05DB">
        <w:t>Part 5 of the RPA create a framework for using infringement notices to deal with a civil penalty provision</w:t>
      </w:r>
      <w:r w:rsidR="00812047" w:rsidRPr="00812047">
        <w:t xml:space="preserve"> </w:t>
      </w:r>
      <w:r w:rsidR="00812047">
        <w:t xml:space="preserve">in </w:t>
      </w:r>
      <w:r w:rsidR="00812047" w:rsidRPr="00812047">
        <w:t>Part 2</w:t>
      </w:r>
      <w:r w:rsidR="00812047">
        <w:t xml:space="preserve"> of the RVSA</w:t>
      </w:r>
      <w:r w:rsidR="00812047" w:rsidRPr="00812047">
        <w:t xml:space="preserve"> (</w:t>
      </w:r>
      <w:r w:rsidR="004158B3">
        <w:t>for the r</w:t>
      </w:r>
      <w:r w:rsidR="00812047" w:rsidRPr="00812047">
        <w:t>egulation of road vehicles and road vehicle components)</w:t>
      </w:r>
      <w:r w:rsidR="00177BF1">
        <w:t xml:space="preserve">, </w:t>
      </w:r>
      <w:r w:rsidR="00812047">
        <w:t xml:space="preserve">or </w:t>
      </w:r>
      <w:r w:rsidRPr="007A05DB">
        <w:t>strict liability offences against a provision in Part 3</w:t>
      </w:r>
      <w:r w:rsidR="00812047">
        <w:t xml:space="preserve"> of the RVSA</w:t>
      </w:r>
      <w:r w:rsidRPr="007A05DB">
        <w:t xml:space="preserve"> (</w:t>
      </w:r>
      <w:r w:rsidR="00CC5AD8">
        <w:t>r</w:t>
      </w:r>
      <w:r w:rsidRPr="007A05DB">
        <w:t>ecalls of road vehicles or approved road vehicle components).</w:t>
      </w:r>
    </w:p>
    <w:p w14:paraId="3B0BA7E4" w14:textId="77777777" w:rsidR="00CC0C67" w:rsidRDefault="00CC0C67" w:rsidP="00EA5E36">
      <w:r>
        <w:t xml:space="preserve">An infringement notice is a lesser penalty than could be applied </w:t>
      </w:r>
      <w:r w:rsidR="00CC5AD8">
        <w:t xml:space="preserve">for </w:t>
      </w:r>
      <w:r w:rsidR="00177BF1">
        <w:t>via</w:t>
      </w:r>
      <w:r>
        <w:t xml:space="preserve"> a civil penalty order and may be appropriate for less severe contraventions of the RVSA.</w:t>
      </w:r>
      <w:r w:rsidR="0056125F">
        <w:t xml:space="preserve"> </w:t>
      </w:r>
    </w:p>
    <w:p w14:paraId="4934A062" w14:textId="77777777" w:rsidR="00CC0C67" w:rsidRDefault="00CC0C67" w:rsidP="00EA5E36">
      <w:r>
        <w:t xml:space="preserve">A person can be given an infringement notice in relation to a contravention of a provision that is subject to an infringement notice where an infringement officer believes </w:t>
      </w:r>
      <w:r w:rsidR="00CC5AD8">
        <w:t xml:space="preserve">on reasonable grounds </w:t>
      </w:r>
      <w:r>
        <w:t xml:space="preserve">that </w:t>
      </w:r>
      <w:r w:rsidR="00CC5AD8">
        <w:t>the</w:t>
      </w:r>
      <w:r>
        <w:t xml:space="preserve"> provision has been contravened. </w:t>
      </w:r>
      <w:r w:rsidR="0056125F">
        <w:t xml:space="preserve"> </w:t>
      </w:r>
      <w:r w:rsidR="00EA5E36">
        <w:t xml:space="preserve">Infringement notices can be given by the </w:t>
      </w:r>
      <w:r w:rsidR="00EA5E36" w:rsidRPr="00EA5E36">
        <w:t xml:space="preserve">Secretary, </w:t>
      </w:r>
      <w:r w:rsidR="00CC5AD8">
        <w:t xml:space="preserve">or </w:t>
      </w:r>
      <w:r w:rsidR="00EA5E36" w:rsidRPr="00EA5E36">
        <w:t>an SES or acting SES employee of the department</w:t>
      </w:r>
      <w:r w:rsidR="00EA5E36">
        <w:t>.</w:t>
      </w:r>
    </w:p>
    <w:p w14:paraId="02F99F2E" w14:textId="77777777" w:rsidR="00CC0C67" w:rsidRDefault="00CC0C67" w:rsidP="00EA5E36">
      <w:r>
        <w:t>An infringement notice must be given within 12 months after the day on which the contravention is alleged to have taken place.</w:t>
      </w:r>
    </w:p>
    <w:p w14:paraId="3D5C5771" w14:textId="77777777" w:rsidR="00CC0C67" w:rsidRDefault="00CC0C67" w:rsidP="00EA5E36">
      <w:r>
        <w:t xml:space="preserve">A person who is given an infringement notice can choose to </w:t>
      </w:r>
      <w:r w:rsidR="00177BF1">
        <w:t>pay the</w:t>
      </w:r>
      <w:r w:rsidR="00562CC3">
        <w:t xml:space="preserve"> penalty </w:t>
      </w:r>
      <w:r>
        <w:t>amount as an alternative to having court proceedings brought against them for a contravention. If the person chooses not to pay the amount, proceedings can be brought against them in relation to the contravention. The value of an infringement notice is generally less than could be imposed by a court</w:t>
      </w:r>
      <w:r w:rsidR="00F56C9B">
        <w:t xml:space="preserve"> via a civil penalty order</w:t>
      </w:r>
      <w:r>
        <w:t>.</w:t>
      </w:r>
    </w:p>
    <w:p w14:paraId="1A935895" w14:textId="77777777" w:rsidR="007D3B00" w:rsidRDefault="007D3B00" w:rsidP="007D3B00">
      <w:pPr>
        <w:pStyle w:val="Heading2"/>
      </w:pPr>
      <w:bookmarkStart w:id="16" w:name="_Toc102383212"/>
      <w:r>
        <w:t>Enforceable undertakings</w:t>
      </w:r>
      <w:bookmarkEnd w:id="16"/>
    </w:p>
    <w:p w14:paraId="21B9FE09" w14:textId="77777777" w:rsidR="007D3B00" w:rsidRDefault="00EA5E36" w:rsidP="00EA5E36">
      <w:r>
        <w:t>Section 57 of the RVSA prescribe</w:t>
      </w:r>
      <w:r w:rsidR="00981BC1">
        <w:t>s</w:t>
      </w:r>
      <w:r>
        <w:t xml:space="preserve"> that a civil penalty provision of the RVSA is enforceable under Part 6 of the RPA. This part of the RPA creates a framework for accepting </w:t>
      </w:r>
      <w:r w:rsidR="00177BF1">
        <w:t xml:space="preserve">and </w:t>
      </w:r>
      <w:r>
        <w:t xml:space="preserve">enforcing undertakings made </w:t>
      </w:r>
      <w:r w:rsidR="00177BF1">
        <w:t xml:space="preserve">by a </w:t>
      </w:r>
      <w:r w:rsidR="00253552">
        <w:t>person</w:t>
      </w:r>
      <w:r w:rsidR="00177BF1">
        <w:t xml:space="preserve"> </w:t>
      </w:r>
      <w:r>
        <w:t xml:space="preserve">in regard to compliance with relevant RVSA provisions. Enforceable </w:t>
      </w:r>
      <w:r w:rsidR="00A8311D">
        <w:t>u</w:t>
      </w:r>
      <w:r>
        <w:t>ndertakings can be accepted by an authorised person (</w:t>
      </w:r>
      <w:r w:rsidR="00177BF1">
        <w:t xml:space="preserve">i.e. </w:t>
      </w:r>
      <w:r>
        <w:t>the Minister</w:t>
      </w:r>
      <w:r w:rsidR="00177BF1">
        <w:t>,</w:t>
      </w:r>
      <w:r>
        <w:t xml:space="preserve"> the Secretary</w:t>
      </w:r>
      <w:r w:rsidR="00177BF1">
        <w:t>,</w:t>
      </w:r>
      <w:r>
        <w:t xml:space="preserve"> an SES employee, or an acting SES employee).</w:t>
      </w:r>
    </w:p>
    <w:p w14:paraId="775351B1" w14:textId="77777777" w:rsidR="00253552" w:rsidRDefault="00253552" w:rsidP="007D3B00"/>
    <w:p w14:paraId="5271FCDE" w14:textId="77777777" w:rsidR="007D3B00" w:rsidRDefault="007D3B00" w:rsidP="007D3B00">
      <w:r>
        <w:lastRenderedPageBreak/>
        <w:t>To be accepted, undertakings must be written and expressed as an undertaking under section 114 of the RPA, and that the person will:</w:t>
      </w:r>
    </w:p>
    <w:p w14:paraId="79FEBD5E" w14:textId="77777777" w:rsidR="007D3B00" w:rsidRDefault="007D3B00" w:rsidP="007D3B00">
      <w:pPr>
        <w:pStyle w:val="Bullet1"/>
      </w:pPr>
      <w:r>
        <w:t>take specified action in order to comply with a provision that is enforceable</w:t>
      </w:r>
    </w:p>
    <w:p w14:paraId="3CB3AE7E" w14:textId="77777777" w:rsidR="007D3B00" w:rsidRDefault="007D3B00" w:rsidP="007D3B00">
      <w:pPr>
        <w:pStyle w:val="Bullet1"/>
      </w:pPr>
      <w:r>
        <w:t>refrain from taking specified action in order to comply with a provision</w:t>
      </w:r>
      <w:r w:rsidR="00880AF0">
        <w:rPr>
          <w:lang w:val="en-US"/>
        </w:rPr>
        <w:t xml:space="preserve"> that is enforceable</w:t>
      </w:r>
    </w:p>
    <w:p w14:paraId="5439EE9D" w14:textId="77777777" w:rsidR="007D3B00" w:rsidRDefault="007D3B00" w:rsidP="007D3B00">
      <w:pPr>
        <w:pStyle w:val="Bullet1"/>
      </w:pPr>
      <w:r>
        <w:t>take specified action towards ensuring that they do not contravene a provision</w:t>
      </w:r>
      <w:r w:rsidR="00880AF0">
        <w:rPr>
          <w:lang w:val="en-US"/>
        </w:rPr>
        <w:t xml:space="preserve"> that is enforceable</w:t>
      </w:r>
      <w:r>
        <w:t>.</w:t>
      </w:r>
    </w:p>
    <w:p w14:paraId="4D83EAE1" w14:textId="77777777" w:rsidR="007D3B00" w:rsidRDefault="007D3B00" w:rsidP="007D3B00">
      <w:r>
        <w:t xml:space="preserve">An authorised person may also cancel the undertaking by giving written notice to the person. </w:t>
      </w:r>
    </w:p>
    <w:p w14:paraId="58D69E84" w14:textId="77777777" w:rsidR="00CC0C67" w:rsidRDefault="007D3B00" w:rsidP="007D3B00">
      <w:r>
        <w:t>A person giving an undertaking may withdraw or vary the undertaking but only with the written consent of an authorised person.</w:t>
      </w:r>
    </w:p>
    <w:p w14:paraId="3C8C138E" w14:textId="77777777" w:rsidR="007D3B00" w:rsidRDefault="007D3B00" w:rsidP="00C25557">
      <w:pPr>
        <w:keepNext/>
      </w:pPr>
      <w:r>
        <w:t>An authorised person may also apply for an order if they consider the person has breached an undertaking (section 115 RPA). The court may make any or all of the following:</w:t>
      </w:r>
    </w:p>
    <w:p w14:paraId="64D7141D" w14:textId="77777777" w:rsidR="007D3B00" w:rsidRDefault="007D3B00" w:rsidP="00C25557">
      <w:pPr>
        <w:pStyle w:val="Bullet1"/>
        <w:keepNext/>
      </w:pPr>
      <w:r>
        <w:t>an order directing the person to comply with the undertaking</w:t>
      </w:r>
    </w:p>
    <w:p w14:paraId="2A2B7B19" w14:textId="77777777" w:rsidR="007D3B00" w:rsidRDefault="007D3B00" w:rsidP="007D3B00">
      <w:pPr>
        <w:pStyle w:val="Bullet1"/>
      </w:pPr>
      <w:r>
        <w:t xml:space="preserve">an order directing the person to pay the Commonwealth an amount up to the amount of any financial benefit </w:t>
      </w:r>
      <w:r w:rsidR="00880AF0">
        <w:rPr>
          <w:lang w:val="en-US"/>
        </w:rPr>
        <w:t xml:space="preserve">obtained directly or indirectly and </w:t>
      </w:r>
      <w:r>
        <w:t>reasonably attributable to the breach</w:t>
      </w:r>
    </w:p>
    <w:p w14:paraId="611E2A66" w14:textId="77777777" w:rsidR="007D3B00" w:rsidRDefault="007D3B00" w:rsidP="007D3B00">
      <w:pPr>
        <w:pStyle w:val="Bullet1"/>
      </w:pPr>
      <w:r>
        <w:t>any order the court considers appropriate directing the person to compensate any other person who has suffered loss or damage as a result of the breach</w:t>
      </w:r>
    </w:p>
    <w:p w14:paraId="5D4D6D5C" w14:textId="77777777" w:rsidR="007D3B00" w:rsidRDefault="007D3B00" w:rsidP="007D3B00">
      <w:pPr>
        <w:pStyle w:val="Bullet1"/>
      </w:pPr>
      <w:r>
        <w:t>any other order the court considers appropriate.</w:t>
      </w:r>
    </w:p>
    <w:p w14:paraId="7E69483F" w14:textId="77777777" w:rsidR="007D3B00" w:rsidRDefault="007D3B00" w:rsidP="00775456">
      <w:r>
        <w:t>A notice of a decision to accept an undertaking, and the name of the person who gave it</w:t>
      </w:r>
      <w:r w:rsidR="00880AF0">
        <w:t xml:space="preserve">, </w:t>
      </w:r>
      <w:r>
        <w:t xml:space="preserve">will be published on the department’s website. </w:t>
      </w:r>
    </w:p>
    <w:p w14:paraId="28059352" w14:textId="77777777" w:rsidR="007D3B00" w:rsidRDefault="007D3B00" w:rsidP="00775456">
      <w:r>
        <w:t xml:space="preserve">The MVSA </w:t>
      </w:r>
      <w:r w:rsidR="004158B3">
        <w:t xml:space="preserve">did not prescribe </w:t>
      </w:r>
      <w:r>
        <w:t xml:space="preserve">provisions for enforceable undertakings. </w:t>
      </w:r>
    </w:p>
    <w:p w14:paraId="78F18322" w14:textId="77777777" w:rsidR="007D3B00" w:rsidRDefault="007D3B00" w:rsidP="00775456">
      <w:pPr>
        <w:pStyle w:val="Heading2"/>
      </w:pPr>
      <w:bookmarkStart w:id="17" w:name="_Toc102383213"/>
      <w:r>
        <w:t>Injunctions</w:t>
      </w:r>
      <w:bookmarkEnd w:id="17"/>
      <w:r>
        <w:t xml:space="preserve"> </w:t>
      </w:r>
    </w:p>
    <w:p w14:paraId="6440A117" w14:textId="77777777" w:rsidR="003A0E96" w:rsidRDefault="003A0E96" w:rsidP="003A0E96">
      <w:r w:rsidRPr="009B6C4C">
        <w:t xml:space="preserve">Section 58 of the RVSA </w:t>
      </w:r>
      <w:r w:rsidR="008F402B">
        <w:t>prescribes</w:t>
      </w:r>
      <w:r w:rsidRPr="009B6C4C">
        <w:t xml:space="preserve"> that a civil penalty provision in the RVSA is enforceable under Part 7 of the RPA. Part 7 of the RPA creates a framework for using injunctions to enforce </w:t>
      </w:r>
      <w:r w:rsidR="008F402B">
        <w:t xml:space="preserve">these </w:t>
      </w:r>
      <w:r w:rsidRPr="009B6C4C">
        <w:t>provisions.</w:t>
      </w:r>
    </w:p>
    <w:p w14:paraId="1E70E55F" w14:textId="77777777" w:rsidR="007D3B00" w:rsidRDefault="007D3B00" w:rsidP="00775456">
      <w:r>
        <w:t>Injunctions may be used to restrain a person fro</w:t>
      </w:r>
      <w:r w:rsidR="003A0E96">
        <w:t>m contravening a RVSA provision</w:t>
      </w:r>
      <w:r>
        <w:t xml:space="preserve"> or compel compliance with a provision. </w:t>
      </w:r>
    </w:p>
    <w:p w14:paraId="6C1C2435" w14:textId="77777777" w:rsidR="007D3B00" w:rsidRDefault="007D3B00" w:rsidP="00775456">
      <w:r>
        <w:t>There are two types of injunction.</w:t>
      </w:r>
    </w:p>
    <w:p w14:paraId="0EA5F606" w14:textId="77777777" w:rsidR="007D3B00" w:rsidRDefault="00690A65" w:rsidP="00775456">
      <w:r>
        <w:t xml:space="preserve">a) </w:t>
      </w:r>
      <w:r w:rsidR="007D3B00">
        <w:t>Restraining injunctions</w:t>
      </w:r>
      <w:r>
        <w:t>.</w:t>
      </w:r>
      <w:r w:rsidR="007D3B00">
        <w:t xml:space="preserve"> If a person has engaged, is engaging</w:t>
      </w:r>
      <w:r>
        <w:t>,</w:t>
      </w:r>
      <w:r w:rsidR="007D3B00">
        <w:t xml:space="preserve"> or is proposing to engage in conduct that contravenes a</w:t>
      </w:r>
      <w:r>
        <w:t xml:space="preserve">n </w:t>
      </w:r>
      <w:r w:rsidR="007D3B00">
        <w:t xml:space="preserve">RVSA provision, a court, on application by an authorised person </w:t>
      </w:r>
      <w:r>
        <w:t xml:space="preserve">may </w:t>
      </w:r>
      <w:r w:rsidR="007D3B00">
        <w:t>grant an injunction:</w:t>
      </w:r>
    </w:p>
    <w:p w14:paraId="0FDC05E5" w14:textId="77777777" w:rsidR="007D3B00" w:rsidRDefault="007D3B00" w:rsidP="00775456">
      <w:pPr>
        <w:pStyle w:val="Bullet1"/>
      </w:pPr>
      <w:r>
        <w:t>restraining a person from engaging in conduct; and</w:t>
      </w:r>
    </w:p>
    <w:p w14:paraId="06DAE123" w14:textId="77777777" w:rsidR="007D3B00" w:rsidRDefault="007D3B00" w:rsidP="00775456">
      <w:pPr>
        <w:pStyle w:val="Bullet1"/>
      </w:pPr>
      <w:r>
        <w:t>if desirable in the court’s opinion, require the person to do a thing.</w:t>
      </w:r>
    </w:p>
    <w:p w14:paraId="15FB9F02" w14:textId="77777777" w:rsidR="007D3B00" w:rsidRDefault="00690A65" w:rsidP="00775456">
      <w:r>
        <w:t xml:space="preserve">b) </w:t>
      </w:r>
      <w:r w:rsidR="007D3B00">
        <w:t>Performance injunctions</w:t>
      </w:r>
      <w:r>
        <w:t>.</w:t>
      </w:r>
      <w:r w:rsidR="007D3B00">
        <w:t xml:space="preserve"> If a person has refused or failed, or is refusing or failing, or is proposing to refuse or fail to do a thing; and the refusal or failure was, is</w:t>
      </w:r>
      <w:r>
        <w:t>,</w:t>
      </w:r>
      <w:r w:rsidR="007D3B00">
        <w:t xml:space="preserve"> or would be a contravention of a</w:t>
      </w:r>
      <w:r>
        <w:t>n</w:t>
      </w:r>
      <w:r w:rsidR="007D3B00">
        <w:t xml:space="preserve"> RVSA provision, a court, on application by an authorised person may grant an injunction:</w:t>
      </w:r>
    </w:p>
    <w:p w14:paraId="710FD868" w14:textId="77777777" w:rsidR="007D3B00" w:rsidRDefault="009C2C63" w:rsidP="00775456">
      <w:pPr>
        <w:pStyle w:val="Bullet1"/>
      </w:pPr>
      <w:r>
        <w:rPr>
          <w:lang w:val="en-US"/>
        </w:rPr>
        <w:t>r</w:t>
      </w:r>
      <w:r w:rsidR="007D3B00">
        <w:t>equiring the person to do that thing.</w:t>
      </w:r>
    </w:p>
    <w:p w14:paraId="07EDEEF8" w14:textId="77777777" w:rsidR="007D3B00" w:rsidRDefault="007D3B00" w:rsidP="009B6C4C">
      <w:r>
        <w:t>Authorised persons for making an application to the court seeking an inju</w:t>
      </w:r>
      <w:r w:rsidR="00690A65">
        <w:t>n</w:t>
      </w:r>
      <w:r>
        <w:t>ction are the Minister, the Secretary, an SES employee, or acting SES employee.</w:t>
      </w:r>
    </w:p>
    <w:p w14:paraId="4DF543D6" w14:textId="77777777" w:rsidR="007D3B00" w:rsidRDefault="007D3B00" w:rsidP="009B6C4C">
      <w:r>
        <w:t>Interim injunctions are also available to a court before deciding an application seeking a</w:t>
      </w:r>
      <w:r w:rsidR="00690A65">
        <w:t>n</w:t>
      </w:r>
      <w:r>
        <w:t xml:space="preserve"> injunction.</w:t>
      </w:r>
    </w:p>
    <w:p w14:paraId="553834DE" w14:textId="77777777" w:rsidR="003A0E96" w:rsidRDefault="003A0E96" w:rsidP="009B6C4C">
      <w:r>
        <w:t>Injunctions were a regulatory power available under the MVSA.</w:t>
      </w:r>
    </w:p>
    <w:p w14:paraId="68511777" w14:textId="77777777" w:rsidR="00775456" w:rsidRDefault="00775456" w:rsidP="00775456">
      <w:pPr>
        <w:pStyle w:val="Heading1"/>
      </w:pPr>
      <w:bookmarkStart w:id="18" w:name="_Toc102383214"/>
      <w:r>
        <w:t xml:space="preserve">The new </w:t>
      </w:r>
      <w:r w:rsidRPr="00775456">
        <w:rPr>
          <w:b/>
        </w:rPr>
        <w:t>Ro</w:t>
      </w:r>
      <w:r>
        <w:t xml:space="preserve">ad </w:t>
      </w:r>
      <w:r w:rsidRPr="00775456">
        <w:rPr>
          <w:b/>
        </w:rPr>
        <w:t>Ve</w:t>
      </w:r>
      <w:r>
        <w:t xml:space="preserve">hicle </w:t>
      </w:r>
      <w:r w:rsidRPr="00775456">
        <w:rPr>
          <w:b/>
        </w:rPr>
        <w:t>R</w:t>
      </w:r>
      <w:r>
        <w:t>egulator IT system (ROVER)</w:t>
      </w:r>
      <w:bookmarkEnd w:id="18"/>
    </w:p>
    <w:p w14:paraId="09FE22E0" w14:textId="77777777" w:rsidR="00775456" w:rsidRDefault="00775456" w:rsidP="00775456">
      <w:r>
        <w:t>The progression from the MVSA to the RVSA, in conjunction with the impacts of the COVID-19 pandemic</w:t>
      </w:r>
      <w:r w:rsidR="003A0E96">
        <w:t>,</w:t>
      </w:r>
      <w:r>
        <w:t xml:space="preserve"> has altered the way in which the department conducts business with our industry stakeholders. </w:t>
      </w:r>
    </w:p>
    <w:p w14:paraId="758C9B67" w14:textId="77777777" w:rsidR="00775456" w:rsidRDefault="00775456" w:rsidP="00775456">
      <w:r>
        <w:lastRenderedPageBreak/>
        <w:t xml:space="preserve">The development of the purpose-built Road Vehicle Regulator (ROVER), IT system allows for the online submission and assessment of the various types of applications, </w:t>
      </w:r>
      <w:r w:rsidR="003A0E96">
        <w:t xml:space="preserve">improving application submission efficiency and </w:t>
      </w:r>
      <w:r>
        <w:t>reducing the need for on-site</w:t>
      </w:r>
      <w:r w:rsidR="003A0E96">
        <w:t xml:space="preserve"> application related</w:t>
      </w:r>
      <w:r>
        <w:t xml:space="preserve"> inspections. </w:t>
      </w:r>
    </w:p>
    <w:p w14:paraId="2E32A8D1" w14:textId="2A739498" w:rsidR="007D3B00" w:rsidRDefault="00775456" w:rsidP="00775456">
      <w:r>
        <w:t>ROVER provide</w:t>
      </w:r>
      <w:r w:rsidR="004158B3">
        <w:t>s</w:t>
      </w:r>
      <w:r>
        <w:t xml:space="preserve"> a consolidated database that contains information that </w:t>
      </w:r>
      <w:r w:rsidR="004158B3">
        <w:t>is</w:t>
      </w:r>
      <w:r>
        <w:t xml:space="preserve"> used to inform and support proactive compliance and enforcement activities and </w:t>
      </w:r>
      <w:r w:rsidR="003A0E96">
        <w:t xml:space="preserve">assist with </w:t>
      </w:r>
      <w:r>
        <w:t>target</w:t>
      </w:r>
      <w:r w:rsidR="003A0E96">
        <w:t>ing</w:t>
      </w:r>
      <w:r>
        <w:t xml:space="preserve"> high</w:t>
      </w:r>
      <w:r w:rsidR="00690A65">
        <w:t xml:space="preserve"> </w:t>
      </w:r>
      <w:r>
        <w:t>risk areas of the industry.</w:t>
      </w:r>
    </w:p>
    <w:p w14:paraId="68833111" w14:textId="77777777" w:rsidR="00775456" w:rsidRDefault="00775456" w:rsidP="00775456">
      <w:pPr>
        <w:pStyle w:val="Heading1"/>
      </w:pPr>
      <w:bookmarkStart w:id="19" w:name="_Toc102383215"/>
      <w:r>
        <w:t>More information</w:t>
      </w:r>
      <w:bookmarkEnd w:id="19"/>
    </w:p>
    <w:p w14:paraId="0BFE3C89" w14:textId="3E143E16" w:rsidR="00775456" w:rsidRDefault="00775456" w:rsidP="00775456">
      <w:r>
        <w:t xml:space="preserve">For more information on the introduction of the RVSA, please see the department’s website </w:t>
      </w:r>
      <w:hyperlink r:id="rId16" w:history="1">
        <w:r w:rsidR="00300B16" w:rsidRPr="009C570E">
          <w:rPr>
            <w:rStyle w:val="Hyperlink"/>
          </w:rPr>
          <w:t>https://www.infrastructure.gov.au/vehicles/rvs/index.aspx</w:t>
        </w:r>
      </w:hyperlink>
      <w:r w:rsidR="00300B16">
        <w:t xml:space="preserve">. </w:t>
      </w:r>
      <w:r>
        <w:t xml:space="preserve">Content related to various aspects of the new regulatory regime and what it means for regulated entities is being added regularly. </w:t>
      </w:r>
    </w:p>
    <w:p w14:paraId="336501B4" w14:textId="77777777" w:rsidR="00775456" w:rsidRDefault="00775456" w:rsidP="00775456">
      <w:r>
        <w:t>Our compliance and enforcement activities are the operational face of a risk-based framework of policies, strategies, processes and plans developed to:</w:t>
      </w:r>
    </w:p>
    <w:p w14:paraId="44FF1721" w14:textId="77777777" w:rsidR="00775456" w:rsidRDefault="00775456" w:rsidP="00775456">
      <w:pPr>
        <w:pStyle w:val="Bullet1"/>
      </w:pPr>
      <w:r>
        <w:t>provide a cohesive approach to meeting our legislated responsibilities as a regulator; and</w:t>
      </w:r>
    </w:p>
    <w:p w14:paraId="0927246F" w14:textId="77777777" w:rsidR="00775456" w:rsidRDefault="00775456" w:rsidP="00775456">
      <w:pPr>
        <w:pStyle w:val="Bullet1"/>
      </w:pPr>
      <w:r>
        <w:t xml:space="preserve">assist industry stakeholders </w:t>
      </w:r>
      <w:r w:rsidR="00690A65">
        <w:rPr>
          <w:lang w:val="en-US"/>
        </w:rPr>
        <w:t xml:space="preserve">in </w:t>
      </w:r>
      <w:r>
        <w:t>consistently meet</w:t>
      </w:r>
      <w:r w:rsidR="00690A65">
        <w:rPr>
          <w:lang w:val="en-US"/>
        </w:rPr>
        <w:t>ing</w:t>
      </w:r>
      <w:r>
        <w:t xml:space="preserve"> their legislat</w:t>
      </w:r>
      <w:r w:rsidR="00690A65">
        <w:rPr>
          <w:lang w:val="en-US"/>
        </w:rPr>
        <w:t>ed</w:t>
      </w:r>
      <w:r>
        <w:t xml:space="preserve"> obligations. </w:t>
      </w:r>
    </w:p>
    <w:p w14:paraId="3DAD68D4" w14:textId="299EB4E6" w:rsidR="00775456" w:rsidRDefault="00775456" w:rsidP="00775456">
      <w:r>
        <w:t xml:space="preserve">Information regarding our risk-based framework will be progressively published and updated on the department’s website at </w:t>
      </w:r>
      <w:hyperlink r:id="rId17" w:history="1">
        <w:r w:rsidRPr="00544983">
          <w:rPr>
            <w:rStyle w:val="Hyperlink"/>
          </w:rPr>
          <w:t>https://www.infrastructure.gov.au/vehicles/compliance_and_enforcement/index.aspx</w:t>
        </w:r>
      </w:hyperlink>
    </w:p>
    <w:p w14:paraId="409B50D3" w14:textId="488EAC67" w:rsidR="00775456" w:rsidRDefault="0004562B" w:rsidP="00775456">
      <w:pPr>
        <w:pStyle w:val="Heading2"/>
      </w:pPr>
      <w:hyperlink r:id="rId18" w:history="1">
        <w:bookmarkStart w:id="20" w:name="_Toc102383216"/>
        <w:r w:rsidR="00775456" w:rsidRPr="004158B3">
          <w:rPr>
            <w:rStyle w:val="Hyperlink"/>
          </w:rPr>
          <w:t>Glossary</w:t>
        </w:r>
        <w:bookmarkEnd w:id="20"/>
      </w:hyperlink>
    </w:p>
    <w:tbl>
      <w:tblPr>
        <w:tblStyle w:val="DefaultTable1"/>
        <w:tblW w:w="5000" w:type="pct"/>
        <w:tblLook w:val="0420" w:firstRow="1" w:lastRow="0" w:firstColumn="0" w:lastColumn="0" w:noHBand="0" w:noVBand="1"/>
        <w:tblCaption w:val="Sample table"/>
        <w:tblDescription w:val="Sample table"/>
      </w:tblPr>
      <w:tblGrid>
        <w:gridCol w:w="2269"/>
        <w:gridCol w:w="7595"/>
      </w:tblGrid>
      <w:tr w:rsidR="00530946" w14:paraId="426E3A44" w14:textId="77777777" w:rsidTr="00530946">
        <w:trPr>
          <w:cnfStyle w:val="100000000000" w:firstRow="1" w:lastRow="0" w:firstColumn="0" w:lastColumn="0" w:oddVBand="0" w:evenVBand="0" w:oddHBand="0" w:evenHBand="0" w:firstRowFirstColumn="0" w:firstRowLastColumn="0" w:lastRowFirstColumn="0" w:lastRowLastColumn="0"/>
        </w:trPr>
        <w:tc>
          <w:tcPr>
            <w:tcW w:w="1150" w:type="pct"/>
          </w:tcPr>
          <w:p w14:paraId="21789741" w14:textId="77777777" w:rsidR="00530946" w:rsidRDefault="007A7498" w:rsidP="007A7498">
            <w:r>
              <w:t>Term</w:t>
            </w:r>
          </w:p>
        </w:tc>
        <w:tc>
          <w:tcPr>
            <w:tcW w:w="3850" w:type="pct"/>
          </w:tcPr>
          <w:p w14:paraId="2A4F61F8" w14:textId="77777777" w:rsidR="00530946" w:rsidRDefault="007A7498" w:rsidP="007A7498">
            <w:r>
              <w:t>Definition</w:t>
            </w:r>
          </w:p>
        </w:tc>
      </w:tr>
      <w:tr w:rsidR="00530946" w14:paraId="58845639" w14:textId="77777777" w:rsidTr="00530946">
        <w:tc>
          <w:tcPr>
            <w:tcW w:w="1150" w:type="pct"/>
          </w:tcPr>
          <w:p w14:paraId="19BE0E02" w14:textId="77777777" w:rsidR="00530946" w:rsidRDefault="00530946" w:rsidP="00530946">
            <w:r>
              <w:t>Civil penalty order</w:t>
            </w:r>
          </w:p>
        </w:tc>
        <w:tc>
          <w:tcPr>
            <w:tcW w:w="3850" w:type="pct"/>
          </w:tcPr>
          <w:p w14:paraId="2B2C2B42" w14:textId="77777777" w:rsidR="00530946" w:rsidRDefault="00530946" w:rsidP="00530946">
            <w:r>
              <w:t>A court-issued pecuniary penalty order i.e. fine, imposed when a civil penalty provision of the RVSA has been breached. Taken to be a ‘judgement debt’, the Commonwealth may enforce the order as if it were an order made in civil proceedings against the person to recover a due debt.</w:t>
            </w:r>
          </w:p>
        </w:tc>
      </w:tr>
      <w:tr w:rsidR="00530946" w14:paraId="234DC1D7"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67EC9AFA" w14:textId="77777777" w:rsidR="00530946" w:rsidRDefault="00530946" w:rsidP="00530946">
            <w:r>
              <w:t>Compliance monitoring</w:t>
            </w:r>
          </w:p>
        </w:tc>
        <w:tc>
          <w:tcPr>
            <w:tcW w:w="3850" w:type="pct"/>
          </w:tcPr>
          <w:p w14:paraId="7B025397" w14:textId="77777777" w:rsidR="00530946" w:rsidRDefault="00530946" w:rsidP="00530946">
            <w:r>
              <w:t>A broad term referring to any form of information collection, or contact with a regulated entity by VSO for the purposes of identifying issues relating to that entity’s compliance with the legislation and/or any conditions of an approval they hold.</w:t>
            </w:r>
          </w:p>
        </w:tc>
      </w:tr>
      <w:tr w:rsidR="00530946" w14:paraId="519CDB36" w14:textId="77777777" w:rsidTr="00530946">
        <w:tc>
          <w:tcPr>
            <w:tcW w:w="1150" w:type="pct"/>
          </w:tcPr>
          <w:p w14:paraId="791223DA" w14:textId="77777777" w:rsidR="00530946" w:rsidRDefault="00530946" w:rsidP="00530946">
            <w:r>
              <w:t>Enforceable undertaking</w:t>
            </w:r>
          </w:p>
        </w:tc>
        <w:tc>
          <w:tcPr>
            <w:tcW w:w="3850" w:type="pct"/>
          </w:tcPr>
          <w:p w14:paraId="47F65EBA" w14:textId="77777777" w:rsidR="00530946" w:rsidRDefault="00530946" w:rsidP="00690A65">
            <w:r>
              <w:t>A written, court-enforceable undertaking given by a regulated entity to comply with provisions of the RVSA, accepted by an authorised person. Breaches of an accepted undertaking may result in a court making a compliance, financial and/or any other order that it considers appropriate.</w:t>
            </w:r>
          </w:p>
        </w:tc>
      </w:tr>
      <w:tr w:rsidR="00530946" w14:paraId="53A1154C"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09929810" w14:textId="77777777" w:rsidR="00530946" w:rsidRDefault="00530946" w:rsidP="00530946">
            <w:r>
              <w:t>Infringement notice</w:t>
            </w:r>
          </w:p>
        </w:tc>
        <w:tc>
          <w:tcPr>
            <w:tcW w:w="3850" w:type="pct"/>
          </w:tcPr>
          <w:p w14:paraId="57E05170" w14:textId="77777777" w:rsidR="00530946" w:rsidRDefault="00530946" w:rsidP="00530946">
            <w:r>
              <w:t>A pecuniary penalty notice g</w:t>
            </w:r>
            <w:r w:rsidR="00E32E0A">
              <w:t>iven to a regulated entity by a</w:t>
            </w:r>
            <w:r>
              <w:t xml:space="preserve"> infringement officer who believes on reasonable grounds that the person has contravened a provision of the RVSA. </w:t>
            </w:r>
          </w:p>
        </w:tc>
      </w:tr>
      <w:tr w:rsidR="00530946" w14:paraId="6AAD20D9" w14:textId="77777777" w:rsidTr="00530946">
        <w:tc>
          <w:tcPr>
            <w:tcW w:w="1150" w:type="pct"/>
          </w:tcPr>
          <w:p w14:paraId="65BAD5C1" w14:textId="77777777" w:rsidR="00530946" w:rsidRDefault="00530946" w:rsidP="00530946">
            <w:r>
              <w:t>Injunction</w:t>
            </w:r>
          </w:p>
        </w:tc>
        <w:tc>
          <w:tcPr>
            <w:tcW w:w="3850" w:type="pct"/>
          </w:tcPr>
          <w:p w14:paraId="4BA74273" w14:textId="77777777" w:rsidR="00530946" w:rsidRPr="00AA63A9" w:rsidRDefault="00F02F88" w:rsidP="00530946">
            <w:r>
              <w:t xml:space="preserve">Court </w:t>
            </w:r>
            <w:r w:rsidR="00530946" w:rsidRPr="00AA63A9">
              <w:t xml:space="preserve">issued document restraining a person from engaging in non-compliant conduct (restraining injunction); or requiring the person to do a thing they have refused or failed to do (performance injunction). </w:t>
            </w:r>
          </w:p>
        </w:tc>
      </w:tr>
      <w:tr w:rsidR="00AA63A9" w14:paraId="5D8C0852" w14:textId="77777777" w:rsidTr="009130CC">
        <w:trPr>
          <w:cnfStyle w:val="000000010000" w:firstRow="0" w:lastRow="0" w:firstColumn="0" w:lastColumn="0" w:oddVBand="0" w:evenVBand="0" w:oddHBand="0" w:evenHBand="1" w:firstRowFirstColumn="0" w:firstRowLastColumn="0" w:lastRowFirstColumn="0" w:lastRowLastColumn="0"/>
        </w:trPr>
        <w:tc>
          <w:tcPr>
            <w:tcW w:w="1150" w:type="pct"/>
          </w:tcPr>
          <w:p w14:paraId="0ED21454" w14:textId="77777777" w:rsidR="00AA63A9" w:rsidRDefault="00AA63A9" w:rsidP="009130CC">
            <w:r>
              <w:t>Inspection</w:t>
            </w:r>
          </w:p>
        </w:tc>
        <w:tc>
          <w:tcPr>
            <w:tcW w:w="3850" w:type="pct"/>
          </w:tcPr>
          <w:p w14:paraId="2C6298C8" w14:textId="77777777" w:rsidR="00AA63A9" w:rsidRDefault="00AA63A9" w:rsidP="00690A65">
            <w:r>
              <w:t>VSO may conduct an inspection to assess whether or not a regulated entity complies with the legislation and any conditions of the approval they hold.</w:t>
            </w:r>
          </w:p>
        </w:tc>
      </w:tr>
      <w:tr w:rsidR="00AA63A9" w14:paraId="4D249233" w14:textId="77777777" w:rsidTr="009130CC">
        <w:tc>
          <w:tcPr>
            <w:tcW w:w="1150" w:type="pct"/>
          </w:tcPr>
          <w:p w14:paraId="60281F8F" w14:textId="77777777" w:rsidR="00AA63A9" w:rsidRDefault="00AA63A9" w:rsidP="009130CC">
            <w:r>
              <w:t>Inspector</w:t>
            </w:r>
          </w:p>
        </w:tc>
        <w:tc>
          <w:tcPr>
            <w:tcW w:w="3850" w:type="pct"/>
          </w:tcPr>
          <w:p w14:paraId="7E4F8EC2" w14:textId="77777777" w:rsidR="00AA63A9" w:rsidRDefault="00F02F88" w:rsidP="00F02F88">
            <w:r>
              <w:t>Means a</w:t>
            </w:r>
            <w:r w:rsidR="00AA63A9">
              <w:t xml:space="preserve"> person appointed </w:t>
            </w:r>
            <w:r>
              <w:t xml:space="preserve">as an inspector </w:t>
            </w:r>
            <w:r w:rsidR="00AA63A9">
              <w:t xml:space="preserve">under </w:t>
            </w:r>
            <w:r>
              <w:t xml:space="preserve">s.49 of </w:t>
            </w:r>
            <w:r w:rsidR="00AA63A9">
              <w:t xml:space="preserve">the RVSA </w:t>
            </w:r>
          </w:p>
        </w:tc>
      </w:tr>
      <w:tr w:rsidR="00530946" w14:paraId="3BEEE40F"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0F0993C2" w14:textId="1FC301F2" w:rsidR="00530946" w:rsidRPr="000B4420" w:rsidRDefault="00F87881" w:rsidP="00530946">
            <w:r>
              <w:t>Motor Vehicle Standards Act 1989 (</w:t>
            </w:r>
            <w:r w:rsidR="00530946">
              <w:t>MVSA</w:t>
            </w:r>
            <w:r>
              <w:t>)</w:t>
            </w:r>
          </w:p>
        </w:tc>
        <w:tc>
          <w:tcPr>
            <w:tcW w:w="3850" w:type="pct"/>
          </w:tcPr>
          <w:p w14:paraId="7D763C29" w14:textId="2478C4E2" w:rsidR="00530946" w:rsidRPr="00AA63A9" w:rsidRDefault="00F87881" w:rsidP="00F87881">
            <w:pPr>
              <w:spacing w:after="0"/>
            </w:pPr>
            <w:r w:rsidRPr="00F87881">
              <w:t xml:space="preserve">An Act to provide for national motor vehicle standards and for related purposes. The MVSA will be replaced by the </w:t>
            </w:r>
            <w:hyperlink r:id="rId19" w:anchor="RVSlegislation" w:tooltip="Jump to RVS legislation" w:history="1">
              <w:r w:rsidRPr="00F87881">
                <w:t>RVS legislation</w:t>
              </w:r>
            </w:hyperlink>
            <w:r w:rsidRPr="00F87881">
              <w:t>—full implementation of the RVS legislation is anticipated by July 2021</w:t>
            </w:r>
            <w:r>
              <w:rPr>
                <w:rFonts w:ascii="Helvetica" w:hAnsi="Helvetica"/>
              </w:rPr>
              <w:t>.</w:t>
            </w:r>
          </w:p>
        </w:tc>
      </w:tr>
      <w:tr w:rsidR="00530946" w14:paraId="42365FB3" w14:textId="77777777" w:rsidTr="00530946">
        <w:tc>
          <w:tcPr>
            <w:tcW w:w="1150" w:type="pct"/>
          </w:tcPr>
          <w:p w14:paraId="56AFF455" w14:textId="5E3F729A" w:rsidR="00530946" w:rsidRDefault="00F87881" w:rsidP="00530946">
            <w:r>
              <w:t>Register of Approved Vehicles (</w:t>
            </w:r>
            <w:r w:rsidR="00530946">
              <w:t>RAV</w:t>
            </w:r>
            <w:r>
              <w:t>)</w:t>
            </w:r>
          </w:p>
        </w:tc>
        <w:tc>
          <w:tcPr>
            <w:tcW w:w="3850" w:type="pct"/>
          </w:tcPr>
          <w:p w14:paraId="373D3566" w14:textId="038D14E1" w:rsidR="00530946" w:rsidRPr="00F35040" w:rsidRDefault="00F87881" w:rsidP="00F87881">
            <w:pPr>
              <w:spacing w:after="0"/>
            </w:pPr>
            <w:r w:rsidRPr="00F87881">
              <w:t xml:space="preserve">A publicly accessible online database of vehicles that comply (or substantially comply) with applicable </w:t>
            </w:r>
            <w:hyperlink r:id="rId20" w:anchor="National" w:tooltip="Jump to National road vehicle standards" w:history="1">
              <w:r w:rsidRPr="00F87881">
                <w:t>national road vehicle standards</w:t>
              </w:r>
            </w:hyperlink>
            <w:r w:rsidRPr="00F87881">
              <w:t xml:space="preserve"> or are otherwise permitted for use on public roads under a concessional scheme. Generally, vehicles must be entered on the RAV with a </w:t>
            </w:r>
            <w:hyperlink r:id="rId21" w:anchor="VTA" w:tooltip="Jump to vehicle type approval" w:history="1">
              <w:r w:rsidRPr="00F87881">
                <w:t>vehicle type approval</w:t>
              </w:r>
            </w:hyperlink>
            <w:r w:rsidRPr="00F87881">
              <w:t xml:space="preserve"> or </w:t>
            </w:r>
            <w:hyperlink r:id="rId22" w:anchor="Concessional" w:tooltip="Jump to concessional RAV entry approval" w:history="1">
              <w:r w:rsidRPr="00F87881">
                <w:t>concessional RAV entry approval</w:t>
              </w:r>
            </w:hyperlink>
            <w:r w:rsidRPr="00F87881">
              <w:t xml:space="preserve"> before they are provided to the Australian market</w:t>
            </w:r>
            <w:r>
              <w:t>.</w:t>
            </w:r>
          </w:p>
        </w:tc>
      </w:tr>
      <w:tr w:rsidR="00530946" w14:paraId="78558BB7"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3B02211B" w14:textId="77777777" w:rsidR="00530946" w:rsidRDefault="00530946" w:rsidP="00530946">
            <w:r>
              <w:lastRenderedPageBreak/>
              <w:t>Regulated entity</w:t>
            </w:r>
          </w:p>
        </w:tc>
        <w:tc>
          <w:tcPr>
            <w:tcW w:w="3850" w:type="pct"/>
          </w:tcPr>
          <w:p w14:paraId="5BBCE2CC" w14:textId="78CABC7F" w:rsidR="00530946" w:rsidRDefault="00530946" w:rsidP="00F02F88">
            <w:r>
              <w:t xml:space="preserve">An individual or organisation engaged in the provision of </w:t>
            </w:r>
            <w:r w:rsidR="00F02F88">
              <w:t xml:space="preserve">road </w:t>
            </w:r>
            <w:r>
              <w:t xml:space="preserve">vehicles or components to the Australian market, as authorised through a </w:t>
            </w:r>
            <w:r w:rsidR="00BD1346">
              <w:t>Licence/Approval issued by the d</w:t>
            </w:r>
            <w:r>
              <w:t xml:space="preserve">epartment of Infrastructure, Transport, Regional Development and Communications, in accordance with the legislation. </w:t>
            </w:r>
          </w:p>
        </w:tc>
      </w:tr>
      <w:tr w:rsidR="00530946" w14:paraId="49BEB0D4" w14:textId="77777777" w:rsidTr="00530946">
        <w:tc>
          <w:tcPr>
            <w:tcW w:w="1150" w:type="pct"/>
          </w:tcPr>
          <w:p w14:paraId="04DDE2FF" w14:textId="77777777" w:rsidR="00530946" w:rsidRDefault="00AA63A9" w:rsidP="00530946">
            <w:r>
              <w:t>RPA</w:t>
            </w:r>
          </w:p>
        </w:tc>
        <w:tc>
          <w:tcPr>
            <w:tcW w:w="3850" w:type="pct"/>
          </w:tcPr>
          <w:p w14:paraId="4F59F952" w14:textId="77777777" w:rsidR="00530946" w:rsidRPr="001041E8" w:rsidRDefault="00530946" w:rsidP="00530946">
            <w:pPr>
              <w:spacing w:after="0"/>
            </w:pPr>
            <w:r w:rsidRPr="001041E8">
              <w:t>Regulatory Powers (Standard Provisions) Act 2014</w:t>
            </w:r>
          </w:p>
        </w:tc>
      </w:tr>
      <w:tr w:rsidR="00530946" w14:paraId="3020303D"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3392A064" w14:textId="77777777" w:rsidR="00530946" w:rsidRDefault="00530946" w:rsidP="00530946">
            <w:r>
              <w:t>Risk appetite</w:t>
            </w:r>
          </w:p>
        </w:tc>
        <w:tc>
          <w:tcPr>
            <w:tcW w:w="3850" w:type="pct"/>
          </w:tcPr>
          <w:p w14:paraId="1B1FDAF9" w14:textId="77777777" w:rsidR="00530946" w:rsidRDefault="00530946" w:rsidP="00530946">
            <w:r>
              <w:t xml:space="preserve">The amount of risk the department is willing to accept </w:t>
            </w:r>
            <w:r w:rsidR="00F02F88">
              <w:t>(</w:t>
            </w:r>
            <w:r>
              <w:t>or retain</w:t>
            </w:r>
            <w:r w:rsidR="00F02F88">
              <w:t>),</w:t>
            </w:r>
            <w:r>
              <w:t xml:space="preserve"> in order to achieve our purposes and objectives.</w:t>
            </w:r>
          </w:p>
        </w:tc>
      </w:tr>
      <w:tr w:rsidR="00530946" w14:paraId="1E4631DC" w14:textId="77777777" w:rsidTr="00530946">
        <w:tc>
          <w:tcPr>
            <w:tcW w:w="1150" w:type="pct"/>
          </w:tcPr>
          <w:p w14:paraId="5DE76D53" w14:textId="77777777" w:rsidR="00530946" w:rsidRDefault="00530946" w:rsidP="00530946">
            <w:r>
              <w:t>Risk tolerance</w:t>
            </w:r>
          </w:p>
        </w:tc>
        <w:tc>
          <w:tcPr>
            <w:tcW w:w="3850" w:type="pct"/>
          </w:tcPr>
          <w:p w14:paraId="1259E8D7" w14:textId="77777777" w:rsidR="00530946" w:rsidRDefault="00530946" w:rsidP="00530946">
            <w:r>
              <w:t xml:space="preserve">The levels of risk that are tolerable / acceptable to the department in order to manage a category or particular type of risk.  </w:t>
            </w:r>
          </w:p>
        </w:tc>
      </w:tr>
      <w:tr w:rsidR="00530946" w14:paraId="79CC70D8"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05F38FC7" w14:textId="77777777" w:rsidR="00530946" w:rsidRDefault="00530946" w:rsidP="00530946">
            <w:r>
              <w:t>ROVER</w:t>
            </w:r>
          </w:p>
        </w:tc>
        <w:tc>
          <w:tcPr>
            <w:tcW w:w="3850" w:type="pct"/>
          </w:tcPr>
          <w:p w14:paraId="6BDF8A60" w14:textId="77777777" w:rsidR="00530946" w:rsidRDefault="00476B4F" w:rsidP="00476B4F">
            <w:r w:rsidRPr="00BD1346">
              <w:t>RVSA’s</w:t>
            </w:r>
            <w:r>
              <w:rPr>
                <w:b/>
              </w:rPr>
              <w:t xml:space="preserve"> </w:t>
            </w:r>
            <w:r w:rsidR="00530946">
              <w:t xml:space="preserve">IT </w:t>
            </w:r>
            <w:r>
              <w:t xml:space="preserve">support </w:t>
            </w:r>
            <w:r w:rsidR="00530946">
              <w:t>system</w:t>
            </w:r>
          </w:p>
        </w:tc>
      </w:tr>
      <w:tr w:rsidR="00530946" w14:paraId="126C2802" w14:textId="77777777" w:rsidTr="00530946">
        <w:tc>
          <w:tcPr>
            <w:tcW w:w="1150" w:type="pct"/>
          </w:tcPr>
          <w:p w14:paraId="331204EE" w14:textId="4A8FADF0" w:rsidR="00530946" w:rsidRDefault="00530946" w:rsidP="00530946">
            <w:r>
              <w:t>R</w:t>
            </w:r>
            <w:r w:rsidR="00F87881">
              <w:t>oad Vehicle Standards Act 2018 (R</w:t>
            </w:r>
            <w:r>
              <w:t>VSA</w:t>
            </w:r>
            <w:r w:rsidR="00F87881">
              <w:t>)</w:t>
            </w:r>
          </w:p>
        </w:tc>
        <w:tc>
          <w:tcPr>
            <w:tcW w:w="3850" w:type="pct"/>
          </w:tcPr>
          <w:p w14:paraId="5553FF0B" w14:textId="5666B2CF" w:rsidR="00530946" w:rsidRPr="000E4AC0" w:rsidRDefault="00F87881" w:rsidP="00F87881">
            <w:pPr>
              <w:spacing w:after="0"/>
              <w:rPr>
                <w:i/>
              </w:rPr>
            </w:pPr>
            <w:r w:rsidRPr="00F87881">
              <w:t xml:space="preserve">An Act to provide for the regulation of road vehicles and road vehicle components, to set national road vehicle standards, and for other purposes. For more information, refer to the </w:t>
            </w:r>
            <w:hyperlink r:id="rId23" w:tooltip="Visit the Federal Register of Legislation website: Road Vehicle Standards Rules 2019" w:history="1">
              <w:r w:rsidRPr="00F87881">
                <w:t>Federal Register of Legislation</w:t>
              </w:r>
            </w:hyperlink>
            <w:r>
              <w:t>.</w:t>
            </w:r>
          </w:p>
        </w:tc>
      </w:tr>
      <w:tr w:rsidR="00530946" w14:paraId="4F74B7C5"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5A47947D" w14:textId="77777777" w:rsidR="00530946" w:rsidRDefault="00530946" w:rsidP="00530946">
            <w:r>
              <w:t>The department</w:t>
            </w:r>
          </w:p>
        </w:tc>
        <w:tc>
          <w:tcPr>
            <w:tcW w:w="3850" w:type="pct"/>
          </w:tcPr>
          <w:p w14:paraId="07186F5B" w14:textId="77777777" w:rsidR="00530946" w:rsidRDefault="00530946" w:rsidP="00530946">
            <w:r>
              <w:t>Department of Infrastructure, Transport, Regional Development and Communications</w:t>
            </w:r>
          </w:p>
        </w:tc>
      </w:tr>
      <w:tr w:rsidR="00530946" w14:paraId="227619CE" w14:textId="77777777" w:rsidTr="00530946">
        <w:tc>
          <w:tcPr>
            <w:tcW w:w="1150" w:type="pct"/>
          </w:tcPr>
          <w:p w14:paraId="4BBAE5DE" w14:textId="77777777" w:rsidR="00530946" w:rsidRDefault="00530946" w:rsidP="00530946">
            <w:r>
              <w:t>The model</w:t>
            </w:r>
          </w:p>
        </w:tc>
        <w:tc>
          <w:tcPr>
            <w:tcW w:w="3850" w:type="pct"/>
          </w:tcPr>
          <w:p w14:paraId="5C1165AA" w14:textId="77777777" w:rsidR="00530946" w:rsidRDefault="00530946" w:rsidP="00530946">
            <w:r>
              <w:t>Vehicle Safety Operations Compliance Model</w:t>
            </w:r>
          </w:p>
        </w:tc>
      </w:tr>
      <w:tr w:rsidR="00530946" w14:paraId="518A83F8" w14:textId="77777777" w:rsidTr="00530946">
        <w:trPr>
          <w:cnfStyle w:val="000000010000" w:firstRow="0" w:lastRow="0" w:firstColumn="0" w:lastColumn="0" w:oddVBand="0" w:evenVBand="0" w:oddHBand="0" w:evenHBand="1" w:firstRowFirstColumn="0" w:firstRowLastColumn="0" w:lastRowFirstColumn="0" w:lastRowLastColumn="0"/>
        </w:trPr>
        <w:tc>
          <w:tcPr>
            <w:tcW w:w="1150" w:type="pct"/>
          </w:tcPr>
          <w:p w14:paraId="27C8AEA8" w14:textId="77777777" w:rsidR="00530946" w:rsidRDefault="00530946" w:rsidP="00530946">
            <w:r>
              <w:t>VSO</w:t>
            </w:r>
          </w:p>
        </w:tc>
        <w:tc>
          <w:tcPr>
            <w:tcW w:w="3850" w:type="pct"/>
          </w:tcPr>
          <w:p w14:paraId="58E12D0F" w14:textId="77777777" w:rsidR="00530946" w:rsidRDefault="00530946" w:rsidP="00530946">
            <w:r w:rsidRPr="00FE2DEF">
              <w:t>Vehicle Safety Operations</w:t>
            </w:r>
            <w:r>
              <w:t xml:space="preserve"> branch within the department</w:t>
            </w:r>
          </w:p>
        </w:tc>
      </w:tr>
      <w:tr w:rsidR="00530946" w14:paraId="4C8336E6" w14:textId="77777777" w:rsidTr="00530946">
        <w:tc>
          <w:tcPr>
            <w:tcW w:w="1150" w:type="pct"/>
          </w:tcPr>
          <w:p w14:paraId="49F5B409" w14:textId="77777777" w:rsidR="00530946" w:rsidRDefault="00530946" w:rsidP="00530946">
            <w:r>
              <w:t>Warrant</w:t>
            </w:r>
          </w:p>
        </w:tc>
        <w:tc>
          <w:tcPr>
            <w:tcW w:w="3850" w:type="pct"/>
          </w:tcPr>
          <w:p w14:paraId="7208892B" w14:textId="77777777" w:rsidR="00530946" w:rsidRPr="001B3B5F" w:rsidRDefault="00530946" w:rsidP="00FE2DEF">
            <w:r>
              <w:t>Court-issued document authorising an inspector (‘authorised person’), entry to a premises and the seizure of things relevant to the purpose of the warrant. A warrant may be issued for monitoring or investigative purposes.</w:t>
            </w:r>
          </w:p>
        </w:tc>
      </w:tr>
      <w:bookmarkEnd w:id="0"/>
    </w:tbl>
    <w:p w14:paraId="60DDEE31" w14:textId="77777777" w:rsidR="00530946" w:rsidRDefault="00530946" w:rsidP="00013EEB"/>
    <w:sectPr w:rsidR="00530946" w:rsidSect="00775456">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4770A" w14:textId="77777777" w:rsidR="0078580F" w:rsidRDefault="0078580F" w:rsidP="008456D5">
      <w:pPr>
        <w:spacing w:before="0" w:after="0"/>
      </w:pPr>
      <w:r>
        <w:separator/>
      </w:r>
    </w:p>
  </w:endnote>
  <w:endnote w:type="continuationSeparator" w:id="0">
    <w:p w14:paraId="328F89FF" w14:textId="77777777" w:rsidR="0078580F" w:rsidRDefault="0078580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8828" w14:textId="77777777" w:rsidR="00E11F4A" w:rsidRDefault="00E11F4A"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8323F07" wp14:editId="5AA8A976">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7826DC7" w14:textId="320D68C6" w:rsidR="00E11F4A" w:rsidRPr="007A05BE" w:rsidRDefault="00E11F4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7C19">
                            <w:rPr>
                              <w:rStyle w:val="PageNumber"/>
                              <w:noProof/>
                            </w:rPr>
                            <w:t>11</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23F07"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07826DC7" w14:textId="320D68C6" w:rsidR="00E11F4A" w:rsidRPr="007A05BE" w:rsidRDefault="00E11F4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7C19">
                      <w:rPr>
                        <w:rStyle w:val="PageNumber"/>
                        <w:noProof/>
                      </w:rPr>
                      <w:t>11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137A08DF" wp14:editId="4BB30B82">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E1CB793" w14:textId="77777777" w:rsidR="00E11F4A" w:rsidRDefault="00E11F4A" w:rsidP="00180B5B">
                              <w:pPr>
                                <w:pStyle w:val="Footer"/>
                              </w:pPr>
                              <w:r>
                                <w:t>Our compliance approach and model</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A08DF"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E1CB793" w14:textId="77777777" w:rsidR="00E11F4A" w:rsidRDefault="00E11F4A" w:rsidP="00180B5B">
                        <w:pPr>
                          <w:pStyle w:val="Footer"/>
                        </w:pPr>
                        <w:r>
                          <w:t>Our compliance approach and model</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2ECD526B" wp14:editId="15DFA4B2">
          <wp:simplePos x="0" y="0"/>
          <wp:positionH relativeFrom="page">
            <wp:align>right</wp:align>
          </wp:positionH>
          <wp:positionV relativeFrom="page">
            <wp:align>bottom</wp:align>
          </wp:positionV>
          <wp:extent cx="10692000" cy="183240"/>
          <wp:effectExtent l="0" t="0" r="0" b="7620"/>
          <wp:wrapNone/>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B5D0" w14:textId="77777777" w:rsidR="00E11F4A" w:rsidRDefault="00E11F4A" w:rsidP="004D1742">
    <w:pPr>
      <w:pStyle w:val="Footer"/>
      <w:spacing w:before="480"/>
    </w:pPr>
    <w:r>
      <w:rPr>
        <w:noProof/>
        <w:lang w:eastAsia="en-AU"/>
      </w:rPr>
      <mc:AlternateContent>
        <mc:Choice Requires="wps">
          <w:drawing>
            <wp:anchor distT="0" distB="0" distL="114300" distR="114300" simplePos="0" relativeHeight="251662336" behindDoc="1" locked="1" layoutInCell="1" allowOverlap="1" wp14:anchorId="3FBE01A1" wp14:editId="77514378">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7A73773" w14:textId="5655A6B4" w:rsidR="00E11F4A" w:rsidRPr="007A05BE" w:rsidRDefault="00E11F4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7C19">
                            <w:rPr>
                              <w:rStyle w:val="PageNumber"/>
                              <w:noProof/>
                            </w:rPr>
                            <w:t>11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E01A1"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37A73773" w14:textId="5655A6B4" w:rsidR="00E11F4A" w:rsidRPr="007A05BE" w:rsidRDefault="00E11F4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7C19">
                      <w:rPr>
                        <w:rStyle w:val="PageNumber"/>
                        <w:noProof/>
                      </w:rPr>
                      <w:t>11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03964576" wp14:editId="36F384E1">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1A351929" w14:textId="5E3EAE22" w:rsidR="00E11F4A" w:rsidRDefault="00CD7558" w:rsidP="007A05BE">
                          <w:pPr>
                            <w:pStyle w:val="Footer"/>
                            <w:jc w:val="right"/>
                          </w:pPr>
                          <w:r>
                            <w:t xml:space="preserve">VSS.POL.13.0.1 </w:t>
                          </w:r>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r w:rsidR="00E11F4A">
                                <w:t>Our compliance approach and model</w:t>
                              </w:r>
                            </w:sdtContent>
                          </w:sdt>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4576"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p w14:paraId="1A351929" w14:textId="5E3EAE22" w:rsidR="00E11F4A" w:rsidRDefault="00CD7558" w:rsidP="007A05BE">
                    <w:pPr>
                      <w:pStyle w:val="Footer"/>
                      <w:jc w:val="right"/>
                    </w:pPr>
                    <w:r>
                      <w:t xml:space="preserve">VSS.POL.13.0.1 </w:t>
                    </w:r>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roofErr w:type="gramStart"/>
                        <w:r w:rsidR="00E11F4A">
                          <w:t>Our</w:t>
                        </w:r>
                        <w:proofErr w:type="gramEnd"/>
                        <w:r w:rsidR="00E11F4A">
                          <w:t xml:space="preserve"> compliance approach and model</w:t>
                        </w:r>
                      </w:sdtContent>
                    </w:sdt>
                  </w:p>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373D6A61" wp14:editId="4A26DF62">
          <wp:simplePos x="0" y="0"/>
          <wp:positionH relativeFrom="page">
            <wp:align>right</wp:align>
          </wp:positionH>
          <wp:positionV relativeFrom="page">
            <wp:align>bottom</wp:align>
          </wp:positionV>
          <wp:extent cx="10692000" cy="183240"/>
          <wp:effectExtent l="0" t="0" r="0" b="7620"/>
          <wp:wrapNone/>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6397E" w14:textId="77777777" w:rsidR="00E11F4A" w:rsidRDefault="00E11F4A" w:rsidP="004D1742">
    <w:pPr>
      <w:pStyle w:val="Footer"/>
      <w:spacing w:before="480"/>
    </w:pPr>
    <w:r>
      <w:rPr>
        <w:noProof/>
        <w:lang w:eastAsia="en-AU"/>
      </w:rPr>
      <mc:AlternateContent>
        <mc:Choice Requires="wps">
          <w:drawing>
            <wp:anchor distT="0" distB="0" distL="114300" distR="114300" simplePos="0" relativeHeight="251676672" behindDoc="1" locked="1" layoutInCell="1" allowOverlap="1" wp14:anchorId="50548BC4" wp14:editId="5682BDE3">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D458EDF" w14:textId="3FF83714" w:rsidR="00E11F4A" w:rsidRPr="007A05BE" w:rsidRDefault="00E11F4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7C19">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48BC4"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2D458EDF" w14:textId="3FF83714" w:rsidR="00E11F4A" w:rsidRPr="007A05BE" w:rsidRDefault="00E11F4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7C19">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70BB8594" wp14:editId="65006FFB">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2F561394" w14:textId="01797A42" w:rsidR="00E11F4A" w:rsidRDefault="00CD7558" w:rsidP="00D02062">
                          <w:pPr>
                            <w:pStyle w:val="Footer"/>
                            <w:jc w:val="right"/>
                          </w:pPr>
                          <w:r>
                            <w:t xml:space="preserve">VSS.POL.13.0.1 </w:t>
                          </w:r>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r w:rsidR="00E11F4A">
                                <w:t>Our compliance approach and model</w:t>
                              </w:r>
                            </w:sdtContent>
                          </w:sdt>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B8594"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p w14:paraId="2F561394" w14:textId="01797A42" w:rsidR="00E11F4A" w:rsidRDefault="00CD7558" w:rsidP="00D02062">
                    <w:pPr>
                      <w:pStyle w:val="Footer"/>
                      <w:jc w:val="right"/>
                    </w:pPr>
                    <w:r>
                      <w:t xml:space="preserve">VSS.POL.13.0.1 </w:t>
                    </w:r>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roofErr w:type="gramStart"/>
                        <w:r w:rsidR="00E11F4A">
                          <w:t>Our</w:t>
                        </w:r>
                        <w:proofErr w:type="gramEnd"/>
                        <w:r w:rsidR="00E11F4A">
                          <w:t xml:space="preserve"> compliance approach and model</w:t>
                        </w:r>
                      </w:sdtContent>
                    </w:sdt>
                  </w:p>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5CD4DBB4" wp14:editId="6CFD7B54">
          <wp:simplePos x="0" y="0"/>
          <wp:positionH relativeFrom="page">
            <wp:align>right</wp:align>
          </wp:positionH>
          <wp:positionV relativeFrom="page">
            <wp:align>bottom</wp:align>
          </wp:positionV>
          <wp:extent cx="10692000" cy="183240"/>
          <wp:effectExtent l="0" t="0" r="0" b="7620"/>
          <wp:wrapNone/>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854F" w14:textId="77777777" w:rsidR="0078580F" w:rsidRPr="005912BE" w:rsidRDefault="0078580F" w:rsidP="005912BE">
      <w:pPr>
        <w:spacing w:before="300"/>
        <w:rPr>
          <w:color w:val="4BB3B5" w:themeColor="accent2"/>
        </w:rPr>
      </w:pPr>
      <w:r>
        <w:rPr>
          <w:color w:val="4BB3B5" w:themeColor="accent2"/>
        </w:rPr>
        <w:t>----------</w:t>
      </w:r>
    </w:p>
  </w:footnote>
  <w:footnote w:type="continuationSeparator" w:id="0">
    <w:p w14:paraId="16B30765" w14:textId="77777777" w:rsidR="0078580F" w:rsidRDefault="0078580F"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CA27" w14:textId="3D1BD7A6" w:rsidR="00E11F4A" w:rsidRDefault="00E11F4A"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A5B5" w14:textId="1DDC672C" w:rsidR="00E11F4A" w:rsidRDefault="00661682" w:rsidP="004D1742">
    <w:pPr>
      <w:pStyle w:val="Header"/>
      <w:spacing w:after="480"/>
    </w:pPr>
    <w:fldSimple w:instr=" STYLEREF  &quot;Heading 1&quot; \l  \* MERGEFORMAT ">
      <w:r w:rsidR="0004562B">
        <w:rPr>
          <w:noProof/>
        </w:rPr>
        <w:t>Purpose and context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A7F2219"/>
    <w:multiLevelType w:val="hybridMultilevel"/>
    <w:tmpl w:val="9B5E0F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B7B"/>
    <w:rsid w:val="00005AC7"/>
    <w:rsid w:val="00013EEB"/>
    <w:rsid w:val="0001430B"/>
    <w:rsid w:val="0004562B"/>
    <w:rsid w:val="0005465B"/>
    <w:rsid w:val="000C1566"/>
    <w:rsid w:val="000D620B"/>
    <w:rsid w:val="000E24BA"/>
    <w:rsid w:val="000E5674"/>
    <w:rsid w:val="000F3FE6"/>
    <w:rsid w:val="001041E8"/>
    <w:rsid w:val="001349C6"/>
    <w:rsid w:val="00156EFA"/>
    <w:rsid w:val="00162969"/>
    <w:rsid w:val="00173AB0"/>
    <w:rsid w:val="00177BF1"/>
    <w:rsid w:val="00180B5B"/>
    <w:rsid w:val="001D4544"/>
    <w:rsid w:val="0021670B"/>
    <w:rsid w:val="002254D5"/>
    <w:rsid w:val="002254E4"/>
    <w:rsid w:val="0022611D"/>
    <w:rsid w:val="00236DE4"/>
    <w:rsid w:val="00253552"/>
    <w:rsid w:val="0026422D"/>
    <w:rsid w:val="002643C9"/>
    <w:rsid w:val="002738A2"/>
    <w:rsid w:val="00284164"/>
    <w:rsid w:val="002964BD"/>
    <w:rsid w:val="002B3569"/>
    <w:rsid w:val="002B467F"/>
    <w:rsid w:val="002B7197"/>
    <w:rsid w:val="002E1ADA"/>
    <w:rsid w:val="002F50E6"/>
    <w:rsid w:val="00300B16"/>
    <w:rsid w:val="003047E1"/>
    <w:rsid w:val="00310F4D"/>
    <w:rsid w:val="00313112"/>
    <w:rsid w:val="00316DDF"/>
    <w:rsid w:val="00370E2B"/>
    <w:rsid w:val="003720E9"/>
    <w:rsid w:val="00390F48"/>
    <w:rsid w:val="00395042"/>
    <w:rsid w:val="003A0E96"/>
    <w:rsid w:val="003C625A"/>
    <w:rsid w:val="003C680C"/>
    <w:rsid w:val="003C6B27"/>
    <w:rsid w:val="003D2106"/>
    <w:rsid w:val="003F3802"/>
    <w:rsid w:val="003F775D"/>
    <w:rsid w:val="004158B3"/>
    <w:rsid w:val="00420026"/>
    <w:rsid w:val="00420F04"/>
    <w:rsid w:val="0042471A"/>
    <w:rsid w:val="00450D0E"/>
    <w:rsid w:val="00476B4F"/>
    <w:rsid w:val="00477E77"/>
    <w:rsid w:val="004D1742"/>
    <w:rsid w:val="004F77AA"/>
    <w:rsid w:val="005035B9"/>
    <w:rsid w:val="005067A1"/>
    <w:rsid w:val="00530946"/>
    <w:rsid w:val="00541213"/>
    <w:rsid w:val="00546218"/>
    <w:rsid w:val="00551086"/>
    <w:rsid w:val="0056125F"/>
    <w:rsid w:val="00562CC3"/>
    <w:rsid w:val="005653A9"/>
    <w:rsid w:val="00565C56"/>
    <w:rsid w:val="005912BE"/>
    <w:rsid w:val="0059176B"/>
    <w:rsid w:val="00596A4A"/>
    <w:rsid w:val="005A26C8"/>
    <w:rsid w:val="005A47EC"/>
    <w:rsid w:val="005A7CAD"/>
    <w:rsid w:val="005B342B"/>
    <w:rsid w:val="005F2189"/>
    <w:rsid w:val="005F4EE9"/>
    <w:rsid w:val="005F4F90"/>
    <w:rsid w:val="005F794B"/>
    <w:rsid w:val="00611CC1"/>
    <w:rsid w:val="0061563B"/>
    <w:rsid w:val="0062145F"/>
    <w:rsid w:val="00633B38"/>
    <w:rsid w:val="0066062B"/>
    <w:rsid w:val="00661682"/>
    <w:rsid w:val="006740BF"/>
    <w:rsid w:val="00686A7B"/>
    <w:rsid w:val="00690A65"/>
    <w:rsid w:val="00692AF2"/>
    <w:rsid w:val="006A266A"/>
    <w:rsid w:val="006A35D5"/>
    <w:rsid w:val="006B4FC0"/>
    <w:rsid w:val="006E1ECA"/>
    <w:rsid w:val="00700066"/>
    <w:rsid w:val="0073352B"/>
    <w:rsid w:val="0075426F"/>
    <w:rsid w:val="00775456"/>
    <w:rsid w:val="007779FB"/>
    <w:rsid w:val="0078580F"/>
    <w:rsid w:val="007A05BE"/>
    <w:rsid w:val="007A05DB"/>
    <w:rsid w:val="007A7498"/>
    <w:rsid w:val="007D3B00"/>
    <w:rsid w:val="007E4270"/>
    <w:rsid w:val="007F7986"/>
    <w:rsid w:val="008067A1"/>
    <w:rsid w:val="00807C19"/>
    <w:rsid w:val="00811BBA"/>
    <w:rsid w:val="00812047"/>
    <w:rsid w:val="00831C43"/>
    <w:rsid w:val="008456D5"/>
    <w:rsid w:val="0084634B"/>
    <w:rsid w:val="008772F4"/>
    <w:rsid w:val="00880AF0"/>
    <w:rsid w:val="008A1887"/>
    <w:rsid w:val="008B6A81"/>
    <w:rsid w:val="008C53DF"/>
    <w:rsid w:val="008D1669"/>
    <w:rsid w:val="008D6AF9"/>
    <w:rsid w:val="008E2A0D"/>
    <w:rsid w:val="008F36B3"/>
    <w:rsid w:val="008F402B"/>
    <w:rsid w:val="009130CC"/>
    <w:rsid w:val="00913F7D"/>
    <w:rsid w:val="00930CF1"/>
    <w:rsid w:val="00967395"/>
    <w:rsid w:val="00981BC1"/>
    <w:rsid w:val="009909EC"/>
    <w:rsid w:val="00996B8C"/>
    <w:rsid w:val="009A3ADA"/>
    <w:rsid w:val="009B00F2"/>
    <w:rsid w:val="009B6C4C"/>
    <w:rsid w:val="009C2C63"/>
    <w:rsid w:val="009D0B93"/>
    <w:rsid w:val="009F3B7B"/>
    <w:rsid w:val="00A070A2"/>
    <w:rsid w:val="00A13F73"/>
    <w:rsid w:val="00A146EE"/>
    <w:rsid w:val="00A55479"/>
    <w:rsid w:val="00A62376"/>
    <w:rsid w:val="00A8311D"/>
    <w:rsid w:val="00A95970"/>
    <w:rsid w:val="00AA63A9"/>
    <w:rsid w:val="00AC3016"/>
    <w:rsid w:val="00AC7005"/>
    <w:rsid w:val="00AD7703"/>
    <w:rsid w:val="00B017AC"/>
    <w:rsid w:val="00B0484D"/>
    <w:rsid w:val="00B2353F"/>
    <w:rsid w:val="00B408E9"/>
    <w:rsid w:val="00B42AC2"/>
    <w:rsid w:val="00B455EE"/>
    <w:rsid w:val="00B45A51"/>
    <w:rsid w:val="00B9061B"/>
    <w:rsid w:val="00BA4FC5"/>
    <w:rsid w:val="00BB3AAC"/>
    <w:rsid w:val="00BD1346"/>
    <w:rsid w:val="00BE3AD8"/>
    <w:rsid w:val="00BE5F96"/>
    <w:rsid w:val="00BF0398"/>
    <w:rsid w:val="00C1655E"/>
    <w:rsid w:val="00C25557"/>
    <w:rsid w:val="00C26458"/>
    <w:rsid w:val="00C43C36"/>
    <w:rsid w:val="00C461E6"/>
    <w:rsid w:val="00C51012"/>
    <w:rsid w:val="00C53A20"/>
    <w:rsid w:val="00CC0C67"/>
    <w:rsid w:val="00CC3188"/>
    <w:rsid w:val="00CC5AD8"/>
    <w:rsid w:val="00CD233E"/>
    <w:rsid w:val="00CD7558"/>
    <w:rsid w:val="00CE1042"/>
    <w:rsid w:val="00CF6CFD"/>
    <w:rsid w:val="00D02062"/>
    <w:rsid w:val="00D127B4"/>
    <w:rsid w:val="00D26439"/>
    <w:rsid w:val="00D32A0D"/>
    <w:rsid w:val="00D413DA"/>
    <w:rsid w:val="00D5655E"/>
    <w:rsid w:val="00D81402"/>
    <w:rsid w:val="00D818AE"/>
    <w:rsid w:val="00D96C05"/>
    <w:rsid w:val="00DA1AB6"/>
    <w:rsid w:val="00DC6766"/>
    <w:rsid w:val="00DE4362"/>
    <w:rsid w:val="00DE4FE2"/>
    <w:rsid w:val="00E02A9A"/>
    <w:rsid w:val="00E04908"/>
    <w:rsid w:val="00E11F4A"/>
    <w:rsid w:val="00E2218A"/>
    <w:rsid w:val="00E32E0A"/>
    <w:rsid w:val="00E874AF"/>
    <w:rsid w:val="00E94FDD"/>
    <w:rsid w:val="00E95BA5"/>
    <w:rsid w:val="00EA5E36"/>
    <w:rsid w:val="00ED3D23"/>
    <w:rsid w:val="00EF0583"/>
    <w:rsid w:val="00F02F88"/>
    <w:rsid w:val="00F11869"/>
    <w:rsid w:val="00F1413D"/>
    <w:rsid w:val="00F1428D"/>
    <w:rsid w:val="00F52FAB"/>
    <w:rsid w:val="00F55519"/>
    <w:rsid w:val="00F56C9B"/>
    <w:rsid w:val="00F67CDB"/>
    <w:rsid w:val="00F80F28"/>
    <w:rsid w:val="00F87881"/>
    <w:rsid w:val="00F934E9"/>
    <w:rsid w:val="00FC32B2"/>
    <w:rsid w:val="00FC34AF"/>
    <w:rsid w:val="00FE2DEF"/>
    <w:rsid w:val="00FE4F7E"/>
    <w:rsid w:val="00FF30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F5D89"/>
  <w15:chartTrackingRefBased/>
  <w15:docId w15:val="{30E77482-3F11-4C68-A342-7B89249A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310F4D"/>
    <w:pPr>
      <w:keepLines/>
      <w:tabs>
        <w:tab w:val="right" w:pos="9854"/>
      </w:tabs>
      <w:ind w:left="567" w:hanging="567"/>
    </w:pPr>
    <w:rPr>
      <w:sz w:val="24"/>
      <w:u w:color="4BB3B5" w:themeColor="accent2"/>
    </w:rPr>
  </w:style>
  <w:style w:type="paragraph" w:styleId="TOC2">
    <w:name w:val="toc 2"/>
    <w:basedOn w:val="Normal"/>
    <w:next w:val="Normal"/>
    <w:autoRedefine/>
    <w:uiPriority w:val="39"/>
    <w:rsid w:val="00310F4D"/>
    <w:pPr>
      <w:keepLines/>
      <w:spacing w:before="80"/>
      <w:ind w:left="128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BalloonText">
    <w:name w:val="Balloon Text"/>
    <w:basedOn w:val="Normal"/>
    <w:link w:val="BalloonTextChar"/>
    <w:uiPriority w:val="99"/>
    <w:semiHidden/>
    <w:unhideWhenUsed/>
    <w:rsid w:val="005309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46"/>
    <w:rPr>
      <w:rFonts w:ascii="Segoe UI" w:hAnsi="Segoe UI" w:cs="Segoe UI"/>
      <w:kern w:val="12"/>
      <w:sz w:val="18"/>
      <w:szCs w:val="18"/>
    </w:rPr>
  </w:style>
  <w:style w:type="character" w:styleId="CommentReference">
    <w:name w:val="annotation reference"/>
    <w:basedOn w:val="DefaultParagraphFont"/>
    <w:uiPriority w:val="99"/>
    <w:semiHidden/>
    <w:unhideWhenUsed/>
    <w:rsid w:val="007F7986"/>
    <w:rPr>
      <w:sz w:val="16"/>
      <w:szCs w:val="16"/>
    </w:rPr>
  </w:style>
  <w:style w:type="paragraph" w:styleId="CommentText">
    <w:name w:val="annotation text"/>
    <w:basedOn w:val="Normal"/>
    <w:link w:val="CommentTextChar"/>
    <w:uiPriority w:val="99"/>
    <w:semiHidden/>
    <w:unhideWhenUsed/>
    <w:rsid w:val="007F7986"/>
  </w:style>
  <w:style w:type="character" w:customStyle="1" w:styleId="CommentTextChar">
    <w:name w:val="Comment Text Char"/>
    <w:basedOn w:val="DefaultParagraphFont"/>
    <w:link w:val="CommentText"/>
    <w:uiPriority w:val="99"/>
    <w:semiHidden/>
    <w:rsid w:val="007F7986"/>
    <w:rPr>
      <w:kern w:val="12"/>
    </w:rPr>
  </w:style>
  <w:style w:type="paragraph" w:styleId="CommentSubject">
    <w:name w:val="annotation subject"/>
    <w:basedOn w:val="CommentText"/>
    <w:next w:val="CommentText"/>
    <w:link w:val="CommentSubjectChar"/>
    <w:uiPriority w:val="99"/>
    <w:semiHidden/>
    <w:unhideWhenUsed/>
    <w:rsid w:val="007F7986"/>
    <w:rPr>
      <w:b/>
      <w:bCs/>
    </w:rPr>
  </w:style>
  <w:style w:type="character" w:customStyle="1" w:styleId="CommentSubjectChar">
    <w:name w:val="Comment Subject Char"/>
    <w:basedOn w:val="CommentTextChar"/>
    <w:link w:val="CommentSubject"/>
    <w:uiPriority w:val="99"/>
    <w:semiHidden/>
    <w:rsid w:val="007F7986"/>
    <w:rPr>
      <w:b/>
      <w:bCs/>
      <w:kern w:val="12"/>
    </w:rPr>
  </w:style>
  <w:style w:type="character" w:styleId="FollowedHyperlink">
    <w:name w:val="FollowedHyperlink"/>
    <w:basedOn w:val="DefaultParagraphFont"/>
    <w:uiPriority w:val="99"/>
    <w:semiHidden/>
    <w:unhideWhenUsed/>
    <w:rsid w:val="00F02F88"/>
    <w:rPr>
      <w:color w:val="0046FF" w:themeColor="followedHyperlink"/>
      <w:u w:val="single"/>
    </w:rPr>
  </w:style>
  <w:style w:type="paragraph" w:styleId="ListParagraph">
    <w:name w:val="List Paragraph"/>
    <w:basedOn w:val="Normal"/>
    <w:uiPriority w:val="34"/>
    <w:qFormat/>
    <w:rsid w:val="00C51012"/>
    <w:pPr>
      <w:suppressAutoHyphens w:val="0"/>
      <w:spacing w:before="0" w:after="0"/>
      <w:ind w:left="720"/>
    </w:pPr>
    <w:rPr>
      <w:rFonts w:ascii="Calibri" w:hAnsi="Calibri" w:cs="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528788">
      <w:bodyDiv w:val="1"/>
      <w:marLeft w:val="0"/>
      <w:marRight w:val="0"/>
      <w:marTop w:val="0"/>
      <w:marBottom w:val="0"/>
      <w:divBdr>
        <w:top w:val="none" w:sz="0" w:space="0" w:color="auto"/>
        <w:left w:val="none" w:sz="0" w:space="0" w:color="auto"/>
        <w:bottom w:val="none" w:sz="0" w:space="0" w:color="auto"/>
        <w:right w:val="none" w:sz="0" w:space="0" w:color="auto"/>
      </w:divBdr>
    </w:div>
    <w:div w:id="1175997877">
      <w:bodyDiv w:val="1"/>
      <w:marLeft w:val="0"/>
      <w:marRight w:val="0"/>
      <w:marTop w:val="0"/>
      <w:marBottom w:val="0"/>
      <w:divBdr>
        <w:top w:val="none" w:sz="0" w:space="0" w:color="auto"/>
        <w:left w:val="none" w:sz="0" w:space="0" w:color="auto"/>
        <w:bottom w:val="none" w:sz="0" w:space="0" w:color="auto"/>
        <w:right w:val="none" w:sz="0" w:space="0" w:color="auto"/>
      </w:divBdr>
    </w:div>
    <w:div w:id="20011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nfrastructure.gov.au/vehicles/rvs/rvs_glossary_of_terms.aspx"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infrastructure.gov.au/vehicles/rvs/rvs_glossary_of_terms.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nfrastructure.gov.au/vehicles/compliance_and_enforcement/index.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nfrastructure.gov.au/vehicles/rvs/index.aspx" TargetMode="External"/><Relationship Id="rId20" Type="http://schemas.openxmlformats.org/officeDocument/2006/relationships/hyperlink" Target="https://www.infrastructure.gov.au/vehicles/rvs/rvs_glossary_of_term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legislation.gov.au/Details/F2020C00322" TargetMode="External"/><Relationship Id="rId10" Type="http://schemas.openxmlformats.org/officeDocument/2006/relationships/header" Target="header1.xml"/><Relationship Id="rId19" Type="http://schemas.openxmlformats.org/officeDocument/2006/relationships/hyperlink" Target="https://www.infrastructure.gov.au/vehicles/rvs/rvs_glossary_of_terms.asp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www.infrastructure.gov.au/vehicles/rvs/rvs_glossary_of_term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8F3E86C57A4575960C0A664C61D1D9"/>
        <w:category>
          <w:name w:val="General"/>
          <w:gallery w:val="placeholder"/>
        </w:category>
        <w:types>
          <w:type w:val="bbPlcHdr"/>
        </w:types>
        <w:behaviors>
          <w:behavior w:val="content"/>
        </w:behaviors>
        <w:guid w:val="{636C25C4-E83A-43C8-A47F-648C22D27ECB}"/>
      </w:docPartPr>
      <w:docPartBody>
        <w:p w:rsidR="00194E53" w:rsidRDefault="00894153">
          <w:pPr>
            <w:pStyle w:val="6D8F3E86C57A4575960C0A664C61D1D9"/>
          </w:pPr>
          <w:r w:rsidRPr="00EC51DD">
            <w:rPr>
              <w:rStyle w:val="PlaceholderText"/>
            </w:rPr>
            <w:t>[Title]</w:t>
          </w:r>
        </w:p>
      </w:docPartBody>
    </w:docPart>
    <w:docPart>
      <w:docPartPr>
        <w:name w:val="7A2F6B584C094393BA552931E79200A8"/>
        <w:category>
          <w:name w:val="General"/>
          <w:gallery w:val="placeholder"/>
        </w:category>
        <w:types>
          <w:type w:val="bbPlcHdr"/>
        </w:types>
        <w:behaviors>
          <w:behavior w:val="content"/>
        </w:behaviors>
        <w:guid w:val="{B99FD24B-AB3A-4449-8036-83042A94ED99}"/>
      </w:docPartPr>
      <w:docPartBody>
        <w:p w:rsidR="00194E53" w:rsidRDefault="00894153">
          <w:pPr>
            <w:pStyle w:val="7A2F6B584C094393BA552931E79200A8"/>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53"/>
    <w:rsid w:val="000A3898"/>
    <w:rsid w:val="00194E53"/>
    <w:rsid w:val="0044081A"/>
    <w:rsid w:val="005546EF"/>
    <w:rsid w:val="007309EC"/>
    <w:rsid w:val="007B37B0"/>
    <w:rsid w:val="00877938"/>
    <w:rsid w:val="00894153"/>
    <w:rsid w:val="008C2C17"/>
    <w:rsid w:val="00AE1B4F"/>
    <w:rsid w:val="00BF4A0B"/>
    <w:rsid w:val="00C25A24"/>
    <w:rsid w:val="00CB7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8F3E86C57A4575960C0A664C61D1D9">
    <w:name w:val="6D8F3E86C57A4575960C0A664C61D1D9"/>
  </w:style>
  <w:style w:type="paragraph" w:customStyle="1" w:styleId="7A2F6B584C094393BA552931E79200A8">
    <w:name w:val="7A2F6B584C094393BA552931E7920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C547F2-DCF1-4AFB-9424-D714BB7F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1</TotalTime>
  <Pages>11</Pages>
  <Words>4836</Words>
  <Characters>27812</Characters>
  <Application>Microsoft Office Word</Application>
  <DocSecurity>4</DocSecurity>
  <Lines>448</Lines>
  <Paragraphs>294</Paragraphs>
  <ScaleCrop>false</ScaleCrop>
  <HeadingPairs>
    <vt:vector size="2" baseType="variant">
      <vt:variant>
        <vt:lpstr>Title</vt:lpstr>
      </vt:variant>
      <vt:variant>
        <vt:i4>1</vt:i4>
      </vt:variant>
    </vt:vector>
  </HeadingPairs>
  <TitlesOfParts>
    <vt:vector size="1" baseType="lpstr">
      <vt:lpstr>Our compliance approach and model</vt:lpstr>
    </vt:vector>
  </TitlesOfParts>
  <Company>Department of Infrastructure &amp; Regional Development</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compliance approach and model</dc:title>
  <dc:subject/>
  <dc:creator>CONNELL Erik</dc:creator>
  <cp:keywords/>
  <dc:description/>
  <cp:lastModifiedBy>CONNELL Erik</cp:lastModifiedBy>
  <cp:revision>2</cp:revision>
  <cp:lastPrinted>2021-06-01T06:36:00Z</cp:lastPrinted>
  <dcterms:created xsi:type="dcterms:W3CDTF">2022-05-02T01:27:00Z</dcterms:created>
  <dcterms:modified xsi:type="dcterms:W3CDTF">2022-05-02T01:27:00Z</dcterms:modified>
</cp:coreProperties>
</file>