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509" w:rsidRDefault="00FE45D0" w:rsidP="00957A8C">
      <w:pPr>
        <w:spacing w:before="240" w:after="480"/>
      </w:pPr>
      <w:r>
        <w:rPr>
          <w:noProof/>
        </w:rPr>
        <w:drawing>
          <wp:inline distT="0" distB="0" distL="0" distR="0">
            <wp:extent cx="5679079" cy="933450"/>
            <wp:effectExtent l="0" t="0" r="0" b="0"/>
            <wp:docPr id="1" name="Picture 1"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TRDCSA_In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4886" cy="934405"/>
                    </a:xfrm>
                    <a:prstGeom prst="rect">
                      <a:avLst/>
                    </a:prstGeom>
                  </pic:spPr>
                </pic:pic>
              </a:graphicData>
            </a:graphic>
          </wp:inline>
        </w:drawing>
      </w:r>
      <w:bookmarkStart w:id="0" w:name="_GoBack"/>
      <w:bookmarkEnd w:id="0"/>
    </w:p>
    <w:p w:rsidR="00906533" w:rsidRPr="00B041CB" w:rsidRDefault="00F352FE" w:rsidP="00E0330E">
      <w:pPr>
        <w:pStyle w:val="Heading1"/>
        <w:spacing w:before="240"/>
      </w:pPr>
      <w:r>
        <w:rPr>
          <w:sz w:val="48"/>
          <w:szCs w:val="48"/>
        </w:rPr>
        <w:t>urban</w:t>
      </w:r>
      <w:r w:rsidRPr="00F4684C">
        <w:rPr>
          <w:sz w:val="48"/>
          <w:szCs w:val="48"/>
        </w:rPr>
        <w:t xml:space="preserve"> Precincts and Partnerships Program</w:t>
      </w:r>
      <w:r>
        <w:rPr>
          <w:sz w:val="48"/>
          <w:szCs w:val="48"/>
        </w:rPr>
        <w:t>—Announced</w:t>
      </w:r>
      <w:r w:rsidRPr="00F4684C">
        <w:rPr>
          <w:sz w:val="48"/>
          <w:szCs w:val="48"/>
        </w:rPr>
        <w:t xml:space="preserve"> Projects</w:t>
      </w:r>
    </w:p>
    <w:p w:rsidR="00B041CB" w:rsidRDefault="00F352FE" w:rsidP="00E0330E">
      <w:pPr>
        <w:suppressAutoHyphens/>
        <w:spacing w:before="120" w:after="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782219">
        <w:rPr>
          <w:rFonts w:eastAsia="Calibri" w:cs="Times New Roman"/>
          <w:b/>
          <w:color w:val="081E3E"/>
          <w:kern w:val="12"/>
          <w:szCs w:val="20"/>
        </w:rPr>
        <w:t>5</w:t>
      </w:r>
    </w:p>
    <w:p w:rsidR="00F352FE" w:rsidRDefault="00F352FE" w:rsidP="00F352FE">
      <w:pPr>
        <w:pBdr>
          <w:bottom w:val="single" w:sz="4" w:space="1" w:color="C0D48F"/>
        </w:pBdr>
        <w:suppressAutoHyphens/>
        <w:spacing w:before="160" w:after="360"/>
        <w:rPr>
          <w:rFonts w:eastAsia="Calibri" w:cs="Times New Roman"/>
          <w:color w:val="000000"/>
          <w:kern w:val="12"/>
          <w:szCs w:val="20"/>
        </w:rPr>
        <w:sectPr w:rsidR="00F352FE" w:rsidSect="00F352FE">
          <w:footerReference w:type="default" r:id="rId9"/>
          <w:footerReference w:type="first" r:id="rId10"/>
          <w:pgSz w:w="16838" w:h="11906" w:orient="landscape"/>
          <w:pgMar w:top="1134" w:right="1276" w:bottom="991" w:left="1276" w:header="567" w:footer="0" w:gutter="0"/>
          <w:cols w:space="708"/>
          <w:titlePg/>
          <w:docGrid w:linePitch="360"/>
        </w:sectPr>
      </w:pPr>
    </w:p>
    <w:p w:rsidR="00F352FE" w:rsidRPr="00B041CB" w:rsidRDefault="00F352FE" w:rsidP="00F352FE">
      <w:pPr>
        <w:pBdr>
          <w:bottom w:val="single" w:sz="4" w:space="1" w:color="C0D48F"/>
        </w:pBdr>
        <w:suppressAutoHyphens/>
        <w:spacing w:before="160" w:after="360"/>
        <w:rPr>
          <w:rFonts w:eastAsia="Calibri" w:cs="Times New Roman"/>
          <w:color w:val="000000"/>
          <w:kern w:val="12"/>
          <w:szCs w:val="20"/>
        </w:rPr>
      </w:pPr>
    </w:p>
    <w:tbl>
      <w:tblPr>
        <w:tblStyle w:val="DefaultTable11"/>
        <w:tblW w:w="5367" w:type="pct"/>
        <w:tblInd w:w="-426" w:type="dxa"/>
        <w:tblLook w:val="04A0" w:firstRow="1" w:lastRow="0" w:firstColumn="1" w:lastColumn="0" w:noHBand="0" w:noVBand="1"/>
        <w:tblDescription w:val="urban Precincts and Partnerships Program—Announced Projects—October 2025"/>
      </w:tblPr>
      <w:tblGrid>
        <w:gridCol w:w="1421"/>
        <w:gridCol w:w="1786"/>
        <w:gridCol w:w="1786"/>
        <w:gridCol w:w="3938"/>
        <w:gridCol w:w="1785"/>
        <w:gridCol w:w="1052"/>
        <w:gridCol w:w="1785"/>
        <w:gridCol w:w="1782"/>
      </w:tblGrid>
      <w:tr w:rsidR="00CE6350" w:rsidRPr="00654F9E" w:rsidTr="00F352F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Pr="00244E39" w:rsidRDefault="00CE6350" w:rsidP="00C01BC7">
            <w:pPr>
              <w:pStyle w:val="Tablerowcolumnheading"/>
              <w:spacing w:before="40" w:after="40"/>
              <w:rPr>
                <w:b/>
                <w:sz w:val="22"/>
                <w:szCs w:val="22"/>
              </w:rPr>
            </w:pPr>
            <w:r>
              <w:rPr>
                <w:b/>
                <w:sz w:val="22"/>
                <w:szCs w:val="22"/>
              </w:rPr>
              <w:t>u</w:t>
            </w:r>
            <w:r w:rsidRPr="00244E39">
              <w:rPr>
                <w:b/>
                <w:sz w:val="22"/>
                <w:szCs w:val="22"/>
              </w:rPr>
              <w:t>PPP Program stream</w:t>
            </w:r>
          </w:p>
        </w:tc>
        <w:tc>
          <w:tcPr>
            <w:tcW w:w="582" w:type="pct"/>
          </w:tcPr>
          <w:p w:rsidR="00CE6350" w:rsidRPr="00244E39" w:rsidRDefault="00CE6350" w:rsidP="00C01BC7">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Applicant Organisation</w:t>
            </w:r>
          </w:p>
        </w:tc>
        <w:tc>
          <w:tcPr>
            <w:tcW w:w="582" w:type="pct"/>
          </w:tcPr>
          <w:p w:rsidR="00CE6350" w:rsidRPr="00244E39" w:rsidRDefault="00CE6350" w:rsidP="00C01BC7">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Project Title</w:t>
            </w:r>
          </w:p>
        </w:tc>
        <w:tc>
          <w:tcPr>
            <w:tcW w:w="1284" w:type="pct"/>
          </w:tcPr>
          <w:p w:rsidR="00CE6350" w:rsidRPr="00244E39" w:rsidRDefault="00CE6350" w:rsidP="00C01BC7">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 xml:space="preserve">Project Description </w:t>
            </w:r>
          </w:p>
        </w:tc>
        <w:tc>
          <w:tcPr>
            <w:tcW w:w="582" w:type="pct"/>
          </w:tcPr>
          <w:p w:rsidR="00CE6350" w:rsidRPr="00244E39" w:rsidRDefault="00CE6350" w:rsidP="00C01BC7">
            <w:pPr>
              <w:pStyle w:val="Tablerowcolumnheading"/>
              <w:spacing w:before="40" w:after="40"/>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 xml:space="preserve">Project Location </w:t>
            </w:r>
          </w:p>
        </w:tc>
        <w:tc>
          <w:tcPr>
            <w:tcW w:w="343" w:type="pct"/>
          </w:tcPr>
          <w:p w:rsidR="00CE6350" w:rsidRPr="00244E39" w:rsidRDefault="00CE6350" w:rsidP="00C01BC7">
            <w:pPr>
              <w:pStyle w:val="Tablerowcolumnheading"/>
              <w:spacing w:before="40" w:after="40"/>
              <w:jc w:val="center"/>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State</w:t>
            </w:r>
          </w:p>
        </w:tc>
        <w:tc>
          <w:tcPr>
            <w:tcW w:w="582" w:type="pct"/>
          </w:tcPr>
          <w:p w:rsidR="00CE6350" w:rsidRPr="00244E39" w:rsidRDefault="00CE6350" w:rsidP="00C01BC7">
            <w:pPr>
              <w:pStyle w:val="Tablerowcolumnheading"/>
              <w:spacing w:before="40" w:after="40"/>
              <w:jc w:val="center"/>
              <w:cnfStyle w:val="100000000000" w:firstRow="1" w:lastRow="0" w:firstColumn="0" w:lastColumn="0" w:oddVBand="0" w:evenVBand="0" w:oddHBand="0" w:evenHBand="0" w:firstRowFirstColumn="0" w:firstRowLastColumn="0" w:lastRowFirstColumn="0" w:lastRowLastColumn="0"/>
              <w:rPr>
                <w:b/>
                <w:sz w:val="22"/>
                <w:szCs w:val="22"/>
              </w:rPr>
            </w:pPr>
            <w:r w:rsidRPr="00244E39">
              <w:rPr>
                <w:b/>
                <w:sz w:val="22"/>
                <w:szCs w:val="22"/>
              </w:rPr>
              <w:t>Commonwealth Funding Approved</w:t>
            </w:r>
          </w:p>
        </w:tc>
        <w:tc>
          <w:tcPr>
            <w:tcW w:w="581" w:type="pct"/>
          </w:tcPr>
          <w:p w:rsidR="00CE6350" w:rsidRPr="00244E39" w:rsidRDefault="00CE6350" w:rsidP="00C01BC7">
            <w:pPr>
              <w:pStyle w:val="Tablerowcolumnheadingcentred"/>
              <w:spacing w:before="40" w:after="40"/>
              <w:cnfStyle w:val="100000000000" w:firstRow="1" w:lastRow="0" w:firstColumn="0" w:lastColumn="0" w:oddVBand="0" w:evenVBand="0" w:oddHBand="0" w:evenHBand="0" w:firstRowFirstColumn="0" w:firstRowLastColumn="0" w:lastRowFirstColumn="0" w:lastRowLastColumn="0"/>
              <w:rPr>
                <w:b/>
              </w:rPr>
            </w:pPr>
            <w:r w:rsidRPr="00244E39">
              <w:rPr>
                <w:b/>
              </w:rPr>
              <w:t>Date Announced</w:t>
            </w:r>
          </w:p>
        </w:tc>
      </w:tr>
      <w:tr w:rsidR="00CE6350" w:rsidRPr="00654F9E" w:rsidTr="00F352FE">
        <w:trPr>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Pr="008E4C65" w:rsidRDefault="00CE6350" w:rsidP="00C01BC7">
            <w:r w:rsidRPr="008E4C65">
              <w:t xml:space="preserve">One </w:t>
            </w:r>
          </w:p>
        </w:tc>
        <w:tc>
          <w:tcPr>
            <w:tcW w:w="582" w:type="pct"/>
          </w:tcPr>
          <w:p w:rsidR="00CE6350" w:rsidRDefault="00CE6350" w:rsidP="00C01BC7">
            <w:pPr>
              <w:cnfStyle w:val="000000000000" w:firstRow="0" w:lastRow="0" w:firstColumn="0" w:lastColumn="0" w:oddVBand="0" w:evenVBand="0" w:oddHBand="0" w:evenHBand="0" w:firstRowFirstColumn="0" w:firstRowLastColumn="0" w:lastRowFirstColumn="0" w:lastRowLastColumn="0"/>
            </w:pPr>
            <w:r w:rsidRPr="005C3A49">
              <w:t>Department of Energy and Public Works</w:t>
            </w:r>
          </w:p>
        </w:tc>
        <w:tc>
          <w:tcPr>
            <w:tcW w:w="582" w:type="pct"/>
          </w:tcPr>
          <w:p w:rsidR="00CE6350" w:rsidRPr="00D978DB" w:rsidRDefault="00CE6350" w:rsidP="00C01BC7">
            <w:pPr>
              <w:cnfStyle w:val="000000000000" w:firstRow="0" w:lastRow="0" w:firstColumn="0" w:lastColumn="0" w:oddVBand="0" w:evenVBand="0" w:oddHBand="0" w:evenHBand="0" w:firstRowFirstColumn="0" w:firstRowLastColumn="0" w:lastRowFirstColumn="0" w:lastRowLastColumn="0"/>
            </w:pPr>
            <w:proofErr w:type="spellStart"/>
            <w:r w:rsidRPr="005C3A49">
              <w:t>Boggo</w:t>
            </w:r>
            <w:proofErr w:type="spellEnd"/>
            <w:r w:rsidRPr="005C3A49">
              <w:t xml:space="preserve"> Road Innovation Precinct Planning</w:t>
            </w:r>
          </w:p>
        </w:tc>
        <w:tc>
          <w:tcPr>
            <w:tcW w:w="1284" w:type="pct"/>
          </w:tcPr>
          <w:p w:rsidR="00CE6350" w:rsidRPr="00244E39" w:rsidRDefault="00CE6350" w:rsidP="00C01BC7">
            <w:pPr>
              <w:cnfStyle w:val="000000000000" w:firstRow="0" w:lastRow="0" w:firstColumn="0" w:lastColumn="0" w:oddVBand="0" w:evenVBand="0" w:oddHBand="0" w:evenHBand="0" w:firstRowFirstColumn="0" w:firstRowLastColumn="0" w:lastRowFirstColumn="0" w:lastRowLastColumn="0"/>
            </w:pPr>
            <w:r>
              <w:t>Funding will support development of a precinct-wide plan including implementation plans and preliminary business cases.</w:t>
            </w:r>
          </w:p>
        </w:tc>
        <w:tc>
          <w:tcPr>
            <w:tcW w:w="582" w:type="pct"/>
          </w:tcPr>
          <w:p w:rsidR="00CE6350" w:rsidRPr="00244E39" w:rsidRDefault="00CE6350" w:rsidP="00C01BC7">
            <w:pPr>
              <w:cnfStyle w:val="000000000000" w:firstRow="0" w:lastRow="0" w:firstColumn="0" w:lastColumn="0" w:oddVBand="0" w:evenVBand="0" w:oddHBand="0" w:evenHBand="0" w:firstRowFirstColumn="0" w:firstRowLastColumn="0" w:lastRowFirstColumn="0" w:lastRowLastColumn="0"/>
            </w:pPr>
            <w:r>
              <w:t>Dutton Park</w:t>
            </w:r>
          </w:p>
        </w:tc>
        <w:tc>
          <w:tcPr>
            <w:tcW w:w="343" w:type="pct"/>
          </w:tcPr>
          <w:p w:rsidR="00CE6350" w:rsidRDefault="00CE6350" w:rsidP="00C01BC7">
            <w:pPr>
              <w:cnfStyle w:val="000000000000" w:firstRow="0" w:lastRow="0" w:firstColumn="0" w:lastColumn="0" w:oddVBand="0" w:evenVBand="0" w:oddHBand="0" w:evenHBand="0" w:firstRowFirstColumn="0" w:firstRowLastColumn="0" w:lastRowFirstColumn="0" w:lastRowLastColumn="0"/>
            </w:pPr>
            <w:r>
              <w:t>QLD</w:t>
            </w:r>
          </w:p>
        </w:tc>
        <w:tc>
          <w:tcPr>
            <w:tcW w:w="582" w:type="pct"/>
          </w:tcPr>
          <w:p w:rsidR="00CE6350" w:rsidRDefault="00CE6350" w:rsidP="00C01BC7">
            <w:pPr>
              <w:cnfStyle w:val="000000000000" w:firstRow="0" w:lastRow="0" w:firstColumn="0" w:lastColumn="0" w:oddVBand="0" w:evenVBand="0" w:oddHBand="0" w:evenHBand="0" w:firstRowFirstColumn="0" w:firstRowLastColumn="0" w:lastRowFirstColumn="0" w:lastRowLastColumn="0"/>
            </w:pPr>
            <w:r>
              <w:t>$</w:t>
            </w:r>
            <w:r w:rsidRPr="005C3A49">
              <w:t>4</w:t>
            </w:r>
            <w:r>
              <w:t>,</w:t>
            </w:r>
            <w:r w:rsidRPr="005C3A49">
              <w:t>949</w:t>
            </w:r>
            <w:r>
              <w:t>,</w:t>
            </w:r>
            <w:r w:rsidRPr="005C3A49">
              <w:t>502</w:t>
            </w:r>
          </w:p>
        </w:tc>
        <w:tc>
          <w:tcPr>
            <w:tcW w:w="581" w:type="pct"/>
          </w:tcPr>
          <w:p w:rsidR="00CE6350" w:rsidRPr="00244E39" w:rsidRDefault="00CE6350" w:rsidP="00C01BC7">
            <w:pPr>
              <w:cnfStyle w:val="000000000000" w:firstRow="0" w:lastRow="0" w:firstColumn="0" w:lastColumn="0" w:oddVBand="0" w:evenVBand="0" w:oddHBand="0" w:evenHBand="0" w:firstRowFirstColumn="0" w:firstRowLastColumn="0" w:lastRowFirstColumn="0" w:lastRowLastColumn="0"/>
            </w:pPr>
            <w:r>
              <w:t>10 October 2025</w:t>
            </w:r>
          </w:p>
        </w:tc>
      </w:tr>
      <w:tr w:rsidR="00CE6350" w:rsidRPr="00654F9E" w:rsidTr="00F352F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Pr="008E4C65" w:rsidRDefault="00CE6350" w:rsidP="00C01BC7">
            <w:r w:rsidRPr="008E4C65">
              <w:t xml:space="preserve">One </w:t>
            </w:r>
          </w:p>
        </w:tc>
        <w:tc>
          <w:tcPr>
            <w:tcW w:w="582" w:type="pct"/>
          </w:tcPr>
          <w:p w:rsidR="00CE6350" w:rsidRDefault="00CE6350" w:rsidP="00C01BC7">
            <w:pPr>
              <w:cnfStyle w:val="000000010000" w:firstRow="0" w:lastRow="0" w:firstColumn="0" w:lastColumn="0" w:oddVBand="0" w:evenVBand="0" w:oddHBand="0" w:evenHBand="1" w:firstRowFirstColumn="0" w:firstRowLastColumn="0" w:lastRowFirstColumn="0" w:lastRowLastColumn="0"/>
            </w:pPr>
            <w:r>
              <w:t>City of West Torrens</w:t>
            </w:r>
          </w:p>
        </w:tc>
        <w:tc>
          <w:tcPr>
            <w:tcW w:w="582" w:type="pct"/>
          </w:tcPr>
          <w:p w:rsidR="00CE6350" w:rsidRPr="00D978DB" w:rsidRDefault="00CE6350" w:rsidP="00C01BC7">
            <w:pPr>
              <w:cnfStyle w:val="000000010000" w:firstRow="0" w:lastRow="0" w:firstColumn="0" w:lastColumn="0" w:oddVBand="0" w:evenVBand="0" w:oddHBand="0" w:evenHBand="1" w:firstRowFirstColumn="0" w:firstRowLastColumn="0" w:lastRowFirstColumn="0" w:lastRowLastColumn="0"/>
            </w:pPr>
            <w:r w:rsidRPr="005C3A49">
              <w:t>Creating the City Fringe West Precinct fr</w:t>
            </w:r>
            <w:r>
              <w:t>om</w:t>
            </w:r>
            <w:r w:rsidRPr="005C3A49">
              <w:t xml:space="preserve"> Industrial Foundations</w:t>
            </w:r>
          </w:p>
        </w:tc>
        <w:tc>
          <w:tcPr>
            <w:tcW w:w="1284" w:type="pct"/>
          </w:tcPr>
          <w:p w:rsidR="00CE6350" w:rsidRPr="00244E39" w:rsidRDefault="00CE6350" w:rsidP="00C01BC7">
            <w:pPr>
              <w:cnfStyle w:val="000000010000" w:firstRow="0" w:lastRow="0" w:firstColumn="0" w:lastColumn="0" w:oddVBand="0" w:evenVBand="0" w:oddHBand="0" w:evenHBand="1" w:firstRowFirstColumn="0" w:firstRowLastColumn="0" w:lastRowFirstColumn="0" w:lastRowLastColumn="0"/>
            </w:pPr>
            <w:r>
              <w:t>F</w:t>
            </w:r>
            <w:r w:rsidRPr="001A651F">
              <w:t xml:space="preserve">unding </w:t>
            </w:r>
            <w:r>
              <w:t xml:space="preserve">will support </w:t>
            </w:r>
            <w:r w:rsidRPr="001A651F">
              <w:t>precinct development and planning to activate former industrial sites and establish the ‘City Fringe West Precinct’.</w:t>
            </w:r>
          </w:p>
        </w:tc>
        <w:tc>
          <w:tcPr>
            <w:tcW w:w="582" w:type="pct"/>
          </w:tcPr>
          <w:p w:rsidR="00CE6350" w:rsidRPr="00244E39" w:rsidRDefault="00CE6350" w:rsidP="00C01BC7">
            <w:pPr>
              <w:cnfStyle w:val="000000010000" w:firstRow="0" w:lastRow="0" w:firstColumn="0" w:lastColumn="0" w:oddVBand="0" w:evenVBand="0" w:oddHBand="0" w:evenHBand="1" w:firstRowFirstColumn="0" w:firstRowLastColumn="0" w:lastRowFirstColumn="0" w:lastRowLastColumn="0"/>
            </w:pPr>
            <w:r>
              <w:t>Thebarton and Torrensville</w:t>
            </w:r>
          </w:p>
        </w:tc>
        <w:tc>
          <w:tcPr>
            <w:tcW w:w="343" w:type="pct"/>
          </w:tcPr>
          <w:p w:rsidR="00CE6350" w:rsidRDefault="00CE6350" w:rsidP="00C01BC7">
            <w:pPr>
              <w:cnfStyle w:val="000000010000" w:firstRow="0" w:lastRow="0" w:firstColumn="0" w:lastColumn="0" w:oddVBand="0" w:evenVBand="0" w:oddHBand="0" w:evenHBand="1" w:firstRowFirstColumn="0" w:firstRowLastColumn="0" w:lastRowFirstColumn="0" w:lastRowLastColumn="0"/>
            </w:pPr>
            <w:r>
              <w:t>SA</w:t>
            </w:r>
          </w:p>
        </w:tc>
        <w:tc>
          <w:tcPr>
            <w:tcW w:w="582" w:type="pct"/>
          </w:tcPr>
          <w:p w:rsidR="00CE6350" w:rsidRDefault="00CE6350" w:rsidP="00C01BC7">
            <w:pPr>
              <w:cnfStyle w:val="000000010000" w:firstRow="0" w:lastRow="0" w:firstColumn="0" w:lastColumn="0" w:oddVBand="0" w:evenVBand="0" w:oddHBand="0" w:evenHBand="1" w:firstRowFirstColumn="0" w:firstRowLastColumn="0" w:lastRowFirstColumn="0" w:lastRowLastColumn="0"/>
            </w:pPr>
            <w:r>
              <w:t>$</w:t>
            </w:r>
            <w:r w:rsidRPr="005C3A49">
              <w:t>1</w:t>
            </w:r>
            <w:r>
              <w:t>,</w:t>
            </w:r>
            <w:r w:rsidRPr="005C3A49">
              <w:t>026</w:t>
            </w:r>
            <w:r>
              <w:t>,</w:t>
            </w:r>
            <w:r w:rsidRPr="005C3A49">
              <w:t>545</w:t>
            </w:r>
          </w:p>
        </w:tc>
        <w:tc>
          <w:tcPr>
            <w:tcW w:w="581" w:type="pct"/>
          </w:tcPr>
          <w:p w:rsidR="00CE6350" w:rsidRPr="00244E39" w:rsidRDefault="00CE6350" w:rsidP="00C01BC7">
            <w:pPr>
              <w:cnfStyle w:val="000000010000" w:firstRow="0" w:lastRow="0" w:firstColumn="0" w:lastColumn="0" w:oddVBand="0" w:evenVBand="0" w:oddHBand="0" w:evenHBand="1" w:firstRowFirstColumn="0" w:firstRowLastColumn="0" w:lastRowFirstColumn="0" w:lastRowLastColumn="0"/>
            </w:pPr>
            <w:r>
              <w:t>23 October 2025</w:t>
            </w:r>
          </w:p>
        </w:tc>
      </w:tr>
      <w:tr w:rsidR="00CE6350" w:rsidRPr="00654F9E" w:rsidTr="00F352FE">
        <w:trPr>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Default="00CE6350" w:rsidP="00C01BC7">
            <w:pPr>
              <w:rPr>
                <w:szCs w:val="22"/>
              </w:rPr>
            </w:pPr>
            <w:r w:rsidRPr="008E4C65">
              <w:t xml:space="preserve">One </w:t>
            </w:r>
          </w:p>
        </w:tc>
        <w:tc>
          <w:tcPr>
            <w:tcW w:w="582" w:type="pct"/>
          </w:tcPr>
          <w:p w:rsidR="00CE6350" w:rsidRPr="00244E39" w:rsidRDefault="00CE6350" w:rsidP="00C01BC7">
            <w:pPr>
              <w:cnfStyle w:val="000000000000" w:firstRow="0" w:lastRow="0" w:firstColumn="0" w:lastColumn="0" w:oddVBand="0" w:evenVBand="0" w:oddHBand="0" w:evenHBand="0" w:firstRowFirstColumn="0" w:firstRowLastColumn="0" w:lastRowFirstColumn="0" w:lastRowLastColumn="0"/>
              <w:rPr>
                <w:szCs w:val="22"/>
              </w:rPr>
            </w:pPr>
            <w:r>
              <w:rPr>
                <w:szCs w:val="22"/>
              </w:rPr>
              <w:t>Hume City Council</w:t>
            </w:r>
          </w:p>
        </w:tc>
        <w:tc>
          <w:tcPr>
            <w:tcW w:w="582" w:type="pct"/>
          </w:tcPr>
          <w:p w:rsidR="00CE6350" w:rsidRPr="00244E39" w:rsidRDefault="00CE6350" w:rsidP="00C01BC7">
            <w:pPr>
              <w:cnfStyle w:val="000000000000" w:firstRow="0" w:lastRow="0" w:firstColumn="0" w:lastColumn="0" w:oddVBand="0" w:evenVBand="0" w:oddHBand="0" w:evenHBand="0" w:firstRowFirstColumn="0" w:firstRowLastColumn="0" w:lastRowFirstColumn="0" w:lastRowLastColumn="0"/>
              <w:rPr>
                <w:szCs w:val="22"/>
              </w:rPr>
            </w:pPr>
            <w:r w:rsidRPr="00D978DB">
              <w:rPr>
                <w:szCs w:val="22"/>
              </w:rPr>
              <w:t>Pioneering Urban Innovation: Planning a New City in Melbourne's</w:t>
            </w:r>
            <w:r>
              <w:rPr>
                <w:szCs w:val="22"/>
              </w:rPr>
              <w:t xml:space="preserve"> North</w:t>
            </w:r>
          </w:p>
        </w:tc>
        <w:tc>
          <w:tcPr>
            <w:tcW w:w="1284" w:type="pct"/>
          </w:tcPr>
          <w:p w:rsidR="00CE6350" w:rsidRPr="00244E39" w:rsidRDefault="00CE6350" w:rsidP="00C01BC7">
            <w:pPr>
              <w:cnfStyle w:val="000000000000" w:firstRow="0" w:lastRow="0" w:firstColumn="0" w:lastColumn="0" w:oddVBand="0" w:evenVBand="0" w:oddHBand="0" w:evenHBand="0" w:firstRowFirstColumn="0" w:firstRowLastColumn="0" w:lastRowFirstColumn="0" w:lastRowLastColumn="0"/>
              <w:rPr>
                <w:szCs w:val="22"/>
              </w:rPr>
            </w:pPr>
            <w:r>
              <w:rPr>
                <w:szCs w:val="22"/>
              </w:rPr>
              <w:t>Funding will support delivery of an urban design framework and master plan for a thriving transport hub and mixed-use precinct.</w:t>
            </w:r>
          </w:p>
        </w:tc>
        <w:tc>
          <w:tcPr>
            <w:tcW w:w="582" w:type="pct"/>
          </w:tcPr>
          <w:p w:rsidR="00CE6350" w:rsidRPr="00244E39" w:rsidRDefault="00CE6350" w:rsidP="00C01BC7">
            <w:pPr>
              <w:cnfStyle w:val="000000000000" w:firstRow="0" w:lastRow="0" w:firstColumn="0" w:lastColumn="0" w:oddVBand="0" w:evenVBand="0" w:oddHBand="0" w:evenHBand="0" w:firstRowFirstColumn="0" w:firstRowLastColumn="0" w:lastRowFirstColumn="0" w:lastRowLastColumn="0"/>
              <w:rPr>
                <w:szCs w:val="22"/>
              </w:rPr>
            </w:pPr>
            <w:r>
              <w:rPr>
                <w:szCs w:val="22"/>
              </w:rPr>
              <w:t>Kalkallo</w:t>
            </w:r>
          </w:p>
        </w:tc>
        <w:tc>
          <w:tcPr>
            <w:tcW w:w="343" w:type="pct"/>
          </w:tcPr>
          <w:p w:rsidR="00CE6350" w:rsidRPr="00A90C91" w:rsidRDefault="00CE6350" w:rsidP="00C01BC7">
            <w:pPr>
              <w:cnfStyle w:val="000000000000" w:firstRow="0" w:lastRow="0" w:firstColumn="0" w:lastColumn="0" w:oddVBand="0" w:evenVBand="0" w:oddHBand="0" w:evenHBand="0" w:firstRowFirstColumn="0" w:firstRowLastColumn="0" w:lastRowFirstColumn="0" w:lastRowLastColumn="0"/>
            </w:pPr>
            <w:r>
              <w:t>VIC</w:t>
            </w:r>
          </w:p>
        </w:tc>
        <w:tc>
          <w:tcPr>
            <w:tcW w:w="582" w:type="pct"/>
          </w:tcPr>
          <w:p w:rsidR="00CE6350" w:rsidRPr="00A90C91" w:rsidRDefault="00CE6350" w:rsidP="00C01BC7">
            <w:pPr>
              <w:cnfStyle w:val="000000000000" w:firstRow="0" w:lastRow="0" w:firstColumn="0" w:lastColumn="0" w:oddVBand="0" w:evenVBand="0" w:oddHBand="0" w:evenHBand="0" w:firstRowFirstColumn="0" w:firstRowLastColumn="0" w:lastRowFirstColumn="0" w:lastRowLastColumn="0"/>
            </w:pPr>
            <w:r>
              <w:t>$</w:t>
            </w:r>
            <w:r w:rsidRPr="00D978DB">
              <w:t>2</w:t>
            </w:r>
            <w:r>
              <w:t>,</w:t>
            </w:r>
            <w:r w:rsidRPr="00D978DB">
              <w:t>622</w:t>
            </w:r>
            <w:r>
              <w:t>,</w:t>
            </w:r>
            <w:r w:rsidRPr="00D978DB">
              <w:t>500</w:t>
            </w:r>
          </w:p>
        </w:tc>
        <w:tc>
          <w:tcPr>
            <w:tcW w:w="581" w:type="pct"/>
          </w:tcPr>
          <w:p w:rsidR="00CE6350" w:rsidRPr="00244E39" w:rsidRDefault="00CE6350" w:rsidP="00C01BC7">
            <w:pPr>
              <w:cnfStyle w:val="000000000000" w:firstRow="0" w:lastRow="0" w:firstColumn="0" w:lastColumn="0" w:oddVBand="0" w:evenVBand="0" w:oddHBand="0" w:evenHBand="0" w:firstRowFirstColumn="0" w:firstRowLastColumn="0" w:lastRowFirstColumn="0" w:lastRowLastColumn="0"/>
            </w:pPr>
            <w:r>
              <w:t>14 October 2025</w:t>
            </w:r>
          </w:p>
        </w:tc>
      </w:tr>
      <w:tr w:rsidR="00CE6350" w:rsidRPr="00654F9E" w:rsidTr="00F352F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Default="00CE6350" w:rsidP="00C01BC7">
            <w:pPr>
              <w:rPr>
                <w:szCs w:val="22"/>
              </w:rPr>
            </w:pPr>
            <w:r w:rsidRPr="008E4C65">
              <w:t>One</w:t>
            </w:r>
          </w:p>
        </w:tc>
        <w:tc>
          <w:tcPr>
            <w:tcW w:w="582" w:type="pct"/>
          </w:tcPr>
          <w:p w:rsidR="00CE6350" w:rsidRPr="00244E39" w:rsidRDefault="00CE6350" w:rsidP="00C01BC7">
            <w:pPr>
              <w:cnfStyle w:val="000000010000" w:firstRow="0" w:lastRow="0" w:firstColumn="0" w:lastColumn="0" w:oddVBand="0" w:evenVBand="0" w:oddHBand="0" w:evenHBand="1" w:firstRowFirstColumn="0" w:firstRowLastColumn="0" w:lastRowFirstColumn="0" w:lastRowLastColumn="0"/>
              <w:rPr>
                <w:szCs w:val="22"/>
              </w:rPr>
            </w:pPr>
            <w:r>
              <w:rPr>
                <w:szCs w:val="22"/>
              </w:rPr>
              <w:t>City of Melbourne</w:t>
            </w:r>
          </w:p>
        </w:tc>
        <w:tc>
          <w:tcPr>
            <w:tcW w:w="582" w:type="pct"/>
          </w:tcPr>
          <w:p w:rsidR="00CE6350" w:rsidRPr="00244E39" w:rsidRDefault="00CE6350" w:rsidP="00C01BC7">
            <w:pPr>
              <w:cnfStyle w:val="000000010000" w:firstRow="0" w:lastRow="0" w:firstColumn="0" w:lastColumn="0" w:oddVBand="0" w:evenVBand="0" w:oddHBand="0" w:evenHBand="1" w:firstRowFirstColumn="0" w:firstRowLastColumn="0" w:lastRowFirstColumn="0" w:lastRowLastColumn="0"/>
              <w:rPr>
                <w:szCs w:val="22"/>
              </w:rPr>
            </w:pPr>
            <w:proofErr w:type="spellStart"/>
            <w:r w:rsidRPr="00D978DB">
              <w:rPr>
                <w:szCs w:val="22"/>
              </w:rPr>
              <w:t>Birrarung</w:t>
            </w:r>
            <w:proofErr w:type="spellEnd"/>
            <w:r w:rsidRPr="00D978DB">
              <w:rPr>
                <w:szCs w:val="22"/>
              </w:rPr>
              <w:t xml:space="preserve"> Riverfront Activation Precinct</w:t>
            </w:r>
            <w:r>
              <w:rPr>
                <w:szCs w:val="22"/>
              </w:rPr>
              <w:t xml:space="preserve"> plan</w:t>
            </w:r>
          </w:p>
        </w:tc>
        <w:tc>
          <w:tcPr>
            <w:tcW w:w="1284" w:type="pct"/>
          </w:tcPr>
          <w:p w:rsidR="00CE6350" w:rsidRPr="00244E39" w:rsidRDefault="00CE6350" w:rsidP="00C01BC7">
            <w:pPr>
              <w:cnfStyle w:val="000000010000" w:firstRow="0" w:lastRow="0" w:firstColumn="0" w:lastColumn="0" w:oddVBand="0" w:evenVBand="0" w:oddHBand="0" w:evenHBand="1" w:firstRowFirstColumn="0" w:firstRowLastColumn="0" w:lastRowFirstColumn="0" w:lastRowLastColumn="0"/>
              <w:rPr>
                <w:szCs w:val="22"/>
              </w:rPr>
            </w:pPr>
            <w:r>
              <w:rPr>
                <w:szCs w:val="22"/>
              </w:rPr>
              <w:t>Funding will support planning to revitalise the north bank of Melbourne’s Yarra River (</w:t>
            </w:r>
            <w:proofErr w:type="spellStart"/>
            <w:r>
              <w:rPr>
                <w:szCs w:val="22"/>
              </w:rPr>
              <w:t>Birrarung</w:t>
            </w:r>
            <w:proofErr w:type="spellEnd"/>
            <w:r>
              <w:rPr>
                <w:szCs w:val="22"/>
              </w:rPr>
              <w:t xml:space="preserve">). </w:t>
            </w:r>
          </w:p>
        </w:tc>
        <w:tc>
          <w:tcPr>
            <w:tcW w:w="582" w:type="pct"/>
          </w:tcPr>
          <w:p w:rsidR="00CE6350" w:rsidRPr="00244E39" w:rsidRDefault="00CE6350" w:rsidP="00C01BC7">
            <w:pPr>
              <w:cnfStyle w:val="000000010000" w:firstRow="0" w:lastRow="0" w:firstColumn="0" w:lastColumn="0" w:oddVBand="0" w:evenVBand="0" w:oddHBand="0" w:evenHBand="1" w:firstRowFirstColumn="0" w:firstRowLastColumn="0" w:lastRowFirstColumn="0" w:lastRowLastColumn="0"/>
              <w:rPr>
                <w:szCs w:val="22"/>
              </w:rPr>
            </w:pPr>
            <w:r>
              <w:rPr>
                <w:szCs w:val="22"/>
              </w:rPr>
              <w:t>Melbourne</w:t>
            </w:r>
          </w:p>
        </w:tc>
        <w:tc>
          <w:tcPr>
            <w:tcW w:w="343" w:type="pct"/>
          </w:tcPr>
          <w:p w:rsidR="00CE6350" w:rsidRPr="00A90C91" w:rsidRDefault="00CE6350" w:rsidP="00C01BC7">
            <w:pPr>
              <w:cnfStyle w:val="000000010000" w:firstRow="0" w:lastRow="0" w:firstColumn="0" w:lastColumn="0" w:oddVBand="0" w:evenVBand="0" w:oddHBand="0" w:evenHBand="1" w:firstRowFirstColumn="0" w:firstRowLastColumn="0" w:lastRowFirstColumn="0" w:lastRowLastColumn="0"/>
            </w:pPr>
            <w:r>
              <w:t>VIC</w:t>
            </w:r>
          </w:p>
        </w:tc>
        <w:tc>
          <w:tcPr>
            <w:tcW w:w="582" w:type="pct"/>
          </w:tcPr>
          <w:p w:rsidR="00CE6350" w:rsidRPr="00244E39" w:rsidRDefault="00CE6350" w:rsidP="00C01BC7">
            <w:pPr>
              <w:cnfStyle w:val="000000010000" w:firstRow="0" w:lastRow="0" w:firstColumn="0" w:lastColumn="0" w:oddVBand="0" w:evenVBand="0" w:oddHBand="0" w:evenHBand="1" w:firstRowFirstColumn="0" w:firstRowLastColumn="0" w:lastRowFirstColumn="0" w:lastRowLastColumn="0"/>
              <w:rPr>
                <w:szCs w:val="22"/>
              </w:rPr>
            </w:pPr>
            <w:r>
              <w:rPr>
                <w:szCs w:val="22"/>
              </w:rPr>
              <w:t>$</w:t>
            </w:r>
            <w:r w:rsidRPr="00D978DB">
              <w:rPr>
                <w:szCs w:val="22"/>
              </w:rPr>
              <w:t>4</w:t>
            </w:r>
            <w:r>
              <w:rPr>
                <w:szCs w:val="22"/>
              </w:rPr>
              <w:t>,</w:t>
            </w:r>
            <w:r w:rsidRPr="00D978DB">
              <w:rPr>
                <w:szCs w:val="22"/>
              </w:rPr>
              <w:t>435</w:t>
            </w:r>
            <w:r>
              <w:rPr>
                <w:szCs w:val="22"/>
              </w:rPr>
              <w:t>,</w:t>
            </w:r>
            <w:r w:rsidRPr="00D978DB">
              <w:rPr>
                <w:szCs w:val="22"/>
              </w:rPr>
              <w:t>839</w:t>
            </w:r>
          </w:p>
        </w:tc>
        <w:tc>
          <w:tcPr>
            <w:tcW w:w="581" w:type="pct"/>
          </w:tcPr>
          <w:p w:rsidR="00CE6350" w:rsidRPr="00244E39" w:rsidRDefault="00CE6350" w:rsidP="00C01BC7">
            <w:pPr>
              <w:cnfStyle w:val="000000010000" w:firstRow="0" w:lastRow="0" w:firstColumn="0" w:lastColumn="0" w:oddVBand="0" w:evenVBand="0" w:oddHBand="0" w:evenHBand="1" w:firstRowFirstColumn="0" w:firstRowLastColumn="0" w:lastRowFirstColumn="0" w:lastRowLastColumn="0"/>
            </w:pPr>
            <w:r>
              <w:t>14 October 2025</w:t>
            </w:r>
          </w:p>
        </w:tc>
      </w:tr>
      <w:tr w:rsidR="00CE6350" w:rsidRPr="00654F9E" w:rsidTr="00F352FE">
        <w:trPr>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Pr="008E4C65" w:rsidRDefault="00CE6350" w:rsidP="00C01BC7">
            <w:r w:rsidRPr="008E4C65">
              <w:lastRenderedPageBreak/>
              <w:t>One</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t>City of Canning</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rsidRPr="005C3A49">
              <w:t>Canning Rail to River Precinct</w:t>
            </w:r>
          </w:p>
        </w:tc>
        <w:tc>
          <w:tcPr>
            <w:tcW w:w="1284" w:type="pct"/>
          </w:tcPr>
          <w:p w:rsidR="00CE6350" w:rsidRPr="002B2CD4" w:rsidRDefault="00CE6350" w:rsidP="00C01BC7">
            <w:pPr>
              <w:cnfStyle w:val="000000000000" w:firstRow="0" w:lastRow="0" w:firstColumn="0" w:lastColumn="0" w:oddVBand="0" w:evenVBand="0" w:oddHBand="0" w:evenHBand="0" w:firstRowFirstColumn="0" w:firstRowLastColumn="0" w:lastRowFirstColumn="0" w:lastRowLastColumn="0"/>
            </w:pPr>
            <w:r>
              <w:t>Funding will support detailed planning for delivery of 10 infrastructure projects within the precinct.</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t>Cannington and Queens Park</w:t>
            </w:r>
          </w:p>
        </w:tc>
        <w:tc>
          <w:tcPr>
            <w:tcW w:w="343"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t>WA</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t>$</w:t>
            </w:r>
            <w:r w:rsidRPr="005C3A49">
              <w:t>1</w:t>
            </w:r>
            <w:r>
              <w:t>,</w:t>
            </w:r>
            <w:r w:rsidRPr="005C3A49">
              <w:t>512</w:t>
            </w:r>
            <w:r>
              <w:t>,</w:t>
            </w:r>
            <w:r w:rsidRPr="005C3A49">
              <w:t>217</w:t>
            </w:r>
          </w:p>
        </w:tc>
        <w:tc>
          <w:tcPr>
            <w:tcW w:w="581" w:type="pct"/>
          </w:tcPr>
          <w:p w:rsidR="00CE6350" w:rsidRDefault="00CE6350" w:rsidP="00C01BC7">
            <w:pPr>
              <w:cnfStyle w:val="000000000000" w:firstRow="0" w:lastRow="0" w:firstColumn="0" w:lastColumn="0" w:oddVBand="0" w:evenVBand="0" w:oddHBand="0" w:evenHBand="0" w:firstRowFirstColumn="0" w:firstRowLastColumn="0" w:lastRowFirstColumn="0" w:lastRowLastColumn="0"/>
            </w:pPr>
            <w:r>
              <w:t>13 October 2025</w:t>
            </w:r>
          </w:p>
        </w:tc>
      </w:tr>
      <w:tr w:rsidR="00CE6350" w:rsidRPr="00654F9E" w:rsidTr="00F352F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Pr="008E4C65" w:rsidRDefault="00CE6350" w:rsidP="00C01BC7">
            <w:r w:rsidRPr="008E4C65">
              <w:t xml:space="preserve">One </w:t>
            </w:r>
          </w:p>
        </w:tc>
        <w:tc>
          <w:tcPr>
            <w:tcW w:w="582"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8E4C65">
              <w:t>Hume City Council</w:t>
            </w:r>
          </w:p>
        </w:tc>
        <w:tc>
          <w:tcPr>
            <w:tcW w:w="582"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8E4C65">
              <w:t>Broadmeadows Precinct Roadmap Strengthening Place, Community &amp; Connection</w:t>
            </w:r>
          </w:p>
        </w:tc>
        <w:tc>
          <w:tcPr>
            <w:tcW w:w="1284"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2B2CD4">
              <w:t>Funding will support the development of an integrated roadmap which aims to revitalise Broadmeadows, address gaps and identify future opportunities through a place-based approach to precinct planning and delivery.</w:t>
            </w:r>
          </w:p>
        </w:tc>
        <w:tc>
          <w:tcPr>
            <w:tcW w:w="582"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8E4C65">
              <w:t>Broadmeadows</w:t>
            </w:r>
          </w:p>
        </w:tc>
        <w:tc>
          <w:tcPr>
            <w:tcW w:w="343"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8E4C65">
              <w:t>VIC</w:t>
            </w:r>
          </w:p>
        </w:tc>
        <w:tc>
          <w:tcPr>
            <w:tcW w:w="582"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8E4C65">
              <w:t>$3,332,500</w:t>
            </w:r>
          </w:p>
        </w:tc>
        <w:tc>
          <w:tcPr>
            <w:tcW w:w="581"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t>23</w:t>
            </w:r>
            <w:r w:rsidRPr="008E4C65">
              <w:t xml:space="preserve"> January 2025</w:t>
            </w:r>
          </w:p>
        </w:tc>
      </w:tr>
      <w:tr w:rsidR="00CE6350" w:rsidRPr="00A90C91" w:rsidTr="00F352FE">
        <w:trPr>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Pr="008E4C65" w:rsidRDefault="00CE6350" w:rsidP="00C01BC7">
            <w:r w:rsidRPr="008E4C65">
              <w:t>One</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rsidRPr="008E4C65">
              <w:t>Maribyrnong City Council</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rsidRPr="008E4C65">
              <w:t xml:space="preserve">Creative West: Transforming Footscray into a thriving cultural hub </w:t>
            </w:r>
          </w:p>
        </w:tc>
        <w:tc>
          <w:tcPr>
            <w:tcW w:w="1284"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rsidRPr="002B2CD4">
              <w:t>Funding will support the revitalisation of Footscray's Metropolitan Activity Centre by establishing a cultural precinct in Melbourne's inner west.</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rsidRPr="008E4C65">
              <w:t>Footscray</w:t>
            </w:r>
          </w:p>
        </w:tc>
        <w:tc>
          <w:tcPr>
            <w:tcW w:w="343"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rsidRPr="008E4C65">
              <w:t>VIC</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rsidRPr="008E4C65">
              <w:t>$5,000,000</w:t>
            </w:r>
          </w:p>
        </w:tc>
        <w:tc>
          <w:tcPr>
            <w:tcW w:w="581" w:type="pct"/>
          </w:tcPr>
          <w:p w:rsidR="00CE6350" w:rsidRDefault="00CE6350" w:rsidP="00C01BC7">
            <w:pPr>
              <w:cnfStyle w:val="000000000000" w:firstRow="0" w:lastRow="0" w:firstColumn="0" w:lastColumn="0" w:oddVBand="0" w:evenVBand="0" w:oddHBand="0" w:evenHBand="0" w:firstRowFirstColumn="0" w:firstRowLastColumn="0" w:lastRowFirstColumn="0" w:lastRowLastColumn="0"/>
            </w:pPr>
            <w:r w:rsidRPr="008E4C65">
              <w:t>23 January 2025</w:t>
            </w:r>
          </w:p>
        </w:tc>
      </w:tr>
      <w:tr w:rsidR="00CE6350" w:rsidRPr="00654F9E" w:rsidTr="00F352F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Pr="008E4C65" w:rsidRDefault="00CE6350" w:rsidP="00C01BC7">
            <w:r w:rsidRPr="008E4C65">
              <w:t>One</w:t>
            </w:r>
          </w:p>
        </w:tc>
        <w:tc>
          <w:tcPr>
            <w:tcW w:w="582"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proofErr w:type="spellStart"/>
            <w:r w:rsidRPr="008E4C65">
              <w:t>Brimbank</w:t>
            </w:r>
            <w:proofErr w:type="spellEnd"/>
            <w:r w:rsidRPr="008E4C65">
              <w:t xml:space="preserve"> City Council</w:t>
            </w:r>
          </w:p>
        </w:tc>
        <w:tc>
          <w:tcPr>
            <w:tcW w:w="582"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8E4C65">
              <w:t>Sunshine Energy Park Feasibility Study and Business Case</w:t>
            </w:r>
          </w:p>
        </w:tc>
        <w:tc>
          <w:tcPr>
            <w:tcW w:w="1284"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2B2CD4">
              <w:t>Funding will support the development of a comprehensive business case and delivery strategy to transform a closed former landfill site into a new 74-hectare "central park".</w:t>
            </w:r>
          </w:p>
        </w:tc>
        <w:tc>
          <w:tcPr>
            <w:tcW w:w="582"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8E4C65">
              <w:t>Sunshine</w:t>
            </w:r>
          </w:p>
        </w:tc>
        <w:tc>
          <w:tcPr>
            <w:tcW w:w="343"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8E4C65">
              <w:t>VIC</w:t>
            </w:r>
          </w:p>
        </w:tc>
        <w:tc>
          <w:tcPr>
            <w:tcW w:w="582"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8E4C65">
              <w:t>$500,000</w:t>
            </w:r>
          </w:p>
        </w:tc>
        <w:tc>
          <w:tcPr>
            <w:tcW w:w="581" w:type="pct"/>
          </w:tcPr>
          <w:p w:rsidR="00CE6350" w:rsidRPr="008E4C65" w:rsidRDefault="00CE6350" w:rsidP="00C01BC7">
            <w:pPr>
              <w:cnfStyle w:val="000000010000" w:firstRow="0" w:lastRow="0" w:firstColumn="0" w:lastColumn="0" w:oddVBand="0" w:evenVBand="0" w:oddHBand="0" w:evenHBand="1" w:firstRowFirstColumn="0" w:firstRowLastColumn="0" w:lastRowFirstColumn="0" w:lastRowLastColumn="0"/>
            </w:pPr>
            <w:r w:rsidRPr="008E4C65">
              <w:t>2</w:t>
            </w:r>
            <w:r>
              <w:t>4</w:t>
            </w:r>
            <w:r w:rsidRPr="008E4C65">
              <w:t xml:space="preserve"> January 2025</w:t>
            </w:r>
          </w:p>
        </w:tc>
      </w:tr>
      <w:tr w:rsidR="00CE6350" w:rsidRPr="00654F9E" w:rsidTr="00F352FE">
        <w:trPr>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Pr="008E4C65" w:rsidRDefault="00CE6350" w:rsidP="00C01BC7">
            <w:r>
              <w:t>One</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rsidRPr="00F54C8E">
              <w:t xml:space="preserve">Ipswich City Council </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rsidRPr="00F54C8E">
              <w:t xml:space="preserve">Ipswich Central Hearts: Arts, Commerce and Urban Greening </w:t>
            </w:r>
          </w:p>
        </w:tc>
        <w:tc>
          <w:tcPr>
            <w:tcW w:w="1284"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rsidRPr="002B2CD4">
              <w:t>Funding will support the planning and detailed design for key activities in Ipswich Central, including expanding Ipswich Art Gallery, redeveloping the Ipswich Civic Centre, streetscape refresh of Brisbane Street, connection to the cycle network, urban greening initiatives, and the addition of a new Black Box Theatre.</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t>Ipswich</w:t>
            </w:r>
          </w:p>
        </w:tc>
        <w:tc>
          <w:tcPr>
            <w:tcW w:w="343"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t>QLD</w:t>
            </w:r>
            <w:r w:rsidRPr="00F54C8E">
              <w:t xml:space="preserve"> </w:t>
            </w:r>
          </w:p>
        </w:tc>
        <w:tc>
          <w:tcPr>
            <w:tcW w:w="582"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t>$3,837,000</w:t>
            </w:r>
          </w:p>
        </w:tc>
        <w:tc>
          <w:tcPr>
            <w:tcW w:w="581" w:type="pct"/>
          </w:tcPr>
          <w:p w:rsidR="00CE6350" w:rsidRPr="008E4C65" w:rsidRDefault="00CE6350" w:rsidP="00C01BC7">
            <w:pPr>
              <w:cnfStyle w:val="000000000000" w:firstRow="0" w:lastRow="0" w:firstColumn="0" w:lastColumn="0" w:oddVBand="0" w:evenVBand="0" w:oddHBand="0" w:evenHBand="0" w:firstRowFirstColumn="0" w:firstRowLastColumn="0" w:lastRowFirstColumn="0" w:lastRowLastColumn="0"/>
            </w:pPr>
            <w:r>
              <w:t>30 January 2025</w:t>
            </w:r>
          </w:p>
        </w:tc>
      </w:tr>
      <w:tr w:rsidR="00CE6350" w:rsidRPr="00654F9E" w:rsidTr="00F352F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Default="00CE6350" w:rsidP="00C01BC7">
            <w:r>
              <w:lastRenderedPageBreak/>
              <w:t>Two</w:t>
            </w:r>
          </w:p>
        </w:tc>
        <w:tc>
          <w:tcPr>
            <w:tcW w:w="582" w:type="pct"/>
          </w:tcPr>
          <w:p w:rsidR="00CE6350" w:rsidRPr="00F54C8E" w:rsidRDefault="00CE6350" w:rsidP="00C01BC7">
            <w:pPr>
              <w:cnfStyle w:val="000000010000" w:firstRow="0" w:lastRow="0" w:firstColumn="0" w:lastColumn="0" w:oddVBand="0" w:evenVBand="0" w:oddHBand="0" w:evenHBand="1" w:firstRowFirstColumn="0" w:firstRowLastColumn="0" w:lastRowFirstColumn="0" w:lastRowLastColumn="0"/>
            </w:pPr>
            <w:r w:rsidRPr="005677AE">
              <w:t>Adelaide Central School of Art</w:t>
            </w:r>
          </w:p>
        </w:tc>
        <w:tc>
          <w:tcPr>
            <w:tcW w:w="582" w:type="pct"/>
          </w:tcPr>
          <w:p w:rsidR="00CE6350" w:rsidRPr="00F54C8E" w:rsidRDefault="00CE6350" w:rsidP="00C01BC7">
            <w:pPr>
              <w:cnfStyle w:val="000000010000" w:firstRow="0" w:lastRow="0" w:firstColumn="0" w:lastColumn="0" w:oddVBand="0" w:evenVBand="0" w:oddHBand="0" w:evenHBand="1" w:firstRowFirstColumn="0" w:firstRowLastColumn="0" w:lastRowFirstColumn="0" w:lastRowLastColumn="0"/>
            </w:pPr>
            <w:r w:rsidRPr="005677AE">
              <w:t>The Erindale Transformation: A Multi-use arts zone in the Glenside Precinct</w:t>
            </w:r>
          </w:p>
        </w:tc>
        <w:tc>
          <w:tcPr>
            <w:tcW w:w="1284" w:type="pct"/>
          </w:tcPr>
          <w:p w:rsidR="00CE6350" w:rsidRPr="00F54C8E" w:rsidRDefault="00CE6350" w:rsidP="00C01BC7">
            <w:pPr>
              <w:cnfStyle w:val="000000010000" w:firstRow="0" w:lastRow="0" w:firstColumn="0" w:lastColumn="0" w:oddVBand="0" w:evenVBand="0" w:oddHBand="0" w:evenHBand="1" w:firstRowFirstColumn="0" w:firstRowLastColumn="0" w:lastRowFirstColumn="0" w:lastRowLastColumn="0"/>
            </w:pPr>
            <w:r w:rsidRPr="002B2CD4">
              <w:t>Funding will support the transformation of a historic building in the Erindale Precinct into a multi-use facility with artist studios, a First Nations artist residential studio, galleries, mental health arts program, education spaces, a Kaurna native edible garden, and a social enterprise cafe.</w:t>
            </w:r>
          </w:p>
        </w:tc>
        <w:tc>
          <w:tcPr>
            <w:tcW w:w="582" w:type="pct"/>
          </w:tcPr>
          <w:p w:rsidR="00CE6350" w:rsidRDefault="00CE6350" w:rsidP="00C01BC7">
            <w:pPr>
              <w:cnfStyle w:val="000000010000" w:firstRow="0" w:lastRow="0" w:firstColumn="0" w:lastColumn="0" w:oddVBand="0" w:evenVBand="0" w:oddHBand="0" w:evenHBand="1" w:firstRowFirstColumn="0" w:firstRowLastColumn="0" w:lastRowFirstColumn="0" w:lastRowLastColumn="0"/>
            </w:pPr>
            <w:r>
              <w:t>Erindale</w:t>
            </w:r>
          </w:p>
        </w:tc>
        <w:tc>
          <w:tcPr>
            <w:tcW w:w="343" w:type="pct"/>
          </w:tcPr>
          <w:p w:rsidR="00CE6350" w:rsidRDefault="00CE6350" w:rsidP="00C01BC7">
            <w:pPr>
              <w:cnfStyle w:val="000000010000" w:firstRow="0" w:lastRow="0" w:firstColumn="0" w:lastColumn="0" w:oddVBand="0" w:evenVBand="0" w:oddHBand="0" w:evenHBand="1" w:firstRowFirstColumn="0" w:firstRowLastColumn="0" w:lastRowFirstColumn="0" w:lastRowLastColumn="0"/>
            </w:pPr>
            <w:r>
              <w:t>SA</w:t>
            </w:r>
          </w:p>
        </w:tc>
        <w:tc>
          <w:tcPr>
            <w:tcW w:w="582" w:type="pct"/>
          </w:tcPr>
          <w:p w:rsidR="00CE6350" w:rsidRDefault="00CE6350" w:rsidP="00C01BC7">
            <w:pPr>
              <w:cnfStyle w:val="000000010000" w:firstRow="0" w:lastRow="0" w:firstColumn="0" w:lastColumn="0" w:oddVBand="0" w:evenVBand="0" w:oddHBand="0" w:evenHBand="1" w:firstRowFirstColumn="0" w:firstRowLastColumn="0" w:lastRowFirstColumn="0" w:lastRowLastColumn="0"/>
            </w:pPr>
            <w:r>
              <w:t>$6,954,000</w:t>
            </w:r>
          </w:p>
        </w:tc>
        <w:tc>
          <w:tcPr>
            <w:tcW w:w="581" w:type="pct"/>
          </w:tcPr>
          <w:p w:rsidR="00CE6350" w:rsidRDefault="00CE6350" w:rsidP="00C01BC7">
            <w:pPr>
              <w:cnfStyle w:val="000000010000" w:firstRow="0" w:lastRow="0" w:firstColumn="0" w:lastColumn="0" w:oddVBand="0" w:evenVBand="0" w:oddHBand="0" w:evenHBand="1" w:firstRowFirstColumn="0" w:firstRowLastColumn="0" w:lastRowFirstColumn="0" w:lastRowLastColumn="0"/>
            </w:pPr>
            <w:r>
              <w:t>30 January 2025</w:t>
            </w:r>
          </w:p>
        </w:tc>
      </w:tr>
      <w:tr w:rsidR="00CE6350" w:rsidRPr="00654F9E" w:rsidTr="00F352FE">
        <w:trPr>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Default="00CE6350" w:rsidP="00C01BC7">
            <w:r>
              <w:t>Two</w:t>
            </w:r>
          </w:p>
        </w:tc>
        <w:tc>
          <w:tcPr>
            <w:tcW w:w="582" w:type="pct"/>
          </w:tcPr>
          <w:p w:rsidR="00CE6350" w:rsidRPr="00F54C8E" w:rsidRDefault="00CE6350" w:rsidP="00C01BC7">
            <w:pPr>
              <w:cnfStyle w:val="000000000000" w:firstRow="0" w:lastRow="0" w:firstColumn="0" w:lastColumn="0" w:oddVBand="0" w:evenVBand="0" w:oddHBand="0" w:evenHBand="0" w:firstRowFirstColumn="0" w:firstRowLastColumn="0" w:lastRowFirstColumn="0" w:lastRowLastColumn="0"/>
            </w:pPr>
            <w:r w:rsidRPr="005677AE">
              <w:t xml:space="preserve">Women’s &amp; Children’s Hospital Foundation </w:t>
            </w:r>
          </w:p>
        </w:tc>
        <w:tc>
          <w:tcPr>
            <w:tcW w:w="582" w:type="pct"/>
          </w:tcPr>
          <w:p w:rsidR="00CE6350" w:rsidRPr="00F54C8E" w:rsidRDefault="00CE6350" w:rsidP="00C01BC7">
            <w:pPr>
              <w:cnfStyle w:val="000000000000" w:firstRow="0" w:lastRow="0" w:firstColumn="0" w:lastColumn="0" w:oddVBand="0" w:evenVBand="0" w:oddHBand="0" w:evenHBand="0" w:firstRowFirstColumn="0" w:firstRowLastColumn="0" w:lastRowFirstColumn="0" w:lastRowLastColumn="0"/>
            </w:pPr>
            <w:r w:rsidRPr="005677AE">
              <w:t xml:space="preserve">Family Health and Wellbeing Hub in Elizabeth Vale, South Australia </w:t>
            </w:r>
          </w:p>
        </w:tc>
        <w:tc>
          <w:tcPr>
            <w:tcW w:w="1284" w:type="pct"/>
          </w:tcPr>
          <w:p w:rsidR="00CE6350" w:rsidRPr="00F54C8E" w:rsidRDefault="00CE6350" w:rsidP="00C01BC7">
            <w:pPr>
              <w:cnfStyle w:val="000000000000" w:firstRow="0" w:lastRow="0" w:firstColumn="0" w:lastColumn="0" w:oddVBand="0" w:evenVBand="0" w:oddHBand="0" w:evenHBand="0" w:firstRowFirstColumn="0" w:firstRowLastColumn="0" w:lastRowFirstColumn="0" w:lastRowLastColumn="0"/>
            </w:pPr>
            <w:r w:rsidRPr="002B2CD4">
              <w:t>Funding will support the Women's &amp; Children's Hospital Foundation to establish a Family Health and Wellbeing Hub, equipped to provide co-located, integrated wellbeing services.</w:t>
            </w:r>
          </w:p>
        </w:tc>
        <w:tc>
          <w:tcPr>
            <w:tcW w:w="582" w:type="pct"/>
          </w:tcPr>
          <w:p w:rsidR="00CE6350" w:rsidRDefault="00CE6350" w:rsidP="00C01BC7">
            <w:pPr>
              <w:cnfStyle w:val="000000000000" w:firstRow="0" w:lastRow="0" w:firstColumn="0" w:lastColumn="0" w:oddVBand="0" w:evenVBand="0" w:oddHBand="0" w:evenHBand="0" w:firstRowFirstColumn="0" w:firstRowLastColumn="0" w:lastRowFirstColumn="0" w:lastRowLastColumn="0"/>
            </w:pPr>
            <w:r>
              <w:t>Elizabeth Vale</w:t>
            </w:r>
          </w:p>
        </w:tc>
        <w:tc>
          <w:tcPr>
            <w:tcW w:w="343" w:type="pct"/>
          </w:tcPr>
          <w:p w:rsidR="00CE6350" w:rsidRDefault="00CE6350" w:rsidP="00C01BC7">
            <w:pPr>
              <w:cnfStyle w:val="000000000000" w:firstRow="0" w:lastRow="0" w:firstColumn="0" w:lastColumn="0" w:oddVBand="0" w:evenVBand="0" w:oddHBand="0" w:evenHBand="0" w:firstRowFirstColumn="0" w:firstRowLastColumn="0" w:lastRowFirstColumn="0" w:lastRowLastColumn="0"/>
            </w:pPr>
            <w:r>
              <w:t>SA</w:t>
            </w:r>
          </w:p>
        </w:tc>
        <w:tc>
          <w:tcPr>
            <w:tcW w:w="582" w:type="pct"/>
          </w:tcPr>
          <w:p w:rsidR="00CE6350" w:rsidRDefault="00CE6350" w:rsidP="00C01BC7">
            <w:pPr>
              <w:cnfStyle w:val="000000000000" w:firstRow="0" w:lastRow="0" w:firstColumn="0" w:lastColumn="0" w:oddVBand="0" w:evenVBand="0" w:oddHBand="0" w:evenHBand="0" w:firstRowFirstColumn="0" w:firstRowLastColumn="0" w:lastRowFirstColumn="0" w:lastRowLastColumn="0"/>
            </w:pPr>
            <w:r>
              <w:t>$26,050,046</w:t>
            </w:r>
          </w:p>
        </w:tc>
        <w:tc>
          <w:tcPr>
            <w:tcW w:w="581" w:type="pct"/>
          </w:tcPr>
          <w:p w:rsidR="00CE6350" w:rsidRDefault="00CE6350" w:rsidP="00C01BC7">
            <w:pPr>
              <w:cnfStyle w:val="000000000000" w:firstRow="0" w:lastRow="0" w:firstColumn="0" w:lastColumn="0" w:oddVBand="0" w:evenVBand="0" w:oddHBand="0" w:evenHBand="0" w:firstRowFirstColumn="0" w:firstRowLastColumn="0" w:lastRowFirstColumn="0" w:lastRowLastColumn="0"/>
            </w:pPr>
            <w:r>
              <w:t>30 January 2025</w:t>
            </w:r>
          </w:p>
        </w:tc>
      </w:tr>
      <w:tr w:rsidR="00CE6350" w:rsidRPr="00654F9E" w:rsidTr="00F352F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3" w:type="pct"/>
          </w:tcPr>
          <w:p w:rsidR="00CE6350" w:rsidRDefault="00CE6350" w:rsidP="00C01BC7">
            <w:r>
              <w:t>Two</w:t>
            </w:r>
          </w:p>
        </w:tc>
        <w:tc>
          <w:tcPr>
            <w:tcW w:w="582" w:type="pct"/>
          </w:tcPr>
          <w:p w:rsidR="00CE6350" w:rsidRPr="00F54C8E" w:rsidRDefault="00CE6350" w:rsidP="00C01BC7">
            <w:pPr>
              <w:cnfStyle w:val="000000010000" w:firstRow="0" w:lastRow="0" w:firstColumn="0" w:lastColumn="0" w:oddVBand="0" w:evenVBand="0" w:oddHBand="0" w:evenHBand="1" w:firstRowFirstColumn="0" w:firstRowLastColumn="0" w:lastRowFirstColumn="0" w:lastRowLastColumn="0"/>
            </w:pPr>
            <w:r>
              <w:t>City of Armadale</w:t>
            </w:r>
          </w:p>
        </w:tc>
        <w:tc>
          <w:tcPr>
            <w:tcW w:w="582" w:type="pct"/>
          </w:tcPr>
          <w:p w:rsidR="00CE6350" w:rsidRPr="00F54C8E" w:rsidRDefault="00CE6350" w:rsidP="00C01BC7">
            <w:pPr>
              <w:cnfStyle w:val="000000010000" w:firstRow="0" w:lastRow="0" w:firstColumn="0" w:lastColumn="0" w:oddVBand="0" w:evenVBand="0" w:oddHBand="0" w:evenHBand="1" w:firstRowFirstColumn="0" w:firstRowLastColumn="0" w:lastRowFirstColumn="0" w:lastRowLastColumn="0"/>
            </w:pPr>
            <w:r w:rsidRPr="00D978DB">
              <w:t>Armadale Central Park</w:t>
            </w:r>
          </w:p>
        </w:tc>
        <w:tc>
          <w:tcPr>
            <w:tcW w:w="1284" w:type="pct"/>
          </w:tcPr>
          <w:p w:rsidR="00CE6350" w:rsidRPr="002B2CD4" w:rsidRDefault="00CE6350" w:rsidP="00C01BC7">
            <w:pPr>
              <w:cnfStyle w:val="000000010000" w:firstRow="0" w:lastRow="0" w:firstColumn="0" w:lastColumn="0" w:oddVBand="0" w:evenVBand="0" w:oddHBand="0" w:evenHBand="1" w:firstRowFirstColumn="0" w:firstRowLastColumn="0" w:lastRowFirstColumn="0" w:lastRowLastColumn="0"/>
            </w:pPr>
            <w:r>
              <w:t xml:space="preserve">Funding will support </w:t>
            </w:r>
            <w:r w:rsidRPr="001A651F">
              <w:t>construction of a new public space, ‘Central Park’, next to the new Armadale train station</w:t>
            </w:r>
          </w:p>
        </w:tc>
        <w:tc>
          <w:tcPr>
            <w:tcW w:w="582" w:type="pct"/>
          </w:tcPr>
          <w:p w:rsidR="00CE6350" w:rsidRDefault="00CE6350" w:rsidP="00C01BC7">
            <w:pPr>
              <w:cnfStyle w:val="000000010000" w:firstRow="0" w:lastRow="0" w:firstColumn="0" w:lastColumn="0" w:oddVBand="0" w:evenVBand="0" w:oddHBand="0" w:evenHBand="1" w:firstRowFirstColumn="0" w:firstRowLastColumn="0" w:lastRowFirstColumn="0" w:lastRowLastColumn="0"/>
            </w:pPr>
            <w:r>
              <w:t>Armadale</w:t>
            </w:r>
          </w:p>
        </w:tc>
        <w:tc>
          <w:tcPr>
            <w:tcW w:w="343" w:type="pct"/>
          </w:tcPr>
          <w:p w:rsidR="00CE6350" w:rsidRDefault="00CE6350" w:rsidP="00C01BC7">
            <w:pPr>
              <w:cnfStyle w:val="000000010000" w:firstRow="0" w:lastRow="0" w:firstColumn="0" w:lastColumn="0" w:oddVBand="0" w:evenVBand="0" w:oddHBand="0" w:evenHBand="1" w:firstRowFirstColumn="0" w:firstRowLastColumn="0" w:lastRowFirstColumn="0" w:lastRowLastColumn="0"/>
            </w:pPr>
            <w:r>
              <w:t>WA</w:t>
            </w:r>
          </w:p>
        </w:tc>
        <w:tc>
          <w:tcPr>
            <w:tcW w:w="582" w:type="pct"/>
          </w:tcPr>
          <w:p w:rsidR="00CE6350" w:rsidRDefault="00CE6350" w:rsidP="00C01BC7">
            <w:pPr>
              <w:cnfStyle w:val="000000010000" w:firstRow="0" w:lastRow="0" w:firstColumn="0" w:lastColumn="0" w:oddVBand="0" w:evenVBand="0" w:oddHBand="0" w:evenHBand="1" w:firstRowFirstColumn="0" w:firstRowLastColumn="0" w:lastRowFirstColumn="0" w:lastRowLastColumn="0"/>
            </w:pPr>
            <w:r>
              <w:t>$5,000,000</w:t>
            </w:r>
          </w:p>
        </w:tc>
        <w:tc>
          <w:tcPr>
            <w:tcW w:w="581" w:type="pct"/>
          </w:tcPr>
          <w:p w:rsidR="00CE6350" w:rsidRDefault="00CE6350" w:rsidP="00C01BC7">
            <w:pPr>
              <w:cnfStyle w:val="000000010000" w:firstRow="0" w:lastRow="0" w:firstColumn="0" w:lastColumn="0" w:oddVBand="0" w:evenVBand="0" w:oddHBand="0" w:evenHBand="1" w:firstRowFirstColumn="0" w:firstRowLastColumn="0" w:lastRowFirstColumn="0" w:lastRowLastColumn="0"/>
            </w:pPr>
            <w:r>
              <w:t>13 October 2025</w:t>
            </w:r>
          </w:p>
        </w:tc>
      </w:tr>
    </w:tbl>
    <w:p w:rsidR="00BB3D46" w:rsidRDefault="00BB3D46" w:rsidP="00906533"/>
    <w:sectPr w:rsidR="00BB3D46" w:rsidSect="00F352FE">
      <w:type w:val="continuous"/>
      <w:pgSz w:w="16838" w:h="11906" w:orient="landscape"/>
      <w:pgMar w:top="1440" w:right="1276" w:bottom="991"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195" w:rsidRDefault="00AC6195" w:rsidP="00FC413F">
      <w:pPr>
        <w:spacing w:after="0"/>
      </w:pPr>
      <w:r>
        <w:separator/>
      </w:r>
    </w:p>
  </w:endnote>
  <w:endnote w:type="continuationSeparator" w:id="0">
    <w:p w:rsidR="00AC6195" w:rsidRDefault="00AC6195"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2FE" w:rsidRDefault="00F352FE" w:rsidP="00F352FE">
    <w:pPr>
      <w:pStyle w:val="Footer"/>
      <w:tabs>
        <w:tab w:val="clear" w:pos="4513"/>
        <w:tab w:val="clear" w:pos="9026"/>
        <w:tab w:val="right" w:pos="14034"/>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957A8C">
      <w:rPr>
        <w:rFonts w:cs="Segoe UI"/>
        <w:noProof/>
        <w:szCs w:val="18"/>
      </w:rPr>
      <w:t>urban Precincts and Partnerships Program—Announced Projects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1</w:t>
    </w:r>
    <w:r>
      <w:rPr>
        <w:rFonts w:cs="Segoe UI"/>
        <w:szCs w:val="18"/>
      </w:rPr>
      <w:fldChar w:fldCharType="end"/>
    </w:r>
  </w:p>
  <w:p w:rsidR="00F352FE" w:rsidRPr="00FC413F" w:rsidRDefault="00F352FE" w:rsidP="00F352FE">
    <w:pPr>
      <w:pStyle w:val="Footer"/>
      <w:tabs>
        <w:tab w:val="clear" w:pos="4513"/>
        <w:tab w:val="clear" w:pos="9026"/>
      </w:tabs>
      <w:ind w:left="-1418"/>
      <w:rPr>
        <w:rFonts w:cs="Segoe UI"/>
        <w:szCs w:val="18"/>
      </w:rPr>
    </w:pPr>
    <w:r>
      <w:rPr>
        <w:noProof/>
        <w:lang w:eastAsia="en-AU"/>
      </w:rPr>
      <w:drawing>
        <wp:inline distT="0" distB="0" distL="0" distR="0" wp14:anchorId="73C2B397" wp14:editId="0F7090C2">
          <wp:extent cx="10766663" cy="150495"/>
          <wp:effectExtent l="0" t="0" r="0" b="1905"/>
          <wp:docPr id="9" name="Picture 9"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509" w:rsidRDefault="00CA6509" w:rsidP="00F352FE">
    <w:pPr>
      <w:pStyle w:val="Footer"/>
      <w:tabs>
        <w:tab w:val="clear" w:pos="4513"/>
        <w:tab w:val="clear" w:pos="9026"/>
        <w:tab w:val="right" w:pos="14034"/>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957A8C">
      <w:rPr>
        <w:rFonts w:cs="Segoe UI"/>
        <w:noProof/>
        <w:szCs w:val="18"/>
      </w:rPr>
      <w:t>urban Precincts and Partnerships Program—Announced Projects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rsidR="00CA6509" w:rsidRPr="00FC413F" w:rsidRDefault="00CA6509" w:rsidP="00CA6509">
    <w:pPr>
      <w:pStyle w:val="Footer"/>
      <w:tabs>
        <w:tab w:val="clear" w:pos="4513"/>
        <w:tab w:val="clear" w:pos="9026"/>
      </w:tabs>
      <w:ind w:left="-1418"/>
      <w:rPr>
        <w:rFonts w:cs="Segoe UI"/>
        <w:szCs w:val="18"/>
      </w:rPr>
    </w:pPr>
    <w:r>
      <w:rPr>
        <w:noProof/>
        <w:lang w:eastAsia="en-AU"/>
      </w:rPr>
      <w:drawing>
        <wp:inline distT="0" distB="0" distL="0" distR="0" wp14:anchorId="26E475BB" wp14:editId="2585516A">
          <wp:extent cx="10766663" cy="150495"/>
          <wp:effectExtent l="0" t="0" r="0" b="1905"/>
          <wp:docPr id="8" name="Picture 8"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195" w:rsidRDefault="00AC6195" w:rsidP="00FC413F">
      <w:pPr>
        <w:spacing w:after="0"/>
      </w:pPr>
      <w:r>
        <w:separator/>
      </w:r>
    </w:p>
  </w:footnote>
  <w:footnote w:type="continuationSeparator" w:id="0">
    <w:p w:rsidR="00AC6195" w:rsidRDefault="00AC6195" w:rsidP="00FC41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3502E"/>
    <w:rsid w:val="000522EB"/>
    <w:rsid w:val="00072195"/>
    <w:rsid w:val="000740FB"/>
    <w:rsid w:val="00090E62"/>
    <w:rsid w:val="0009287F"/>
    <w:rsid w:val="000B1E86"/>
    <w:rsid w:val="000B6FF7"/>
    <w:rsid w:val="000C0244"/>
    <w:rsid w:val="000D4B3B"/>
    <w:rsid w:val="00105DA4"/>
    <w:rsid w:val="00113A03"/>
    <w:rsid w:val="00133A45"/>
    <w:rsid w:val="00143894"/>
    <w:rsid w:val="00180D22"/>
    <w:rsid w:val="00190A0C"/>
    <w:rsid w:val="001D583B"/>
    <w:rsid w:val="001D6D6B"/>
    <w:rsid w:val="001E4471"/>
    <w:rsid w:val="001E7AC4"/>
    <w:rsid w:val="001F2321"/>
    <w:rsid w:val="00204A64"/>
    <w:rsid w:val="00217C11"/>
    <w:rsid w:val="00236F1B"/>
    <w:rsid w:val="00261FFA"/>
    <w:rsid w:val="00272982"/>
    <w:rsid w:val="00287C7E"/>
    <w:rsid w:val="0029453A"/>
    <w:rsid w:val="002A5AB5"/>
    <w:rsid w:val="002A7C9F"/>
    <w:rsid w:val="002F1A23"/>
    <w:rsid w:val="00300077"/>
    <w:rsid w:val="00310148"/>
    <w:rsid w:val="00323710"/>
    <w:rsid w:val="00342348"/>
    <w:rsid w:val="003508A8"/>
    <w:rsid w:val="00381BDA"/>
    <w:rsid w:val="003B6D01"/>
    <w:rsid w:val="003C575A"/>
    <w:rsid w:val="003D71C5"/>
    <w:rsid w:val="003F3CB7"/>
    <w:rsid w:val="00416734"/>
    <w:rsid w:val="00445017"/>
    <w:rsid w:val="004A3207"/>
    <w:rsid w:val="005413E7"/>
    <w:rsid w:val="00543D99"/>
    <w:rsid w:val="0059569E"/>
    <w:rsid w:val="005C0459"/>
    <w:rsid w:val="005C37D2"/>
    <w:rsid w:val="005D038B"/>
    <w:rsid w:val="005E55BD"/>
    <w:rsid w:val="00610225"/>
    <w:rsid w:val="00630D43"/>
    <w:rsid w:val="006452B1"/>
    <w:rsid w:val="006542FA"/>
    <w:rsid w:val="00654F9E"/>
    <w:rsid w:val="00691FA2"/>
    <w:rsid w:val="006D43C7"/>
    <w:rsid w:val="00731351"/>
    <w:rsid w:val="00744CD2"/>
    <w:rsid w:val="00754169"/>
    <w:rsid w:val="00772C27"/>
    <w:rsid w:val="00782219"/>
    <w:rsid w:val="00790F25"/>
    <w:rsid w:val="00793843"/>
    <w:rsid w:val="0079788A"/>
    <w:rsid w:val="007B68AB"/>
    <w:rsid w:val="007E598F"/>
    <w:rsid w:val="00822DBF"/>
    <w:rsid w:val="00844881"/>
    <w:rsid w:val="008A7B93"/>
    <w:rsid w:val="008B7158"/>
    <w:rsid w:val="008C6CB9"/>
    <w:rsid w:val="008D4156"/>
    <w:rsid w:val="008E534F"/>
    <w:rsid w:val="008F24DE"/>
    <w:rsid w:val="00906514"/>
    <w:rsid w:val="00906533"/>
    <w:rsid w:val="00912D17"/>
    <w:rsid w:val="009276A3"/>
    <w:rsid w:val="009279AE"/>
    <w:rsid w:val="00935A30"/>
    <w:rsid w:val="00953CCD"/>
    <w:rsid w:val="00957A8C"/>
    <w:rsid w:val="009833BA"/>
    <w:rsid w:val="00985DD5"/>
    <w:rsid w:val="009C3D4E"/>
    <w:rsid w:val="009F6CDD"/>
    <w:rsid w:val="00A24200"/>
    <w:rsid w:val="00A44E4B"/>
    <w:rsid w:val="00A4759C"/>
    <w:rsid w:val="00A5600C"/>
    <w:rsid w:val="00A63390"/>
    <w:rsid w:val="00A82DAF"/>
    <w:rsid w:val="00A86AF3"/>
    <w:rsid w:val="00AC34ED"/>
    <w:rsid w:val="00AC6195"/>
    <w:rsid w:val="00AD7B1C"/>
    <w:rsid w:val="00AE61A6"/>
    <w:rsid w:val="00B041CB"/>
    <w:rsid w:val="00B12FC1"/>
    <w:rsid w:val="00B3785F"/>
    <w:rsid w:val="00B43F55"/>
    <w:rsid w:val="00B5393D"/>
    <w:rsid w:val="00B74715"/>
    <w:rsid w:val="00B76D03"/>
    <w:rsid w:val="00B86B45"/>
    <w:rsid w:val="00BB3D46"/>
    <w:rsid w:val="00BC0598"/>
    <w:rsid w:val="00C02452"/>
    <w:rsid w:val="00C36E40"/>
    <w:rsid w:val="00C62177"/>
    <w:rsid w:val="00CA5147"/>
    <w:rsid w:val="00CA6509"/>
    <w:rsid w:val="00CD0046"/>
    <w:rsid w:val="00CE6350"/>
    <w:rsid w:val="00D13C03"/>
    <w:rsid w:val="00D217F1"/>
    <w:rsid w:val="00D47BFD"/>
    <w:rsid w:val="00D56936"/>
    <w:rsid w:val="00D64922"/>
    <w:rsid w:val="00DB7648"/>
    <w:rsid w:val="00DC5DC8"/>
    <w:rsid w:val="00E0330E"/>
    <w:rsid w:val="00E7227D"/>
    <w:rsid w:val="00E76BC6"/>
    <w:rsid w:val="00E80E04"/>
    <w:rsid w:val="00EA415A"/>
    <w:rsid w:val="00EE6EE8"/>
    <w:rsid w:val="00EF5B98"/>
    <w:rsid w:val="00F005AF"/>
    <w:rsid w:val="00F352FE"/>
    <w:rsid w:val="00F41576"/>
    <w:rsid w:val="00F61FA1"/>
    <w:rsid w:val="00F814AD"/>
    <w:rsid w:val="00FA64C7"/>
    <w:rsid w:val="00FC413F"/>
    <w:rsid w:val="00FD3DAB"/>
    <w:rsid w:val="00FE45D0"/>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8D934D"/>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46EBA-580C-4F7E-AB0F-1D5AC49E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Communications, Sport and the Arts</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Precincts and Partnerships Program—Announced Projects—October 2025</dc:title>
  <dc:subject/>
  <dc:creator>Department of Infrastructure, Transport, Regional Development, Communications, Sport and the Arts</dc:creator>
  <cp:keywords/>
  <dc:description>14 May 2025</dc:description>
  <cp:lastModifiedBy>Hall, Theresa</cp:lastModifiedBy>
  <cp:revision>4</cp:revision>
  <dcterms:created xsi:type="dcterms:W3CDTF">2025-11-03T01:34:00Z</dcterms:created>
  <dcterms:modified xsi:type="dcterms:W3CDTF">2025-11-03T01:42:00Z</dcterms:modified>
</cp:coreProperties>
</file>