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CB7D3" w14:textId="77777777" w:rsidR="00133A45" w:rsidRDefault="00416734" w:rsidP="00822DBF">
      <w:pPr>
        <w:spacing w:after="0"/>
        <w:ind w:left="-1418"/>
        <w:sectPr w:rsidR="00133A45" w:rsidSect="00EA415A">
          <w:headerReference w:type="default" r:id="rId8"/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9465F18" wp14:editId="4BBB0D62">
            <wp:extent cx="7528923" cy="1261579"/>
            <wp:effectExtent l="0" t="0" r="0" b="0"/>
            <wp:docPr id="1" name="Picture 1" descr="Logo: Australian Government, Department of Infrastructure, Transport, Regional Development and Communications.&#10;&#10;&#10;&#10;www.infrastructure.gov.au&#10;www.communications.gov.au &#10;www.arts.gov.a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Australian Government, Department of Infrastructure, Transport, Regional Development and Communications.&#10;&#10;&#10;&#10;www.infrastructure.gov.au&#10;www.communications.gov.au &#10;www.arts.gov.au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03" cy="126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D2F8" w14:textId="77777777" w:rsidR="00772C27" w:rsidRPr="002A5AB5" w:rsidRDefault="0013491C" w:rsidP="006E1130">
      <w:pPr>
        <w:pStyle w:val="Heading1"/>
        <w:spacing w:before="120" w:after="120"/>
      </w:pPr>
      <w:r w:rsidRPr="0013491C">
        <w:t>Universal Service Guarantee</w:t>
      </w:r>
      <w:r w:rsidR="000A28C8">
        <w:t xml:space="preserve"> (USG)</w:t>
      </w:r>
    </w:p>
    <w:p w14:paraId="04DE7294" w14:textId="77777777" w:rsidR="0013491C" w:rsidRPr="006E1130" w:rsidRDefault="0013491C" w:rsidP="006E1130">
      <w:pPr>
        <w:rPr>
          <w:b/>
          <w:sz w:val="24"/>
          <w:szCs w:val="24"/>
        </w:rPr>
      </w:pPr>
      <w:bookmarkStart w:id="1" w:name="_Toc471208850"/>
      <w:bookmarkStart w:id="2" w:name="_Toc475458950"/>
      <w:bookmarkStart w:id="3" w:name="_Toc512934154"/>
      <w:bookmarkStart w:id="4" w:name="_Toc39483208"/>
      <w:r w:rsidRPr="006E1130">
        <w:rPr>
          <w:b/>
          <w:sz w:val="24"/>
          <w:szCs w:val="24"/>
        </w:rPr>
        <w:t xml:space="preserve">The Government has established a new guarantee to give all Australians access to broadband as well as voice services. Here are some basic facts about the guarantee and </w:t>
      </w:r>
      <w:r w:rsidR="004B219C" w:rsidRPr="006E1130">
        <w:rPr>
          <w:b/>
          <w:sz w:val="24"/>
          <w:szCs w:val="24"/>
        </w:rPr>
        <w:t xml:space="preserve">its </w:t>
      </w:r>
      <w:r w:rsidRPr="006E1130">
        <w:rPr>
          <w:b/>
          <w:sz w:val="24"/>
          <w:szCs w:val="24"/>
        </w:rPr>
        <w:t>services.</w:t>
      </w:r>
    </w:p>
    <w:p w14:paraId="64DE3C41" w14:textId="77777777" w:rsidR="00752040" w:rsidRPr="000D1361" w:rsidRDefault="0013491C" w:rsidP="006E1130">
      <w:pPr>
        <w:pStyle w:val="Heading2"/>
        <w:rPr>
          <w:sz w:val="28"/>
          <w:szCs w:val="28"/>
        </w:rPr>
      </w:pPr>
      <w:r w:rsidRPr="000D1361">
        <w:rPr>
          <w:sz w:val="28"/>
          <w:szCs w:val="28"/>
        </w:rPr>
        <w:t>Broadband services</w:t>
      </w:r>
    </w:p>
    <w:p w14:paraId="4AA6BB12" w14:textId="77777777" w:rsidR="006E1130" w:rsidRDefault="0013491C" w:rsidP="006E1130">
      <w:pPr>
        <w:pStyle w:val="Listparagraphbullets"/>
        <w:spacing w:after="100"/>
      </w:pPr>
      <w:r w:rsidRPr="006E1130">
        <w:t xml:space="preserve">NBN Co provides broadband </w:t>
      </w:r>
      <w:r w:rsidR="0085456E" w:rsidRPr="006E1130">
        <w:t xml:space="preserve">infrastructure </w:t>
      </w:r>
      <w:r w:rsidR="00922C0E" w:rsidRPr="006E1130">
        <w:t xml:space="preserve">to premises </w:t>
      </w:r>
      <w:r w:rsidRPr="006E1130">
        <w:t xml:space="preserve">across Australia using fixed line (92% of </w:t>
      </w:r>
      <w:r w:rsidR="00922C0E" w:rsidRPr="006E1130">
        <w:t>its network</w:t>
      </w:r>
      <w:r w:rsidRPr="006E1130">
        <w:t>), fixed wireless (5%</w:t>
      </w:r>
      <w:r w:rsidR="00922C0E" w:rsidRPr="006E1130">
        <w:t xml:space="preserve"> of its network</w:t>
      </w:r>
      <w:r w:rsidRPr="006E1130">
        <w:t>) and satellite technologies (3%</w:t>
      </w:r>
      <w:r w:rsidR="00922C0E" w:rsidRPr="006E1130">
        <w:t xml:space="preserve"> of its network</w:t>
      </w:r>
      <w:r w:rsidRPr="006E1130">
        <w:t>).</w:t>
      </w:r>
    </w:p>
    <w:p w14:paraId="7AB7506E" w14:textId="77777777" w:rsidR="006E1130" w:rsidRDefault="008A48A3" w:rsidP="006E1130">
      <w:pPr>
        <w:pStyle w:val="Listparagraphbullets"/>
        <w:spacing w:after="100"/>
      </w:pPr>
      <w:r w:rsidRPr="006E1130">
        <w:t xml:space="preserve">In December 2020, the Minister declared that the National Broadband Network (NBN) should be treated as built and fully operational. </w:t>
      </w:r>
      <w:r w:rsidR="0013491C" w:rsidRPr="006E1130">
        <w:t xml:space="preserve">This means that </w:t>
      </w:r>
      <w:r w:rsidR="004B219C" w:rsidRPr="006E1130">
        <w:t>in all but limited</w:t>
      </w:r>
      <w:r w:rsidR="0013491C" w:rsidRPr="006E1130">
        <w:t xml:space="preserve"> </w:t>
      </w:r>
      <w:r w:rsidR="004B219C" w:rsidRPr="006E1130">
        <w:t>cases</w:t>
      </w:r>
      <w:r w:rsidR="0013491C" w:rsidRPr="006E1130">
        <w:t>, all premises across Australia can order NBN services through their preferred retail service provider.</w:t>
      </w:r>
    </w:p>
    <w:p w14:paraId="34320463" w14:textId="77777777" w:rsidR="006E1130" w:rsidRDefault="000865D0" w:rsidP="006E1130">
      <w:pPr>
        <w:pStyle w:val="Listparagraphbullets"/>
        <w:spacing w:after="100"/>
      </w:pPr>
      <w:r w:rsidRPr="006E1130">
        <w:t>Competing</w:t>
      </w:r>
      <w:r w:rsidR="0085456E" w:rsidRPr="006E1130">
        <w:t xml:space="preserve"> </w:t>
      </w:r>
      <w:r w:rsidRPr="006E1130">
        <w:t>retail</w:t>
      </w:r>
      <w:r w:rsidR="0085456E" w:rsidRPr="006E1130">
        <w:t xml:space="preserve"> service </w:t>
      </w:r>
      <w:r w:rsidRPr="006E1130">
        <w:t>provider</w:t>
      </w:r>
      <w:r w:rsidR="000D1361" w:rsidRPr="006E1130">
        <w:t>s</w:t>
      </w:r>
      <w:r w:rsidR="0085456E" w:rsidRPr="006E1130">
        <w:t xml:space="preserve"> use the NBN to provide retail broadband </w:t>
      </w:r>
      <w:r w:rsidRPr="006E1130">
        <w:t>service</w:t>
      </w:r>
      <w:r w:rsidR="000D1361" w:rsidRPr="006E1130">
        <w:t>s</w:t>
      </w:r>
      <w:r w:rsidR="0085456E" w:rsidRPr="006E1130">
        <w:t xml:space="preserve"> to their </w:t>
      </w:r>
      <w:r w:rsidRPr="006E1130">
        <w:t>customers</w:t>
      </w:r>
      <w:r w:rsidR="0085456E" w:rsidRPr="006E1130">
        <w:t>.</w:t>
      </w:r>
      <w:r w:rsidR="008A48A3" w:rsidRPr="006E1130">
        <w:t xml:space="preserve"> </w:t>
      </w:r>
      <w:r w:rsidR="0013491C" w:rsidRPr="006E1130">
        <w:t>As at 30 June 2021, just under 12 million premises were within NBN’s footprint and there were around 8.2 million active services.</w:t>
      </w:r>
    </w:p>
    <w:p w14:paraId="7242A077" w14:textId="77777777" w:rsidR="006E1130" w:rsidRDefault="004B219C" w:rsidP="006E1130">
      <w:pPr>
        <w:pStyle w:val="Listparagraphbullets"/>
        <w:spacing w:after="100"/>
      </w:pPr>
      <w:r w:rsidRPr="006E1130">
        <w:t>New S</w:t>
      </w:r>
      <w:r w:rsidR="0013491C" w:rsidRPr="006E1130">
        <w:t xml:space="preserve">tatutory Infrastructure Provider (SIP) obligations </w:t>
      </w:r>
      <w:r w:rsidRPr="006E1130">
        <w:t>commenced on</w:t>
      </w:r>
      <w:r w:rsidR="0013491C" w:rsidRPr="006E1130">
        <w:t xml:space="preserve"> 1 July 2020, </w:t>
      </w:r>
      <w:r w:rsidR="0085456E" w:rsidRPr="006E1130">
        <w:t>making NBN Co the default wholesale provider of broadband services nationally.</w:t>
      </w:r>
    </w:p>
    <w:p w14:paraId="4DC6476F" w14:textId="77777777" w:rsidR="006E1130" w:rsidRDefault="0085456E" w:rsidP="006E1130">
      <w:pPr>
        <w:pStyle w:val="Listparagraphbullets"/>
        <w:spacing w:after="100"/>
      </w:pPr>
      <w:r w:rsidRPr="006E1130">
        <w:t xml:space="preserve">Other </w:t>
      </w:r>
      <w:r w:rsidR="001A44E4" w:rsidRPr="006E1130">
        <w:t>telecommunications</w:t>
      </w:r>
      <w:r w:rsidRPr="006E1130">
        <w:t xml:space="preserve"> companies can also be SIPs, and </w:t>
      </w:r>
      <w:r w:rsidR="001A44E4" w:rsidRPr="006E1130">
        <w:t xml:space="preserve">are often contracted to perform </w:t>
      </w:r>
      <w:r w:rsidRPr="006E1130">
        <w:t xml:space="preserve">the role in new real estate developments in or on the edge </w:t>
      </w:r>
      <w:r w:rsidR="001A44E4" w:rsidRPr="006E1130">
        <w:t>of</w:t>
      </w:r>
      <w:r w:rsidRPr="006E1130">
        <w:t xml:space="preserve"> our </w:t>
      </w:r>
      <w:r w:rsidR="001A44E4" w:rsidRPr="006E1130">
        <w:t>cities</w:t>
      </w:r>
      <w:r w:rsidRPr="006E1130">
        <w:t>.</w:t>
      </w:r>
    </w:p>
    <w:p w14:paraId="43B9B754" w14:textId="77777777" w:rsidR="006E1130" w:rsidRDefault="001A44E4" w:rsidP="006E1130">
      <w:pPr>
        <w:pStyle w:val="Listparagraphbullets"/>
        <w:spacing w:after="100"/>
      </w:pPr>
      <w:r w:rsidRPr="006E1130">
        <w:t xml:space="preserve">SIPs must </w:t>
      </w:r>
      <w:r w:rsidR="000865D0" w:rsidRPr="006E1130">
        <w:t>ensure</w:t>
      </w:r>
      <w:r w:rsidRPr="006E1130">
        <w:t xml:space="preserve"> broadband infrastructure </w:t>
      </w:r>
      <w:r w:rsidR="000865D0" w:rsidRPr="006E1130">
        <w:t>is</w:t>
      </w:r>
      <w:r w:rsidRPr="006E1130">
        <w:t xml:space="preserve"> </w:t>
      </w:r>
      <w:r w:rsidR="000865D0" w:rsidRPr="006E1130">
        <w:t>available</w:t>
      </w:r>
      <w:r w:rsidRPr="006E1130">
        <w:t xml:space="preserve"> on </w:t>
      </w:r>
      <w:r w:rsidR="000865D0" w:rsidRPr="006E1130">
        <w:t>reasonable</w:t>
      </w:r>
      <w:r w:rsidRPr="006E1130">
        <w:t xml:space="preserve"> </w:t>
      </w:r>
      <w:r w:rsidR="000865D0" w:rsidRPr="006E1130">
        <w:t>request</w:t>
      </w:r>
      <w:r w:rsidRPr="006E1130">
        <w:t xml:space="preserve"> so </w:t>
      </w:r>
      <w:r w:rsidR="000865D0" w:rsidRPr="006E1130">
        <w:t>retail</w:t>
      </w:r>
      <w:r w:rsidRPr="006E1130">
        <w:t xml:space="preserve"> </w:t>
      </w:r>
      <w:r w:rsidR="000865D0" w:rsidRPr="006E1130">
        <w:t>service</w:t>
      </w:r>
      <w:r w:rsidRPr="006E1130">
        <w:t xml:space="preserve"> </w:t>
      </w:r>
      <w:r w:rsidR="000865D0" w:rsidRPr="006E1130">
        <w:t>providers</w:t>
      </w:r>
      <w:r w:rsidRPr="006E1130">
        <w:t xml:space="preserve"> can </w:t>
      </w:r>
      <w:r w:rsidR="008A52BD" w:rsidRPr="006E1130">
        <w:t xml:space="preserve">provide services to </w:t>
      </w:r>
      <w:r w:rsidRPr="006E1130">
        <w:t xml:space="preserve">their </w:t>
      </w:r>
      <w:r w:rsidR="000865D0" w:rsidRPr="006E1130">
        <w:t>customers</w:t>
      </w:r>
      <w:r w:rsidRPr="006E1130">
        <w:t>.</w:t>
      </w:r>
    </w:p>
    <w:p w14:paraId="0E95B4B2" w14:textId="77777777" w:rsidR="006E1130" w:rsidRDefault="0013491C" w:rsidP="006E1130">
      <w:pPr>
        <w:pStyle w:val="Listparagraphbullets"/>
        <w:spacing w:after="100"/>
      </w:pPr>
      <w:r w:rsidRPr="006E1130">
        <w:t xml:space="preserve">SIP </w:t>
      </w:r>
      <w:r w:rsidR="004B219C" w:rsidRPr="006E1130">
        <w:t>services</w:t>
      </w:r>
      <w:r w:rsidRPr="006E1130">
        <w:t xml:space="preserve"> </w:t>
      </w:r>
      <w:r w:rsidR="004B219C" w:rsidRPr="006E1130">
        <w:t xml:space="preserve">delivered </w:t>
      </w:r>
      <w:r w:rsidRPr="006E1130">
        <w:t>over fixed line and fixed wireless</w:t>
      </w:r>
      <w:r w:rsidR="004B219C" w:rsidRPr="006E1130">
        <w:t xml:space="preserve"> must be capable of supporting voice services</w:t>
      </w:r>
      <w:r w:rsidRPr="006E1130">
        <w:t>.</w:t>
      </w:r>
    </w:p>
    <w:p w14:paraId="492DBB4A" w14:textId="46BAFD56" w:rsidR="004B219C" w:rsidRPr="006E1130" w:rsidRDefault="004B219C" w:rsidP="006E1130">
      <w:pPr>
        <w:pStyle w:val="Listparagraphbullets"/>
      </w:pPr>
      <w:r w:rsidRPr="006E1130">
        <w:t xml:space="preserve">Standards, rules and benchmarks to further define SIPs </w:t>
      </w:r>
      <w:r w:rsidR="000865D0" w:rsidRPr="006E1130">
        <w:t>operational</w:t>
      </w:r>
      <w:r w:rsidRPr="006E1130">
        <w:t xml:space="preserve"> performance and protect </w:t>
      </w:r>
      <w:r w:rsidR="000865D0" w:rsidRPr="006E1130">
        <w:t>consumers</w:t>
      </w:r>
      <w:r w:rsidRPr="006E1130">
        <w:t xml:space="preserve"> are currently </w:t>
      </w:r>
      <w:r w:rsidR="000865D0" w:rsidRPr="006E1130">
        <w:t>being</w:t>
      </w:r>
      <w:r w:rsidRPr="006E1130">
        <w:t xml:space="preserve"> considered.</w:t>
      </w:r>
    </w:p>
    <w:p w14:paraId="7A76DB86" w14:textId="77777777" w:rsidR="00752040" w:rsidRPr="000D1361" w:rsidRDefault="0013491C">
      <w:pPr>
        <w:pStyle w:val="Heading2"/>
        <w:rPr>
          <w:sz w:val="28"/>
          <w:szCs w:val="28"/>
        </w:rPr>
      </w:pPr>
      <w:r w:rsidRPr="000D1361">
        <w:rPr>
          <w:sz w:val="28"/>
          <w:szCs w:val="28"/>
        </w:rPr>
        <w:t>Standard Telephone Services (STS)</w:t>
      </w:r>
    </w:p>
    <w:p w14:paraId="10784635" w14:textId="77777777" w:rsidR="006E1130" w:rsidRDefault="003F1C9A" w:rsidP="006E1130">
      <w:pPr>
        <w:pStyle w:val="Listparagraphbullets"/>
        <w:spacing w:after="100"/>
        <w:ind w:right="-165"/>
      </w:pPr>
      <w:r>
        <w:t>T</w:t>
      </w:r>
      <w:r w:rsidR="0013491C" w:rsidRPr="0013491C">
        <w:t xml:space="preserve">he </w:t>
      </w:r>
      <w:r w:rsidR="003C735E">
        <w:t>USG</w:t>
      </w:r>
      <w:r>
        <w:t xml:space="preserve"> incorporates the old Universal Service Obligation (USO). Under the USG</w:t>
      </w:r>
      <w:r w:rsidR="008A52BD">
        <w:t>,</w:t>
      </w:r>
      <w:r>
        <w:t xml:space="preserve"> </w:t>
      </w:r>
      <w:r w:rsidR="0013491C" w:rsidRPr="0013491C">
        <w:t xml:space="preserve">Telstra must provide fixed voice services to premises </w:t>
      </w:r>
      <w:r>
        <w:t>in Australia</w:t>
      </w:r>
      <w:r w:rsidRPr="0013491C">
        <w:t xml:space="preserve"> </w:t>
      </w:r>
      <w:r w:rsidR="0013491C" w:rsidRPr="0013491C">
        <w:t xml:space="preserve">on </w:t>
      </w:r>
      <w:r w:rsidR="003C735E">
        <w:t xml:space="preserve">reasonable </w:t>
      </w:r>
      <w:r w:rsidR="0013491C" w:rsidRPr="0013491C">
        <w:t>request.</w:t>
      </w:r>
      <w:r w:rsidR="003C735E">
        <w:t xml:space="preserve"> </w:t>
      </w:r>
    </w:p>
    <w:p w14:paraId="782E49CE" w14:textId="77777777" w:rsidR="006E1130" w:rsidRDefault="003C735E" w:rsidP="006E1130">
      <w:pPr>
        <w:pStyle w:val="Listparagraphbullets"/>
        <w:spacing w:after="100"/>
      </w:pPr>
      <w:r>
        <w:t xml:space="preserve">Telstra now provides the majority of these services over NBN </w:t>
      </w:r>
      <w:proofErr w:type="spellStart"/>
      <w:r>
        <w:t>Co’s</w:t>
      </w:r>
      <w:proofErr w:type="spellEnd"/>
      <w:r>
        <w:t xml:space="preserve"> fixed line network, mainly in urban areas, in much the same way as </w:t>
      </w:r>
      <w:r w:rsidR="008A52BD">
        <w:t xml:space="preserve">other </w:t>
      </w:r>
      <w:r>
        <w:t>compet</w:t>
      </w:r>
      <w:r w:rsidR="008A52BD">
        <w:t>ing service providers</w:t>
      </w:r>
      <w:r>
        <w:t>.</w:t>
      </w:r>
    </w:p>
    <w:p w14:paraId="7DA21660" w14:textId="77777777" w:rsidR="006E1130" w:rsidRDefault="003C735E" w:rsidP="006E1130">
      <w:pPr>
        <w:pStyle w:val="Listparagraphbullets"/>
        <w:spacing w:after="100"/>
      </w:pPr>
      <w:r>
        <w:t xml:space="preserve">Outside NBN </w:t>
      </w:r>
      <w:proofErr w:type="spellStart"/>
      <w:r>
        <w:t>Co’s</w:t>
      </w:r>
      <w:proofErr w:type="spellEnd"/>
      <w:r>
        <w:t xml:space="preserve"> fixed line footprint, Telstra must still provide its own infrastructure where needed</w:t>
      </w:r>
      <w:r w:rsidR="0085456E">
        <w:t xml:space="preserve">, and must </w:t>
      </w:r>
      <w:r w:rsidRPr="0013491C">
        <w:t>maintain its copper network outside NBN</w:t>
      </w:r>
      <w:r w:rsidR="0085456E">
        <w:t xml:space="preserve"> </w:t>
      </w:r>
      <w:proofErr w:type="spellStart"/>
      <w:r w:rsidR="0085456E">
        <w:t>Co’s</w:t>
      </w:r>
      <w:proofErr w:type="spellEnd"/>
      <w:r w:rsidRPr="0013491C">
        <w:t xml:space="preserve"> fixed line footprint until 2032</w:t>
      </w:r>
      <w:r w:rsidR="000D1361">
        <w:t>.</w:t>
      </w:r>
    </w:p>
    <w:p w14:paraId="5F189A26" w14:textId="77777777" w:rsidR="006E1130" w:rsidRDefault="0013491C" w:rsidP="006E1130">
      <w:pPr>
        <w:pStyle w:val="Listparagraphbullets"/>
        <w:keepLines/>
        <w:spacing w:after="100"/>
      </w:pPr>
      <w:r w:rsidRPr="0013491C">
        <w:t xml:space="preserve">At 30 June 2021, Telstra infrastructure supported </w:t>
      </w:r>
      <w:r w:rsidR="008A52BD">
        <w:t>around</w:t>
      </w:r>
      <w:r w:rsidR="008A52BD" w:rsidRPr="0013491C">
        <w:t xml:space="preserve"> </w:t>
      </w:r>
      <w:r w:rsidR="000D1361" w:rsidRPr="0013491C">
        <w:t>4</w:t>
      </w:r>
      <w:r w:rsidR="00FD13F3">
        <w:t>40</w:t>
      </w:r>
      <w:r w:rsidRPr="0013491C">
        <w:t>,000 fixed voice services outside the NBN fixed line footprint.</w:t>
      </w:r>
      <w:r w:rsidR="000D1361">
        <w:t xml:space="preserve"> </w:t>
      </w:r>
      <w:r w:rsidRPr="0013491C">
        <w:t>Most of these Telstra services outside the NBN fixed line footprint continue to be provided over copper landlines, but a</w:t>
      </w:r>
      <w:r w:rsidR="008A52BD">
        <w:t>round</w:t>
      </w:r>
      <w:r w:rsidRPr="0013491C">
        <w:t xml:space="preserve"> </w:t>
      </w:r>
      <w:r w:rsidR="00FD13F3">
        <w:t>17</w:t>
      </w:r>
      <w:r w:rsidRPr="0013491C">
        <w:t>,000 voice services were provided using terrestrial wireless technologies and a</w:t>
      </w:r>
      <w:r w:rsidR="00C04182">
        <w:t>round</w:t>
      </w:r>
      <w:r w:rsidRPr="0013491C">
        <w:t xml:space="preserve"> </w:t>
      </w:r>
      <w:r w:rsidR="000D1361">
        <w:t>1,0</w:t>
      </w:r>
      <w:r w:rsidRPr="0013491C">
        <w:t xml:space="preserve">00 </w:t>
      </w:r>
      <w:r w:rsidR="000D1361">
        <w:t xml:space="preserve">voice services </w:t>
      </w:r>
      <w:r w:rsidRPr="0013491C">
        <w:t>were provided using satellite.</w:t>
      </w:r>
    </w:p>
    <w:p w14:paraId="3B89C15C" w14:textId="78974AAC" w:rsidR="006E1130" w:rsidRDefault="000865D0" w:rsidP="006E1130">
      <w:pPr>
        <w:pStyle w:val="Listparagraphbullets"/>
        <w:keepLines/>
        <w:spacing w:after="100"/>
      </w:pPr>
      <w:r>
        <w:t>Access to the STS is</w:t>
      </w:r>
      <w:r w:rsidR="006009AC">
        <w:t xml:space="preserve"> supplemented by the </w:t>
      </w:r>
      <w:r w:rsidR="0010140E">
        <w:t>C</w:t>
      </w:r>
      <w:r w:rsidR="006009AC">
        <w:t xml:space="preserve">ustomer Service </w:t>
      </w:r>
      <w:r w:rsidR="0010140E">
        <w:t>Guarantee</w:t>
      </w:r>
      <w:r w:rsidR="006009AC">
        <w:t xml:space="preserve"> (CSG) which sets connection, repair and appointment </w:t>
      </w:r>
      <w:r w:rsidR="0010140E">
        <w:t>timeframes</w:t>
      </w:r>
      <w:r w:rsidR="006009AC">
        <w:t xml:space="preserve">; the Network </w:t>
      </w:r>
      <w:r w:rsidR="0010140E">
        <w:t>Reliability</w:t>
      </w:r>
      <w:r w:rsidR="006009AC">
        <w:t xml:space="preserve"> Framework, which monitors </w:t>
      </w:r>
      <w:r w:rsidR="0010140E">
        <w:t>service</w:t>
      </w:r>
      <w:r w:rsidR="006009AC">
        <w:t xml:space="preserve"> </w:t>
      </w:r>
      <w:r w:rsidR="0010140E">
        <w:t xml:space="preserve">availability </w:t>
      </w:r>
      <w:r w:rsidR="006009AC">
        <w:t>and faults and require</w:t>
      </w:r>
      <w:r w:rsidR="0010140E">
        <w:t>s</w:t>
      </w:r>
      <w:r w:rsidR="006009AC">
        <w:t xml:space="preserve"> </w:t>
      </w:r>
      <w:r w:rsidR="0010140E">
        <w:t xml:space="preserve">remediation </w:t>
      </w:r>
      <w:r w:rsidR="006009AC">
        <w:t>of poorly perf</w:t>
      </w:r>
      <w:r w:rsidR="0010140E">
        <w:t>orming se</w:t>
      </w:r>
      <w:r w:rsidR="006009AC">
        <w:t>rv</w:t>
      </w:r>
      <w:r w:rsidR="0010140E">
        <w:t>i</w:t>
      </w:r>
      <w:r w:rsidR="0008464F">
        <w:t>ces</w:t>
      </w:r>
      <w:r w:rsidR="006009AC">
        <w:t xml:space="preserve">; and Priority Assistance for people </w:t>
      </w:r>
      <w:r w:rsidR="000D1361">
        <w:t>with</w:t>
      </w:r>
      <w:r w:rsidR="006009AC">
        <w:t xml:space="preserve"> life-</w:t>
      </w:r>
      <w:r w:rsidR="0010140E">
        <w:t>threatening</w:t>
      </w:r>
      <w:r w:rsidR="006009AC">
        <w:t xml:space="preserve"> medical </w:t>
      </w:r>
      <w:r w:rsidR="0010140E">
        <w:t>conditions</w:t>
      </w:r>
      <w:r w:rsidR="006009AC">
        <w:t>.</w:t>
      </w:r>
    </w:p>
    <w:p w14:paraId="56C4A8C3" w14:textId="4E4155EA" w:rsidR="0013491C" w:rsidRDefault="0013491C" w:rsidP="00CF776E">
      <w:pPr>
        <w:pStyle w:val="Listparagraphbullets"/>
      </w:pPr>
      <w:r w:rsidRPr="0013491C">
        <w:t xml:space="preserve">ADSL broadband is also provided </w:t>
      </w:r>
      <w:r w:rsidR="000865D0">
        <w:t xml:space="preserve">as a commercial legacy service </w:t>
      </w:r>
      <w:r w:rsidR="0085456E">
        <w:t>on</w:t>
      </w:r>
      <w:r w:rsidRPr="0013491C">
        <w:t xml:space="preserve"> around 176,000 (</w:t>
      </w:r>
      <w:r w:rsidR="008E5A8E">
        <w:t>44</w:t>
      </w:r>
      <w:r w:rsidRPr="0013491C">
        <w:t>%) of the</w:t>
      </w:r>
      <w:r w:rsidR="008A52BD">
        <w:t xml:space="preserve"> Telstra</w:t>
      </w:r>
      <w:r w:rsidRPr="0013491C">
        <w:t xml:space="preserve"> copper services</w:t>
      </w:r>
      <w:r w:rsidR="0085456E">
        <w:t xml:space="preserve"> in regional </w:t>
      </w:r>
      <w:r w:rsidR="000865D0">
        <w:t>Australia</w:t>
      </w:r>
      <w:r w:rsidRPr="0013491C">
        <w:t>.</w:t>
      </w:r>
    </w:p>
    <w:p w14:paraId="518B33B4" w14:textId="77777777" w:rsidR="0013491C" w:rsidRPr="000D1361" w:rsidRDefault="0013491C" w:rsidP="0013491C">
      <w:pPr>
        <w:pStyle w:val="Heading2"/>
        <w:rPr>
          <w:sz w:val="28"/>
          <w:szCs w:val="28"/>
        </w:rPr>
      </w:pPr>
      <w:r w:rsidRPr="000D1361">
        <w:rPr>
          <w:sz w:val="28"/>
          <w:szCs w:val="28"/>
        </w:rPr>
        <w:lastRenderedPageBreak/>
        <w:t>Payphones</w:t>
      </w:r>
    </w:p>
    <w:p w14:paraId="21053C8D" w14:textId="6BEB7D78" w:rsidR="006E1130" w:rsidRPr="006E1130" w:rsidRDefault="0013491C" w:rsidP="006E1130">
      <w:pPr>
        <w:pStyle w:val="Listparagraphbullets"/>
        <w:spacing w:after="100"/>
      </w:pPr>
      <w:r w:rsidRPr="006E1130">
        <w:t>Under the US</w:t>
      </w:r>
      <w:r w:rsidR="009A0847" w:rsidRPr="006E1130">
        <w:t>G</w:t>
      </w:r>
      <w:r w:rsidRPr="006E1130">
        <w:t>, Telstra must make payphones reasonably accessible.</w:t>
      </w:r>
    </w:p>
    <w:p w14:paraId="55E9E68F" w14:textId="57EEB655" w:rsidR="006E1130" w:rsidRPr="006E1130" w:rsidRDefault="0013491C" w:rsidP="006E1130">
      <w:pPr>
        <w:pStyle w:val="Listparagraphbullets"/>
        <w:spacing w:after="100"/>
      </w:pPr>
      <w:r w:rsidRPr="006E1130">
        <w:t>At 30 June 2021, there were just over 15,000 public payphones provided by Telstra under the US</w:t>
      </w:r>
      <w:r w:rsidR="009A0847" w:rsidRPr="006E1130">
        <w:t>G</w:t>
      </w:r>
      <w:r w:rsidRPr="006E1130">
        <w:t>. Over half of these payphon</w:t>
      </w:r>
      <w:r w:rsidR="006E1130" w:rsidRPr="006E1130">
        <w:t>es are located in major cities.</w:t>
      </w:r>
    </w:p>
    <w:p w14:paraId="481AB158" w14:textId="741FAABC" w:rsidR="006E1130" w:rsidRPr="006E1130" w:rsidRDefault="0013491C" w:rsidP="006E1130">
      <w:pPr>
        <w:pStyle w:val="Listparagraphbullets"/>
        <w:spacing w:after="100"/>
      </w:pPr>
      <w:r w:rsidRPr="006E1130">
        <w:t xml:space="preserve">The volume of calls made from public payphones </w:t>
      </w:r>
      <w:r w:rsidR="00FF1C6A" w:rsidRPr="006E1130">
        <w:t>has been</w:t>
      </w:r>
      <w:r w:rsidRPr="006E1130">
        <w:t xml:space="preserve"> in steep decline, </w:t>
      </w:r>
      <w:r w:rsidR="00FF1C6A" w:rsidRPr="006E1130">
        <w:t>falling</w:t>
      </w:r>
      <w:r w:rsidRPr="006E1130">
        <w:t xml:space="preserve"> 73% from 39.8 million</w:t>
      </w:r>
      <w:r w:rsidR="00FF1C6A" w:rsidRPr="006E1130">
        <w:t xml:space="preserve"> calls</w:t>
      </w:r>
      <w:r w:rsidRPr="006E1130">
        <w:t xml:space="preserve"> in 2011</w:t>
      </w:r>
      <w:r w:rsidR="006E1130" w:rsidRPr="006E1130">
        <w:t>–</w:t>
      </w:r>
      <w:r w:rsidRPr="006E1130">
        <w:t xml:space="preserve">12 to 10.6 million </w:t>
      </w:r>
      <w:r w:rsidR="0015263D" w:rsidRPr="006E1130">
        <w:t xml:space="preserve">calls </w:t>
      </w:r>
      <w:r w:rsidRPr="006E1130">
        <w:t>in 2019</w:t>
      </w:r>
      <w:r w:rsidR="00C04182" w:rsidRPr="006E1130">
        <w:t>–</w:t>
      </w:r>
      <w:r w:rsidRPr="006E1130">
        <w:t>20. In comparison, in 2019, Telstra’s mobile network carried around 50 million voice calls per day.</w:t>
      </w:r>
    </w:p>
    <w:p w14:paraId="4C824233" w14:textId="77777777" w:rsidR="006E1130" w:rsidRPr="006E1130" w:rsidRDefault="0013491C" w:rsidP="006E1130">
      <w:pPr>
        <w:pStyle w:val="Listparagraphbullets"/>
        <w:spacing w:after="100"/>
      </w:pPr>
      <w:r w:rsidRPr="006E1130">
        <w:t xml:space="preserve">Given </w:t>
      </w:r>
      <w:r w:rsidR="00F813F4" w:rsidRPr="006E1130">
        <w:t xml:space="preserve">this </w:t>
      </w:r>
      <w:r w:rsidRPr="006E1130">
        <w:t xml:space="preserve">declining use, Telstra announced in August 2021 that it would make </w:t>
      </w:r>
      <w:r w:rsidR="00F813F4" w:rsidRPr="006E1130">
        <w:t xml:space="preserve">national </w:t>
      </w:r>
      <w:r w:rsidRPr="006E1130">
        <w:t>calls from payphones free of charge to consumers</w:t>
      </w:r>
      <w:r w:rsidR="00F813F4" w:rsidRPr="006E1130">
        <w:t xml:space="preserve"> to encourage better use</w:t>
      </w:r>
      <w:r w:rsidRPr="006E1130">
        <w:t>.</w:t>
      </w:r>
      <w:r w:rsidR="00F813F4" w:rsidRPr="006E1130">
        <w:t xml:space="preserve"> The impact of this change will be monitored closely.</w:t>
      </w:r>
    </w:p>
    <w:p w14:paraId="1B08AC00" w14:textId="04E6BF6F" w:rsidR="0013491C" w:rsidRPr="006E1130" w:rsidRDefault="0013491C" w:rsidP="006E1130">
      <w:pPr>
        <w:pStyle w:val="Listparagraphbullets"/>
      </w:pPr>
      <w:r w:rsidRPr="006E1130">
        <w:t>In 2020</w:t>
      </w:r>
      <w:r w:rsidR="006E1130" w:rsidRPr="006E1130">
        <w:t>–</w:t>
      </w:r>
      <w:r w:rsidRPr="006E1130">
        <w:t>21, there were 198,000 calls to Triple Zero from payphones, with 76,000 (38%) of these calls considered genuine and connected to a police, fire or ambulance service for response.</w:t>
      </w:r>
    </w:p>
    <w:p w14:paraId="36BB2C54" w14:textId="77777777" w:rsidR="0013491C" w:rsidRPr="000D1361" w:rsidRDefault="0013491C" w:rsidP="0013491C">
      <w:pPr>
        <w:pStyle w:val="Heading2"/>
        <w:rPr>
          <w:sz w:val="28"/>
          <w:szCs w:val="28"/>
        </w:rPr>
      </w:pPr>
      <w:r w:rsidRPr="000D1361">
        <w:rPr>
          <w:sz w:val="28"/>
          <w:szCs w:val="28"/>
        </w:rPr>
        <w:t>Funding</w:t>
      </w:r>
    </w:p>
    <w:p w14:paraId="7C8704AF" w14:textId="77777777" w:rsidR="006E1130" w:rsidRPr="006E1130" w:rsidRDefault="0013491C" w:rsidP="006E1130">
      <w:pPr>
        <w:pStyle w:val="Listparagraphbullets"/>
        <w:spacing w:after="100"/>
      </w:pPr>
      <w:r w:rsidRPr="006E1130">
        <w:t>Under the US</w:t>
      </w:r>
      <w:r w:rsidR="009A0847" w:rsidRPr="006E1130">
        <w:t>G</w:t>
      </w:r>
      <w:r w:rsidRPr="006E1130">
        <w:t>, Telstra is paid $270</w:t>
      </w:r>
      <w:r w:rsidR="008E5A8E" w:rsidRPr="006E1130">
        <w:t xml:space="preserve"> </w:t>
      </w:r>
      <w:r w:rsidRPr="006E1130">
        <w:t>m</w:t>
      </w:r>
      <w:r w:rsidR="008E5A8E" w:rsidRPr="006E1130">
        <w:t>illion</w:t>
      </w:r>
      <w:r w:rsidRPr="006E1130">
        <w:t xml:space="preserve"> per annum (GST exclusive) to provide US</w:t>
      </w:r>
      <w:r w:rsidR="00A153D1" w:rsidRPr="006E1130">
        <w:t>G</w:t>
      </w:r>
      <w:r w:rsidRPr="006E1130">
        <w:t xml:space="preserve"> services </w:t>
      </w:r>
      <w:r w:rsidR="00C04182" w:rsidRPr="006E1130">
        <w:t>–</w:t>
      </w:r>
      <w:r w:rsidRPr="006E1130">
        <w:t xml:space="preserve"> $40</w:t>
      </w:r>
      <w:r w:rsidR="008E5A8E" w:rsidRPr="006E1130">
        <w:t> </w:t>
      </w:r>
      <w:r w:rsidRPr="006E1130">
        <w:t>m</w:t>
      </w:r>
      <w:r w:rsidR="008E5A8E" w:rsidRPr="006E1130">
        <w:t>illion</w:t>
      </w:r>
      <w:r w:rsidRPr="006E1130">
        <w:t xml:space="preserve"> for payphones, and $230</w:t>
      </w:r>
      <w:r w:rsidR="008E5A8E" w:rsidRPr="006E1130">
        <w:t xml:space="preserve"> </w:t>
      </w:r>
      <w:r w:rsidRPr="006E1130">
        <w:t>m</w:t>
      </w:r>
      <w:r w:rsidR="008E5A8E" w:rsidRPr="006E1130">
        <w:t>illion</w:t>
      </w:r>
      <w:r w:rsidRPr="006E1130">
        <w:t xml:space="preserve"> for fix</w:t>
      </w:r>
      <w:r w:rsidR="006E1130" w:rsidRPr="006E1130">
        <w:t>ed voice and copper continuity.</w:t>
      </w:r>
    </w:p>
    <w:p w14:paraId="359DBF80" w14:textId="77777777" w:rsidR="006E1130" w:rsidRPr="006E1130" w:rsidRDefault="0013491C" w:rsidP="006E1130">
      <w:pPr>
        <w:pStyle w:val="Listparagraphbullets"/>
        <w:spacing w:after="100"/>
      </w:pPr>
      <w:r w:rsidRPr="006E1130">
        <w:t>This amount in not indexed, meaning its value declines in real terms over time. It is tied to the broad obligations on Telstra, not the number of services provided</w:t>
      </w:r>
    </w:p>
    <w:p w14:paraId="49C2CA67" w14:textId="3A09B2B9" w:rsidR="006E1130" w:rsidRPr="006E1130" w:rsidRDefault="0013491C" w:rsidP="006E1130">
      <w:pPr>
        <w:pStyle w:val="Listparagraphbullets"/>
        <w:spacing w:after="100"/>
      </w:pPr>
      <w:r w:rsidRPr="006E1130">
        <w:t>The Commonwealth contributes $100</w:t>
      </w:r>
      <w:r w:rsidR="00C04182" w:rsidRPr="006E1130">
        <w:t xml:space="preserve"> </w:t>
      </w:r>
      <w:r w:rsidRPr="006E1130">
        <w:t>m</w:t>
      </w:r>
      <w:r w:rsidR="00C04182" w:rsidRPr="006E1130">
        <w:t>illion</w:t>
      </w:r>
      <w:r w:rsidRPr="006E1130">
        <w:t xml:space="preserve"> per annum, industry contributes the remainder</w:t>
      </w:r>
      <w:r w:rsidR="006009AC" w:rsidRPr="006E1130">
        <w:t xml:space="preserve"> on a pro-rated basis</w:t>
      </w:r>
      <w:r w:rsidRPr="006E1130">
        <w:t>. Telstra contributes the most</w:t>
      </w:r>
      <w:r w:rsidR="003C735E" w:rsidRPr="006E1130">
        <w:t xml:space="preserve"> due to its size and revenue </w:t>
      </w:r>
      <w:r w:rsidRPr="006E1130">
        <w:t>– $9</w:t>
      </w:r>
      <w:r w:rsidR="00922C0E" w:rsidRPr="006E1130">
        <w:t>6</w:t>
      </w:r>
      <w:r w:rsidRPr="006E1130">
        <w:t>.</w:t>
      </w:r>
      <w:r w:rsidR="00922C0E" w:rsidRPr="006E1130">
        <w:t>8</w:t>
      </w:r>
      <w:r w:rsidR="00C04182" w:rsidRPr="006E1130">
        <w:t xml:space="preserve"> </w:t>
      </w:r>
      <w:r w:rsidRPr="006E1130">
        <w:t>m</w:t>
      </w:r>
      <w:r w:rsidR="00C04182" w:rsidRPr="006E1130">
        <w:t>illion</w:t>
      </w:r>
      <w:r w:rsidRPr="006E1130">
        <w:t xml:space="preserve"> in 2019-20</w:t>
      </w:r>
      <w:r w:rsidR="006009AC" w:rsidRPr="006E1130">
        <w:t xml:space="preserve">, </w:t>
      </w:r>
      <w:r w:rsidRPr="006E1130">
        <w:t>followed by Optus ($3</w:t>
      </w:r>
      <w:r w:rsidR="00922C0E" w:rsidRPr="006E1130">
        <w:t>4</w:t>
      </w:r>
      <w:r w:rsidRPr="006E1130">
        <w:t>.</w:t>
      </w:r>
      <w:r w:rsidR="00922C0E" w:rsidRPr="006E1130">
        <w:t>9</w:t>
      </w:r>
      <w:r w:rsidR="00C04182" w:rsidRPr="006E1130">
        <w:t xml:space="preserve"> </w:t>
      </w:r>
      <w:r w:rsidRPr="006E1130">
        <w:t>m</w:t>
      </w:r>
      <w:r w:rsidR="00C04182" w:rsidRPr="006E1130">
        <w:t>illion</w:t>
      </w:r>
      <w:r w:rsidRPr="006E1130">
        <w:t>), TPG ($2</w:t>
      </w:r>
      <w:r w:rsidR="00922C0E" w:rsidRPr="006E1130">
        <w:t>1</w:t>
      </w:r>
      <w:r w:rsidRPr="006E1130">
        <w:t>.</w:t>
      </w:r>
      <w:r w:rsidR="00922C0E" w:rsidRPr="006E1130">
        <w:t>9</w:t>
      </w:r>
      <w:r w:rsidR="00C04182" w:rsidRPr="006E1130">
        <w:t xml:space="preserve"> </w:t>
      </w:r>
      <w:r w:rsidRPr="006E1130">
        <w:t>m</w:t>
      </w:r>
      <w:r w:rsidR="00C04182" w:rsidRPr="006E1130">
        <w:t>illion</w:t>
      </w:r>
      <w:r w:rsidRPr="006E1130">
        <w:t>)</w:t>
      </w:r>
      <w:r w:rsidR="00922C0E" w:rsidRPr="006E1130">
        <w:t>, NBN Co ($11.17 million)</w:t>
      </w:r>
      <w:r w:rsidRPr="006E1130">
        <w:t xml:space="preserve"> and others ($</w:t>
      </w:r>
      <w:r w:rsidR="00922C0E" w:rsidRPr="006E1130">
        <w:t>5</w:t>
      </w:r>
      <w:r w:rsidRPr="006E1130">
        <w:t>.</w:t>
      </w:r>
      <w:r w:rsidR="00922C0E" w:rsidRPr="006E1130">
        <w:t>1</w:t>
      </w:r>
      <w:r w:rsidR="006E1130" w:rsidRPr="006E1130">
        <w:t> </w:t>
      </w:r>
      <w:r w:rsidRPr="006E1130">
        <w:t>m</w:t>
      </w:r>
      <w:r w:rsidR="00C04182" w:rsidRPr="006E1130">
        <w:t>illion</w:t>
      </w:r>
      <w:r w:rsidRPr="006E1130">
        <w:t>).</w:t>
      </w:r>
    </w:p>
    <w:p w14:paraId="251CD1CE" w14:textId="5FB11209" w:rsidR="008A48A3" w:rsidRPr="006E1130" w:rsidRDefault="0013491C" w:rsidP="006E1130">
      <w:pPr>
        <w:pStyle w:val="Listparagraphbullets"/>
      </w:pPr>
      <w:r w:rsidRPr="006E1130">
        <w:t>The Regional Broadband Scheme has been legislated to support the delivery of NBN Co fixed wireless and satellite broadband services.</w:t>
      </w:r>
      <w:r w:rsidR="008A48A3" w:rsidRPr="006E1130">
        <w:t xml:space="preserve"> The first full year under the scheme (2021</w:t>
      </w:r>
      <w:r w:rsidR="0015263D" w:rsidRPr="006E1130">
        <w:t>–</w:t>
      </w:r>
      <w:r w:rsidR="008A48A3" w:rsidRPr="006E1130">
        <w:t>22) is expected to raise around $750 million and this amount will grow across the future years of the scheme.</w:t>
      </w:r>
    </w:p>
    <w:p w14:paraId="5DA986F4" w14:textId="77777777" w:rsidR="0013491C" w:rsidRPr="000D1361" w:rsidRDefault="0013491C" w:rsidP="0013491C">
      <w:pPr>
        <w:pStyle w:val="Heading2"/>
        <w:rPr>
          <w:sz w:val="28"/>
          <w:szCs w:val="28"/>
        </w:rPr>
      </w:pPr>
      <w:r w:rsidRPr="000D1361">
        <w:rPr>
          <w:sz w:val="28"/>
          <w:szCs w:val="28"/>
        </w:rPr>
        <w:t>Mobile</w:t>
      </w:r>
    </w:p>
    <w:p w14:paraId="764C2ACF" w14:textId="77777777" w:rsidR="006E1130" w:rsidRPr="006E1130" w:rsidRDefault="0013491C" w:rsidP="006E1130">
      <w:pPr>
        <w:pStyle w:val="Listparagraphbullets"/>
        <w:spacing w:after="100"/>
      </w:pPr>
      <w:r w:rsidRPr="006E1130">
        <w:t xml:space="preserve">Mobile services are provided commercially and </w:t>
      </w:r>
      <w:r w:rsidR="009E0FFD" w:rsidRPr="006E1130">
        <w:t xml:space="preserve">are </w:t>
      </w:r>
      <w:r w:rsidRPr="006E1130">
        <w:t xml:space="preserve">not included in the USG </w:t>
      </w:r>
      <w:r w:rsidR="004B219C" w:rsidRPr="006E1130">
        <w:t>because of the difficulty of providing mobile service ‘universally’, that is, everywhere in Australia, no matter how remote</w:t>
      </w:r>
      <w:r w:rsidR="00686481" w:rsidRPr="006E1130">
        <w:t>,</w:t>
      </w:r>
      <w:r w:rsidR="004B219C" w:rsidRPr="006E1130">
        <w:t xml:space="preserve"> spar</w:t>
      </w:r>
      <w:r w:rsidR="008A48A3" w:rsidRPr="006E1130">
        <w:t>s</w:t>
      </w:r>
      <w:r w:rsidR="004B219C" w:rsidRPr="006E1130">
        <w:t>ely populated</w:t>
      </w:r>
      <w:r w:rsidR="003C735E" w:rsidRPr="006E1130">
        <w:t xml:space="preserve"> or </w:t>
      </w:r>
      <w:proofErr w:type="spellStart"/>
      <w:r w:rsidR="003C735E" w:rsidRPr="006E1130">
        <w:t>untravelled</w:t>
      </w:r>
      <w:proofErr w:type="spellEnd"/>
      <w:r w:rsidR="004B219C" w:rsidRPr="006E1130">
        <w:t>.</w:t>
      </w:r>
    </w:p>
    <w:p w14:paraId="76566433" w14:textId="77777777" w:rsidR="006E1130" w:rsidRPr="006E1130" w:rsidRDefault="0013491C" w:rsidP="006E1130">
      <w:pPr>
        <w:pStyle w:val="Listparagraphbullets"/>
        <w:spacing w:after="100"/>
      </w:pPr>
      <w:r w:rsidRPr="006E1130">
        <w:t xml:space="preserve">Australia’s world class mobile services </w:t>
      </w:r>
      <w:r w:rsidR="003C735E" w:rsidRPr="006E1130">
        <w:t xml:space="preserve">nevertheless </w:t>
      </w:r>
      <w:r w:rsidRPr="006E1130">
        <w:t>reach 99.</w:t>
      </w:r>
      <w:r w:rsidR="00FD13F3" w:rsidRPr="006E1130">
        <w:t>5</w:t>
      </w:r>
      <w:r w:rsidRPr="006E1130">
        <w:t>% of the population and cover around 3</w:t>
      </w:r>
      <w:r w:rsidR="00FD13F3" w:rsidRPr="006E1130">
        <w:t>3</w:t>
      </w:r>
      <w:r w:rsidRPr="006E1130">
        <w:t>% of our landmass.</w:t>
      </w:r>
      <w:r w:rsidR="0010140E" w:rsidRPr="006E1130">
        <w:t xml:space="preserve"> Mobile services via satellite are </w:t>
      </w:r>
      <w:r w:rsidR="00C81414" w:rsidRPr="006E1130">
        <w:t xml:space="preserve">also </w:t>
      </w:r>
      <w:r w:rsidR="0010140E" w:rsidRPr="006E1130">
        <w:t>available nationally.</w:t>
      </w:r>
    </w:p>
    <w:p w14:paraId="4C6A3521" w14:textId="77777777" w:rsidR="006E1130" w:rsidRPr="006E1130" w:rsidRDefault="0013491C" w:rsidP="006E1130">
      <w:pPr>
        <w:pStyle w:val="Listparagraphbullets"/>
        <w:spacing w:after="100"/>
      </w:pPr>
      <w:r w:rsidRPr="006E1130">
        <w:t xml:space="preserve">Coverage </w:t>
      </w:r>
      <w:r w:rsidR="003C735E" w:rsidRPr="006E1130">
        <w:t xml:space="preserve">has </w:t>
      </w:r>
      <w:r w:rsidRPr="006E1130">
        <w:t>expand</w:t>
      </w:r>
      <w:r w:rsidR="003C735E" w:rsidRPr="006E1130">
        <w:t>ed</w:t>
      </w:r>
      <w:r w:rsidRPr="006E1130">
        <w:t xml:space="preserve"> under the Government’s $380 million Mobile Black Spots Program (MBSP).</w:t>
      </w:r>
      <w:r w:rsidR="006009AC" w:rsidRPr="006E1130">
        <w:t xml:space="preserve"> </w:t>
      </w:r>
      <w:r w:rsidR="001D4CC7" w:rsidRPr="006E1130">
        <w:t xml:space="preserve">As at </w:t>
      </w:r>
      <w:r w:rsidR="00885376" w:rsidRPr="006E1130">
        <w:t xml:space="preserve">June </w:t>
      </w:r>
      <w:r w:rsidR="001D4CC7" w:rsidRPr="006E1130">
        <w:t>2</w:t>
      </w:r>
      <w:r w:rsidR="00885376" w:rsidRPr="006E1130">
        <w:t>021, 938</w:t>
      </w:r>
      <w:r w:rsidR="001D4CC7" w:rsidRPr="006E1130">
        <w:t xml:space="preserve"> MBSP base stations had been completed across the country.</w:t>
      </w:r>
    </w:p>
    <w:p w14:paraId="32C8B30D" w14:textId="77777777" w:rsidR="006E1130" w:rsidRPr="006E1130" w:rsidRDefault="0013491C" w:rsidP="006E1130">
      <w:pPr>
        <w:pStyle w:val="Listparagraphbullets"/>
        <w:spacing w:after="100"/>
      </w:pPr>
      <w:r w:rsidRPr="006E1130">
        <w:t>Through</w:t>
      </w:r>
      <w:r w:rsidR="00885376" w:rsidRPr="006E1130">
        <w:t xml:space="preserve"> the</w:t>
      </w:r>
      <w:r w:rsidRPr="006E1130">
        <w:t xml:space="preserve"> MBSP, the Government’s commitment has generated a total investment </w:t>
      </w:r>
      <w:r w:rsidR="00885376" w:rsidRPr="006E1130">
        <w:t xml:space="preserve">to date </w:t>
      </w:r>
      <w:r w:rsidRPr="006E1130">
        <w:t>of more than $</w:t>
      </w:r>
      <w:r w:rsidR="00885376" w:rsidRPr="006E1130">
        <w:t xml:space="preserve">875 </w:t>
      </w:r>
      <w:r w:rsidRPr="006E1130">
        <w:t xml:space="preserve">million (GST inclusive) including co-contributions from local, state and territory governments, mobile network operators and community organisations, funding a total of more than </w:t>
      </w:r>
      <w:r w:rsidR="00885376" w:rsidRPr="006E1130">
        <w:t>1,27</w:t>
      </w:r>
      <w:r w:rsidRPr="006E1130">
        <w:t>0 new mobile base stations across Australia.</w:t>
      </w:r>
      <w:r w:rsidR="006009AC" w:rsidRPr="006E1130">
        <w:t xml:space="preserve"> </w:t>
      </w:r>
      <w:bookmarkEnd w:id="1"/>
      <w:bookmarkEnd w:id="2"/>
      <w:bookmarkEnd w:id="3"/>
      <w:bookmarkEnd w:id="4"/>
    </w:p>
    <w:p w14:paraId="5D2B82D0" w14:textId="1358051C" w:rsidR="00A60752" w:rsidRPr="006E1130" w:rsidRDefault="00D40A54" w:rsidP="006E1130">
      <w:pPr>
        <w:pStyle w:val="Listparagraphbullets"/>
      </w:pPr>
      <w:r w:rsidRPr="006E1130">
        <w:t>There are a number of other federal</w:t>
      </w:r>
      <w:r w:rsidR="00045E2C" w:rsidRPr="006E1130">
        <w:t xml:space="preserve"> and</w:t>
      </w:r>
      <w:r w:rsidRPr="006E1130">
        <w:t xml:space="preserve"> </w:t>
      </w:r>
      <w:r w:rsidR="00045E2C" w:rsidRPr="006E1130">
        <w:t xml:space="preserve">state government </w:t>
      </w:r>
      <w:r w:rsidRPr="006E1130">
        <w:t>programs that complement the MBSP</w:t>
      </w:r>
      <w:r w:rsidR="00045E2C" w:rsidRPr="006E1130">
        <w:t xml:space="preserve"> by targeting specific mobile coverage issues</w:t>
      </w:r>
      <w:r w:rsidRPr="006E1130">
        <w:t>. For example, the Australia Government’s Peri-Urban Mobile Program is targeting mobile connectivity issues in bushfire prone areas on the peri-urban fringe of Australia’s major cities</w:t>
      </w:r>
      <w:r w:rsidR="00045E2C" w:rsidRPr="006E1130">
        <w:t>, and the Mobile Network Hardening Program is improving the resilience of regional and remote mobile network infrastructure</w:t>
      </w:r>
      <w:r w:rsidRPr="006E1130">
        <w:t>.</w:t>
      </w:r>
    </w:p>
    <w:sectPr w:rsidR="00A60752" w:rsidRPr="006E1130" w:rsidSect="000D1361">
      <w:type w:val="continuous"/>
      <w:pgSz w:w="11906" w:h="16838"/>
      <w:pgMar w:top="2268" w:right="992" w:bottom="70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5848" w14:textId="77777777" w:rsidR="00546606" w:rsidRDefault="00546606" w:rsidP="00FC413F">
      <w:pPr>
        <w:spacing w:after="0"/>
      </w:pPr>
      <w:r>
        <w:separator/>
      </w:r>
    </w:p>
  </w:endnote>
  <w:endnote w:type="continuationSeparator" w:id="0">
    <w:p w14:paraId="355C9DB8" w14:textId="77777777" w:rsidR="00546606" w:rsidRDefault="00546606" w:rsidP="00FC413F">
      <w:pPr>
        <w:spacing w:after="0"/>
      </w:pPr>
      <w:r>
        <w:continuationSeparator/>
      </w:r>
    </w:p>
  </w:endnote>
  <w:endnote w:type="continuationNotice" w:id="1">
    <w:p w14:paraId="60E0735B" w14:textId="77777777" w:rsidR="00546606" w:rsidRDefault="005466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6DD8" w14:textId="77777777" w:rsidR="0013491C" w:rsidRPr="00FC413F" w:rsidRDefault="0013491C" w:rsidP="0013491C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14:paraId="14A3AF25" w14:textId="11FA634A" w:rsidR="0013491C" w:rsidRDefault="0013491C" w:rsidP="000D1361">
    <w:pPr>
      <w:pStyle w:val="Footer"/>
      <w:tabs>
        <w:tab w:val="clear" w:pos="4513"/>
        <w:tab w:val="clear" w:pos="9026"/>
        <w:tab w:val="right" w:pos="9356"/>
      </w:tabs>
      <w:ind w:left="-283" w:hanging="284"/>
      <w:rPr>
        <w:rFonts w:cs="Segoe UI"/>
        <w:noProof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407EB6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ab/>
    </w:r>
    <w:r>
      <w:rPr>
        <w:rFonts w:cs="Segoe UI"/>
        <w:noProof/>
        <w:szCs w:val="18"/>
      </w:rPr>
      <w:tab/>
      <w:t xml:space="preserve">Universal Service Guarantee – fact sheet – </w:t>
    </w:r>
    <w:r w:rsidR="009E0FFD">
      <w:rPr>
        <w:rFonts w:cs="Segoe UI"/>
        <w:noProof/>
        <w:szCs w:val="18"/>
      </w:rPr>
      <w:t xml:space="preserve">update  – </w:t>
    </w:r>
    <w:r w:rsidR="00A60752">
      <w:rPr>
        <w:rFonts w:cs="Segoe UI"/>
        <w:noProof/>
        <w:szCs w:val="18"/>
      </w:rPr>
      <w:t>3 September</w:t>
    </w:r>
    <w:r>
      <w:rPr>
        <w:rFonts w:cs="Segoe UI"/>
        <w:noProof/>
        <w:szCs w:val="18"/>
      </w:rPr>
      <w:t xml:space="preserve"> 2021</w:t>
    </w:r>
  </w:p>
  <w:p w14:paraId="6682D057" w14:textId="77777777" w:rsidR="0013491C" w:rsidRPr="00B43F55" w:rsidRDefault="00407EB6" w:rsidP="0013491C">
    <w:pPr>
      <w:pStyle w:val="Footer"/>
      <w:spacing w:after="60"/>
      <w:ind w:left="-567"/>
      <w:jc w:val="center"/>
    </w:pPr>
    <w:hyperlink r:id="rId1" w:history="1">
      <w:r w:rsidR="0013491C" w:rsidRPr="00416734">
        <w:rPr>
          <w:rStyle w:val="Hyperlink"/>
        </w:rPr>
        <w:t>infrastructure.gov.au</w:t>
      </w:r>
    </w:hyperlink>
    <w:r w:rsidR="0013491C" w:rsidRPr="00416734">
      <w:t xml:space="preserve"> | </w:t>
    </w:r>
    <w:hyperlink r:id="rId2" w:history="1">
      <w:r w:rsidR="0013491C" w:rsidRPr="00416734">
        <w:rPr>
          <w:rStyle w:val="Hyperlink"/>
        </w:rPr>
        <w:t>communications.gov.au</w:t>
      </w:r>
    </w:hyperlink>
    <w:r w:rsidR="0013491C" w:rsidRPr="00416734">
      <w:t xml:space="preserve"> | </w:t>
    </w:r>
    <w:hyperlink r:id="rId3" w:history="1">
      <w:r w:rsidR="0013491C" w:rsidRPr="00416734">
        <w:rPr>
          <w:rStyle w:val="Hyperlink"/>
        </w:rPr>
        <w:t>arts.gov.au</w:t>
      </w:r>
    </w:hyperlink>
  </w:p>
  <w:p w14:paraId="437F98C2" w14:textId="77777777" w:rsidR="001E7AC4" w:rsidRPr="000D1361" w:rsidRDefault="001E7AC4" w:rsidP="00CF776E">
    <w:pPr>
      <w:pStyle w:val="Footer"/>
      <w:tabs>
        <w:tab w:val="clear" w:pos="4513"/>
        <w:tab w:val="clear" w:pos="9026"/>
      </w:tabs>
      <w:ind w:left="-1418"/>
      <w:jc w:val="cen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5211FFA7" wp14:editId="178988E8">
              <wp:extent cx="7582619" cy="238868"/>
              <wp:effectExtent l="0" t="0" r="0" b="8890"/>
              <wp:docPr id="3" name="Rectangle 3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619" cy="23886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64E5DE" id="Rectangle 3" o:spid="_x0000_s1026" alt="decorative" style="width:597.0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" fillcolor="#ededed [662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58EE" w14:textId="77777777" w:rsidR="001E7AC4" w:rsidRPr="00FC413F" w:rsidRDefault="001E7AC4" w:rsidP="00B43F55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14:paraId="234591CE" w14:textId="776C9339" w:rsidR="001E7AC4" w:rsidRPr="00CF776E" w:rsidRDefault="001E7AC4" w:rsidP="00CF776E">
    <w:pPr>
      <w:pStyle w:val="Footer"/>
      <w:tabs>
        <w:tab w:val="clear" w:pos="4513"/>
        <w:tab w:val="clear" w:pos="9026"/>
        <w:tab w:val="right" w:pos="9356"/>
      </w:tabs>
      <w:spacing w:after="120"/>
      <w:ind w:left="-284" w:hanging="283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407EB6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ab/>
    </w:r>
    <w:r w:rsidR="0013491C">
      <w:rPr>
        <w:rFonts w:cs="Segoe UI"/>
        <w:noProof/>
        <w:szCs w:val="18"/>
      </w:rPr>
      <w:tab/>
    </w:r>
    <w:r w:rsidR="0013491C" w:rsidRPr="00CF776E">
      <w:t xml:space="preserve">Universal Service Guarantee – </w:t>
    </w:r>
    <w:r w:rsidR="0013491C">
      <w:rPr>
        <w:rFonts w:cs="Segoe UI"/>
        <w:noProof/>
        <w:szCs w:val="18"/>
      </w:rPr>
      <w:t xml:space="preserve">fact sheet – </w:t>
    </w:r>
    <w:r w:rsidR="009E0FFD">
      <w:rPr>
        <w:rFonts w:cs="Segoe UI"/>
        <w:noProof/>
        <w:szCs w:val="18"/>
      </w:rPr>
      <w:t xml:space="preserve">update – </w:t>
    </w:r>
    <w:r w:rsidR="00A60752">
      <w:rPr>
        <w:rFonts w:cs="Segoe UI"/>
        <w:noProof/>
        <w:szCs w:val="18"/>
      </w:rPr>
      <w:t>3 September</w:t>
    </w:r>
    <w:r w:rsidR="0013491C">
      <w:rPr>
        <w:rFonts w:cs="Segoe UI"/>
        <w:noProof/>
        <w:szCs w:val="18"/>
      </w:rPr>
      <w:t xml:space="preserve"> 2021</w:t>
    </w:r>
  </w:p>
  <w:p w14:paraId="3EF76287" w14:textId="77777777" w:rsidR="00B43F55" w:rsidRPr="00B43F55" w:rsidRDefault="00407EB6" w:rsidP="00B43F55">
    <w:pPr>
      <w:pStyle w:val="Footer"/>
      <w:spacing w:after="60"/>
      <w:ind w:left="-567"/>
      <w:jc w:val="center"/>
    </w:pPr>
    <w:hyperlink r:id="rId1" w:history="1">
      <w:r w:rsidR="00416734" w:rsidRPr="00416734">
        <w:rPr>
          <w:rStyle w:val="Hyperlink"/>
        </w:rPr>
        <w:t>infrastructure.gov.au</w:t>
      </w:r>
    </w:hyperlink>
    <w:r w:rsidR="00416734" w:rsidRPr="00416734">
      <w:t xml:space="preserve"> | </w:t>
    </w:r>
    <w:hyperlink r:id="rId2" w:history="1">
      <w:r w:rsidR="00416734" w:rsidRPr="00416734">
        <w:rPr>
          <w:rStyle w:val="Hyperlink"/>
        </w:rPr>
        <w:t>communications.gov.au</w:t>
      </w:r>
    </w:hyperlink>
    <w:r w:rsidR="00416734" w:rsidRPr="00416734">
      <w:t xml:space="preserve"> | </w:t>
    </w:r>
    <w:hyperlink r:id="rId3" w:history="1">
      <w:r w:rsidR="00416734" w:rsidRPr="00416734">
        <w:rPr>
          <w:rStyle w:val="Hyperlink"/>
        </w:rPr>
        <w:t>arts.gov.au</w:t>
      </w:r>
    </w:hyperlink>
  </w:p>
  <w:p w14:paraId="338BB4F4" w14:textId="77777777" w:rsidR="001E7AC4" w:rsidRPr="000D1361" w:rsidRDefault="001E7AC4" w:rsidP="00CF776E">
    <w:pPr>
      <w:pStyle w:val="Footer"/>
      <w:tabs>
        <w:tab w:val="clear" w:pos="4513"/>
        <w:tab w:val="clear" w:pos="9026"/>
      </w:tabs>
      <w:ind w:left="-1418"/>
      <w:jc w:val="cen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1255DA97" wp14:editId="02AF9013">
              <wp:extent cx="7582619" cy="238868"/>
              <wp:effectExtent l="0" t="0" r="0" b="8890"/>
              <wp:docPr id="4" name="Rectangle 4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619" cy="23886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971CF9" id="Rectangle 4" o:spid="_x0000_s1026" alt="decorative" style="width:597.0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" fillcolor="#ededed [662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6AA3" w14:textId="77777777" w:rsidR="00546606" w:rsidRDefault="00546606" w:rsidP="00FC413F">
      <w:pPr>
        <w:spacing w:after="0"/>
      </w:pPr>
      <w:r>
        <w:separator/>
      </w:r>
    </w:p>
  </w:footnote>
  <w:footnote w:type="continuationSeparator" w:id="0">
    <w:p w14:paraId="2E0640C2" w14:textId="77777777" w:rsidR="00546606" w:rsidRDefault="00546606" w:rsidP="00FC413F">
      <w:pPr>
        <w:spacing w:after="0"/>
      </w:pPr>
      <w:r>
        <w:continuationSeparator/>
      </w:r>
    </w:p>
  </w:footnote>
  <w:footnote w:type="continuationNotice" w:id="1">
    <w:p w14:paraId="32E88C93" w14:textId="77777777" w:rsidR="00546606" w:rsidRDefault="005466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04DD" w14:textId="77777777" w:rsidR="001E7AC4" w:rsidRDefault="001E7AC4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3FF39670" wp14:editId="7EDF2817">
          <wp:extent cx="7570707" cy="1080198"/>
          <wp:effectExtent l="0" t="0" r="0" b="5715"/>
          <wp:docPr id="2" name="Picture 2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A8647" w14:textId="67802B22" w:rsidR="001E7AC4" w:rsidRPr="00D7425E" w:rsidRDefault="0015263D" w:rsidP="00CF776E">
    <w:pPr>
      <w:pStyle w:val="Header"/>
      <w:tabs>
        <w:tab w:val="clear" w:pos="4678"/>
        <w:tab w:val="clear" w:pos="9356"/>
        <w:tab w:val="right" w:pos="9333"/>
      </w:tabs>
      <w:rPr>
        <w:rFonts w:cs="Segoe UI Light"/>
        <w:color w:val="001C40"/>
        <w:szCs w:val="18"/>
      </w:rPr>
    </w:pPr>
    <w:r>
      <w:rPr>
        <w:rFonts w:cs="Segoe UI Light"/>
        <w:szCs w:val="18"/>
      </w:rPr>
      <w:t>September</w:t>
    </w:r>
    <w:r w:rsidR="00D7425E">
      <w:rPr>
        <w:rFonts w:cs="Segoe UI Light"/>
        <w:szCs w:val="18"/>
      </w:rPr>
      <w:t xml:space="preserve"> </w:t>
    </w:r>
    <w:r w:rsidR="001E7AC4">
      <w:rPr>
        <w:rFonts w:cs="Segoe UI Light"/>
        <w:szCs w:val="18"/>
      </w:rPr>
      <w:t>2021</w:t>
    </w:r>
    <w:r w:rsidR="001E7AC4" w:rsidRPr="00261FFA">
      <w:rPr>
        <w:rFonts w:cs="Segoe UI Light"/>
        <w:szCs w:val="18"/>
      </w:rPr>
      <w:tab/>
    </w:r>
    <w:r>
      <w:rPr>
        <w:rFonts w:cs="Segoe UI Light"/>
        <w:szCs w:val="18"/>
      </w:rPr>
      <w:t>Universal Service Guarantee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53D89"/>
    <w:multiLevelType w:val="hybridMultilevel"/>
    <w:tmpl w:val="E4F8A6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1EFC"/>
    <w:multiLevelType w:val="hybridMultilevel"/>
    <w:tmpl w:val="BC4C3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7E7D"/>
    <w:multiLevelType w:val="hybridMultilevel"/>
    <w:tmpl w:val="F50428AC"/>
    <w:lvl w:ilvl="0" w:tplc="DB725018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146DF"/>
    <w:multiLevelType w:val="hybridMultilevel"/>
    <w:tmpl w:val="51F489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7"/>
  </w:num>
  <w:num w:numId="17">
    <w:abstractNumId w:val="10"/>
  </w:num>
  <w:num w:numId="18">
    <w:abstractNumId w:val="14"/>
  </w:num>
  <w:num w:numId="19">
    <w:abstractNumId w:val="11"/>
  </w:num>
  <w:num w:numId="20">
    <w:abstractNumId w:val="18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2"/>
    <w:rsid w:val="0000270B"/>
    <w:rsid w:val="00012D3A"/>
    <w:rsid w:val="00012EF1"/>
    <w:rsid w:val="0002211C"/>
    <w:rsid w:val="0003502E"/>
    <w:rsid w:val="0003770F"/>
    <w:rsid w:val="00045E2C"/>
    <w:rsid w:val="000522EB"/>
    <w:rsid w:val="00072195"/>
    <w:rsid w:val="000740FB"/>
    <w:rsid w:val="0008464F"/>
    <w:rsid w:val="000865D0"/>
    <w:rsid w:val="00090E62"/>
    <w:rsid w:val="000A28C8"/>
    <w:rsid w:val="000B1E86"/>
    <w:rsid w:val="000C0244"/>
    <w:rsid w:val="000D1361"/>
    <w:rsid w:val="000D4507"/>
    <w:rsid w:val="000D4B3B"/>
    <w:rsid w:val="0010140E"/>
    <w:rsid w:val="00105DA4"/>
    <w:rsid w:val="00111A64"/>
    <w:rsid w:val="00133A45"/>
    <w:rsid w:val="0013491C"/>
    <w:rsid w:val="00143894"/>
    <w:rsid w:val="00146512"/>
    <w:rsid w:val="001471EA"/>
    <w:rsid w:val="001472FC"/>
    <w:rsid w:val="0015263D"/>
    <w:rsid w:val="00154E2D"/>
    <w:rsid w:val="001736CC"/>
    <w:rsid w:val="00185E9F"/>
    <w:rsid w:val="00190A0C"/>
    <w:rsid w:val="00194CA1"/>
    <w:rsid w:val="0019701B"/>
    <w:rsid w:val="001A44E4"/>
    <w:rsid w:val="001D4CC7"/>
    <w:rsid w:val="001D583B"/>
    <w:rsid w:val="001D7905"/>
    <w:rsid w:val="001E4471"/>
    <w:rsid w:val="001E7AC4"/>
    <w:rsid w:val="00204A64"/>
    <w:rsid w:val="002117E6"/>
    <w:rsid w:val="00217C11"/>
    <w:rsid w:val="00236F1B"/>
    <w:rsid w:val="002600FA"/>
    <w:rsid w:val="00260944"/>
    <w:rsid w:val="00261FFA"/>
    <w:rsid w:val="00272982"/>
    <w:rsid w:val="00273E99"/>
    <w:rsid w:val="00287C7E"/>
    <w:rsid w:val="00290FEC"/>
    <w:rsid w:val="00293DD6"/>
    <w:rsid w:val="002A5AB5"/>
    <w:rsid w:val="002E7A40"/>
    <w:rsid w:val="002F1A23"/>
    <w:rsid w:val="002F3895"/>
    <w:rsid w:val="00300077"/>
    <w:rsid w:val="00310148"/>
    <w:rsid w:val="00323710"/>
    <w:rsid w:val="00327F06"/>
    <w:rsid w:val="00335334"/>
    <w:rsid w:val="00336DDD"/>
    <w:rsid w:val="00342348"/>
    <w:rsid w:val="003508A8"/>
    <w:rsid w:val="003761D1"/>
    <w:rsid w:val="00381364"/>
    <w:rsid w:val="00381BDA"/>
    <w:rsid w:val="003B5B1D"/>
    <w:rsid w:val="003B6D01"/>
    <w:rsid w:val="003C1E76"/>
    <w:rsid w:val="003C371C"/>
    <w:rsid w:val="003C3F55"/>
    <w:rsid w:val="003C575A"/>
    <w:rsid w:val="003C735E"/>
    <w:rsid w:val="003D71C5"/>
    <w:rsid w:val="003F1C9A"/>
    <w:rsid w:val="003F3CB7"/>
    <w:rsid w:val="003F495D"/>
    <w:rsid w:val="00400E77"/>
    <w:rsid w:val="004021A8"/>
    <w:rsid w:val="00407EB6"/>
    <w:rsid w:val="00416734"/>
    <w:rsid w:val="00445017"/>
    <w:rsid w:val="00450D6E"/>
    <w:rsid w:val="004A3207"/>
    <w:rsid w:val="004B219C"/>
    <w:rsid w:val="005413E7"/>
    <w:rsid w:val="00544465"/>
    <w:rsid w:val="00546606"/>
    <w:rsid w:val="00561190"/>
    <w:rsid w:val="005658F1"/>
    <w:rsid w:val="00565B47"/>
    <w:rsid w:val="0057494F"/>
    <w:rsid w:val="00575A5A"/>
    <w:rsid w:val="005932D0"/>
    <w:rsid w:val="00597F9B"/>
    <w:rsid w:val="005C0459"/>
    <w:rsid w:val="005C37D2"/>
    <w:rsid w:val="005D038B"/>
    <w:rsid w:val="005E2DC1"/>
    <w:rsid w:val="005E55BD"/>
    <w:rsid w:val="005E6910"/>
    <w:rsid w:val="006009AC"/>
    <w:rsid w:val="00610225"/>
    <w:rsid w:val="0061446D"/>
    <w:rsid w:val="00625397"/>
    <w:rsid w:val="00630D43"/>
    <w:rsid w:val="006340A5"/>
    <w:rsid w:val="0064138E"/>
    <w:rsid w:val="006452B1"/>
    <w:rsid w:val="006542FA"/>
    <w:rsid w:val="00686481"/>
    <w:rsid w:val="00691FA2"/>
    <w:rsid w:val="006A2F0E"/>
    <w:rsid w:val="006C0FF8"/>
    <w:rsid w:val="006D43C7"/>
    <w:rsid w:val="006E1130"/>
    <w:rsid w:val="006F06FD"/>
    <w:rsid w:val="00705B86"/>
    <w:rsid w:val="00731351"/>
    <w:rsid w:val="00744CD2"/>
    <w:rsid w:val="00752040"/>
    <w:rsid w:val="00753BB6"/>
    <w:rsid w:val="00772C27"/>
    <w:rsid w:val="007734E8"/>
    <w:rsid w:val="00790F25"/>
    <w:rsid w:val="00791E04"/>
    <w:rsid w:val="00793843"/>
    <w:rsid w:val="0079788A"/>
    <w:rsid w:val="007A4B0F"/>
    <w:rsid w:val="007B68AB"/>
    <w:rsid w:val="00803ADC"/>
    <w:rsid w:val="008169A6"/>
    <w:rsid w:val="00822DBF"/>
    <w:rsid w:val="00827B24"/>
    <w:rsid w:val="00834DE8"/>
    <w:rsid w:val="0083728E"/>
    <w:rsid w:val="0085456E"/>
    <w:rsid w:val="008646E6"/>
    <w:rsid w:val="00866339"/>
    <w:rsid w:val="00866475"/>
    <w:rsid w:val="00885376"/>
    <w:rsid w:val="008A48A3"/>
    <w:rsid w:val="008A4B1F"/>
    <w:rsid w:val="008A52BD"/>
    <w:rsid w:val="008A7B93"/>
    <w:rsid w:val="008D4E53"/>
    <w:rsid w:val="008E534F"/>
    <w:rsid w:val="008E5A8E"/>
    <w:rsid w:val="008F24DE"/>
    <w:rsid w:val="00912D17"/>
    <w:rsid w:val="00922C0E"/>
    <w:rsid w:val="009276A3"/>
    <w:rsid w:val="009279AE"/>
    <w:rsid w:val="009313D2"/>
    <w:rsid w:val="00935A30"/>
    <w:rsid w:val="0094124E"/>
    <w:rsid w:val="009615FE"/>
    <w:rsid w:val="00985DD5"/>
    <w:rsid w:val="009A0847"/>
    <w:rsid w:val="009B7EF0"/>
    <w:rsid w:val="009E0FFD"/>
    <w:rsid w:val="009E12E4"/>
    <w:rsid w:val="00A153D1"/>
    <w:rsid w:val="00A22246"/>
    <w:rsid w:val="00A241FE"/>
    <w:rsid w:val="00A24200"/>
    <w:rsid w:val="00A35CD0"/>
    <w:rsid w:val="00A44E4B"/>
    <w:rsid w:val="00A4759C"/>
    <w:rsid w:val="00A5600C"/>
    <w:rsid w:val="00A606B1"/>
    <w:rsid w:val="00A60752"/>
    <w:rsid w:val="00A63390"/>
    <w:rsid w:val="00A82DAF"/>
    <w:rsid w:val="00A8513C"/>
    <w:rsid w:val="00A866A3"/>
    <w:rsid w:val="00A86AF3"/>
    <w:rsid w:val="00A9206A"/>
    <w:rsid w:val="00AA38E6"/>
    <w:rsid w:val="00AD7475"/>
    <w:rsid w:val="00AE4F02"/>
    <w:rsid w:val="00AE61A6"/>
    <w:rsid w:val="00B049A4"/>
    <w:rsid w:val="00B1045C"/>
    <w:rsid w:val="00B43C56"/>
    <w:rsid w:val="00B43F55"/>
    <w:rsid w:val="00B5393D"/>
    <w:rsid w:val="00B55747"/>
    <w:rsid w:val="00B74715"/>
    <w:rsid w:val="00B74C13"/>
    <w:rsid w:val="00B76D03"/>
    <w:rsid w:val="00B85281"/>
    <w:rsid w:val="00B96893"/>
    <w:rsid w:val="00B972D5"/>
    <w:rsid w:val="00BA0A5A"/>
    <w:rsid w:val="00BB3D46"/>
    <w:rsid w:val="00BC0598"/>
    <w:rsid w:val="00BC329E"/>
    <w:rsid w:val="00BC7D72"/>
    <w:rsid w:val="00BE7E66"/>
    <w:rsid w:val="00BF58CC"/>
    <w:rsid w:val="00C02452"/>
    <w:rsid w:val="00C04182"/>
    <w:rsid w:val="00C16794"/>
    <w:rsid w:val="00C240E2"/>
    <w:rsid w:val="00C36E40"/>
    <w:rsid w:val="00C451EE"/>
    <w:rsid w:val="00C52A6C"/>
    <w:rsid w:val="00C55F55"/>
    <w:rsid w:val="00C62177"/>
    <w:rsid w:val="00C81414"/>
    <w:rsid w:val="00C95421"/>
    <w:rsid w:val="00CA5147"/>
    <w:rsid w:val="00CC75CC"/>
    <w:rsid w:val="00CC7ECA"/>
    <w:rsid w:val="00CD0046"/>
    <w:rsid w:val="00CF776E"/>
    <w:rsid w:val="00D03AE2"/>
    <w:rsid w:val="00D31022"/>
    <w:rsid w:val="00D40A54"/>
    <w:rsid w:val="00D47BFD"/>
    <w:rsid w:val="00D64922"/>
    <w:rsid w:val="00D7425E"/>
    <w:rsid w:val="00D92957"/>
    <w:rsid w:val="00DA7200"/>
    <w:rsid w:val="00DC0983"/>
    <w:rsid w:val="00DC2DFA"/>
    <w:rsid w:val="00DC5DC8"/>
    <w:rsid w:val="00DD5D52"/>
    <w:rsid w:val="00DF7F99"/>
    <w:rsid w:val="00E43894"/>
    <w:rsid w:val="00E7227D"/>
    <w:rsid w:val="00E76BC6"/>
    <w:rsid w:val="00E80E04"/>
    <w:rsid w:val="00E97404"/>
    <w:rsid w:val="00EA2F26"/>
    <w:rsid w:val="00EA415A"/>
    <w:rsid w:val="00EA5BA4"/>
    <w:rsid w:val="00EA6D34"/>
    <w:rsid w:val="00EB40A5"/>
    <w:rsid w:val="00EC6D35"/>
    <w:rsid w:val="00ED7DC2"/>
    <w:rsid w:val="00EE6EE8"/>
    <w:rsid w:val="00EF5B98"/>
    <w:rsid w:val="00EF61B4"/>
    <w:rsid w:val="00F1037A"/>
    <w:rsid w:val="00F33820"/>
    <w:rsid w:val="00F3567E"/>
    <w:rsid w:val="00F408EE"/>
    <w:rsid w:val="00F61FA1"/>
    <w:rsid w:val="00F6292B"/>
    <w:rsid w:val="00F7051B"/>
    <w:rsid w:val="00F813F4"/>
    <w:rsid w:val="00F814AD"/>
    <w:rsid w:val="00FA03A1"/>
    <w:rsid w:val="00FA64C7"/>
    <w:rsid w:val="00FB0B5A"/>
    <w:rsid w:val="00FB4C6C"/>
    <w:rsid w:val="00FC413F"/>
    <w:rsid w:val="00FD13F3"/>
    <w:rsid w:val="00FD3DAB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FE8C66"/>
  <w15:chartTrackingRefBased/>
  <w15:docId w15:val="{B9F49701-4453-4200-84C7-7C9246BB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40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A40"/>
    <w:pPr>
      <w:keepNext/>
      <w:keepLines/>
      <w:spacing w:before="240" w:after="240"/>
      <w:outlineLvl w:val="0"/>
    </w:pPr>
    <w:rPr>
      <w:rFonts w:eastAsiaTheme="majorEastAsia" w:cs="Segoe UI Semibold"/>
      <w:b/>
      <w:color w:val="002D7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130"/>
    <w:pPr>
      <w:keepNext/>
      <w:spacing w:after="120"/>
      <w:outlineLvl w:val="1"/>
    </w:pPr>
    <w:rPr>
      <w:rFonts w:eastAsia="MingLiU" w:cs="Segoe UI Semibold"/>
      <w:b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A40"/>
    <w:pPr>
      <w:keepNext/>
      <w:spacing w:before="120" w:after="120"/>
      <w:outlineLvl w:val="2"/>
    </w:pPr>
    <w:rPr>
      <w:rFonts w:eastAsia="MingLiU" w:cs="Segoe UI Semibold"/>
      <w:b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A40"/>
    <w:pPr>
      <w:keepNext/>
      <w:spacing w:before="120" w:after="120"/>
      <w:outlineLvl w:val="3"/>
    </w:pPr>
    <w:rPr>
      <w:rFonts w:eastAsia="MingLiU" w:cs="Segoe UI Semibold"/>
      <w:b/>
      <w:color w:val="4C5564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7A40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A40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7A40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7A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001C40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1E4471"/>
    <w:pPr>
      <w:numPr>
        <w:numId w:val="1"/>
      </w:numPr>
      <w:spacing w:after="0"/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E7A40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2E7A40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Calibri" w:hAnsi="Calibri"/>
      <w:sz w:val="18"/>
    </w:rPr>
  </w:style>
  <w:style w:type="character" w:styleId="Hyperlink">
    <w:name w:val="Hyperlink"/>
    <w:basedOn w:val="DefaultParagraphFont"/>
    <w:uiPriority w:val="99"/>
    <w:unhideWhenUsed/>
    <w:rsid w:val="002E7A40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0A0C"/>
    <w:rPr>
      <w:rFonts w:ascii="Calibri" w:eastAsiaTheme="majorEastAsia" w:hAnsi="Calibri" w:cs="Segoe UI Semibold"/>
      <w:b/>
      <w:color w:val="002D7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1130"/>
    <w:rPr>
      <w:rFonts w:ascii="Calibri" w:eastAsia="MingLiU" w:hAnsi="Calibri" w:cs="Segoe UI Semibold"/>
      <w:b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A0C"/>
    <w:rPr>
      <w:rFonts w:ascii="Calibri" w:eastAsia="MingLiU" w:hAnsi="Calibri" w:cs="Segoe UI Semibold"/>
      <w:b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90A0C"/>
    <w:rPr>
      <w:rFonts w:ascii="Calibri" w:eastAsia="MingLiU" w:hAnsi="Calibri" w:cs="Segoe UI Semibold"/>
      <w:b/>
      <w:color w:val="4C556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E7A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Calibri" w:hAnsi="Calibr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Listparagraphbullets">
    <w:name w:val="List paragraph—bullets"/>
    <w:basedOn w:val="ListParagraph"/>
    <w:qFormat/>
    <w:rsid w:val="006E1130"/>
    <w:pPr>
      <w:numPr>
        <w:numId w:val="2"/>
      </w:numPr>
      <w:spacing w:after="120"/>
      <w:ind w:left="567" w:hanging="567"/>
      <w:contextualSpacing w:val="0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2E7A40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E7A40"/>
    <w:pPr>
      <w:spacing w:before="60" w:after="6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2E7A40"/>
    <w:pPr>
      <w:spacing w:before="60" w:after="60"/>
    </w:pPr>
    <w:rPr>
      <w:b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E7A4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2E7A40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381BDA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2E7A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E7A40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2E7A40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E7A40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2E7A40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E7A40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5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vel1">
    <w:name w:val="Bullet level 1"/>
    <w:basedOn w:val="Normal"/>
    <w:qFormat/>
    <w:rsid w:val="002E7A40"/>
    <w:pPr>
      <w:numPr>
        <w:numId w:val="14"/>
      </w:numPr>
      <w:spacing w:after="20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34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A40"/>
    <w:pPr>
      <w:spacing w:after="200"/>
    </w:pPr>
    <w:rPr>
      <w:rFonts w:asciiTheme="minorHAnsi" w:eastAsiaTheme="minorEastAsia" w:hAnsiTheme="minorHAnsi"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1C"/>
    <w:rPr>
      <w:rFonts w:eastAsiaTheme="minorEastAsia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1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2E7A40"/>
    <w:rPr>
      <w:rFonts w:asciiTheme="majorHAnsi" w:eastAsiaTheme="majorEastAsia" w:hAnsiTheme="majorHAnsi" w:cstheme="majorBidi"/>
      <w:b/>
      <w:i/>
      <w:iCs/>
      <w:color w:val="001C40"/>
      <w:szCs w:val="21"/>
      <w:lang w:eastAsia="zh-TW"/>
    </w:rPr>
  </w:style>
  <w:style w:type="paragraph" w:customStyle="1" w:styleId="Tabletextcentred0">
    <w:name w:val="Table text centred"/>
    <w:basedOn w:val="Normal"/>
    <w:next w:val="NoSpacing"/>
    <w:rsid w:val="002E7A40"/>
    <w:pPr>
      <w:spacing w:after="0"/>
      <w:jc w:val="center"/>
    </w:pPr>
    <w:rPr>
      <w:rFonts w:asciiTheme="minorHAnsi" w:eastAsia="Times New Roman" w:hAnsiTheme="minorHAnsi" w:cs="Times New Roman"/>
      <w:szCs w:val="20"/>
    </w:rPr>
  </w:style>
  <w:style w:type="paragraph" w:customStyle="1" w:styleId="Tablerowcolumnheadingcentred0">
    <w:name w:val="Table row/column heading centred"/>
    <w:basedOn w:val="Normal"/>
    <w:next w:val="Normal"/>
    <w:rsid w:val="002E7A40"/>
    <w:pPr>
      <w:spacing w:after="0"/>
      <w:jc w:val="center"/>
    </w:pPr>
    <w:rPr>
      <w:rFonts w:asciiTheme="minorHAnsi" w:eastAsia="Times New Roman" w:hAnsiTheme="minorHAnsi" w:cs="Times New Roman"/>
      <w:b/>
      <w:bCs/>
      <w:szCs w:val="20"/>
    </w:rPr>
  </w:style>
  <w:style w:type="paragraph" w:customStyle="1" w:styleId="Checkboxemptybulletpoint">
    <w:name w:val="Check box empty bullet point"/>
    <w:basedOn w:val="Bulletlevel1"/>
    <w:qFormat/>
    <w:rsid w:val="002E7A40"/>
    <w:pPr>
      <w:numPr>
        <w:numId w:val="16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2E7A4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7A4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A40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2E7A40"/>
    <w:pPr>
      <w:keepLines/>
      <w:jc w:val="center"/>
    </w:pPr>
    <w:rPr>
      <w:rFonts w:ascii="Calibri Light" w:eastAsia="Times New Roman" w:hAnsi="Calibri Light" w:cs="Times New Roman"/>
      <w:bCs/>
      <w:color w:val="1F4E79" w:themeColor="accent1" w:themeShade="80"/>
      <w:sz w:val="24"/>
      <w:szCs w:val="24"/>
      <w:lang w:eastAsia="en-AU"/>
    </w:rPr>
  </w:style>
  <w:style w:type="paragraph" w:customStyle="1" w:styleId="Heading3-notshowing">
    <w:name w:val="Heading 3 - not showing"/>
    <w:basedOn w:val="Heading3"/>
    <w:qFormat/>
    <w:rsid w:val="002E7A40"/>
    <w:pPr>
      <w:spacing w:before="0"/>
    </w:pPr>
    <w:rPr>
      <w:rFonts w:asciiTheme="majorHAnsi" w:eastAsiaTheme="majorEastAsia" w:hAnsiTheme="majorHAnsi" w:cstheme="majorBidi"/>
      <w:color w:val="001C40"/>
      <w:sz w:val="28"/>
      <w:szCs w:val="24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2E7A4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A40"/>
    <w:rPr>
      <w:rFonts w:eastAsiaTheme="minorEastAsia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C6C8-4017-42B8-8F0C-F0D7295D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5331</Characters>
  <Application>Microsoft Office Word</Application>
  <DocSecurity>0</DocSecurity>
  <Lines>84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Service Guarantee (USG)</vt:lpstr>
    </vt:vector>
  </TitlesOfParts>
  <Company>Department of Infrastructure, Transport, Regional Development and Communications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Service Guarantee (USG)</dc:title>
  <dc:subject/>
  <dc:creator>Department of Infrastructure, Transport, Regional De</dc:creator>
  <cp:keywords/>
  <dc:description>6 January 2021</dc:description>
  <cp:lastModifiedBy>Hall, Theresa</cp:lastModifiedBy>
  <cp:revision>2</cp:revision>
  <dcterms:created xsi:type="dcterms:W3CDTF">2021-09-03T06:37:00Z</dcterms:created>
  <dcterms:modified xsi:type="dcterms:W3CDTF">2021-09-03T06:37:00Z</dcterms:modified>
</cp:coreProperties>
</file>