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2D10" w14:textId="77777777" w:rsidR="008D4AB2" w:rsidRPr="00420B37" w:rsidRDefault="002D272D" w:rsidP="005B03BB">
      <w:pPr>
        <w:spacing w:after="480"/>
        <w:ind w:left="-851"/>
        <w:rPr>
          <w:lang w:val="en-AU"/>
        </w:rPr>
      </w:pPr>
      <w:r w:rsidRPr="00420B37">
        <w:rPr>
          <w:noProof/>
          <w:lang w:val="en-AU"/>
        </w:rPr>
        <w:drawing>
          <wp:inline distT="0" distB="0" distL="0" distR="0" wp14:anchorId="5393CE95" wp14:editId="654EA613">
            <wp:extent cx="5554800" cy="1018800"/>
            <wp:effectExtent l="0" t="0" r="8255" b="0"/>
            <wp:docPr id="5" name="Picture 5" descr="Australian Government,&#10;Department of Infrastructure, Transport, Regional Development, Communications and the Arts"/>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4800" cy="1018800"/>
                    </a:xfrm>
                    <a:prstGeom prst="rect">
                      <a:avLst/>
                    </a:prstGeom>
                  </pic:spPr>
                </pic:pic>
              </a:graphicData>
            </a:graphic>
          </wp:inline>
        </w:drawing>
      </w:r>
    </w:p>
    <w:p w14:paraId="67B07F44" w14:textId="0D36155D" w:rsidR="00117A47" w:rsidRPr="00420B37" w:rsidRDefault="001038D1" w:rsidP="00757518">
      <w:pPr>
        <w:pStyle w:val="Heading1"/>
        <w:spacing w:before="720"/>
        <w:rPr>
          <w:lang w:val="en-AU"/>
        </w:rPr>
      </w:pPr>
      <w:r w:rsidRPr="00420B37">
        <w:rPr>
          <w:lang w:val="en-AU"/>
        </w:rPr>
        <w:t>Thematic r</w:t>
      </w:r>
      <w:r w:rsidR="00757518" w:rsidRPr="00420B37">
        <w:rPr>
          <w:lang w:val="en-AU"/>
        </w:rPr>
        <w:t xml:space="preserve">eview of </w:t>
      </w:r>
      <w:r w:rsidR="002D272D" w:rsidRPr="00420B37">
        <w:rPr>
          <w:lang w:val="en-AU"/>
        </w:rPr>
        <w:t>the Customer</w:t>
      </w:r>
      <w:r w:rsidR="00650CD4">
        <w:rPr>
          <w:lang w:val="en-AU"/>
        </w:rPr>
        <w:t> </w:t>
      </w:r>
      <w:r w:rsidR="002D272D" w:rsidRPr="00420B37">
        <w:rPr>
          <w:lang w:val="en-AU"/>
        </w:rPr>
        <w:t xml:space="preserve">Service Guarantee </w:t>
      </w:r>
      <w:r w:rsidR="00B80AB3">
        <w:rPr>
          <w:lang w:val="en-AU"/>
        </w:rPr>
        <w:t>(CSG)</w:t>
      </w:r>
      <w:bookmarkStart w:id="0" w:name="_GoBack"/>
      <w:bookmarkEnd w:id="0"/>
    </w:p>
    <w:p w14:paraId="790F4C8F" w14:textId="57388428" w:rsidR="00616BE8" w:rsidRPr="00420B37" w:rsidRDefault="00117A47" w:rsidP="002D272D">
      <w:pPr>
        <w:pStyle w:val="Heading1"/>
        <w:spacing w:before="360"/>
        <w:rPr>
          <w:sz w:val="36"/>
          <w:szCs w:val="36"/>
          <w:lang w:val="en-AU"/>
        </w:rPr>
      </w:pPr>
      <w:r w:rsidRPr="00420B37">
        <w:rPr>
          <w:sz w:val="36"/>
          <w:szCs w:val="36"/>
          <w:lang w:val="en-AU"/>
        </w:rPr>
        <w:t>C</w:t>
      </w:r>
      <w:r w:rsidR="00757518" w:rsidRPr="00420B37">
        <w:rPr>
          <w:sz w:val="36"/>
          <w:szCs w:val="36"/>
          <w:lang w:val="en-AU"/>
        </w:rPr>
        <w:t xml:space="preserve">onsultation </w:t>
      </w:r>
      <w:r w:rsidR="00B45F52">
        <w:rPr>
          <w:sz w:val="36"/>
          <w:szCs w:val="36"/>
          <w:lang w:val="en-AU"/>
        </w:rPr>
        <w:t>P</w:t>
      </w:r>
      <w:r w:rsidR="00757518" w:rsidRPr="00420B37">
        <w:rPr>
          <w:sz w:val="36"/>
          <w:szCs w:val="36"/>
          <w:lang w:val="en-AU"/>
        </w:rPr>
        <w:t>aper</w:t>
      </w:r>
    </w:p>
    <w:p w14:paraId="5AF909A0" w14:textId="32C099D5" w:rsidR="008D4AB2" w:rsidRPr="00D51458" w:rsidRDefault="00090B4F" w:rsidP="004D4B0F">
      <w:pPr>
        <w:rPr>
          <w:b/>
          <w:lang w:val="en-AU"/>
        </w:rPr>
      </w:pPr>
      <w:bookmarkStart w:id="1" w:name="_Hlk113976676"/>
      <w:r w:rsidRPr="00C97881">
        <w:rPr>
          <w:b/>
          <w:lang w:val="en-AU"/>
        </w:rPr>
        <w:t>FEBRUARY</w:t>
      </w:r>
      <w:r w:rsidRPr="00D51458">
        <w:rPr>
          <w:b/>
          <w:lang w:val="en-AU"/>
        </w:rPr>
        <w:t xml:space="preserve"> </w:t>
      </w:r>
      <w:r w:rsidR="008D4AB2" w:rsidRPr="00D51458">
        <w:rPr>
          <w:b/>
          <w:lang w:val="en-AU"/>
        </w:rPr>
        <w:t>202</w:t>
      </w:r>
      <w:r w:rsidR="008D5547" w:rsidRPr="00D51458">
        <w:rPr>
          <w:b/>
          <w:lang w:val="en-AU"/>
        </w:rPr>
        <w:t>3</w:t>
      </w:r>
    </w:p>
    <w:p w14:paraId="1EF32CBF" w14:textId="483BD99C" w:rsidR="00757518" w:rsidRPr="00420B37" w:rsidRDefault="00757518" w:rsidP="00757518">
      <w:pPr>
        <w:spacing w:before="240" w:after="240"/>
        <w:rPr>
          <w:sz w:val="24"/>
          <w:szCs w:val="24"/>
          <w:lang w:val="en-AU"/>
        </w:rPr>
      </w:pPr>
      <w:r w:rsidRPr="00C97881">
        <w:rPr>
          <w:sz w:val="24"/>
          <w:szCs w:val="24"/>
          <w:lang w:val="en-AU"/>
        </w:rPr>
        <w:t xml:space="preserve">Consultation opens: </w:t>
      </w:r>
      <w:bookmarkStart w:id="2" w:name="_Hlk126249155"/>
      <w:r w:rsidR="00AA6323" w:rsidRPr="00C97881">
        <w:rPr>
          <w:sz w:val="24"/>
          <w:szCs w:val="24"/>
          <w:lang w:val="en-AU"/>
        </w:rPr>
        <w:t>Friday</w:t>
      </w:r>
      <w:r w:rsidR="00B9337E" w:rsidRPr="00C97881">
        <w:rPr>
          <w:sz w:val="24"/>
          <w:szCs w:val="24"/>
          <w:lang w:val="en-AU"/>
        </w:rPr>
        <w:t xml:space="preserve">, </w:t>
      </w:r>
      <w:r w:rsidR="00AA6323" w:rsidRPr="00C97881">
        <w:rPr>
          <w:sz w:val="24"/>
          <w:szCs w:val="24"/>
          <w:lang w:val="en-AU"/>
        </w:rPr>
        <w:t xml:space="preserve">17 February </w:t>
      </w:r>
      <w:r w:rsidR="00B9337E" w:rsidRPr="00C97881">
        <w:rPr>
          <w:sz w:val="24"/>
          <w:szCs w:val="24"/>
          <w:lang w:val="en-AU"/>
        </w:rPr>
        <w:t>2023</w:t>
      </w:r>
      <w:bookmarkEnd w:id="2"/>
    </w:p>
    <w:p w14:paraId="72086B42" w14:textId="73C4CA05" w:rsidR="007E41A8" w:rsidRPr="00C97881" w:rsidRDefault="00757518" w:rsidP="00757518">
      <w:pPr>
        <w:spacing w:before="240" w:after="240"/>
        <w:rPr>
          <w:sz w:val="24"/>
          <w:szCs w:val="24"/>
          <w:lang w:val="en-AU"/>
        </w:rPr>
      </w:pPr>
      <w:r w:rsidRPr="00C97881">
        <w:rPr>
          <w:sz w:val="24"/>
          <w:szCs w:val="24"/>
          <w:lang w:val="en-AU"/>
        </w:rPr>
        <w:t xml:space="preserve">Consultation closes: </w:t>
      </w:r>
      <w:r w:rsidR="00452F73">
        <w:rPr>
          <w:sz w:val="24"/>
          <w:szCs w:val="24"/>
          <w:lang w:val="en-AU"/>
        </w:rPr>
        <w:t>Monday</w:t>
      </w:r>
      <w:r w:rsidR="00B9337E" w:rsidRPr="00C97881">
        <w:rPr>
          <w:sz w:val="24"/>
          <w:szCs w:val="24"/>
          <w:lang w:val="en-AU"/>
        </w:rPr>
        <w:t xml:space="preserve">, </w:t>
      </w:r>
      <w:r w:rsidR="00452F73">
        <w:rPr>
          <w:sz w:val="24"/>
          <w:szCs w:val="24"/>
          <w:lang w:val="en-AU"/>
        </w:rPr>
        <w:t>27</w:t>
      </w:r>
      <w:r w:rsidR="00AA6323" w:rsidRPr="00C97881">
        <w:rPr>
          <w:sz w:val="24"/>
          <w:szCs w:val="24"/>
          <w:lang w:val="en-AU"/>
        </w:rPr>
        <w:t xml:space="preserve"> March </w:t>
      </w:r>
      <w:r w:rsidR="00B9337E" w:rsidRPr="00C97881">
        <w:rPr>
          <w:sz w:val="24"/>
          <w:szCs w:val="24"/>
          <w:lang w:val="en-AU"/>
        </w:rPr>
        <w:t>2023</w:t>
      </w:r>
    </w:p>
    <w:p w14:paraId="4807B4F1" w14:textId="77777777" w:rsidR="008D4AB2" w:rsidRPr="00420B37" w:rsidRDefault="00757518" w:rsidP="00757518">
      <w:pPr>
        <w:spacing w:before="240" w:after="240"/>
        <w:rPr>
          <w:sz w:val="24"/>
          <w:szCs w:val="24"/>
          <w:lang w:val="en-AU"/>
        </w:rPr>
      </w:pPr>
      <w:r w:rsidRPr="00420B37">
        <w:rPr>
          <w:sz w:val="24"/>
          <w:szCs w:val="24"/>
          <w:lang w:val="en-AU"/>
        </w:rPr>
        <w:t xml:space="preserve">Queries and submissions can be emailed to: </w:t>
      </w:r>
      <w:hyperlink r:id="rId12" w:history="1">
        <w:r w:rsidR="000E3187" w:rsidRPr="000E3187">
          <w:rPr>
            <w:rStyle w:val="Hyperlink"/>
            <w:rFonts w:ascii="Segoe UI Semibold" w:hAnsi="Segoe UI Semibold" w:cs="Segoe UI Semibold"/>
            <w:sz w:val="24"/>
            <w:szCs w:val="24"/>
            <w:lang w:val="en-AU"/>
          </w:rPr>
          <w:t>usb@communications.gov.au</w:t>
        </w:r>
        <w:r w:rsidR="000E3187" w:rsidRPr="000E3187">
          <w:rPr>
            <w:rStyle w:val="Hyperlink"/>
            <w:sz w:val="24"/>
            <w:szCs w:val="24"/>
            <w:lang w:val="en-AU"/>
          </w:rPr>
          <w:t>.</w:t>
        </w:r>
      </w:hyperlink>
    </w:p>
    <w:bookmarkEnd w:id="1"/>
    <w:p w14:paraId="6AB56607" w14:textId="77777777" w:rsidR="008D4AB2" w:rsidRPr="00420B37" w:rsidRDefault="008D4AB2" w:rsidP="00757518">
      <w:pPr>
        <w:spacing w:before="240" w:after="240"/>
        <w:rPr>
          <w:sz w:val="24"/>
          <w:szCs w:val="24"/>
          <w:lang w:val="en-AU"/>
        </w:rPr>
        <w:sectPr w:rsidR="008D4AB2" w:rsidRPr="00420B37" w:rsidSect="005B03BB">
          <w:headerReference w:type="default" r:id="rId13"/>
          <w:footerReference w:type="default" r:id="rId14"/>
          <w:footerReference w:type="first" r:id="rId15"/>
          <w:pgSz w:w="11906" w:h="16838"/>
          <w:pgMar w:top="1134" w:right="1440" w:bottom="1440" w:left="2268" w:header="708" w:footer="0" w:gutter="0"/>
          <w:cols w:space="708"/>
          <w:titlePg/>
          <w:docGrid w:linePitch="360"/>
        </w:sectPr>
      </w:pPr>
    </w:p>
    <w:p w14:paraId="4C180AA3" w14:textId="77777777" w:rsidR="00F71E4C" w:rsidRPr="00420B37" w:rsidRDefault="00F71E4C" w:rsidP="004D4B0F">
      <w:pPr>
        <w:pStyle w:val="NoSpacing"/>
      </w:pPr>
      <w:r w:rsidRPr="00420B37">
        <w:lastRenderedPageBreak/>
        <w:t>© Commonwealth of Australia 202</w:t>
      </w:r>
      <w:r w:rsidR="00A44AE4">
        <w:t>3</w:t>
      </w:r>
    </w:p>
    <w:p w14:paraId="515CDEDD" w14:textId="2A72FCD8" w:rsidR="00F71E4C" w:rsidRPr="00420B37" w:rsidRDefault="00AA6323" w:rsidP="004D4B0F">
      <w:pPr>
        <w:rPr>
          <w:lang w:val="en-AU"/>
        </w:rPr>
      </w:pPr>
      <w:r w:rsidRPr="00C97881">
        <w:rPr>
          <w:lang w:val="en-AU"/>
        </w:rPr>
        <w:t>FEBRUARY</w:t>
      </w:r>
      <w:r w:rsidRPr="008920A0">
        <w:rPr>
          <w:lang w:val="en-AU"/>
        </w:rPr>
        <w:t xml:space="preserve"> </w:t>
      </w:r>
      <w:r w:rsidR="00F71E4C" w:rsidRPr="008920A0">
        <w:rPr>
          <w:lang w:val="en-AU"/>
        </w:rPr>
        <w:t>202</w:t>
      </w:r>
      <w:r w:rsidR="00A44AE4" w:rsidRPr="008920A0">
        <w:rPr>
          <w:lang w:val="en-AU"/>
        </w:rPr>
        <w:t>3</w:t>
      </w:r>
      <w:r w:rsidR="00757518" w:rsidRPr="008920A0">
        <w:rPr>
          <w:lang w:val="en-AU"/>
        </w:rPr>
        <w:t xml:space="preserve"> / INFRASTRUCTURE</w:t>
      </w:r>
    </w:p>
    <w:p w14:paraId="72DEA158" w14:textId="77777777" w:rsidR="00F71E4C" w:rsidRPr="00420B37" w:rsidRDefault="00F71E4C" w:rsidP="00616BE8">
      <w:pPr>
        <w:pStyle w:val="Heading2notshowing"/>
        <w:rPr>
          <w:lang w:val="en-AU"/>
        </w:rPr>
      </w:pPr>
      <w:r w:rsidRPr="00420B37">
        <w:rPr>
          <w:lang w:val="en-AU"/>
        </w:rPr>
        <w:t>Ownership of intellectual property rights in this publication</w:t>
      </w:r>
    </w:p>
    <w:p w14:paraId="61E09DBC" w14:textId="77777777" w:rsidR="00F71E4C" w:rsidRPr="00420B37" w:rsidRDefault="00F71E4C" w:rsidP="004D4B0F">
      <w:pPr>
        <w:rPr>
          <w:lang w:val="en-AU"/>
        </w:rPr>
      </w:pPr>
      <w:r w:rsidRPr="00420B37">
        <w:rPr>
          <w:lang w:val="en-AU"/>
        </w:rPr>
        <w:t>Unless otherwise noted, copyright (and any other intellectual property rights, if any) in this publication is owned by the Commonwealth of Australia (referred to below as the Commonwealth).</w:t>
      </w:r>
    </w:p>
    <w:p w14:paraId="01101D60" w14:textId="77777777" w:rsidR="00F71E4C" w:rsidRPr="00420B37" w:rsidRDefault="00F71E4C" w:rsidP="00616BE8">
      <w:pPr>
        <w:pStyle w:val="Heading2notshowing"/>
        <w:rPr>
          <w:lang w:val="en-AU"/>
        </w:rPr>
      </w:pPr>
      <w:r w:rsidRPr="00420B37">
        <w:rPr>
          <w:lang w:val="en-AU"/>
        </w:rPr>
        <w:t>Disclaimer</w:t>
      </w:r>
    </w:p>
    <w:p w14:paraId="6243AAD0" w14:textId="77777777" w:rsidR="00F71E4C" w:rsidRPr="00420B37" w:rsidRDefault="00F71E4C" w:rsidP="004D4B0F">
      <w:pPr>
        <w:rPr>
          <w:lang w:val="en-AU"/>
        </w:rPr>
      </w:pPr>
      <w:r w:rsidRPr="00420B37">
        <w:rPr>
          <w:lang w:val="en-AU"/>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58FCDD95" w14:textId="77777777" w:rsidR="00F71E4C" w:rsidRPr="00420B37" w:rsidRDefault="00F71E4C" w:rsidP="004D4B0F">
      <w:pPr>
        <w:rPr>
          <w:lang w:val="en-AU"/>
        </w:rPr>
      </w:pPr>
      <w:r w:rsidRPr="00420B37">
        <w:rPr>
          <w:lang w:val="en-AU"/>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7CD7145" w14:textId="77777777" w:rsidR="00F71E4C" w:rsidRPr="00420B37" w:rsidRDefault="00F71E4C" w:rsidP="00616BE8">
      <w:pPr>
        <w:pStyle w:val="Heading2notshowing"/>
        <w:rPr>
          <w:lang w:val="en-AU"/>
        </w:rPr>
      </w:pPr>
      <w:r w:rsidRPr="00420B37">
        <w:rPr>
          <w:lang w:val="en-AU"/>
        </w:rPr>
        <w:t>Creative Commons licence</w:t>
      </w:r>
    </w:p>
    <w:p w14:paraId="1F7F6399" w14:textId="77777777" w:rsidR="00F71E4C" w:rsidRPr="00420B37" w:rsidRDefault="00F71E4C" w:rsidP="004D4B0F">
      <w:pPr>
        <w:rPr>
          <w:lang w:val="en-AU"/>
        </w:rPr>
      </w:pPr>
      <w:r w:rsidRPr="00420B37">
        <w:rPr>
          <w:lang w:val="en-AU"/>
        </w:rPr>
        <w:t>With the exception of (a) the Coat of Arms; (b) the Department of Infrastructure, Transport, Regional Development</w:t>
      </w:r>
      <w:r w:rsidR="00321F8F">
        <w:rPr>
          <w:lang w:val="en-AU"/>
        </w:rPr>
        <w:t xml:space="preserve">, </w:t>
      </w:r>
      <w:r w:rsidRPr="00420B37">
        <w:rPr>
          <w:lang w:val="en-AU"/>
        </w:rPr>
        <w:t>Communications</w:t>
      </w:r>
      <w:r w:rsidR="00321F8F">
        <w:rPr>
          <w:lang w:val="en-AU"/>
        </w:rPr>
        <w:t xml:space="preserve"> and the Arts</w:t>
      </w:r>
      <w:r w:rsidRPr="00420B37">
        <w:rPr>
          <w:lang w:val="en-AU"/>
        </w:rPr>
        <w:t xml:space="preserve"> photos and graphics, copyright in this publication is licensed under a Creative Commons Attribution 4.0 Australia Licence.</w:t>
      </w:r>
    </w:p>
    <w:p w14:paraId="751C9E0D" w14:textId="77777777" w:rsidR="00F71E4C" w:rsidRPr="00420B37" w:rsidRDefault="00F71E4C" w:rsidP="004D4B0F">
      <w:pPr>
        <w:rPr>
          <w:lang w:val="en-AU"/>
        </w:rPr>
      </w:pPr>
      <w:r w:rsidRPr="00420B37">
        <w:rPr>
          <w:lang w:val="en-AU"/>
        </w:rPr>
        <w:t>Creative Commons Attribution 4.0 Australia Licence is a standard form licence agreement that allows you to copy, communicate and adapt this publication provided that you attribute the work to the Commonwealth and abide by the other licence terms.</w:t>
      </w:r>
    </w:p>
    <w:p w14:paraId="65E83EC6" w14:textId="77777777" w:rsidR="00F71E4C" w:rsidRPr="00420B37" w:rsidRDefault="00F71E4C" w:rsidP="004D4B0F">
      <w:pPr>
        <w:rPr>
          <w:lang w:val="en-AU"/>
        </w:rPr>
      </w:pPr>
      <w:r w:rsidRPr="00420B37">
        <w:rPr>
          <w:lang w:val="en-AU"/>
        </w:rPr>
        <w:t xml:space="preserve">Further information on the licence terms is available from </w:t>
      </w:r>
      <w:hyperlink r:id="rId16" w:tooltip="Creative Commons website" w:history="1">
        <w:r w:rsidRPr="00420B37">
          <w:rPr>
            <w:rStyle w:val="Hyperlink"/>
            <w:lang w:val="en-AU"/>
          </w:rPr>
          <w:t>https://creativecommons.org/licenses/by/4.0/</w:t>
        </w:r>
      </w:hyperlink>
      <w:r w:rsidR="00616BE8" w:rsidRPr="00420B37">
        <w:rPr>
          <w:lang w:val="en-AU"/>
        </w:rPr>
        <w:t>.</w:t>
      </w:r>
    </w:p>
    <w:p w14:paraId="19BD1B0F" w14:textId="77777777" w:rsidR="00F71E4C" w:rsidRPr="00420B37" w:rsidRDefault="00F71E4C" w:rsidP="004D4B0F">
      <w:pPr>
        <w:rPr>
          <w:lang w:val="en-AU"/>
        </w:rPr>
      </w:pPr>
      <w:r w:rsidRPr="00420B37">
        <w:rPr>
          <w:lang w:val="en-AU"/>
        </w:rPr>
        <w:t>This publication should be attributed in the following way: © Commonwealth of Australia 202</w:t>
      </w:r>
      <w:r w:rsidR="00A44AE4">
        <w:rPr>
          <w:lang w:val="en-AU"/>
        </w:rPr>
        <w:t>3</w:t>
      </w:r>
      <w:r w:rsidRPr="00420B37">
        <w:rPr>
          <w:lang w:val="en-AU"/>
        </w:rPr>
        <w:t>.</w:t>
      </w:r>
    </w:p>
    <w:p w14:paraId="06C3BBDC" w14:textId="77777777" w:rsidR="00F71E4C" w:rsidRPr="00420B37" w:rsidRDefault="00F71E4C" w:rsidP="00616BE8">
      <w:pPr>
        <w:pStyle w:val="Heading2notshowing"/>
        <w:rPr>
          <w:lang w:val="en-AU"/>
        </w:rPr>
      </w:pPr>
      <w:r w:rsidRPr="00420B37">
        <w:rPr>
          <w:lang w:val="en-AU"/>
        </w:rPr>
        <w:t>Use of the Coat of Arms</w:t>
      </w:r>
    </w:p>
    <w:p w14:paraId="1E0A9D3F" w14:textId="77777777" w:rsidR="00F71E4C" w:rsidRPr="00420B37" w:rsidRDefault="00F71E4C" w:rsidP="004D4B0F">
      <w:pPr>
        <w:rPr>
          <w:lang w:val="en-AU"/>
        </w:rPr>
      </w:pPr>
      <w:r w:rsidRPr="00420B37">
        <w:rPr>
          <w:lang w:val="en-AU"/>
        </w:rPr>
        <w:t xml:space="preserve">The Department of the Prime Minister and Cabinet sets the terms under which the Coat of Arms is used. Please refer to the Commonwealth Coat of Arms - Information and Guidelines publication available at </w:t>
      </w:r>
      <w:hyperlink r:id="rId17" w:tooltip="Department of Prime Minister and Cabinet website" w:history="1">
        <w:r w:rsidRPr="00420B37">
          <w:rPr>
            <w:rStyle w:val="Hyperlink"/>
            <w:lang w:val="en-AU"/>
          </w:rPr>
          <w:t>http://www.pmc.gov.au</w:t>
        </w:r>
      </w:hyperlink>
      <w:r w:rsidRPr="00420B37">
        <w:rPr>
          <w:lang w:val="en-AU"/>
        </w:rPr>
        <w:t>.</w:t>
      </w:r>
    </w:p>
    <w:p w14:paraId="183F47D1" w14:textId="77777777" w:rsidR="00F71E4C" w:rsidRPr="00420B37" w:rsidRDefault="00F71E4C" w:rsidP="00616BE8">
      <w:pPr>
        <w:pStyle w:val="Heading2notshowing"/>
        <w:rPr>
          <w:lang w:val="en-AU"/>
        </w:rPr>
      </w:pPr>
      <w:r w:rsidRPr="00420B37">
        <w:rPr>
          <w:lang w:val="en-AU"/>
        </w:rPr>
        <w:t>Contact us</w:t>
      </w:r>
    </w:p>
    <w:p w14:paraId="4EB2CCCE" w14:textId="77777777" w:rsidR="00F71E4C" w:rsidRPr="00420B37" w:rsidRDefault="00F71E4C" w:rsidP="004D4B0F">
      <w:pPr>
        <w:rPr>
          <w:lang w:val="en-AU"/>
        </w:rPr>
      </w:pPr>
      <w:r w:rsidRPr="00420B37">
        <w:rPr>
          <w:lang w:val="en-AU"/>
        </w:rPr>
        <w:t xml:space="preserve">This publication is available in hard copy or PDF format. All other rights are reserved, including in relation to any departmental logos or </w:t>
      </w:r>
      <w:r w:rsidR="009D309B" w:rsidRPr="00420B37">
        <w:rPr>
          <w:lang w:val="en-AU"/>
        </w:rPr>
        <w:t>trademarks</w:t>
      </w:r>
      <w:r w:rsidRPr="00420B37">
        <w:rPr>
          <w:lang w:val="en-AU"/>
        </w:rPr>
        <w:t xml:space="preserve"> which may exist. For enquiries regarding the licence and any use of this publication, please contact:</w:t>
      </w:r>
    </w:p>
    <w:p w14:paraId="3C67D74C" w14:textId="77777777" w:rsidR="00F71E4C" w:rsidRPr="00420B37" w:rsidRDefault="00F71E4C" w:rsidP="004D4B0F">
      <w:pPr>
        <w:pStyle w:val="NoSpacing"/>
      </w:pPr>
      <w:r w:rsidRPr="00420B37">
        <w:t>Director</w:t>
      </w:r>
      <w:r w:rsidR="00374401" w:rsidRPr="00420B37">
        <w:t>—</w:t>
      </w:r>
      <w:r w:rsidRPr="00420B37">
        <w:t>Creative Services</w:t>
      </w:r>
    </w:p>
    <w:p w14:paraId="76BB5DFD" w14:textId="77777777" w:rsidR="00F71E4C" w:rsidRPr="00420B37" w:rsidRDefault="00F71E4C" w:rsidP="004D4B0F">
      <w:pPr>
        <w:pStyle w:val="NoSpacing"/>
      </w:pPr>
      <w:r w:rsidRPr="00420B37">
        <w:t>Communication Branch</w:t>
      </w:r>
    </w:p>
    <w:p w14:paraId="0D11BBE2" w14:textId="77777777" w:rsidR="00F71E4C" w:rsidRPr="00420B37" w:rsidRDefault="00F71E4C" w:rsidP="004D4B0F">
      <w:pPr>
        <w:pStyle w:val="NoSpacing"/>
      </w:pPr>
      <w:r w:rsidRPr="00420B37">
        <w:t>Department of Infrastructure, Transport, Regional Development</w:t>
      </w:r>
      <w:r w:rsidR="00321F8F">
        <w:t>,</w:t>
      </w:r>
      <w:r w:rsidRPr="00420B37">
        <w:t xml:space="preserve"> Communications</w:t>
      </w:r>
      <w:r w:rsidR="00321F8F">
        <w:t xml:space="preserve"> and the Arts</w:t>
      </w:r>
    </w:p>
    <w:p w14:paraId="7C618213" w14:textId="77777777" w:rsidR="00F71E4C" w:rsidRPr="00420B37" w:rsidRDefault="00F71E4C" w:rsidP="004D4B0F">
      <w:pPr>
        <w:pStyle w:val="NoSpacing"/>
      </w:pPr>
      <w:r w:rsidRPr="00420B37">
        <w:t>GPO Box 594</w:t>
      </w:r>
    </w:p>
    <w:p w14:paraId="43C7FCDA" w14:textId="77777777" w:rsidR="00F71E4C" w:rsidRPr="00420B37" w:rsidRDefault="00F71E4C" w:rsidP="004D4B0F">
      <w:pPr>
        <w:pStyle w:val="NoSpacing"/>
      </w:pPr>
      <w:r w:rsidRPr="00420B37">
        <w:t>Canberra ACT 2601</w:t>
      </w:r>
    </w:p>
    <w:p w14:paraId="6A3C0B0A" w14:textId="77777777" w:rsidR="00F71E4C" w:rsidRPr="00420B37" w:rsidRDefault="00F71E4C" w:rsidP="004D4B0F">
      <w:pPr>
        <w:rPr>
          <w:lang w:val="en-AU"/>
        </w:rPr>
      </w:pPr>
      <w:r w:rsidRPr="00420B37">
        <w:rPr>
          <w:lang w:val="en-AU"/>
        </w:rPr>
        <w:t>Australia</w:t>
      </w:r>
    </w:p>
    <w:p w14:paraId="1C80624A" w14:textId="77777777" w:rsidR="00F71E4C" w:rsidRPr="00420B37" w:rsidRDefault="00F71E4C" w:rsidP="004D4B0F">
      <w:pPr>
        <w:pStyle w:val="NoSpacing"/>
      </w:pPr>
      <w:r w:rsidRPr="00420B37">
        <w:t xml:space="preserve">Email: </w:t>
      </w:r>
      <w:hyperlink r:id="rId18" w:tooltip="Email the Publishing team at the Department of Infrastructure, Transport, Regional Development and Communications" w:history="1">
        <w:r w:rsidRPr="00420B37">
          <w:rPr>
            <w:rStyle w:val="Hyperlink"/>
          </w:rPr>
          <w:t>publishing@infrastructure.gov.au</w:t>
        </w:r>
      </w:hyperlink>
    </w:p>
    <w:p w14:paraId="04477AB1" w14:textId="77777777" w:rsidR="00F71E4C" w:rsidRPr="00420B37" w:rsidRDefault="00F71E4C" w:rsidP="004D4B0F">
      <w:pPr>
        <w:pStyle w:val="NoSpacing"/>
      </w:pPr>
      <w:r w:rsidRPr="00420B37">
        <w:t xml:space="preserve">Website: </w:t>
      </w:r>
      <w:hyperlink r:id="rId19" w:tooltip="Department of Infrastructure, Transport, Regional Development and Communications website" w:history="1">
        <w:r w:rsidRPr="00420B37">
          <w:rPr>
            <w:rStyle w:val="Hyperlink"/>
          </w:rPr>
          <w:t>www.infrastructure.gov.au</w:t>
        </w:r>
      </w:hyperlink>
    </w:p>
    <w:p w14:paraId="453A888E" w14:textId="77777777" w:rsidR="008D4AB2" w:rsidRPr="00420B37" w:rsidRDefault="008D4AB2" w:rsidP="004D4B0F">
      <w:pPr>
        <w:rPr>
          <w:lang w:val="en-AU"/>
        </w:rPr>
      </w:pPr>
      <w:r w:rsidRPr="00420B37">
        <w:rPr>
          <w:lang w:val="en-AU"/>
        </w:rPr>
        <w:br w:type="page"/>
      </w:r>
    </w:p>
    <w:p w14:paraId="71958886" w14:textId="77777777" w:rsidR="00616BE8" w:rsidRPr="00420B37" w:rsidRDefault="00616BE8" w:rsidP="00C05807">
      <w:pPr>
        <w:pStyle w:val="Heading2notshowing"/>
        <w:rPr>
          <w:lang w:val="en-AU"/>
        </w:rPr>
      </w:pPr>
      <w:r w:rsidRPr="00420B37">
        <w:rPr>
          <w:lang w:val="en-AU"/>
        </w:rPr>
        <w:lastRenderedPageBreak/>
        <w:t>Table of contents</w:t>
      </w:r>
    </w:p>
    <w:p w14:paraId="55D598F8" w14:textId="7EC56160" w:rsidR="005B03BB" w:rsidRDefault="006D7C61">
      <w:pPr>
        <w:pStyle w:val="TOC1"/>
        <w:rPr>
          <w:rFonts w:eastAsiaTheme="minorEastAsia"/>
          <w:b w:val="0"/>
          <w:noProof/>
          <w:color w:val="auto"/>
          <w:kern w:val="0"/>
          <w:sz w:val="22"/>
          <w:szCs w:val="22"/>
          <w:lang w:eastAsia="zh-CN"/>
        </w:rPr>
      </w:pPr>
      <w:r w:rsidRPr="00420B37">
        <w:fldChar w:fldCharType="begin"/>
      </w:r>
      <w:r w:rsidRPr="00420B37">
        <w:instrText xml:space="preserve"> TOC \h \z \t "Heading 2,1,Heading 3,2,Heading 4,3" </w:instrText>
      </w:r>
      <w:r w:rsidRPr="00420B37">
        <w:fldChar w:fldCharType="separate"/>
      </w:r>
      <w:hyperlink w:anchor="_Toc127530719" w:history="1">
        <w:r w:rsidR="005B03BB" w:rsidRPr="00020201">
          <w:rPr>
            <w:rStyle w:val="Hyperlink"/>
            <w:noProof/>
          </w:rPr>
          <w:t>Introduction</w:t>
        </w:r>
        <w:r w:rsidR="005B03BB">
          <w:rPr>
            <w:noProof/>
            <w:webHidden/>
          </w:rPr>
          <w:tab/>
        </w:r>
        <w:r w:rsidR="005B03BB">
          <w:rPr>
            <w:noProof/>
            <w:webHidden/>
          </w:rPr>
          <w:fldChar w:fldCharType="begin"/>
        </w:r>
        <w:r w:rsidR="005B03BB">
          <w:rPr>
            <w:noProof/>
            <w:webHidden/>
          </w:rPr>
          <w:instrText xml:space="preserve"> PAGEREF _Toc127530719 \h </w:instrText>
        </w:r>
        <w:r w:rsidR="005B03BB">
          <w:rPr>
            <w:noProof/>
            <w:webHidden/>
          </w:rPr>
        </w:r>
        <w:r w:rsidR="005B03BB">
          <w:rPr>
            <w:noProof/>
            <w:webHidden/>
          </w:rPr>
          <w:fldChar w:fldCharType="separate"/>
        </w:r>
        <w:r w:rsidR="005B03BB">
          <w:rPr>
            <w:noProof/>
            <w:webHidden/>
          </w:rPr>
          <w:t>4</w:t>
        </w:r>
        <w:r w:rsidR="005B03BB">
          <w:rPr>
            <w:noProof/>
            <w:webHidden/>
          </w:rPr>
          <w:fldChar w:fldCharType="end"/>
        </w:r>
      </w:hyperlink>
    </w:p>
    <w:p w14:paraId="7E5A509C" w14:textId="53719A71" w:rsidR="005B03BB" w:rsidRDefault="008C4A2B">
      <w:pPr>
        <w:pStyle w:val="TOC1"/>
        <w:rPr>
          <w:rFonts w:eastAsiaTheme="minorEastAsia"/>
          <w:b w:val="0"/>
          <w:noProof/>
          <w:color w:val="auto"/>
          <w:kern w:val="0"/>
          <w:sz w:val="22"/>
          <w:szCs w:val="22"/>
          <w:lang w:eastAsia="zh-CN"/>
        </w:rPr>
      </w:pPr>
      <w:hyperlink w:anchor="_Toc127530720" w:history="1">
        <w:r w:rsidR="005B03BB" w:rsidRPr="00020201">
          <w:rPr>
            <w:rStyle w:val="Hyperlink"/>
            <w:noProof/>
          </w:rPr>
          <w:t>Context</w:t>
        </w:r>
        <w:r w:rsidR="005B03BB">
          <w:rPr>
            <w:noProof/>
            <w:webHidden/>
          </w:rPr>
          <w:tab/>
        </w:r>
        <w:r w:rsidR="005B03BB">
          <w:rPr>
            <w:noProof/>
            <w:webHidden/>
          </w:rPr>
          <w:fldChar w:fldCharType="begin"/>
        </w:r>
        <w:r w:rsidR="005B03BB">
          <w:rPr>
            <w:noProof/>
            <w:webHidden/>
          </w:rPr>
          <w:instrText xml:space="preserve"> PAGEREF _Toc127530720 \h </w:instrText>
        </w:r>
        <w:r w:rsidR="005B03BB">
          <w:rPr>
            <w:noProof/>
            <w:webHidden/>
          </w:rPr>
        </w:r>
        <w:r w:rsidR="005B03BB">
          <w:rPr>
            <w:noProof/>
            <w:webHidden/>
          </w:rPr>
          <w:fldChar w:fldCharType="separate"/>
        </w:r>
        <w:r w:rsidR="005B03BB">
          <w:rPr>
            <w:noProof/>
            <w:webHidden/>
          </w:rPr>
          <w:t>4</w:t>
        </w:r>
        <w:r w:rsidR="005B03BB">
          <w:rPr>
            <w:noProof/>
            <w:webHidden/>
          </w:rPr>
          <w:fldChar w:fldCharType="end"/>
        </w:r>
      </w:hyperlink>
    </w:p>
    <w:p w14:paraId="69D36DCD" w14:textId="3F34F4A9" w:rsidR="005B03BB" w:rsidRDefault="008C4A2B">
      <w:pPr>
        <w:pStyle w:val="TOC1"/>
        <w:rPr>
          <w:rFonts w:eastAsiaTheme="minorEastAsia"/>
          <w:b w:val="0"/>
          <w:noProof/>
          <w:color w:val="auto"/>
          <w:kern w:val="0"/>
          <w:sz w:val="22"/>
          <w:szCs w:val="22"/>
          <w:lang w:eastAsia="zh-CN"/>
        </w:rPr>
      </w:pPr>
      <w:hyperlink w:anchor="_Toc127530721" w:history="1">
        <w:r w:rsidR="005B03BB" w:rsidRPr="00020201">
          <w:rPr>
            <w:rStyle w:val="Hyperlink"/>
            <w:noProof/>
          </w:rPr>
          <w:t>Overview of the CSG regulatory framework</w:t>
        </w:r>
        <w:r w:rsidR="005B03BB">
          <w:rPr>
            <w:noProof/>
            <w:webHidden/>
          </w:rPr>
          <w:tab/>
        </w:r>
        <w:r w:rsidR="005B03BB">
          <w:rPr>
            <w:noProof/>
            <w:webHidden/>
          </w:rPr>
          <w:fldChar w:fldCharType="begin"/>
        </w:r>
        <w:r w:rsidR="005B03BB">
          <w:rPr>
            <w:noProof/>
            <w:webHidden/>
          </w:rPr>
          <w:instrText xml:space="preserve"> PAGEREF _Toc127530721 \h </w:instrText>
        </w:r>
        <w:r w:rsidR="005B03BB">
          <w:rPr>
            <w:noProof/>
            <w:webHidden/>
          </w:rPr>
        </w:r>
        <w:r w:rsidR="005B03BB">
          <w:rPr>
            <w:noProof/>
            <w:webHidden/>
          </w:rPr>
          <w:fldChar w:fldCharType="separate"/>
        </w:r>
        <w:r w:rsidR="005B03BB">
          <w:rPr>
            <w:noProof/>
            <w:webHidden/>
          </w:rPr>
          <w:t>6</w:t>
        </w:r>
        <w:r w:rsidR="005B03BB">
          <w:rPr>
            <w:noProof/>
            <w:webHidden/>
          </w:rPr>
          <w:fldChar w:fldCharType="end"/>
        </w:r>
      </w:hyperlink>
    </w:p>
    <w:p w14:paraId="6F28387F" w14:textId="165680B9" w:rsidR="005B03BB" w:rsidRDefault="008C4A2B">
      <w:pPr>
        <w:pStyle w:val="TOC1"/>
        <w:rPr>
          <w:rFonts w:eastAsiaTheme="minorEastAsia"/>
          <w:b w:val="0"/>
          <w:noProof/>
          <w:color w:val="auto"/>
          <w:kern w:val="0"/>
          <w:sz w:val="22"/>
          <w:szCs w:val="22"/>
          <w:lang w:eastAsia="zh-CN"/>
        </w:rPr>
      </w:pPr>
      <w:hyperlink w:anchor="_Toc127530722" w:history="1">
        <w:r w:rsidR="005B03BB" w:rsidRPr="00020201">
          <w:rPr>
            <w:rStyle w:val="Hyperlink"/>
            <w:noProof/>
          </w:rPr>
          <w:t>Relevant market developments</w:t>
        </w:r>
        <w:r w:rsidR="005B03BB">
          <w:rPr>
            <w:noProof/>
            <w:webHidden/>
          </w:rPr>
          <w:tab/>
        </w:r>
        <w:r w:rsidR="005B03BB">
          <w:rPr>
            <w:noProof/>
            <w:webHidden/>
          </w:rPr>
          <w:fldChar w:fldCharType="begin"/>
        </w:r>
        <w:r w:rsidR="005B03BB">
          <w:rPr>
            <w:noProof/>
            <w:webHidden/>
          </w:rPr>
          <w:instrText xml:space="preserve"> PAGEREF _Toc127530722 \h </w:instrText>
        </w:r>
        <w:r w:rsidR="005B03BB">
          <w:rPr>
            <w:noProof/>
            <w:webHidden/>
          </w:rPr>
        </w:r>
        <w:r w:rsidR="005B03BB">
          <w:rPr>
            <w:noProof/>
            <w:webHidden/>
          </w:rPr>
          <w:fldChar w:fldCharType="separate"/>
        </w:r>
        <w:r w:rsidR="005B03BB">
          <w:rPr>
            <w:noProof/>
            <w:webHidden/>
          </w:rPr>
          <w:t>8</w:t>
        </w:r>
        <w:r w:rsidR="005B03BB">
          <w:rPr>
            <w:noProof/>
            <w:webHidden/>
          </w:rPr>
          <w:fldChar w:fldCharType="end"/>
        </w:r>
      </w:hyperlink>
    </w:p>
    <w:p w14:paraId="750C56F8" w14:textId="5E4D2BA6" w:rsidR="005B03BB" w:rsidRDefault="008C4A2B">
      <w:pPr>
        <w:pStyle w:val="TOC2"/>
        <w:rPr>
          <w:rFonts w:eastAsiaTheme="minorEastAsia"/>
          <w:b w:val="0"/>
          <w:noProof/>
          <w:color w:val="auto"/>
          <w:kern w:val="0"/>
          <w:sz w:val="22"/>
          <w:szCs w:val="22"/>
          <w:lang w:eastAsia="zh-CN"/>
        </w:rPr>
      </w:pPr>
      <w:hyperlink w:anchor="_Toc127530723" w:history="1">
        <w:r w:rsidR="005B03BB" w:rsidRPr="00020201">
          <w:rPr>
            <w:rStyle w:val="Hyperlink"/>
            <w:noProof/>
          </w:rPr>
          <w:t>Changing community use of voice services</w:t>
        </w:r>
        <w:r w:rsidR="005B03BB">
          <w:rPr>
            <w:noProof/>
            <w:webHidden/>
          </w:rPr>
          <w:tab/>
        </w:r>
        <w:r w:rsidR="005B03BB">
          <w:rPr>
            <w:noProof/>
            <w:webHidden/>
          </w:rPr>
          <w:fldChar w:fldCharType="begin"/>
        </w:r>
        <w:r w:rsidR="005B03BB">
          <w:rPr>
            <w:noProof/>
            <w:webHidden/>
          </w:rPr>
          <w:instrText xml:space="preserve"> PAGEREF _Toc127530723 \h </w:instrText>
        </w:r>
        <w:r w:rsidR="005B03BB">
          <w:rPr>
            <w:noProof/>
            <w:webHidden/>
          </w:rPr>
        </w:r>
        <w:r w:rsidR="005B03BB">
          <w:rPr>
            <w:noProof/>
            <w:webHidden/>
          </w:rPr>
          <w:fldChar w:fldCharType="separate"/>
        </w:r>
        <w:r w:rsidR="005B03BB">
          <w:rPr>
            <w:noProof/>
            <w:webHidden/>
          </w:rPr>
          <w:t>8</w:t>
        </w:r>
        <w:r w:rsidR="005B03BB">
          <w:rPr>
            <w:noProof/>
            <w:webHidden/>
          </w:rPr>
          <w:fldChar w:fldCharType="end"/>
        </w:r>
      </w:hyperlink>
    </w:p>
    <w:p w14:paraId="75716B97" w14:textId="3934F16C" w:rsidR="005B03BB" w:rsidRDefault="008C4A2B">
      <w:pPr>
        <w:pStyle w:val="TOC2"/>
        <w:rPr>
          <w:rFonts w:eastAsiaTheme="minorEastAsia"/>
          <w:b w:val="0"/>
          <w:noProof/>
          <w:color w:val="auto"/>
          <w:kern w:val="0"/>
          <w:sz w:val="22"/>
          <w:szCs w:val="22"/>
          <w:lang w:eastAsia="zh-CN"/>
        </w:rPr>
      </w:pPr>
      <w:hyperlink w:anchor="_Toc127530724" w:history="1">
        <w:r w:rsidR="005B03BB" w:rsidRPr="00020201">
          <w:rPr>
            <w:rStyle w:val="Hyperlink"/>
            <w:noProof/>
          </w:rPr>
          <w:t>NBN rollout and Telstra restructuring</w:t>
        </w:r>
        <w:r w:rsidR="005B03BB">
          <w:rPr>
            <w:noProof/>
            <w:webHidden/>
          </w:rPr>
          <w:tab/>
        </w:r>
        <w:r w:rsidR="005B03BB">
          <w:rPr>
            <w:noProof/>
            <w:webHidden/>
          </w:rPr>
          <w:fldChar w:fldCharType="begin"/>
        </w:r>
        <w:r w:rsidR="005B03BB">
          <w:rPr>
            <w:noProof/>
            <w:webHidden/>
          </w:rPr>
          <w:instrText xml:space="preserve"> PAGEREF _Toc127530724 \h </w:instrText>
        </w:r>
        <w:r w:rsidR="005B03BB">
          <w:rPr>
            <w:noProof/>
            <w:webHidden/>
          </w:rPr>
        </w:r>
        <w:r w:rsidR="005B03BB">
          <w:rPr>
            <w:noProof/>
            <w:webHidden/>
          </w:rPr>
          <w:fldChar w:fldCharType="separate"/>
        </w:r>
        <w:r w:rsidR="005B03BB">
          <w:rPr>
            <w:noProof/>
            <w:webHidden/>
          </w:rPr>
          <w:t>9</w:t>
        </w:r>
        <w:r w:rsidR="005B03BB">
          <w:rPr>
            <w:noProof/>
            <w:webHidden/>
          </w:rPr>
          <w:fldChar w:fldCharType="end"/>
        </w:r>
      </w:hyperlink>
    </w:p>
    <w:p w14:paraId="1B3977AB" w14:textId="1CADD1B6" w:rsidR="005B03BB" w:rsidRDefault="008C4A2B">
      <w:pPr>
        <w:pStyle w:val="TOC2"/>
        <w:rPr>
          <w:rFonts w:eastAsiaTheme="minorEastAsia"/>
          <w:b w:val="0"/>
          <w:noProof/>
          <w:color w:val="auto"/>
          <w:kern w:val="0"/>
          <w:sz w:val="22"/>
          <w:szCs w:val="22"/>
          <w:lang w:eastAsia="zh-CN"/>
        </w:rPr>
      </w:pPr>
      <w:hyperlink w:anchor="_Toc127530725" w:history="1">
        <w:r w:rsidR="005B03BB" w:rsidRPr="00020201">
          <w:rPr>
            <w:rStyle w:val="Hyperlink"/>
            <w:noProof/>
          </w:rPr>
          <w:t>Refocusing on wholesale services</w:t>
        </w:r>
        <w:r w:rsidR="005B03BB">
          <w:rPr>
            <w:noProof/>
            <w:webHidden/>
          </w:rPr>
          <w:tab/>
        </w:r>
        <w:r w:rsidR="005B03BB">
          <w:rPr>
            <w:noProof/>
            <w:webHidden/>
          </w:rPr>
          <w:fldChar w:fldCharType="begin"/>
        </w:r>
        <w:r w:rsidR="005B03BB">
          <w:rPr>
            <w:noProof/>
            <w:webHidden/>
          </w:rPr>
          <w:instrText xml:space="preserve"> PAGEREF _Toc127530725 \h </w:instrText>
        </w:r>
        <w:r w:rsidR="005B03BB">
          <w:rPr>
            <w:noProof/>
            <w:webHidden/>
          </w:rPr>
        </w:r>
        <w:r w:rsidR="005B03BB">
          <w:rPr>
            <w:noProof/>
            <w:webHidden/>
          </w:rPr>
          <w:fldChar w:fldCharType="separate"/>
        </w:r>
        <w:r w:rsidR="005B03BB">
          <w:rPr>
            <w:noProof/>
            <w:webHidden/>
          </w:rPr>
          <w:t>9</w:t>
        </w:r>
        <w:r w:rsidR="005B03BB">
          <w:rPr>
            <w:noProof/>
            <w:webHidden/>
          </w:rPr>
          <w:fldChar w:fldCharType="end"/>
        </w:r>
      </w:hyperlink>
    </w:p>
    <w:p w14:paraId="06B09FAF" w14:textId="519BFB15" w:rsidR="005B03BB" w:rsidRDefault="008C4A2B">
      <w:pPr>
        <w:pStyle w:val="TOC1"/>
        <w:rPr>
          <w:rFonts w:eastAsiaTheme="minorEastAsia"/>
          <w:b w:val="0"/>
          <w:noProof/>
          <w:color w:val="auto"/>
          <w:kern w:val="0"/>
          <w:sz w:val="22"/>
          <w:szCs w:val="22"/>
          <w:lang w:eastAsia="zh-CN"/>
        </w:rPr>
      </w:pPr>
      <w:hyperlink w:anchor="_Toc127530726" w:history="1">
        <w:r w:rsidR="005B03BB" w:rsidRPr="00020201">
          <w:rPr>
            <w:rStyle w:val="Hyperlink"/>
            <w:noProof/>
          </w:rPr>
          <w:t>Potential future approaches to the CSG</w:t>
        </w:r>
        <w:r w:rsidR="005B03BB">
          <w:rPr>
            <w:noProof/>
            <w:webHidden/>
          </w:rPr>
          <w:tab/>
        </w:r>
        <w:r w:rsidR="005B03BB">
          <w:rPr>
            <w:noProof/>
            <w:webHidden/>
          </w:rPr>
          <w:fldChar w:fldCharType="begin"/>
        </w:r>
        <w:r w:rsidR="005B03BB">
          <w:rPr>
            <w:noProof/>
            <w:webHidden/>
          </w:rPr>
          <w:instrText xml:space="preserve"> PAGEREF _Toc127530726 \h </w:instrText>
        </w:r>
        <w:r w:rsidR="005B03BB">
          <w:rPr>
            <w:noProof/>
            <w:webHidden/>
          </w:rPr>
        </w:r>
        <w:r w:rsidR="005B03BB">
          <w:rPr>
            <w:noProof/>
            <w:webHidden/>
          </w:rPr>
          <w:fldChar w:fldCharType="separate"/>
        </w:r>
        <w:r w:rsidR="005B03BB">
          <w:rPr>
            <w:noProof/>
            <w:webHidden/>
          </w:rPr>
          <w:t>10</w:t>
        </w:r>
        <w:r w:rsidR="005B03BB">
          <w:rPr>
            <w:noProof/>
            <w:webHidden/>
          </w:rPr>
          <w:fldChar w:fldCharType="end"/>
        </w:r>
      </w:hyperlink>
    </w:p>
    <w:p w14:paraId="40EAB7C5" w14:textId="72F18FF3" w:rsidR="005B03BB" w:rsidRDefault="008C4A2B">
      <w:pPr>
        <w:pStyle w:val="TOC2"/>
        <w:rPr>
          <w:rFonts w:eastAsiaTheme="minorEastAsia"/>
          <w:b w:val="0"/>
          <w:noProof/>
          <w:color w:val="auto"/>
          <w:kern w:val="0"/>
          <w:sz w:val="22"/>
          <w:szCs w:val="22"/>
          <w:lang w:eastAsia="zh-CN"/>
        </w:rPr>
      </w:pPr>
      <w:hyperlink w:anchor="_Toc127530727" w:history="1">
        <w:r w:rsidR="005B03BB" w:rsidRPr="00020201">
          <w:rPr>
            <w:rStyle w:val="Hyperlink"/>
            <w:noProof/>
          </w:rPr>
          <w:t>Telstra legacy network</w:t>
        </w:r>
        <w:r w:rsidR="005B03BB">
          <w:rPr>
            <w:noProof/>
            <w:webHidden/>
          </w:rPr>
          <w:tab/>
        </w:r>
        <w:r w:rsidR="005B03BB">
          <w:rPr>
            <w:noProof/>
            <w:webHidden/>
          </w:rPr>
          <w:fldChar w:fldCharType="begin"/>
        </w:r>
        <w:r w:rsidR="005B03BB">
          <w:rPr>
            <w:noProof/>
            <w:webHidden/>
          </w:rPr>
          <w:instrText xml:space="preserve"> PAGEREF _Toc127530727 \h </w:instrText>
        </w:r>
        <w:r w:rsidR="005B03BB">
          <w:rPr>
            <w:noProof/>
            <w:webHidden/>
          </w:rPr>
        </w:r>
        <w:r w:rsidR="005B03BB">
          <w:rPr>
            <w:noProof/>
            <w:webHidden/>
          </w:rPr>
          <w:fldChar w:fldCharType="separate"/>
        </w:r>
        <w:r w:rsidR="005B03BB">
          <w:rPr>
            <w:noProof/>
            <w:webHidden/>
          </w:rPr>
          <w:t>10</w:t>
        </w:r>
        <w:r w:rsidR="005B03BB">
          <w:rPr>
            <w:noProof/>
            <w:webHidden/>
          </w:rPr>
          <w:fldChar w:fldCharType="end"/>
        </w:r>
      </w:hyperlink>
    </w:p>
    <w:p w14:paraId="0798C714" w14:textId="563AC7DD" w:rsidR="005B03BB" w:rsidRDefault="008C4A2B">
      <w:pPr>
        <w:pStyle w:val="TOC2"/>
        <w:rPr>
          <w:rFonts w:eastAsiaTheme="minorEastAsia"/>
          <w:b w:val="0"/>
          <w:noProof/>
          <w:color w:val="auto"/>
          <w:kern w:val="0"/>
          <w:sz w:val="22"/>
          <w:szCs w:val="22"/>
          <w:lang w:eastAsia="zh-CN"/>
        </w:rPr>
      </w:pPr>
      <w:hyperlink w:anchor="_Toc127530728" w:history="1">
        <w:r w:rsidR="005B03BB" w:rsidRPr="00020201">
          <w:rPr>
            <w:rStyle w:val="Hyperlink"/>
            <w:noProof/>
          </w:rPr>
          <w:t>Focusing on other wholesale networks</w:t>
        </w:r>
        <w:r w:rsidR="005B03BB">
          <w:rPr>
            <w:noProof/>
            <w:webHidden/>
          </w:rPr>
          <w:tab/>
        </w:r>
        <w:r w:rsidR="005B03BB">
          <w:rPr>
            <w:noProof/>
            <w:webHidden/>
          </w:rPr>
          <w:fldChar w:fldCharType="begin"/>
        </w:r>
        <w:r w:rsidR="005B03BB">
          <w:rPr>
            <w:noProof/>
            <w:webHidden/>
          </w:rPr>
          <w:instrText xml:space="preserve"> PAGEREF _Toc127530728 \h </w:instrText>
        </w:r>
        <w:r w:rsidR="005B03BB">
          <w:rPr>
            <w:noProof/>
            <w:webHidden/>
          </w:rPr>
        </w:r>
        <w:r w:rsidR="005B03BB">
          <w:rPr>
            <w:noProof/>
            <w:webHidden/>
          </w:rPr>
          <w:fldChar w:fldCharType="separate"/>
        </w:r>
        <w:r w:rsidR="005B03BB">
          <w:rPr>
            <w:noProof/>
            <w:webHidden/>
          </w:rPr>
          <w:t>11</w:t>
        </w:r>
        <w:r w:rsidR="005B03BB">
          <w:rPr>
            <w:noProof/>
            <w:webHidden/>
          </w:rPr>
          <w:fldChar w:fldCharType="end"/>
        </w:r>
      </w:hyperlink>
    </w:p>
    <w:p w14:paraId="0B19FAD3" w14:textId="67D9C7B7" w:rsidR="005B03BB" w:rsidRDefault="008C4A2B">
      <w:pPr>
        <w:pStyle w:val="TOC1"/>
        <w:rPr>
          <w:rFonts w:eastAsiaTheme="minorEastAsia"/>
          <w:b w:val="0"/>
          <w:noProof/>
          <w:color w:val="auto"/>
          <w:kern w:val="0"/>
          <w:sz w:val="22"/>
          <w:szCs w:val="22"/>
          <w:lang w:eastAsia="zh-CN"/>
        </w:rPr>
      </w:pPr>
      <w:hyperlink w:anchor="_Toc127530729" w:history="1">
        <w:r w:rsidR="005B03BB" w:rsidRPr="00020201">
          <w:rPr>
            <w:rStyle w:val="Hyperlink"/>
            <w:noProof/>
          </w:rPr>
          <w:t>Details of the CSG instruments if remade</w:t>
        </w:r>
        <w:r w:rsidR="005B03BB">
          <w:rPr>
            <w:noProof/>
            <w:webHidden/>
          </w:rPr>
          <w:tab/>
        </w:r>
        <w:r w:rsidR="005B03BB">
          <w:rPr>
            <w:noProof/>
            <w:webHidden/>
          </w:rPr>
          <w:fldChar w:fldCharType="begin"/>
        </w:r>
        <w:r w:rsidR="005B03BB">
          <w:rPr>
            <w:noProof/>
            <w:webHidden/>
          </w:rPr>
          <w:instrText xml:space="preserve"> PAGEREF _Toc127530729 \h </w:instrText>
        </w:r>
        <w:r w:rsidR="005B03BB">
          <w:rPr>
            <w:noProof/>
            <w:webHidden/>
          </w:rPr>
        </w:r>
        <w:r w:rsidR="005B03BB">
          <w:rPr>
            <w:noProof/>
            <w:webHidden/>
          </w:rPr>
          <w:fldChar w:fldCharType="separate"/>
        </w:r>
        <w:r w:rsidR="005B03BB">
          <w:rPr>
            <w:noProof/>
            <w:webHidden/>
          </w:rPr>
          <w:t>12</w:t>
        </w:r>
        <w:r w:rsidR="005B03BB">
          <w:rPr>
            <w:noProof/>
            <w:webHidden/>
          </w:rPr>
          <w:fldChar w:fldCharType="end"/>
        </w:r>
      </w:hyperlink>
    </w:p>
    <w:p w14:paraId="7EB818BC" w14:textId="373F12C7" w:rsidR="005B03BB" w:rsidRDefault="008C4A2B">
      <w:pPr>
        <w:pStyle w:val="TOC1"/>
        <w:rPr>
          <w:rFonts w:eastAsiaTheme="minorEastAsia"/>
          <w:b w:val="0"/>
          <w:noProof/>
          <w:color w:val="auto"/>
          <w:kern w:val="0"/>
          <w:sz w:val="22"/>
          <w:szCs w:val="22"/>
          <w:lang w:eastAsia="zh-CN"/>
        </w:rPr>
      </w:pPr>
      <w:hyperlink w:anchor="_Toc127530730" w:history="1">
        <w:r w:rsidR="005B03BB" w:rsidRPr="00020201">
          <w:rPr>
            <w:rStyle w:val="Hyperlink"/>
            <w:noProof/>
          </w:rPr>
          <w:t>Next steps</w:t>
        </w:r>
        <w:r w:rsidR="005B03BB">
          <w:rPr>
            <w:noProof/>
            <w:webHidden/>
          </w:rPr>
          <w:tab/>
        </w:r>
        <w:r w:rsidR="005B03BB">
          <w:rPr>
            <w:noProof/>
            <w:webHidden/>
          </w:rPr>
          <w:fldChar w:fldCharType="begin"/>
        </w:r>
        <w:r w:rsidR="005B03BB">
          <w:rPr>
            <w:noProof/>
            <w:webHidden/>
          </w:rPr>
          <w:instrText xml:space="preserve"> PAGEREF _Toc127530730 \h </w:instrText>
        </w:r>
        <w:r w:rsidR="005B03BB">
          <w:rPr>
            <w:noProof/>
            <w:webHidden/>
          </w:rPr>
        </w:r>
        <w:r w:rsidR="005B03BB">
          <w:rPr>
            <w:noProof/>
            <w:webHidden/>
          </w:rPr>
          <w:fldChar w:fldCharType="separate"/>
        </w:r>
        <w:r w:rsidR="005B03BB">
          <w:rPr>
            <w:noProof/>
            <w:webHidden/>
          </w:rPr>
          <w:t>13</w:t>
        </w:r>
        <w:r w:rsidR="005B03BB">
          <w:rPr>
            <w:noProof/>
            <w:webHidden/>
          </w:rPr>
          <w:fldChar w:fldCharType="end"/>
        </w:r>
      </w:hyperlink>
    </w:p>
    <w:p w14:paraId="7799EB51" w14:textId="79177302" w:rsidR="005B03BB" w:rsidRDefault="008C4A2B">
      <w:pPr>
        <w:pStyle w:val="TOC1"/>
        <w:rPr>
          <w:rFonts w:eastAsiaTheme="minorEastAsia"/>
          <w:b w:val="0"/>
          <w:noProof/>
          <w:color w:val="auto"/>
          <w:kern w:val="0"/>
          <w:sz w:val="22"/>
          <w:szCs w:val="22"/>
          <w:lang w:eastAsia="zh-CN"/>
        </w:rPr>
      </w:pPr>
      <w:hyperlink w:anchor="_Toc127530731" w:history="1">
        <w:r w:rsidR="005B03BB" w:rsidRPr="00020201">
          <w:rPr>
            <w:rStyle w:val="Hyperlink"/>
            <w:noProof/>
          </w:rPr>
          <w:t>Appendix A: Overview of the CSG instruments</w:t>
        </w:r>
        <w:r w:rsidR="005B03BB">
          <w:rPr>
            <w:noProof/>
            <w:webHidden/>
          </w:rPr>
          <w:tab/>
        </w:r>
        <w:r w:rsidR="005B03BB">
          <w:rPr>
            <w:noProof/>
            <w:webHidden/>
          </w:rPr>
          <w:fldChar w:fldCharType="begin"/>
        </w:r>
        <w:r w:rsidR="005B03BB">
          <w:rPr>
            <w:noProof/>
            <w:webHidden/>
          </w:rPr>
          <w:instrText xml:space="preserve"> PAGEREF _Toc127530731 \h </w:instrText>
        </w:r>
        <w:r w:rsidR="005B03BB">
          <w:rPr>
            <w:noProof/>
            <w:webHidden/>
          </w:rPr>
        </w:r>
        <w:r w:rsidR="005B03BB">
          <w:rPr>
            <w:noProof/>
            <w:webHidden/>
          </w:rPr>
          <w:fldChar w:fldCharType="separate"/>
        </w:r>
        <w:r w:rsidR="005B03BB">
          <w:rPr>
            <w:noProof/>
            <w:webHidden/>
          </w:rPr>
          <w:t>15</w:t>
        </w:r>
        <w:r w:rsidR="005B03BB">
          <w:rPr>
            <w:noProof/>
            <w:webHidden/>
          </w:rPr>
          <w:fldChar w:fldCharType="end"/>
        </w:r>
      </w:hyperlink>
    </w:p>
    <w:p w14:paraId="66E5688D" w14:textId="4B05EB92" w:rsidR="005B03BB" w:rsidRDefault="008C4A2B">
      <w:pPr>
        <w:pStyle w:val="TOC2"/>
        <w:rPr>
          <w:rFonts w:eastAsiaTheme="minorEastAsia"/>
          <w:b w:val="0"/>
          <w:noProof/>
          <w:color w:val="auto"/>
          <w:kern w:val="0"/>
          <w:sz w:val="22"/>
          <w:szCs w:val="22"/>
          <w:lang w:eastAsia="zh-CN"/>
        </w:rPr>
      </w:pPr>
      <w:hyperlink w:anchor="_Toc127530732" w:history="1">
        <w:r w:rsidR="005B03BB" w:rsidRPr="00020201">
          <w:rPr>
            <w:rStyle w:val="Hyperlink"/>
            <w:noProof/>
          </w:rPr>
          <w:t>The CSG Direction</w:t>
        </w:r>
        <w:r w:rsidR="005B03BB">
          <w:rPr>
            <w:noProof/>
            <w:webHidden/>
          </w:rPr>
          <w:tab/>
        </w:r>
        <w:r w:rsidR="005B03BB">
          <w:rPr>
            <w:noProof/>
            <w:webHidden/>
          </w:rPr>
          <w:fldChar w:fldCharType="begin"/>
        </w:r>
        <w:r w:rsidR="005B03BB">
          <w:rPr>
            <w:noProof/>
            <w:webHidden/>
          </w:rPr>
          <w:instrText xml:space="preserve"> PAGEREF _Toc127530732 \h </w:instrText>
        </w:r>
        <w:r w:rsidR="005B03BB">
          <w:rPr>
            <w:noProof/>
            <w:webHidden/>
          </w:rPr>
        </w:r>
        <w:r w:rsidR="005B03BB">
          <w:rPr>
            <w:noProof/>
            <w:webHidden/>
          </w:rPr>
          <w:fldChar w:fldCharType="separate"/>
        </w:r>
        <w:r w:rsidR="005B03BB">
          <w:rPr>
            <w:noProof/>
            <w:webHidden/>
          </w:rPr>
          <w:t>15</w:t>
        </w:r>
        <w:r w:rsidR="005B03BB">
          <w:rPr>
            <w:noProof/>
            <w:webHidden/>
          </w:rPr>
          <w:fldChar w:fldCharType="end"/>
        </w:r>
      </w:hyperlink>
    </w:p>
    <w:p w14:paraId="09E8D93E" w14:textId="1CEF6D48" w:rsidR="005B03BB" w:rsidRDefault="008C4A2B">
      <w:pPr>
        <w:pStyle w:val="TOC2"/>
        <w:rPr>
          <w:rFonts w:eastAsiaTheme="minorEastAsia"/>
          <w:b w:val="0"/>
          <w:noProof/>
          <w:color w:val="auto"/>
          <w:kern w:val="0"/>
          <w:sz w:val="22"/>
          <w:szCs w:val="22"/>
          <w:lang w:eastAsia="zh-CN"/>
        </w:rPr>
      </w:pPr>
      <w:hyperlink w:anchor="_Toc127530733" w:history="1">
        <w:r w:rsidR="005B03BB" w:rsidRPr="00020201">
          <w:rPr>
            <w:rStyle w:val="Hyperlink"/>
            <w:noProof/>
          </w:rPr>
          <w:t>The CSG Standard</w:t>
        </w:r>
        <w:r w:rsidR="005B03BB">
          <w:rPr>
            <w:noProof/>
            <w:webHidden/>
          </w:rPr>
          <w:tab/>
        </w:r>
        <w:r w:rsidR="005B03BB">
          <w:rPr>
            <w:noProof/>
            <w:webHidden/>
          </w:rPr>
          <w:fldChar w:fldCharType="begin"/>
        </w:r>
        <w:r w:rsidR="005B03BB">
          <w:rPr>
            <w:noProof/>
            <w:webHidden/>
          </w:rPr>
          <w:instrText xml:space="preserve"> PAGEREF _Toc127530733 \h </w:instrText>
        </w:r>
        <w:r w:rsidR="005B03BB">
          <w:rPr>
            <w:noProof/>
            <w:webHidden/>
          </w:rPr>
        </w:r>
        <w:r w:rsidR="005B03BB">
          <w:rPr>
            <w:noProof/>
            <w:webHidden/>
          </w:rPr>
          <w:fldChar w:fldCharType="separate"/>
        </w:r>
        <w:r w:rsidR="005B03BB">
          <w:rPr>
            <w:noProof/>
            <w:webHidden/>
          </w:rPr>
          <w:t>15</w:t>
        </w:r>
        <w:r w:rsidR="005B03BB">
          <w:rPr>
            <w:noProof/>
            <w:webHidden/>
          </w:rPr>
          <w:fldChar w:fldCharType="end"/>
        </w:r>
      </w:hyperlink>
    </w:p>
    <w:p w14:paraId="44E2E834" w14:textId="4C0C9EF3" w:rsidR="005B03BB" w:rsidRDefault="008C4A2B">
      <w:pPr>
        <w:pStyle w:val="TOC2"/>
        <w:rPr>
          <w:rFonts w:eastAsiaTheme="minorEastAsia"/>
          <w:b w:val="0"/>
          <w:noProof/>
          <w:color w:val="auto"/>
          <w:kern w:val="0"/>
          <w:sz w:val="22"/>
          <w:szCs w:val="22"/>
          <w:lang w:eastAsia="zh-CN"/>
        </w:rPr>
      </w:pPr>
      <w:hyperlink w:anchor="_Toc127530734" w:history="1">
        <w:r w:rsidR="005B03BB" w:rsidRPr="00020201">
          <w:rPr>
            <w:rStyle w:val="Hyperlink"/>
            <w:noProof/>
          </w:rPr>
          <w:t>Performance benchmarks</w:t>
        </w:r>
        <w:r w:rsidR="005B03BB">
          <w:rPr>
            <w:noProof/>
            <w:webHidden/>
          </w:rPr>
          <w:tab/>
        </w:r>
        <w:r w:rsidR="005B03BB">
          <w:rPr>
            <w:noProof/>
            <w:webHidden/>
          </w:rPr>
          <w:fldChar w:fldCharType="begin"/>
        </w:r>
        <w:r w:rsidR="005B03BB">
          <w:rPr>
            <w:noProof/>
            <w:webHidden/>
          </w:rPr>
          <w:instrText xml:space="preserve"> PAGEREF _Toc127530734 \h </w:instrText>
        </w:r>
        <w:r w:rsidR="005B03BB">
          <w:rPr>
            <w:noProof/>
            <w:webHidden/>
          </w:rPr>
        </w:r>
        <w:r w:rsidR="005B03BB">
          <w:rPr>
            <w:noProof/>
            <w:webHidden/>
          </w:rPr>
          <w:fldChar w:fldCharType="separate"/>
        </w:r>
        <w:r w:rsidR="005B03BB">
          <w:rPr>
            <w:noProof/>
            <w:webHidden/>
          </w:rPr>
          <w:t>18</w:t>
        </w:r>
        <w:r w:rsidR="005B03BB">
          <w:rPr>
            <w:noProof/>
            <w:webHidden/>
          </w:rPr>
          <w:fldChar w:fldCharType="end"/>
        </w:r>
      </w:hyperlink>
    </w:p>
    <w:p w14:paraId="4FF2F412" w14:textId="211C1E8D" w:rsidR="005B03BB" w:rsidRDefault="008C4A2B">
      <w:pPr>
        <w:pStyle w:val="TOC2"/>
        <w:rPr>
          <w:rFonts w:eastAsiaTheme="minorEastAsia"/>
          <w:b w:val="0"/>
          <w:noProof/>
          <w:color w:val="auto"/>
          <w:kern w:val="0"/>
          <w:sz w:val="22"/>
          <w:szCs w:val="22"/>
          <w:lang w:eastAsia="zh-CN"/>
        </w:rPr>
      </w:pPr>
      <w:hyperlink w:anchor="_Toc127530735" w:history="1">
        <w:r w:rsidR="005B03BB" w:rsidRPr="00020201">
          <w:rPr>
            <w:rStyle w:val="Hyperlink"/>
            <w:noProof/>
          </w:rPr>
          <w:t>Record-keeping rules</w:t>
        </w:r>
        <w:r w:rsidR="005B03BB">
          <w:rPr>
            <w:noProof/>
            <w:webHidden/>
          </w:rPr>
          <w:tab/>
        </w:r>
        <w:r w:rsidR="005B03BB">
          <w:rPr>
            <w:noProof/>
            <w:webHidden/>
          </w:rPr>
          <w:fldChar w:fldCharType="begin"/>
        </w:r>
        <w:r w:rsidR="005B03BB">
          <w:rPr>
            <w:noProof/>
            <w:webHidden/>
          </w:rPr>
          <w:instrText xml:space="preserve"> PAGEREF _Toc127530735 \h </w:instrText>
        </w:r>
        <w:r w:rsidR="005B03BB">
          <w:rPr>
            <w:noProof/>
            <w:webHidden/>
          </w:rPr>
        </w:r>
        <w:r w:rsidR="005B03BB">
          <w:rPr>
            <w:noProof/>
            <w:webHidden/>
          </w:rPr>
          <w:fldChar w:fldCharType="separate"/>
        </w:r>
        <w:r w:rsidR="005B03BB">
          <w:rPr>
            <w:noProof/>
            <w:webHidden/>
          </w:rPr>
          <w:t>18</w:t>
        </w:r>
        <w:r w:rsidR="005B03BB">
          <w:rPr>
            <w:noProof/>
            <w:webHidden/>
          </w:rPr>
          <w:fldChar w:fldCharType="end"/>
        </w:r>
      </w:hyperlink>
    </w:p>
    <w:p w14:paraId="368A46EF" w14:textId="5D1AD4C4" w:rsidR="005B03BB" w:rsidRDefault="008C4A2B">
      <w:pPr>
        <w:pStyle w:val="TOC1"/>
        <w:rPr>
          <w:rFonts w:eastAsiaTheme="minorEastAsia"/>
          <w:b w:val="0"/>
          <w:noProof/>
          <w:color w:val="auto"/>
          <w:kern w:val="0"/>
          <w:sz w:val="22"/>
          <w:szCs w:val="22"/>
          <w:lang w:eastAsia="zh-CN"/>
        </w:rPr>
      </w:pPr>
      <w:hyperlink w:anchor="_Toc127530736" w:history="1">
        <w:r w:rsidR="005B03BB" w:rsidRPr="00020201">
          <w:rPr>
            <w:rStyle w:val="Hyperlink"/>
            <w:noProof/>
          </w:rPr>
          <w:t>Appendix B: Service level commitments in NBN Co’s proposed SAU variation</w:t>
        </w:r>
        <w:r w:rsidR="005B03BB">
          <w:rPr>
            <w:noProof/>
            <w:webHidden/>
          </w:rPr>
          <w:tab/>
        </w:r>
        <w:r w:rsidR="005B03BB">
          <w:rPr>
            <w:noProof/>
            <w:webHidden/>
          </w:rPr>
          <w:fldChar w:fldCharType="begin"/>
        </w:r>
        <w:r w:rsidR="005B03BB">
          <w:rPr>
            <w:noProof/>
            <w:webHidden/>
          </w:rPr>
          <w:instrText xml:space="preserve"> PAGEREF _Toc127530736 \h </w:instrText>
        </w:r>
        <w:r w:rsidR="005B03BB">
          <w:rPr>
            <w:noProof/>
            <w:webHidden/>
          </w:rPr>
        </w:r>
        <w:r w:rsidR="005B03BB">
          <w:rPr>
            <w:noProof/>
            <w:webHidden/>
          </w:rPr>
          <w:fldChar w:fldCharType="separate"/>
        </w:r>
        <w:r w:rsidR="005B03BB">
          <w:rPr>
            <w:noProof/>
            <w:webHidden/>
          </w:rPr>
          <w:t>19</w:t>
        </w:r>
        <w:r w:rsidR="005B03BB">
          <w:rPr>
            <w:noProof/>
            <w:webHidden/>
          </w:rPr>
          <w:fldChar w:fldCharType="end"/>
        </w:r>
      </w:hyperlink>
    </w:p>
    <w:p w14:paraId="71D003FB" w14:textId="1BAD2CB8" w:rsidR="005B03BB" w:rsidRDefault="008C4A2B">
      <w:pPr>
        <w:pStyle w:val="TOC2"/>
        <w:rPr>
          <w:rFonts w:eastAsiaTheme="minorEastAsia"/>
          <w:b w:val="0"/>
          <w:noProof/>
          <w:color w:val="auto"/>
          <w:kern w:val="0"/>
          <w:sz w:val="22"/>
          <w:szCs w:val="22"/>
          <w:lang w:eastAsia="zh-CN"/>
        </w:rPr>
      </w:pPr>
      <w:hyperlink w:anchor="_Toc127530737" w:history="1">
        <w:r w:rsidR="005B03BB" w:rsidRPr="00020201">
          <w:rPr>
            <w:rStyle w:val="Hyperlink"/>
            <w:noProof/>
          </w:rPr>
          <w:t>Fault rectification timeframes</w:t>
        </w:r>
        <w:r w:rsidR="005B03BB">
          <w:rPr>
            <w:noProof/>
            <w:webHidden/>
          </w:rPr>
          <w:tab/>
        </w:r>
        <w:r w:rsidR="005B03BB">
          <w:rPr>
            <w:noProof/>
            <w:webHidden/>
          </w:rPr>
          <w:fldChar w:fldCharType="begin"/>
        </w:r>
        <w:r w:rsidR="005B03BB">
          <w:rPr>
            <w:noProof/>
            <w:webHidden/>
          </w:rPr>
          <w:instrText xml:space="preserve"> PAGEREF _Toc127530737 \h </w:instrText>
        </w:r>
        <w:r w:rsidR="005B03BB">
          <w:rPr>
            <w:noProof/>
            <w:webHidden/>
          </w:rPr>
        </w:r>
        <w:r w:rsidR="005B03BB">
          <w:rPr>
            <w:noProof/>
            <w:webHidden/>
          </w:rPr>
          <w:fldChar w:fldCharType="separate"/>
        </w:r>
        <w:r w:rsidR="005B03BB">
          <w:rPr>
            <w:noProof/>
            <w:webHidden/>
          </w:rPr>
          <w:t>19</w:t>
        </w:r>
        <w:r w:rsidR="005B03BB">
          <w:rPr>
            <w:noProof/>
            <w:webHidden/>
          </w:rPr>
          <w:fldChar w:fldCharType="end"/>
        </w:r>
      </w:hyperlink>
    </w:p>
    <w:p w14:paraId="5435A71F" w14:textId="22F0771D" w:rsidR="005B03BB" w:rsidRDefault="008C4A2B">
      <w:pPr>
        <w:pStyle w:val="TOC2"/>
        <w:rPr>
          <w:rFonts w:eastAsiaTheme="minorEastAsia"/>
          <w:b w:val="0"/>
          <w:noProof/>
          <w:color w:val="auto"/>
          <w:kern w:val="0"/>
          <w:sz w:val="22"/>
          <w:szCs w:val="22"/>
          <w:lang w:eastAsia="zh-CN"/>
        </w:rPr>
      </w:pPr>
      <w:hyperlink w:anchor="_Toc127530738" w:history="1">
        <w:r w:rsidR="005B03BB" w:rsidRPr="00020201">
          <w:rPr>
            <w:rStyle w:val="Hyperlink"/>
            <w:noProof/>
          </w:rPr>
          <w:t>Connection timeframes</w:t>
        </w:r>
        <w:r w:rsidR="005B03BB">
          <w:rPr>
            <w:noProof/>
            <w:webHidden/>
          </w:rPr>
          <w:tab/>
        </w:r>
        <w:r w:rsidR="005B03BB">
          <w:rPr>
            <w:noProof/>
            <w:webHidden/>
          </w:rPr>
          <w:fldChar w:fldCharType="begin"/>
        </w:r>
        <w:r w:rsidR="005B03BB">
          <w:rPr>
            <w:noProof/>
            <w:webHidden/>
          </w:rPr>
          <w:instrText xml:space="preserve"> PAGEREF _Toc127530738 \h </w:instrText>
        </w:r>
        <w:r w:rsidR="005B03BB">
          <w:rPr>
            <w:noProof/>
            <w:webHidden/>
          </w:rPr>
        </w:r>
        <w:r w:rsidR="005B03BB">
          <w:rPr>
            <w:noProof/>
            <w:webHidden/>
          </w:rPr>
          <w:fldChar w:fldCharType="separate"/>
        </w:r>
        <w:r w:rsidR="005B03BB">
          <w:rPr>
            <w:noProof/>
            <w:webHidden/>
          </w:rPr>
          <w:t>20</w:t>
        </w:r>
        <w:r w:rsidR="005B03BB">
          <w:rPr>
            <w:noProof/>
            <w:webHidden/>
          </w:rPr>
          <w:fldChar w:fldCharType="end"/>
        </w:r>
      </w:hyperlink>
    </w:p>
    <w:p w14:paraId="295942AE" w14:textId="03962564" w:rsidR="005B03BB" w:rsidRDefault="008C4A2B">
      <w:pPr>
        <w:pStyle w:val="TOC2"/>
        <w:rPr>
          <w:rFonts w:eastAsiaTheme="minorEastAsia"/>
          <w:b w:val="0"/>
          <w:noProof/>
          <w:color w:val="auto"/>
          <w:kern w:val="0"/>
          <w:sz w:val="22"/>
          <w:szCs w:val="22"/>
          <w:lang w:eastAsia="zh-CN"/>
        </w:rPr>
      </w:pPr>
      <w:hyperlink w:anchor="_Toc127530739" w:history="1">
        <w:r w:rsidR="005B03BB" w:rsidRPr="00020201">
          <w:rPr>
            <w:rStyle w:val="Hyperlink"/>
            <w:noProof/>
          </w:rPr>
          <w:t>Appointment keeping</w:t>
        </w:r>
        <w:r w:rsidR="005B03BB">
          <w:rPr>
            <w:noProof/>
            <w:webHidden/>
          </w:rPr>
          <w:tab/>
        </w:r>
        <w:r w:rsidR="005B03BB">
          <w:rPr>
            <w:noProof/>
            <w:webHidden/>
          </w:rPr>
          <w:fldChar w:fldCharType="begin"/>
        </w:r>
        <w:r w:rsidR="005B03BB">
          <w:rPr>
            <w:noProof/>
            <w:webHidden/>
          </w:rPr>
          <w:instrText xml:space="preserve"> PAGEREF _Toc127530739 \h </w:instrText>
        </w:r>
        <w:r w:rsidR="005B03BB">
          <w:rPr>
            <w:noProof/>
            <w:webHidden/>
          </w:rPr>
        </w:r>
        <w:r w:rsidR="005B03BB">
          <w:rPr>
            <w:noProof/>
            <w:webHidden/>
          </w:rPr>
          <w:fldChar w:fldCharType="separate"/>
        </w:r>
        <w:r w:rsidR="005B03BB">
          <w:rPr>
            <w:noProof/>
            <w:webHidden/>
          </w:rPr>
          <w:t>21</w:t>
        </w:r>
        <w:r w:rsidR="005B03BB">
          <w:rPr>
            <w:noProof/>
            <w:webHidden/>
          </w:rPr>
          <w:fldChar w:fldCharType="end"/>
        </w:r>
      </w:hyperlink>
    </w:p>
    <w:p w14:paraId="40D462AE" w14:textId="7D08CE0C" w:rsidR="00C05807" w:rsidRPr="00420B37" w:rsidRDefault="006D7C61" w:rsidP="00F93F5D">
      <w:pPr>
        <w:pStyle w:val="TOC1"/>
        <w:sectPr w:rsidR="00C05807" w:rsidRPr="00420B37" w:rsidSect="006D7C61">
          <w:pgSz w:w="11906" w:h="16838"/>
          <w:pgMar w:top="1440" w:right="1440" w:bottom="1440" w:left="1560" w:header="708" w:footer="0" w:gutter="0"/>
          <w:cols w:space="708"/>
          <w:docGrid w:linePitch="360"/>
        </w:sectPr>
      </w:pPr>
      <w:r w:rsidRPr="00420B37">
        <w:rPr>
          <w:u w:val="single"/>
        </w:rPr>
        <w:fldChar w:fldCharType="end"/>
      </w:r>
    </w:p>
    <w:p w14:paraId="2EDA810F" w14:textId="77777777" w:rsidR="00757518" w:rsidRPr="005B03BB" w:rsidRDefault="00757518" w:rsidP="005B03BB">
      <w:pPr>
        <w:pStyle w:val="Heading2"/>
      </w:pPr>
      <w:bookmarkStart w:id="3" w:name="_Toc51057003"/>
      <w:bookmarkStart w:id="4" w:name="_Toc53154073"/>
      <w:bookmarkStart w:id="5" w:name="_Toc53044379"/>
      <w:bookmarkStart w:id="6" w:name="_Toc53137898"/>
      <w:bookmarkStart w:id="7" w:name="_Toc74232135"/>
      <w:bookmarkStart w:id="8" w:name="_Toc88488628"/>
      <w:bookmarkStart w:id="9" w:name="_Toc127530719"/>
      <w:bookmarkStart w:id="10" w:name="_Toc60758539"/>
      <w:r w:rsidRPr="005B03BB">
        <w:lastRenderedPageBreak/>
        <w:t>Introduction</w:t>
      </w:r>
      <w:bookmarkEnd w:id="3"/>
      <w:bookmarkEnd w:id="4"/>
      <w:bookmarkEnd w:id="5"/>
      <w:bookmarkEnd w:id="6"/>
      <w:bookmarkEnd w:id="7"/>
      <w:bookmarkEnd w:id="8"/>
      <w:bookmarkEnd w:id="9"/>
    </w:p>
    <w:p w14:paraId="0F95D9BE" w14:textId="77777777" w:rsidR="0092002A" w:rsidRPr="00420B37" w:rsidRDefault="0092002A" w:rsidP="0090726E">
      <w:pPr>
        <w:ind w:right="-25"/>
        <w:rPr>
          <w:lang w:val="en-AU"/>
        </w:rPr>
      </w:pPr>
      <w:r w:rsidRPr="00420B37">
        <w:rPr>
          <w:lang w:val="en-AU"/>
        </w:rPr>
        <w:t>This paper seeks you</w:t>
      </w:r>
      <w:r w:rsidR="00120693">
        <w:rPr>
          <w:lang w:val="en-AU"/>
        </w:rPr>
        <w:t>r</w:t>
      </w:r>
      <w:r w:rsidRPr="00420B37">
        <w:rPr>
          <w:lang w:val="en-AU"/>
        </w:rPr>
        <w:t xml:space="preserve"> views on a thematic review of the Customer Service Guarantee (CSG) for telecommunications and the various </w:t>
      </w:r>
      <w:r w:rsidR="00D6206E" w:rsidRPr="00420B37">
        <w:rPr>
          <w:lang w:val="en-AU"/>
        </w:rPr>
        <w:t>instruments</w:t>
      </w:r>
      <w:r w:rsidRPr="00420B37">
        <w:rPr>
          <w:lang w:val="en-AU"/>
        </w:rPr>
        <w:t xml:space="preserve"> that give it effect. </w:t>
      </w:r>
    </w:p>
    <w:p w14:paraId="02CF17D5" w14:textId="07015D3E" w:rsidR="005F26B6" w:rsidRPr="00420B37" w:rsidRDefault="005F26B6" w:rsidP="0090726E">
      <w:pPr>
        <w:ind w:right="-25"/>
        <w:rPr>
          <w:lang w:val="en-AU"/>
        </w:rPr>
      </w:pPr>
      <w:r w:rsidRPr="00420B37">
        <w:rPr>
          <w:lang w:val="en-AU"/>
        </w:rPr>
        <w:t>The paper provides:</w:t>
      </w:r>
    </w:p>
    <w:p w14:paraId="5DD1F6A2" w14:textId="77777777" w:rsidR="005F26B6" w:rsidRPr="00420B37" w:rsidRDefault="005F26B6" w:rsidP="00C4146E">
      <w:pPr>
        <w:pStyle w:val="Listparagraphbullets"/>
      </w:pPr>
      <w:r w:rsidRPr="00420B37">
        <w:t>context for the review</w:t>
      </w:r>
    </w:p>
    <w:p w14:paraId="5AEF7DCB" w14:textId="77777777" w:rsidR="005F26B6" w:rsidRPr="00420B37" w:rsidRDefault="005F26B6" w:rsidP="00C4146E">
      <w:pPr>
        <w:pStyle w:val="Listparagraphbullets"/>
      </w:pPr>
      <w:r w:rsidRPr="00420B37">
        <w:t>background on the CSG regulatory framework</w:t>
      </w:r>
    </w:p>
    <w:p w14:paraId="30B9B687" w14:textId="77777777" w:rsidR="0092002A" w:rsidRPr="00420B37" w:rsidRDefault="005F26B6" w:rsidP="00C4146E">
      <w:pPr>
        <w:pStyle w:val="Listparagraphbullets"/>
      </w:pPr>
      <w:r w:rsidRPr="00420B37">
        <w:t>relevant industry developments</w:t>
      </w:r>
    </w:p>
    <w:p w14:paraId="5F9C3474" w14:textId="77777777" w:rsidR="005F26B6" w:rsidRPr="00420B37" w:rsidRDefault="005F26B6" w:rsidP="00C4146E">
      <w:pPr>
        <w:pStyle w:val="Listparagraphbullets"/>
      </w:pPr>
      <w:r w:rsidRPr="00420B37">
        <w:t>potential future approaches to the CSG</w:t>
      </w:r>
    </w:p>
    <w:p w14:paraId="06953710" w14:textId="77777777" w:rsidR="005F26B6" w:rsidRPr="00420B37" w:rsidRDefault="005F26B6" w:rsidP="00C4146E">
      <w:pPr>
        <w:pStyle w:val="Listparagraphbullets"/>
      </w:pPr>
      <w:r w:rsidRPr="00420B37">
        <w:t>focus</w:t>
      </w:r>
      <w:r w:rsidR="00D6206E" w:rsidRPr="00420B37">
        <w:t>ed</w:t>
      </w:r>
      <w:r w:rsidRPr="00420B37">
        <w:t xml:space="preserve"> questions</w:t>
      </w:r>
    </w:p>
    <w:p w14:paraId="256E0A06" w14:textId="095D11C4" w:rsidR="005F26B6" w:rsidRPr="00420B37" w:rsidRDefault="005F26B6" w:rsidP="00C4146E">
      <w:pPr>
        <w:pStyle w:val="Listparagraphbullets"/>
      </w:pPr>
      <w:r w:rsidRPr="00420B37">
        <w:t>information on how to make comments</w:t>
      </w:r>
    </w:p>
    <w:p w14:paraId="09835E47" w14:textId="77777777" w:rsidR="005F26B6" w:rsidRPr="00420B37" w:rsidRDefault="005F26B6" w:rsidP="00C4146E">
      <w:pPr>
        <w:pStyle w:val="Listparagraphbullets"/>
      </w:pPr>
      <w:r w:rsidRPr="00420B37">
        <w:t>further details of the CSG instruments.</w:t>
      </w:r>
    </w:p>
    <w:p w14:paraId="0FC471F5" w14:textId="214D2D38" w:rsidR="0092002A" w:rsidRPr="00420B37" w:rsidRDefault="005F26B6" w:rsidP="0090726E">
      <w:pPr>
        <w:ind w:right="-25"/>
        <w:rPr>
          <w:lang w:val="en-AU"/>
        </w:rPr>
      </w:pPr>
      <w:r w:rsidRPr="00C97881">
        <w:rPr>
          <w:lang w:val="en-AU"/>
        </w:rPr>
        <w:t xml:space="preserve">The paper seeks your views on the future operation of the CSG overall, and the details of the subordinate legislation. Comments are sought by </w:t>
      </w:r>
      <w:r w:rsidR="00452F73">
        <w:rPr>
          <w:lang w:val="en-AU"/>
        </w:rPr>
        <w:t>Monday</w:t>
      </w:r>
      <w:r w:rsidR="00CB4676" w:rsidRPr="00C97881">
        <w:rPr>
          <w:lang w:val="en-AU"/>
        </w:rPr>
        <w:t xml:space="preserve">, </w:t>
      </w:r>
      <w:r w:rsidR="00452F73">
        <w:rPr>
          <w:lang w:val="en-AU"/>
        </w:rPr>
        <w:t>27</w:t>
      </w:r>
      <w:r w:rsidR="00AA6323" w:rsidRPr="00C97881">
        <w:rPr>
          <w:lang w:val="en-AU"/>
        </w:rPr>
        <w:t xml:space="preserve"> March </w:t>
      </w:r>
      <w:r w:rsidR="00CB4676" w:rsidRPr="00C97881">
        <w:rPr>
          <w:lang w:val="en-AU"/>
        </w:rPr>
        <w:t>2023</w:t>
      </w:r>
      <w:r w:rsidRPr="00C97881">
        <w:rPr>
          <w:lang w:val="en-AU"/>
        </w:rPr>
        <w:t>.</w:t>
      </w:r>
    </w:p>
    <w:p w14:paraId="7E548543" w14:textId="77777777" w:rsidR="005F26B6" w:rsidRPr="005B03BB" w:rsidRDefault="005F26B6" w:rsidP="005B03BB">
      <w:pPr>
        <w:pStyle w:val="Heading2"/>
      </w:pPr>
      <w:bookmarkStart w:id="11" w:name="_Toc127530720"/>
      <w:r w:rsidRPr="005B03BB">
        <w:t>Context</w:t>
      </w:r>
      <w:bookmarkEnd w:id="11"/>
    </w:p>
    <w:p w14:paraId="0B896390" w14:textId="740303B0" w:rsidR="00706279" w:rsidRPr="00420B37" w:rsidRDefault="000D7259" w:rsidP="005F26B6">
      <w:pPr>
        <w:ind w:right="-166"/>
        <w:rPr>
          <w:lang w:val="en-AU"/>
        </w:rPr>
      </w:pPr>
      <w:r w:rsidRPr="00420B37">
        <w:rPr>
          <w:lang w:val="en-AU"/>
        </w:rPr>
        <w:t xml:space="preserve">The CSG is a </w:t>
      </w:r>
      <w:r w:rsidR="00BF01F6" w:rsidRPr="00420B37">
        <w:rPr>
          <w:lang w:val="en-AU"/>
        </w:rPr>
        <w:t>retail</w:t>
      </w:r>
      <w:r w:rsidR="00F66A3B" w:rsidRPr="00420B37">
        <w:rPr>
          <w:lang w:val="en-AU"/>
        </w:rPr>
        <w:t>-</w:t>
      </w:r>
      <w:r w:rsidR="00BF01F6" w:rsidRPr="00420B37">
        <w:rPr>
          <w:lang w:val="en-AU"/>
        </w:rPr>
        <w:t xml:space="preserve">focused </w:t>
      </w:r>
      <w:r w:rsidRPr="00420B37">
        <w:rPr>
          <w:lang w:val="en-AU"/>
        </w:rPr>
        <w:t xml:space="preserve">consumer </w:t>
      </w:r>
      <w:r w:rsidR="0035767C" w:rsidRPr="00420B37">
        <w:rPr>
          <w:lang w:val="en-AU"/>
        </w:rPr>
        <w:t>protection</w:t>
      </w:r>
      <w:r w:rsidRPr="00420B37">
        <w:rPr>
          <w:lang w:val="en-AU"/>
        </w:rPr>
        <w:t xml:space="preserve"> that </w:t>
      </w:r>
      <w:r w:rsidR="00061F6D" w:rsidRPr="00420B37">
        <w:rPr>
          <w:lang w:val="en-AU"/>
        </w:rPr>
        <w:t xml:space="preserve">has been in place since 1997. </w:t>
      </w:r>
      <w:r w:rsidR="00681E7C" w:rsidRPr="00420B37">
        <w:rPr>
          <w:lang w:val="en-AU"/>
        </w:rPr>
        <w:t>Part</w:t>
      </w:r>
      <w:r w:rsidR="00D6206E" w:rsidRPr="00420B37">
        <w:rPr>
          <w:lang w:val="en-AU"/>
        </w:rPr>
        <w:t> </w:t>
      </w:r>
      <w:r w:rsidR="00681E7C" w:rsidRPr="00420B37">
        <w:rPr>
          <w:lang w:val="en-AU"/>
        </w:rPr>
        <w:t>5</w:t>
      </w:r>
      <w:r w:rsidR="00D6206E" w:rsidRPr="00420B37">
        <w:rPr>
          <w:lang w:val="en-AU"/>
        </w:rPr>
        <w:t> </w:t>
      </w:r>
      <w:r w:rsidR="00681E7C" w:rsidRPr="00420B37">
        <w:rPr>
          <w:lang w:val="en-AU"/>
        </w:rPr>
        <w:t>of t</w:t>
      </w:r>
      <w:r w:rsidR="00B9073B" w:rsidRPr="00420B37">
        <w:rPr>
          <w:lang w:val="en-AU"/>
        </w:rPr>
        <w:t xml:space="preserve">he </w:t>
      </w:r>
      <w:r w:rsidR="00B9073B" w:rsidRPr="00420B37">
        <w:rPr>
          <w:i/>
          <w:lang w:val="en-AU"/>
        </w:rPr>
        <w:t>Telecommunications (Consumer Protection and Service Standards) Act 1999</w:t>
      </w:r>
      <w:r w:rsidR="000E50E4" w:rsidRPr="00420B37">
        <w:rPr>
          <w:i/>
          <w:lang w:val="en-AU"/>
        </w:rPr>
        <w:t xml:space="preserve"> </w:t>
      </w:r>
      <w:r w:rsidR="000E50E4" w:rsidRPr="00420B37">
        <w:rPr>
          <w:lang w:val="en-AU"/>
        </w:rPr>
        <w:t>(TCPSS Act)</w:t>
      </w:r>
      <w:r w:rsidR="00235C29" w:rsidRPr="00420B37">
        <w:rPr>
          <w:i/>
          <w:lang w:val="en-AU"/>
        </w:rPr>
        <w:t xml:space="preserve"> </w:t>
      </w:r>
      <w:r w:rsidR="00BF01F6" w:rsidRPr="00420B37">
        <w:rPr>
          <w:lang w:val="en-AU"/>
        </w:rPr>
        <w:t xml:space="preserve">provides for </w:t>
      </w:r>
      <w:r w:rsidR="00964626" w:rsidRPr="00420B37">
        <w:rPr>
          <w:lang w:val="en-AU"/>
        </w:rPr>
        <w:t xml:space="preserve">performance </w:t>
      </w:r>
      <w:r w:rsidR="00171CD9" w:rsidRPr="00420B37">
        <w:rPr>
          <w:lang w:val="en-AU"/>
        </w:rPr>
        <w:t xml:space="preserve">standards </w:t>
      </w:r>
      <w:r w:rsidR="00706279" w:rsidRPr="00420B37">
        <w:rPr>
          <w:lang w:val="en-AU"/>
        </w:rPr>
        <w:t>to be made and compensation to be paid to consumers if those standards</w:t>
      </w:r>
      <w:r w:rsidR="001A293B" w:rsidRPr="00420B37">
        <w:rPr>
          <w:lang w:val="en-AU"/>
        </w:rPr>
        <w:t xml:space="preserve"> </w:t>
      </w:r>
      <w:r w:rsidR="00BF01F6" w:rsidRPr="00420B37">
        <w:rPr>
          <w:lang w:val="en-AU"/>
        </w:rPr>
        <w:t xml:space="preserve">are </w:t>
      </w:r>
      <w:r w:rsidR="001A293B" w:rsidRPr="00420B37">
        <w:rPr>
          <w:lang w:val="en-AU"/>
        </w:rPr>
        <w:t>not met</w:t>
      </w:r>
      <w:r w:rsidR="008D4296" w:rsidRPr="00420B37">
        <w:rPr>
          <w:lang w:val="en-AU"/>
        </w:rPr>
        <w:t xml:space="preserve">. </w:t>
      </w:r>
      <w:r w:rsidR="00235C29" w:rsidRPr="00420B37">
        <w:rPr>
          <w:lang w:val="en-AU"/>
        </w:rPr>
        <w:t xml:space="preserve">CSG performance standards have focused on the </w:t>
      </w:r>
      <w:r w:rsidR="005F26B6" w:rsidRPr="00420B37">
        <w:rPr>
          <w:lang w:val="en-AU"/>
        </w:rPr>
        <w:t xml:space="preserve">connection and repair </w:t>
      </w:r>
      <w:r w:rsidR="00235C29" w:rsidRPr="00420B37">
        <w:rPr>
          <w:lang w:val="en-AU"/>
        </w:rPr>
        <w:t xml:space="preserve">of </w:t>
      </w:r>
      <w:r w:rsidR="008D4296" w:rsidRPr="00420B37">
        <w:rPr>
          <w:lang w:val="en-AU"/>
        </w:rPr>
        <w:t>standard telephone services (STS)</w:t>
      </w:r>
      <w:r w:rsidR="005F26B6" w:rsidRPr="00420B37">
        <w:rPr>
          <w:lang w:val="en-AU"/>
        </w:rPr>
        <w:t xml:space="preserve">, and associated appointment keeping. The CSG </w:t>
      </w:r>
      <w:r w:rsidR="00235C29" w:rsidRPr="00420B37">
        <w:rPr>
          <w:lang w:val="en-AU"/>
        </w:rPr>
        <w:t>complement</w:t>
      </w:r>
      <w:r w:rsidR="005F26B6" w:rsidRPr="00420B37">
        <w:rPr>
          <w:lang w:val="en-AU"/>
        </w:rPr>
        <w:t>s</w:t>
      </w:r>
      <w:r w:rsidR="00235C29" w:rsidRPr="00420B37">
        <w:rPr>
          <w:lang w:val="en-AU"/>
        </w:rPr>
        <w:t xml:space="preserve"> the U</w:t>
      </w:r>
      <w:r w:rsidR="00F66A3B" w:rsidRPr="00420B37">
        <w:rPr>
          <w:lang w:val="en-AU"/>
        </w:rPr>
        <w:t>niversal Service Obligation (USO)</w:t>
      </w:r>
      <w:r w:rsidR="00235C29" w:rsidRPr="00420B37">
        <w:rPr>
          <w:lang w:val="en-AU"/>
        </w:rPr>
        <w:t xml:space="preserve"> set out in the </w:t>
      </w:r>
      <w:r w:rsidR="00A462A2" w:rsidRPr="00420B37">
        <w:rPr>
          <w:lang w:val="en-AU"/>
        </w:rPr>
        <w:t xml:space="preserve">TCPSS </w:t>
      </w:r>
      <w:r w:rsidR="00235C29" w:rsidRPr="00420B37">
        <w:rPr>
          <w:lang w:val="en-AU"/>
        </w:rPr>
        <w:t>Act.</w:t>
      </w:r>
      <w:r w:rsidR="008A4D71" w:rsidRPr="00420B37">
        <w:rPr>
          <w:lang w:val="en-AU"/>
        </w:rPr>
        <w:t xml:space="preserve"> CSG benchmarks were introduced in 2011, otherwise</w:t>
      </w:r>
      <w:r w:rsidR="007B5F1D" w:rsidRPr="00420B37">
        <w:rPr>
          <w:lang w:val="en-AU"/>
        </w:rPr>
        <w:t xml:space="preserve"> many aspect</w:t>
      </w:r>
      <w:r w:rsidR="00B40BA5" w:rsidRPr="00420B37">
        <w:rPr>
          <w:lang w:val="en-AU"/>
        </w:rPr>
        <w:t>s</w:t>
      </w:r>
      <w:r w:rsidR="007B5F1D" w:rsidRPr="00420B37">
        <w:rPr>
          <w:lang w:val="en-AU"/>
        </w:rPr>
        <w:t xml:space="preserve"> of the</w:t>
      </w:r>
      <w:r w:rsidR="008A4D71" w:rsidRPr="00420B37">
        <w:rPr>
          <w:lang w:val="en-AU"/>
        </w:rPr>
        <w:t xml:space="preserve"> </w:t>
      </w:r>
      <w:r w:rsidR="00EE49E3" w:rsidRPr="00420B37">
        <w:rPr>
          <w:lang w:val="en-AU"/>
        </w:rPr>
        <w:t xml:space="preserve">CSG </w:t>
      </w:r>
      <w:r w:rsidR="008A4D71" w:rsidRPr="00420B37">
        <w:rPr>
          <w:lang w:val="en-AU"/>
        </w:rPr>
        <w:t>have not significantly changed</w:t>
      </w:r>
      <w:r w:rsidR="0090726E" w:rsidRPr="00420B37">
        <w:rPr>
          <w:lang w:val="en-AU"/>
        </w:rPr>
        <w:t xml:space="preserve"> </w:t>
      </w:r>
      <w:r w:rsidR="00D6206E" w:rsidRPr="00420B37">
        <w:rPr>
          <w:lang w:val="en-AU"/>
        </w:rPr>
        <w:t xml:space="preserve">in character </w:t>
      </w:r>
      <w:r w:rsidR="0090726E" w:rsidRPr="00420B37">
        <w:rPr>
          <w:lang w:val="en-AU"/>
        </w:rPr>
        <w:t>since 1997</w:t>
      </w:r>
      <w:r w:rsidR="008A4D71" w:rsidRPr="00420B37">
        <w:rPr>
          <w:lang w:val="en-AU"/>
        </w:rPr>
        <w:t>.</w:t>
      </w:r>
    </w:p>
    <w:p w14:paraId="30BD477B" w14:textId="77777777" w:rsidR="0090726E" w:rsidRPr="00420B37" w:rsidRDefault="008A4D71" w:rsidP="00A4458B">
      <w:pPr>
        <w:spacing w:after="80"/>
        <w:rPr>
          <w:rFonts w:cs="Times New Roman"/>
          <w:szCs w:val="24"/>
          <w:lang w:val="en-AU"/>
        </w:rPr>
      </w:pPr>
      <w:r w:rsidRPr="00420B37">
        <w:rPr>
          <w:lang w:val="en-AU"/>
        </w:rPr>
        <w:t>Many a</w:t>
      </w:r>
      <w:r w:rsidR="00706279" w:rsidRPr="00420B37">
        <w:rPr>
          <w:lang w:val="en-AU"/>
        </w:rPr>
        <w:t xml:space="preserve">spects of detail </w:t>
      </w:r>
      <w:r w:rsidR="0090726E" w:rsidRPr="00420B37">
        <w:rPr>
          <w:lang w:val="en-AU"/>
        </w:rPr>
        <w:t xml:space="preserve">of the CSG scheme </w:t>
      </w:r>
      <w:r w:rsidR="00706279" w:rsidRPr="00420B37">
        <w:rPr>
          <w:lang w:val="en-AU"/>
        </w:rPr>
        <w:t xml:space="preserve">are set out in </w:t>
      </w:r>
      <w:r w:rsidR="00475D8D" w:rsidRPr="00420B37">
        <w:rPr>
          <w:lang w:val="en-AU"/>
        </w:rPr>
        <w:t>subordinate instruments</w:t>
      </w:r>
      <w:r w:rsidR="007B5F1D" w:rsidRPr="00420B37">
        <w:rPr>
          <w:lang w:val="en-AU"/>
        </w:rPr>
        <w:t xml:space="preserve"> made by the </w:t>
      </w:r>
      <w:r w:rsidR="005F26B6" w:rsidRPr="00420B37">
        <w:rPr>
          <w:lang w:val="en-AU"/>
        </w:rPr>
        <w:t xml:space="preserve">Minister </w:t>
      </w:r>
      <w:r w:rsidR="00321F8F">
        <w:rPr>
          <w:lang w:val="en-AU"/>
        </w:rPr>
        <w:t xml:space="preserve">and </w:t>
      </w:r>
      <w:r w:rsidR="005F26B6" w:rsidRPr="00420B37">
        <w:rPr>
          <w:lang w:val="en-AU"/>
        </w:rPr>
        <w:t xml:space="preserve">the </w:t>
      </w:r>
      <w:r w:rsidR="007B4A22" w:rsidRPr="00420B37">
        <w:rPr>
          <w:rFonts w:cs="Times New Roman"/>
          <w:szCs w:val="24"/>
          <w:lang w:val="en-AU"/>
        </w:rPr>
        <w:t>Australian Communications and Media Authority (ACMA)</w:t>
      </w:r>
      <w:r w:rsidR="007B4A22" w:rsidRPr="00420B37">
        <w:rPr>
          <w:lang w:val="en-AU"/>
        </w:rPr>
        <w:t>.</w:t>
      </w:r>
      <w:r w:rsidR="00733E5A" w:rsidRPr="00420B37">
        <w:rPr>
          <w:lang w:val="en-AU"/>
        </w:rPr>
        <w:t xml:space="preserve"> </w:t>
      </w:r>
      <w:r w:rsidR="007B5F1D" w:rsidRPr="00420B37">
        <w:rPr>
          <w:rFonts w:cs="Times New Roman"/>
          <w:b/>
          <w:szCs w:val="24"/>
          <w:lang w:val="en-AU"/>
        </w:rPr>
        <w:t>Appendix A</w:t>
      </w:r>
      <w:r w:rsidR="007B5F1D" w:rsidRPr="00420B37">
        <w:rPr>
          <w:rFonts w:cs="Times New Roman"/>
          <w:szCs w:val="24"/>
          <w:lang w:val="en-AU"/>
        </w:rPr>
        <w:t xml:space="preserve"> has further detail o</w:t>
      </w:r>
      <w:r w:rsidR="005F26B6" w:rsidRPr="00420B37">
        <w:rPr>
          <w:rFonts w:cs="Times New Roman"/>
          <w:szCs w:val="24"/>
          <w:lang w:val="en-AU"/>
        </w:rPr>
        <w:t>n</w:t>
      </w:r>
      <w:r w:rsidR="007B5F1D" w:rsidRPr="00420B37">
        <w:rPr>
          <w:rFonts w:cs="Times New Roman"/>
          <w:szCs w:val="24"/>
          <w:lang w:val="en-AU"/>
        </w:rPr>
        <w:t xml:space="preserve"> each of the CSG instruments. </w:t>
      </w:r>
    </w:p>
    <w:p w14:paraId="686C0E0D" w14:textId="527F4E37" w:rsidR="00BE34C9" w:rsidRPr="00420B37" w:rsidRDefault="00AC3A93" w:rsidP="00A4458B">
      <w:pPr>
        <w:spacing w:after="80"/>
        <w:rPr>
          <w:rFonts w:cs="Times New Roman"/>
          <w:szCs w:val="24"/>
          <w:lang w:val="en-AU"/>
        </w:rPr>
      </w:pPr>
      <w:r w:rsidRPr="00420B37">
        <w:rPr>
          <w:rFonts w:cs="Times New Roman"/>
          <w:szCs w:val="24"/>
          <w:lang w:val="en-AU"/>
        </w:rPr>
        <w:t>I</w:t>
      </w:r>
      <w:r w:rsidR="00061F6D" w:rsidRPr="00420B37">
        <w:rPr>
          <w:rFonts w:cs="Times New Roman"/>
          <w:szCs w:val="24"/>
          <w:lang w:val="en-AU"/>
        </w:rPr>
        <w:t xml:space="preserve">n March 2021, the then Assistant Attorney-General made an instrument to defer and align the sunsetting dates for </w:t>
      </w:r>
      <w:r w:rsidR="005B7644">
        <w:rPr>
          <w:rFonts w:cs="Times New Roman"/>
          <w:szCs w:val="24"/>
          <w:lang w:val="en-AU"/>
        </w:rPr>
        <w:t>4</w:t>
      </w:r>
      <w:r w:rsidR="005B7644" w:rsidRPr="00420B37">
        <w:rPr>
          <w:rFonts w:cs="Times New Roman"/>
          <w:szCs w:val="24"/>
          <w:lang w:val="en-AU"/>
        </w:rPr>
        <w:t xml:space="preserve"> </w:t>
      </w:r>
      <w:r w:rsidR="00061F6D" w:rsidRPr="00420B37">
        <w:rPr>
          <w:rFonts w:cs="Times New Roman"/>
          <w:szCs w:val="24"/>
          <w:lang w:val="en-AU"/>
        </w:rPr>
        <w:t>instruments made under the CSG scheme.</w:t>
      </w:r>
      <w:r w:rsidR="002A137C" w:rsidRPr="00420B37">
        <w:rPr>
          <w:rStyle w:val="FootnoteReference"/>
          <w:rFonts w:cs="Times New Roman"/>
          <w:szCs w:val="24"/>
          <w:lang w:val="en-AU"/>
        </w:rPr>
        <w:footnoteReference w:id="2"/>
      </w:r>
      <w:r w:rsidR="00061F6D" w:rsidRPr="00420B37">
        <w:rPr>
          <w:rFonts w:cs="Times New Roman"/>
          <w:szCs w:val="24"/>
          <w:lang w:val="en-AU"/>
        </w:rPr>
        <w:t xml:space="preserve"> </w:t>
      </w:r>
      <w:r w:rsidR="00BE34C9" w:rsidRPr="00420B37">
        <w:rPr>
          <w:rFonts w:cs="Times New Roman"/>
          <w:szCs w:val="24"/>
          <w:lang w:val="en-AU"/>
        </w:rPr>
        <w:t>These are</w:t>
      </w:r>
      <w:r w:rsidR="00CB4676">
        <w:rPr>
          <w:rFonts w:cs="Times New Roman"/>
          <w:szCs w:val="24"/>
          <w:lang w:val="en-AU"/>
        </w:rPr>
        <w:t xml:space="preserve"> the</w:t>
      </w:r>
      <w:r w:rsidR="00BE34C9" w:rsidRPr="00420B37">
        <w:rPr>
          <w:rFonts w:cs="Times New Roman"/>
          <w:szCs w:val="24"/>
          <w:lang w:val="en-AU"/>
        </w:rPr>
        <w:t>:</w:t>
      </w:r>
    </w:p>
    <w:p w14:paraId="1463F6CC" w14:textId="77777777" w:rsidR="0092002A" w:rsidRPr="00420B37" w:rsidRDefault="00943A05" w:rsidP="00C4146E">
      <w:pPr>
        <w:pStyle w:val="Listparagraphbullets"/>
      </w:pPr>
      <w:r w:rsidRPr="00420B37">
        <w:t>Telecommunications (Customer Service Guarantee) Standard 2011</w:t>
      </w:r>
      <w:r w:rsidR="0092002A" w:rsidRPr="00420B37">
        <w:t xml:space="preserve"> (</w:t>
      </w:r>
      <w:hyperlink r:id="rId20" w:history="1">
        <w:r w:rsidR="0092002A" w:rsidRPr="00420B37">
          <w:rPr>
            <w:rStyle w:val="Hyperlink"/>
            <w:rFonts w:cs="Times New Roman"/>
            <w:szCs w:val="24"/>
          </w:rPr>
          <w:t>the CSG Standard</w:t>
        </w:r>
      </w:hyperlink>
      <w:r w:rsidR="0092002A" w:rsidRPr="00420B37">
        <w:t>)</w:t>
      </w:r>
      <w:r w:rsidR="007B4A22" w:rsidRPr="00420B37">
        <w:t xml:space="preserve">; </w:t>
      </w:r>
    </w:p>
    <w:p w14:paraId="59FF9D11" w14:textId="77777777" w:rsidR="0092002A" w:rsidRPr="00420B37" w:rsidRDefault="0092002A" w:rsidP="00C4146E">
      <w:pPr>
        <w:pStyle w:val="Listparagraphbullets"/>
      </w:pPr>
      <w:r w:rsidRPr="00420B37">
        <w:t xml:space="preserve">Telecommunications (Customer Service Guarantee) Amendment Standard 2011 (No. 1) </w:t>
      </w:r>
      <w:r w:rsidR="00B80AB3">
        <w:br/>
      </w:r>
      <w:r w:rsidRPr="00420B37">
        <w:t>(</w:t>
      </w:r>
      <w:hyperlink r:id="rId21" w:history="1">
        <w:r w:rsidRPr="00420B37">
          <w:rPr>
            <w:rStyle w:val="Hyperlink"/>
            <w:rFonts w:cs="Times New Roman"/>
            <w:szCs w:val="24"/>
          </w:rPr>
          <w:t>the CSG Amendment Standard</w:t>
        </w:r>
      </w:hyperlink>
      <w:r w:rsidRPr="00420B37">
        <w:t>)</w:t>
      </w:r>
      <w:r w:rsidR="007B4A22" w:rsidRPr="00420B37">
        <w:t xml:space="preserve">; </w:t>
      </w:r>
    </w:p>
    <w:p w14:paraId="3E396E6A" w14:textId="3B650910" w:rsidR="0092002A" w:rsidRPr="00420B37" w:rsidRDefault="0092002A" w:rsidP="00C4146E">
      <w:pPr>
        <w:pStyle w:val="Listparagraphbullets"/>
      </w:pPr>
      <w:r w:rsidRPr="00420B37">
        <w:t>Telecommunications (Customer Service Guarantee – Retail Performance Benchmarks) Instrument (No. 1) 2011 (</w:t>
      </w:r>
      <w:hyperlink r:id="rId22" w:history="1">
        <w:r w:rsidRPr="00420B37">
          <w:rPr>
            <w:rStyle w:val="Hyperlink"/>
            <w:rFonts w:cs="Times New Roman"/>
            <w:szCs w:val="24"/>
          </w:rPr>
          <w:t>the CSG Benchmarks Instrument</w:t>
        </w:r>
      </w:hyperlink>
      <w:r w:rsidRPr="00420B37">
        <w:t>)</w:t>
      </w:r>
    </w:p>
    <w:p w14:paraId="0DAB5BE4" w14:textId="014DE8B7" w:rsidR="007B4A22" w:rsidRPr="00C4146E" w:rsidRDefault="0092002A" w:rsidP="00C4146E">
      <w:pPr>
        <w:rPr>
          <w:color w:val="000000"/>
          <w:szCs w:val="24"/>
          <w:shd w:val="clear" w:color="auto" w:fill="FFFFFF"/>
          <w:lang w:val="en-AU"/>
        </w:rPr>
      </w:pPr>
      <w:r w:rsidRPr="00420B37">
        <w:t>Telecommunications (Customer Service Guarantee) Record-Keeping Rules 2011 (</w:t>
      </w:r>
      <w:hyperlink r:id="rId23" w:history="1">
        <w:r w:rsidRPr="00C4146E">
          <w:rPr>
            <w:rStyle w:val="Hyperlink"/>
            <w:rFonts w:cs="Times New Roman"/>
            <w:szCs w:val="24"/>
            <w:lang w:val="en-AU"/>
          </w:rPr>
          <w:t>the CSG RKRs</w:t>
        </w:r>
      </w:hyperlink>
      <w:r w:rsidRPr="00420B37">
        <w:t>)</w:t>
      </w:r>
      <w:r w:rsidR="00943A05" w:rsidRPr="00420B37">
        <w:t>.</w:t>
      </w:r>
      <w:r w:rsidRPr="00420B37">
        <w:cr/>
      </w:r>
      <w:r w:rsidR="00061F6D" w:rsidRPr="00C4146E">
        <w:rPr>
          <w:color w:val="000000"/>
          <w:szCs w:val="24"/>
          <w:shd w:val="clear" w:color="auto" w:fill="FFFFFF"/>
          <w:lang w:val="en-AU"/>
        </w:rPr>
        <w:t xml:space="preserve">These instruments were due to </w:t>
      </w:r>
      <w:r w:rsidR="007B4A22" w:rsidRPr="00C4146E">
        <w:rPr>
          <w:color w:val="000000"/>
          <w:szCs w:val="24"/>
          <w:shd w:val="clear" w:color="auto" w:fill="FFFFFF"/>
          <w:lang w:val="en-AU"/>
        </w:rPr>
        <w:t>cease o</w:t>
      </w:r>
      <w:r w:rsidR="0025569B" w:rsidRPr="00C4146E">
        <w:rPr>
          <w:color w:val="000000"/>
          <w:szCs w:val="24"/>
          <w:shd w:val="clear" w:color="auto" w:fill="FFFFFF"/>
          <w:lang w:val="en-AU"/>
        </w:rPr>
        <w:t>r</w:t>
      </w:r>
      <w:r w:rsidR="007B4A22" w:rsidRPr="00C4146E">
        <w:rPr>
          <w:color w:val="000000"/>
          <w:szCs w:val="24"/>
          <w:shd w:val="clear" w:color="auto" w:fill="FFFFFF"/>
          <w:lang w:val="en-AU"/>
        </w:rPr>
        <w:t xml:space="preserve"> ‘</w:t>
      </w:r>
      <w:r w:rsidR="00061F6D" w:rsidRPr="00C4146E">
        <w:rPr>
          <w:color w:val="000000"/>
          <w:szCs w:val="24"/>
          <w:shd w:val="clear" w:color="auto" w:fill="FFFFFF"/>
          <w:lang w:val="en-AU"/>
        </w:rPr>
        <w:t>sunset</w:t>
      </w:r>
      <w:r w:rsidR="007B4A22" w:rsidRPr="00C4146E">
        <w:rPr>
          <w:color w:val="000000"/>
          <w:szCs w:val="24"/>
          <w:shd w:val="clear" w:color="auto" w:fill="FFFFFF"/>
          <w:lang w:val="en-AU"/>
        </w:rPr>
        <w:t>’</w:t>
      </w:r>
      <w:r w:rsidR="00061F6D" w:rsidRPr="00C4146E">
        <w:rPr>
          <w:color w:val="000000"/>
          <w:szCs w:val="24"/>
          <w:shd w:val="clear" w:color="auto" w:fill="FFFFFF"/>
          <w:lang w:val="en-AU"/>
        </w:rPr>
        <w:t xml:space="preserve"> at different points in 2021, but are all now due to sunset from 1 October 2023 in accordance with the </w:t>
      </w:r>
      <w:r w:rsidR="00061F6D" w:rsidRPr="00C4146E">
        <w:rPr>
          <w:i/>
          <w:color w:val="000000"/>
          <w:szCs w:val="24"/>
          <w:shd w:val="clear" w:color="auto" w:fill="FFFFFF"/>
          <w:lang w:val="en-AU"/>
        </w:rPr>
        <w:t>Legislation Act 2003</w:t>
      </w:r>
      <w:r w:rsidR="006A65C9" w:rsidRPr="00C4146E">
        <w:rPr>
          <w:color w:val="000000"/>
          <w:szCs w:val="24"/>
          <w:shd w:val="clear" w:color="auto" w:fill="FFFFFF"/>
          <w:lang w:val="en-AU"/>
        </w:rPr>
        <w:t xml:space="preserve"> (the Legislation Act)</w:t>
      </w:r>
      <w:r w:rsidR="00061F6D" w:rsidRPr="00C4146E">
        <w:rPr>
          <w:color w:val="000000"/>
          <w:szCs w:val="24"/>
          <w:shd w:val="clear" w:color="auto" w:fill="FFFFFF"/>
          <w:lang w:val="en-AU"/>
        </w:rPr>
        <w:t xml:space="preserve">. </w:t>
      </w:r>
    </w:p>
    <w:p w14:paraId="01F1050F" w14:textId="2E198AA6" w:rsidR="00A4458B" w:rsidRPr="00420B37" w:rsidRDefault="00061F6D" w:rsidP="00A4458B">
      <w:pPr>
        <w:spacing w:after="80"/>
        <w:rPr>
          <w:lang w:val="en-AU"/>
        </w:rPr>
      </w:pPr>
      <w:r w:rsidRPr="00420B37">
        <w:rPr>
          <w:rFonts w:cs="Times New Roman"/>
          <w:szCs w:val="24"/>
          <w:lang w:val="en-AU"/>
        </w:rPr>
        <w:t xml:space="preserve">This </w:t>
      </w:r>
      <w:r w:rsidR="0090726E" w:rsidRPr="00420B37">
        <w:rPr>
          <w:rFonts w:cs="Times New Roman"/>
          <w:szCs w:val="24"/>
          <w:lang w:val="en-AU"/>
        </w:rPr>
        <w:t xml:space="preserve">approach </w:t>
      </w:r>
      <w:r w:rsidRPr="00420B37">
        <w:rPr>
          <w:rFonts w:cs="Times New Roman"/>
          <w:szCs w:val="24"/>
          <w:lang w:val="en-AU"/>
        </w:rPr>
        <w:t xml:space="preserve">was </w:t>
      </w:r>
      <w:r w:rsidR="009F4CFC" w:rsidRPr="00420B37">
        <w:rPr>
          <w:rFonts w:cs="Times New Roman"/>
          <w:szCs w:val="24"/>
          <w:lang w:val="en-AU"/>
        </w:rPr>
        <w:t xml:space="preserve">adopted </w:t>
      </w:r>
      <w:r w:rsidRPr="00420B37">
        <w:rPr>
          <w:rFonts w:cs="Times New Roman"/>
          <w:szCs w:val="24"/>
          <w:lang w:val="en-AU"/>
        </w:rPr>
        <w:t xml:space="preserve">to provide time </w:t>
      </w:r>
      <w:r w:rsidR="0090726E" w:rsidRPr="00420B37">
        <w:rPr>
          <w:rFonts w:cs="Times New Roman"/>
          <w:szCs w:val="24"/>
          <w:lang w:val="en-AU"/>
        </w:rPr>
        <w:t>for a</w:t>
      </w:r>
      <w:r w:rsidRPr="00420B37">
        <w:rPr>
          <w:color w:val="000000"/>
          <w:szCs w:val="24"/>
          <w:shd w:val="clear" w:color="auto" w:fill="FFFFFF"/>
          <w:lang w:val="en-AU"/>
        </w:rPr>
        <w:t xml:space="preserve"> single thematic review of these instruments, including to have </w:t>
      </w:r>
      <w:r w:rsidRPr="00420B37">
        <w:rPr>
          <w:rFonts w:cs="Times New Roman"/>
          <w:szCs w:val="24"/>
          <w:lang w:val="en-AU"/>
        </w:rPr>
        <w:t>regard to wider changes taking place in the telecommunications industry.</w:t>
      </w:r>
      <w:r w:rsidR="008A4D71" w:rsidRPr="00420B37">
        <w:rPr>
          <w:rFonts w:cs="Times New Roman"/>
          <w:szCs w:val="24"/>
          <w:lang w:val="en-AU"/>
        </w:rPr>
        <w:t xml:space="preserve"> </w:t>
      </w:r>
      <w:r w:rsidR="007B4A22" w:rsidRPr="00420B37">
        <w:rPr>
          <w:rFonts w:cs="Times New Roman"/>
          <w:szCs w:val="24"/>
          <w:lang w:val="en-AU"/>
        </w:rPr>
        <w:t>In this context, t</w:t>
      </w:r>
      <w:r w:rsidR="00A4458B" w:rsidRPr="00420B37">
        <w:rPr>
          <w:lang w:val="en-AU"/>
        </w:rPr>
        <w:t xml:space="preserve">he </w:t>
      </w:r>
      <w:r w:rsidR="006F3719">
        <w:rPr>
          <w:lang w:val="en-AU"/>
        </w:rPr>
        <w:t>d</w:t>
      </w:r>
      <w:r w:rsidR="00A4458B" w:rsidRPr="00420B37">
        <w:rPr>
          <w:lang w:val="en-AU"/>
        </w:rPr>
        <w:t xml:space="preserve">epartment </w:t>
      </w:r>
      <w:r w:rsidR="00DD1430">
        <w:rPr>
          <w:lang w:val="en-AU"/>
        </w:rPr>
        <w:t>is</w:t>
      </w:r>
      <w:r w:rsidR="00A4458B" w:rsidRPr="00420B37">
        <w:rPr>
          <w:lang w:val="en-AU"/>
        </w:rPr>
        <w:t xml:space="preserve"> now seeking stakeholder views on the </w:t>
      </w:r>
      <w:r w:rsidR="0090726E" w:rsidRPr="00420B37">
        <w:rPr>
          <w:lang w:val="en-AU"/>
        </w:rPr>
        <w:t xml:space="preserve">future role </w:t>
      </w:r>
      <w:r w:rsidR="007B3EEF" w:rsidRPr="00420B37">
        <w:rPr>
          <w:lang w:val="en-AU"/>
        </w:rPr>
        <w:t xml:space="preserve">of the </w:t>
      </w:r>
      <w:r w:rsidR="00A4458B" w:rsidRPr="00420B37">
        <w:rPr>
          <w:lang w:val="en-AU"/>
        </w:rPr>
        <w:t xml:space="preserve">CSG and </w:t>
      </w:r>
      <w:r w:rsidR="007B4A22" w:rsidRPr="00420B37">
        <w:rPr>
          <w:lang w:val="en-AU"/>
        </w:rPr>
        <w:t xml:space="preserve">the </w:t>
      </w:r>
      <w:r w:rsidR="00A4458B" w:rsidRPr="00420B37">
        <w:rPr>
          <w:lang w:val="en-AU"/>
        </w:rPr>
        <w:t>instruments</w:t>
      </w:r>
      <w:r w:rsidR="00B80AB3">
        <w:rPr>
          <w:lang w:val="en-AU"/>
        </w:rPr>
        <w:t xml:space="preserve"> that give effect to it</w:t>
      </w:r>
      <w:r w:rsidR="00A4458B" w:rsidRPr="00420B37">
        <w:rPr>
          <w:lang w:val="en-AU"/>
        </w:rPr>
        <w:t xml:space="preserve">. </w:t>
      </w:r>
    </w:p>
    <w:p w14:paraId="7597629A" w14:textId="24E8C1FF" w:rsidR="00767746" w:rsidRDefault="00A4458B" w:rsidP="00E471CE">
      <w:pPr>
        <w:rPr>
          <w:rFonts w:cs="Times New Roman"/>
          <w:szCs w:val="24"/>
          <w:lang w:val="en-AU"/>
        </w:rPr>
      </w:pPr>
      <w:r w:rsidRPr="00420B37">
        <w:rPr>
          <w:rFonts w:cs="Times New Roman"/>
          <w:szCs w:val="24"/>
          <w:lang w:val="en-AU"/>
        </w:rPr>
        <w:t xml:space="preserve">Importantly, </w:t>
      </w:r>
      <w:r w:rsidR="00706279" w:rsidRPr="00420B37">
        <w:rPr>
          <w:rFonts w:cs="Times New Roman"/>
          <w:szCs w:val="24"/>
          <w:lang w:val="en-AU"/>
        </w:rPr>
        <w:t xml:space="preserve">the </w:t>
      </w:r>
      <w:r w:rsidR="00280261">
        <w:rPr>
          <w:rFonts w:cs="Times New Roman"/>
          <w:szCs w:val="24"/>
          <w:lang w:val="en-AU"/>
        </w:rPr>
        <w:t>4</w:t>
      </w:r>
      <w:r w:rsidR="00280261" w:rsidRPr="00420B37">
        <w:rPr>
          <w:rFonts w:cs="Times New Roman"/>
          <w:szCs w:val="24"/>
          <w:lang w:val="en-AU"/>
        </w:rPr>
        <w:t xml:space="preserve"> </w:t>
      </w:r>
      <w:r w:rsidR="00706279" w:rsidRPr="00420B37">
        <w:rPr>
          <w:rFonts w:cs="Times New Roman"/>
          <w:szCs w:val="24"/>
          <w:lang w:val="en-AU"/>
        </w:rPr>
        <w:t>instruments</w:t>
      </w:r>
      <w:r w:rsidR="007B3EEF" w:rsidRPr="00420B37">
        <w:rPr>
          <w:rFonts w:cs="Times New Roman"/>
          <w:szCs w:val="24"/>
          <w:lang w:val="en-AU"/>
        </w:rPr>
        <w:t xml:space="preserve"> due to sun</w:t>
      </w:r>
      <w:r w:rsidR="007B5F1D" w:rsidRPr="00420B37">
        <w:rPr>
          <w:rFonts w:cs="Times New Roman"/>
          <w:szCs w:val="24"/>
          <w:lang w:val="en-AU"/>
        </w:rPr>
        <w:t>s</w:t>
      </w:r>
      <w:r w:rsidR="007B3EEF" w:rsidRPr="00420B37">
        <w:rPr>
          <w:rFonts w:cs="Times New Roman"/>
          <w:szCs w:val="24"/>
          <w:lang w:val="en-AU"/>
        </w:rPr>
        <w:t>et</w:t>
      </w:r>
      <w:r w:rsidR="00BE34C9" w:rsidRPr="00420B37">
        <w:rPr>
          <w:rFonts w:cs="Times New Roman"/>
          <w:szCs w:val="24"/>
          <w:lang w:val="en-AU"/>
        </w:rPr>
        <w:t xml:space="preserve"> are underpinned by</w:t>
      </w:r>
      <w:r w:rsidR="00706279" w:rsidRPr="00420B37">
        <w:rPr>
          <w:rFonts w:cs="Times New Roman"/>
          <w:szCs w:val="24"/>
          <w:lang w:val="en-AU"/>
        </w:rPr>
        <w:t xml:space="preserve"> </w:t>
      </w:r>
      <w:r w:rsidR="00A462A2" w:rsidRPr="00420B37">
        <w:rPr>
          <w:rFonts w:cs="Times New Roman"/>
          <w:szCs w:val="24"/>
          <w:lang w:val="en-AU"/>
        </w:rPr>
        <w:t xml:space="preserve">a Ministerial direction to the </w:t>
      </w:r>
      <w:r w:rsidR="00D6206E" w:rsidRPr="00420B37">
        <w:rPr>
          <w:rFonts w:cs="Times New Roman"/>
          <w:szCs w:val="24"/>
          <w:lang w:val="en-AU"/>
        </w:rPr>
        <w:t xml:space="preserve">ACMA to </w:t>
      </w:r>
      <w:r w:rsidR="002D3DE9" w:rsidRPr="00420B37">
        <w:rPr>
          <w:rFonts w:cs="Times New Roman"/>
          <w:szCs w:val="24"/>
          <w:lang w:val="en-AU"/>
        </w:rPr>
        <w:t>make performance standards</w:t>
      </w:r>
      <w:r w:rsidR="00BE34C9" w:rsidRPr="00420B37">
        <w:rPr>
          <w:rFonts w:cs="Times New Roman"/>
          <w:szCs w:val="24"/>
          <w:lang w:val="en-AU"/>
        </w:rPr>
        <w:t xml:space="preserve">. </w:t>
      </w:r>
    </w:p>
    <w:p w14:paraId="165BD204" w14:textId="4BAE9F63" w:rsidR="00BE34C9" w:rsidRPr="00420B37" w:rsidRDefault="00767746" w:rsidP="00E471CE">
      <w:pPr>
        <w:rPr>
          <w:rFonts w:cs="Times New Roman"/>
          <w:szCs w:val="24"/>
          <w:lang w:val="en-AU"/>
        </w:rPr>
      </w:pPr>
      <w:r>
        <w:rPr>
          <w:rFonts w:cs="Times New Roman"/>
          <w:szCs w:val="24"/>
          <w:lang w:val="en-AU"/>
        </w:rPr>
        <w:br w:type="column"/>
      </w:r>
      <w:r w:rsidR="0092002A" w:rsidRPr="00420B37">
        <w:rPr>
          <w:rFonts w:cs="Times New Roman"/>
          <w:szCs w:val="24"/>
          <w:lang w:val="en-AU"/>
        </w:rPr>
        <w:lastRenderedPageBreak/>
        <w:t xml:space="preserve">This is the </w:t>
      </w:r>
      <w:hyperlink r:id="rId24" w:history="1">
        <w:r w:rsidR="0092002A" w:rsidRPr="00420B37">
          <w:rPr>
            <w:rStyle w:val="Hyperlink"/>
            <w:i/>
            <w:lang w:val="en-AU"/>
          </w:rPr>
          <w:t>Telecommunications (Customer Service Guarantee) Direction (No. 1) 2011</w:t>
        </w:r>
      </w:hyperlink>
      <w:r w:rsidR="0092002A" w:rsidRPr="00420B37">
        <w:rPr>
          <w:rStyle w:val="Hyperlink"/>
          <w:i/>
          <w:lang w:val="en-AU"/>
        </w:rPr>
        <w:t>.</w:t>
      </w:r>
      <w:r w:rsidR="0092002A" w:rsidRPr="00420B37">
        <w:rPr>
          <w:i/>
          <w:lang w:val="en-AU"/>
        </w:rPr>
        <w:t xml:space="preserve"> </w:t>
      </w:r>
      <w:r w:rsidR="00BE34C9" w:rsidRPr="00420B37">
        <w:rPr>
          <w:rFonts w:cs="Times New Roman"/>
          <w:szCs w:val="24"/>
          <w:lang w:val="en-AU"/>
        </w:rPr>
        <w:t>While the direction</w:t>
      </w:r>
      <w:r w:rsidR="00A462A2" w:rsidRPr="00420B37">
        <w:rPr>
          <w:rFonts w:cs="Times New Roman"/>
          <w:szCs w:val="24"/>
          <w:lang w:val="en-AU"/>
        </w:rPr>
        <w:t xml:space="preserve"> is exempt from sunsetting</w:t>
      </w:r>
      <w:r w:rsidR="00D6206E" w:rsidRPr="00420B37">
        <w:rPr>
          <w:rStyle w:val="FootnoteReference"/>
          <w:rFonts w:cs="Times New Roman"/>
          <w:szCs w:val="24"/>
          <w:lang w:val="en-AU"/>
        </w:rPr>
        <w:footnoteReference w:id="3"/>
      </w:r>
      <w:r w:rsidR="00BE34C9" w:rsidRPr="00420B37">
        <w:rPr>
          <w:rFonts w:cs="Times New Roman"/>
          <w:szCs w:val="24"/>
          <w:lang w:val="en-AU"/>
        </w:rPr>
        <w:t xml:space="preserve">, </w:t>
      </w:r>
      <w:bookmarkStart w:id="12" w:name="_Hlk118882302"/>
      <w:r w:rsidR="006A65C9" w:rsidRPr="00420B37">
        <w:rPr>
          <w:rFonts w:cs="Times New Roman"/>
          <w:szCs w:val="24"/>
          <w:lang w:val="en-AU"/>
        </w:rPr>
        <w:t>if</w:t>
      </w:r>
      <w:r w:rsidR="00EE49E3" w:rsidRPr="00420B37">
        <w:rPr>
          <w:rFonts w:cs="Times New Roman"/>
          <w:szCs w:val="24"/>
          <w:lang w:val="en-AU"/>
        </w:rPr>
        <w:t xml:space="preserve"> </w:t>
      </w:r>
      <w:r w:rsidR="007B5F1D" w:rsidRPr="00420B37">
        <w:rPr>
          <w:rFonts w:cs="Times New Roman"/>
          <w:szCs w:val="24"/>
          <w:lang w:val="en-AU"/>
        </w:rPr>
        <w:t xml:space="preserve">broader </w:t>
      </w:r>
      <w:r w:rsidR="00EE49E3" w:rsidRPr="00420B37">
        <w:rPr>
          <w:rFonts w:cs="Times New Roman"/>
          <w:szCs w:val="24"/>
          <w:lang w:val="en-AU"/>
        </w:rPr>
        <w:t xml:space="preserve">changes to </w:t>
      </w:r>
      <w:r w:rsidR="006A65C9" w:rsidRPr="00420B37">
        <w:rPr>
          <w:rFonts w:cs="Times New Roman"/>
          <w:szCs w:val="24"/>
          <w:lang w:val="en-AU"/>
        </w:rPr>
        <w:t xml:space="preserve">the </w:t>
      </w:r>
      <w:r w:rsidR="00EE49E3" w:rsidRPr="00420B37">
        <w:rPr>
          <w:rFonts w:cs="Times New Roman"/>
          <w:szCs w:val="24"/>
          <w:lang w:val="en-AU"/>
        </w:rPr>
        <w:t>CSG</w:t>
      </w:r>
      <w:r w:rsidR="006A65C9" w:rsidRPr="00420B37">
        <w:rPr>
          <w:rFonts w:cs="Times New Roman"/>
          <w:szCs w:val="24"/>
          <w:lang w:val="en-AU"/>
        </w:rPr>
        <w:t xml:space="preserve"> are considered appropriate</w:t>
      </w:r>
      <w:r w:rsidR="00EE49E3" w:rsidRPr="00420B37">
        <w:rPr>
          <w:rFonts w:cs="Times New Roman"/>
          <w:szCs w:val="24"/>
          <w:lang w:val="en-AU"/>
        </w:rPr>
        <w:t xml:space="preserve"> the Minister would need to vary or repeal th</w:t>
      </w:r>
      <w:r w:rsidR="00B80AB3">
        <w:rPr>
          <w:rFonts w:cs="Times New Roman"/>
          <w:szCs w:val="24"/>
          <w:lang w:val="en-AU"/>
        </w:rPr>
        <w:t>is</w:t>
      </w:r>
      <w:r w:rsidR="00EE49E3" w:rsidRPr="00420B37">
        <w:rPr>
          <w:rFonts w:cs="Times New Roman"/>
          <w:szCs w:val="24"/>
          <w:lang w:val="en-AU"/>
        </w:rPr>
        <w:t xml:space="preserve"> direction, </w:t>
      </w:r>
      <w:r w:rsidR="00315F2C" w:rsidRPr="00420B37">
        <w:rPr>
          <w:rFonts w:cs="Times New Roman"/>
          <w:szCs w:val="24"/>
          <w:lang w:val="en-AU"/>
        </w:rPr>
        <w:t xml:space="preserve">and </w:t>
      </w:r>
      <w:r w:rsidR="004549DB" w:rsidRPr="00420B37">
        <w:rPr>
          <w:rFonts w:cs="Times New Roman"/>
          <w:szCs w:val="24"/>
          <w:lang w:val="en-AU"/>
        </w:rPr>
        <w:t xml:space="preserve">the </w:t>
      </w:r>
      <w:r w:rsidR="00EE49E3" w:rsidRPr="00420B37">
        <w:rPr>
          <w:rFonts w:cs="Times New Roman"/>
          <w:szCs w:val="24"/>
          <w:lang w:val="en-AU"/>
        </w:rPr>
        <w:t xml:space="preserve">ACMA </w:t>
      </w:r>
      <w:r w:rsidR="00315F2C" w:rsidRPr="00420B37">
        <w:rPr>
          <w:rFonts w:cs="Times New Roman"/>
          <w:szCs w:val="24"/>
          <w:lang w:val="en-AU"/>
        </w:rPr>
        <w:t xml:space="preserve">would </w:t>
      </w:r>
      <w:r w:rsidR="00EE49E3" w:rsidRPr="00420B37">
        <w:rPr>
          <w:rFonts w:cs="Times New Roman"/>
          <w:szCs w:val="24"/>
          <w:lang w:val="en-AU"/>
        </w:rPr>
        <w:t xml:space="preserve">then need to </w:t>
      </w:r>
      <w:r w:rsidR="00FB349B">
        <w:rPr>
          <w:rFonts w:cs="Times New Roman"/>
          <w:szCs w:val="24"/>
          <w:lang w:val="en-AU"/>
        </w:rPr>
        <w:t xml:space="preserve">make </w:t>
      </w:r>
      <w:r w:rsidR="00BE34C9" w:rsidRPr="00420B37">
        <w:rPr>
          <w:rFonts w:cs="Times New Roman"/>
          <w:szCs w:val="24"/>
          <w:lang w:val="en-AU"/>
        </w:rPr>
        <w:t xml:space="preserve">any </w:t>
      </w:r>
      <w:r w:rsidR="00EE49E3" w:rsidRPr="00420B37">
        <w:rPr>
          <w:rFonts w:cs="Times New Roman"/>
          <w:szCs w:val="24"/>
          <w:lang w:val="en-AU"/>
        </w:rPr>
        <w:t xml:space="preserve">consequential changes </w:t>
      </w:r>
      <w:r w:rsidR="006A65C9" w:rsidRPr="00420B37">
        <w:rPr>
          <w:rFonts w:cs="Times New Roman"/>
          <w:szCs w:val="24"/>
          <w:lang w:val="en-AU"/>
        </w:rPr>
        <w:t xml:space="preserve">to </w:t>
      </w:r>
      <w:r w:rsidR="007B3EEF" w:rsidRPr="00420B37">
        <w:rPr>
          <w:rFonts w:cs="Times New Roman"/>
          <w:szCs w:val="24"/>
          <w:lang w:val="en-AU"/>
        </w:rPr>
        <w:t xml:space="preserve">existing instruments to </w:t>
      </w:r>
      <w:r w:rsidR="00A4458B" w:rsidRPr="00420B37">
        <w:rPr>
          <w:rFonts w:cs="Times New Roman"/>
          <w:szCs w:val="24"/>
          <w:lang w:val="en-AU"/>
        </w:rPr>
        <w:t>reflect that</w:t>
      </w:r>
      <w:r w:rsidR="006A65C9" w:rsidRPr="00420B37">
        <w:rPr>
          <w:rFonts w:cs="Times New Roman"/>
          <w:szCs w:val="24"/>
          <w:lang w:val="en-AU"/>
        </w:rPr>
        <w:t xml:space="preserve"> </w:t>
      </w:r>
      <w:r w:rsidR="00EE49E3" w:rsidRPr="00420B37">
        <w:rPr>
          <w:rFonts w:cs="Times New Roman"/>
          <w:szCs w:val="24"/>
          <w:lang w:val="en-AU"/>
        </w:rPr>
        <w:t>direction</w:t>
      </w:r>
      <w:r w:rsidR="00BE34C9" w:rsidRPr="00420B37">
        <w:rPr>
          <w:rFonts w:cs="Times New Roman"/>
          <w:szCs w:val="24"/>
          <w:lang w:val="en-AU"/>
        </w:rPr>
        <w:t xml:space="preserve"> as required</w:t>
      </w:r>
      <w:r w:rsidR="00EE49E3" w:rsidRPr="00420B37">
        <w:rPr>
          <w:rFonts w:cs="Times New Roman"/>
          <w:szCs w:val="24"/>
          <w:lang w:val="en-AU"/>
        </w:rPr>
        <w:t xml:space="preserve">. </w:t>
      </w:r>
      <w:bookmarkEnd w:id="12"/>
      <w:r w:rsidR="00BE34C9" w:rsidRPr="00420B37">
        <w:rPr>
          <w:rFonts w:cs="Times New Roman"/>
          <w:szCs w:val="24"/>
          <w:lang w:val="en-AU"/>
        </w:rPr>
        <w:t xml:space="preserve">As such the </w:t>
      </w:r>
      <w:r w:rsidR="00B0704C">
        <w:rPr>
          <w:rFonts w:cs="Times New Roman"/>
          <w:szCs w:val="24"/>
          <w:lang w:val="en-AU"/>
        </w:rPr>
        <w:t xml:space="preserve">Ministerial </w:t>
      </w:r>
      <w:r w:rsidR="00BE34C9" w:rsidRPr="00420B37">
        <w:rPr>
          <w:rFonts w:cs="Times New Roman"/>
          <w:szCs w:val="24"/>
          <w:lang w:val="en-AU"/>
        </w:rPr>
        <w:t xml:space="preserve">direction </w:t>
      </w:r>
      <w:r w:rsidR="00B0704C">
        <w:rPr>
          <w:rFonts w:cs="Times New Roman"/>
          <w:szCs w:val="24"/>
          <w:lang w:val="en-AU"/>
        </w:rPr>
        <w:t xml:space="preserve">is fundamental to, and </w:t>
      </w:r>
      <w:r w:rsidR="00BE34C9" w:rsidRPr="00420B37">
        <w:rPr>
          <w:rFonts w:cs="Times New Roman"/>
          <w:szCs w:val="24"/>
          <w:lang w:val="en-AU"/>
        </w:rPr>
        <w:t>should be considered to be part of</w:t>
      </w:r>
      <w:r w:rsidR="00B80AB3">
        <w:rPr>
          <w:rFonts w:cs="Times New Roman"/>
          <w:szCs w:val="24"/>
          <w:lang w:val="en-AU"/>
        </w:rPr>
        <w:t>,</w:t>
      </w:r>
      <w:r w:rsidR="00BE34C9" w:rsidRPr="00420B37">
        <w:rPr>
          <w:rFonts w:cs="Times New Roman"/>
          <w:szCs w:val="24"/>
          <w:lang w:val="en-AU"/>
        </w:rPr>
        <w:t xml:space="preserve"> th</w:t>
      </w:r>
      <w:r w:rsidR="007B4A22" w:rsidRPr="00420B37">
        <w:rPr>
          <w:rFonts w:cs="Times New Roman"/>
          <w:szCs w:val="24"/>
          <w:lang w:val="en-AU"/>
        </w:rPr>
        <w:t>is thematic</w:t>
      </w:r>
      <w:r w:rsidR="00BE34C9" w:rsidRPr="00420B37">
        <w:rPr>
          <w:rFonts w:cs="Times New Roman"/>
          <w:szCs w:val="24"/>
          <w:lang w:val="en-AU"/>
        </w:rPr>
        <w:t xml:space="preserve"> review</w:t>
      </w:r>
      <w:r w:rsidR="007B4A22" w:rsidRPr="00420B37">
        <w:rPr>
          <w:rFonts w:cs="Times New Roman"/>
          <w:szCs w:val="24"/>
          <w:lang w:val="en-AU"/>
        </w:rPr>
        <w:t>. Equally, more significant change could require amendment of Part 5 of the TCPSS Act itself, and this could be considered if warranted.</w:t>
      </w:r>
    </w:p>
    <w:p w14:paraId="5B949475" w14:textId="77777777" w:rsidR="009347A2" w:rsidRPr="00420B37" w:rsidRDefault="009347A2" w:rsidP="00E471CE">
      <w:pPr>
        <w:rPr>
          <w:lang w:val="en-AU"/>
        </w:rPr>
      </w:pPr>
      <w:r w:rsidRPr="00420B37">
        <w:rPr>
          <w:lang w:val="en-AU"/>
        </w:rPr>
        <w:t>While we are interested in arrangements for the future, some historical context may be useful in this instance.</w:t>
      </w:r>
    </w:p>
    <w:p w14:paraId="6E103567" w14:textId="77777777" w:rsidR="00336024" w:rsidRPr="00420B37" w:rsidRDefault="00336024" w:rsidP="00E471CE">
      <w:pPr>
        <w:rPr>
          <w:lang w:val="en-AU"/>
        </w:rPr>
      </w:pPr>
      <w:r w:rsidRPr="00420B37">
        <w:rPr>
          <w:lang w:val="en-AU"/>
        </w:rPr>
        <w:t xml:space="preserve">Importantly, the CSG was established at a time where there was </w:t>
      </w:r>
      <w:r w:rsidR="00956BFB">
        <w:rPr>
          <w:lang w:val="en-AU"/>
        </w:rPr>
        <w:t xml:space="preserve">a </w:t>
      </w:r>
      <w:r w:rsidRPr="00420B37">
        <w:rPr>
          <w:lang w:val="en-AU"/>
        </w:rPr>
        <w:t>very different industry structure. While there was some network competition (mo</w:t>
      </w:r>
      <w:r w:rsidR="00EE29FB" w:rsidRPr="00420B37">
        <w:rPr>
          <w:lang w:val="en-AU"/>
        </w:rPr>
        <w:t>s</w:t>
      </w:r>
      <w:r w:rsidRPr="00420B37">
        <w:rPr>
          <w:lang w:val="en-AU"/>
        </w:rPr>
        <w:t xml:space="preserve">t notably from Optus’s HFC network) and growing retail competition based on the Telstra network, Telstra still held a central position in the market. </w:t>
      </w:r>
      <w:r w:rsidR="00B80AB3">
        <w:rPr>
          <w:lang w:val="en-AU"/>
        </w:rPr>
        <w:t>N</w:t>
      </w:r>
      <w:r w:rsidRPr="00420B37">
        <w:rPr>
          <w:lang w:val="en-AU"/>
        </w:rPr>
        <w:t xml:space="preserve">otably, Telstra was a vertically integrated provider of fixed voice services, and the main provider of those services. That is, it operated the network over which the voice services were delivered, and supplied most of the voice services delivered. As a vertically integrated provider controlling the underlying network, Telstra was still able to undertake the work required at the network level needed to deliver the retail outcomes required by the CSG. Conversely, </w:t>
      </w:r>
      <w:r w:rsidR="009347A2" w:rsidRPr="00420B37">
        <w:rPr>
          <w:lang w:val="en-AU"/>
        </w:rPr>
        <w:t xml:space="preserve">other </w:t>
      </w:r>
      <w:r w:rsidR="00B80AB3">
        <w:rPr>
          <w:lang w:val="en-AU"/>
        </w:rPr>
        <w:t xml:space="preserve">service </w:t>
      </w:r>
      <w:r w:rsidR="009347A2" w:rsidRPr="00420B37">
        <w:rPr>
          <w:lang w:val="en-AU"/>
        </w:rPr>
        <w:t>providers relying on the Telstra network required Telstra to undertake the work required a</w:t>
      </w:r>
      <w:r w:rsidR="007B21D1" w:rsidRPr="00420B37">
        <w:rPr>
          <w:lang w:val="en-AU"/>
        </w:rPr>
        <w:t>t</w:t>
      </w:r>
      <w:r w:rsidR="009347A2" w:rsidRPr="00420B37">
        <w:rPr>
          <w:lang w:val="en-AU"/>
        </w:rPr>
        <w:t xml:space="preserve"> the network level for them to deliver the CSG. </w:t>
      </w:r>
      <w:r w:rsidR="00EE29FB" w:rsidRPr="00420B37">
        <w:rPr>
          <w:lang w:val="en-AU"/>
        </w:rPr>
        <w:t xml:space="preserve">Two </w:t>
      </w:r>
      <w:r w:rsidR="009347A2" w:rsidRPr="00420B37">
        <w:rPr>
          <w:lang w:val="en-AU"/>
        </w:rPr>
        <w:t>notable consequences of this were</w:t>
      </w:r>
      <w:r w:rsidR="00EE29FB" w:rsidRPr="00420B37">
        <w:rPr>
          <w:lang w:val="en-AU"/>
        </w:rPr>
        <w:t xml:space="preserve"> that</w:t>
      </w:r>
      <w:r w:rsidR="009347A2" w:rsidRPr="00420B37">
        <w:rPr>
          <w:lang w:val="en-AU"/>
        </w:rPr>
        <w:t xml:space="preserve"> the legislation enable</w:t>
      </w:r>
      <w:r w:rsidR="00EE29FB" w:rsidRPr="00420B37">
        <w:rPr>
          <w:lang w:val="en-AU"/>
        </w:rPr>
        <w:t>d</w:t>
      </w:r>
      <w:r w:rsidR="009347A2" w:rsidRPr="00420B37">
        <w:rPr>
          <w:lang w:val="en-AU"/>
        </w:rPr>
        <w:t xml:space="preserve"> </w:t>
      </w:r>
      <w:r w:rsidR="00B80AB3">
        <w:rPr>
          <w:lang w:val="en-AU"/>
        </w:rPr>
        <w:t>other service providers</w:t>
      </w:r>
      <w:r w:rsidR="00B80AB3" w:rsidRPr="00420B37">
        <w:rPr>
          <w:lang w:val="en-AU"/>
        </w:rPr>
        <w:t xml:space="preserve"> </w:t>
      </w:r>
      <w:r w:rsidR="009347A2" w:rsidRPr="00420B37">
        <w:rPr>
          <w:lang w:val="en-AU"/>
        </w:rPr>
        <w:t>to seek contributions from Telstra when it failed to support CSG outcomes, and there was considerable scope for disagreement as to who was or was not responsible for breaches of the CSG, to the detriment of the customer’s experience.</w:t>
      </w:r>
    </w:p>
    <w:p w14:paraId="7EDD95A5" w14:textId="77777777" w:rsidR="008A4D71" w:rsidRPr="00420B37" w:rsidRDefault="006A65C9" w:rsidP="00E471CE">
      <w:pPr>
        <w:rPr>
          <w:lang w:val="en-AU"/>
        </w:rPr>
      </w:pPr>
      <w:r w:rsidRPr="00420B37">
        <w:rPr>
          <w:lang w:val="en-AU"/>
        </w:rPr>
        <w:t>As discussed in more detail later in th</w:t>
      </w:r>
      <w:r w:rsidR="00C66A5F" w:rsidRPr="00420B37">
        <w:rPr>
          <w:lang w:val="en-AU"/>
        </w:rPr>
        <w:t>e</w:t>
      </w:r>
      <w:r w:rsidRPr="00420B37">
        <w:rPr>
          <w:lang w:val="en-AU"/>
        </w:rPr>
        <w:t xml:space="preserve"> paper,</w:t>
      </w:r>
      <w:r w:rsidR="005F3A7A" w:rsidRPr="00420B37">
        <w:rPr>
          <w:lang w:val="en-AU"/>
        </w:rPr>
        <w:t xml:space="preserve"> </w:t>
      </w:r>
      <w:r w:rsidR="00A4458B" w:rsidRPr="00420B37">
        <w:rPr>
          <w:lang w:val="en-AU"/>
        </w:rPr>
        <w:t xml:space="preserve">there are several significant </w:t>
      </w:r>
      <w:r w:rsidR="00681E7C" w:rsidRPr="00420B37">
        <w:rPr>
          <w:lang w:val="en-AU"/>
        </w:rPr>
        <w:t xml:space="preserve">changes </w:t>
      </w:r>
      <w:r w:rsidR="00A4458B" w:rsidRPr="00420B37">
        <w:rPr>
          <w:lang w:val="en-AU"/>
        </w:rPr>
        <w:t xml:space="preserve">that </w:t>
      </w:r>
      <w:r w:rsidR="007B3EEF" w:rsidRPr="00420B37">
        <w:rPr>
          <w:lang w:val="en-AU"/>
        </w:rPr>
        <w:t xml:space="preserve">have </w:t>
      </w:r>
      <w:r w:rsidR="00A4458B" w:rsidRPr="00420B37">
        <w:rPr>
          <w:lang w:val="en-AU"/>
        </w:rPr>
        <w:t xml:space="preserve">bearing on the </w:t>
      </w:r>
      <w:r w:rsidR="000E3187">
        <w:rPr>
          <w:lang w:val="en-AU"/>
        </w:rPr>
        <w:t xml:space="preserve">future of the </w:t>
      </w:r>
      <w:r w:rsidR="00A4458B" w:rsidRPr="00420B37">
        <w:rPr>
          <w:lang w:val="en-AU"/>
        </w:rPr>
        <w:t xml:space="preserve">CSG, </w:t>
      </w:r>
      <w:r w:rsidR="00681E7C" w:rsidRPr="00420B37">
        <w:rPr>
          <w:lang w:val="en-AU"/>
        </w:rPr>
        <w:t>most notably</w:t>
      </w:r>
      <w:r w:rsidR="008A4D71" w:rsidRPr="00420B37">
        <w:rPr>
          <w:lang w:val="en-AU"/>
        </w:rPr>
        <w:t>:</w:t>
      </w:r>
    </w:p>
    <w:p w14:paraId="15C2C412" w14:textId="10671640" w:rsidR="00EE49E3" w:rsidRPr="00420B37" w:rsidRDefault="00A4458B" w:rsidP="00C4146E">
      <w:pPr>
        <w:pStyle w:val="Listparagraphbullets"/>
      </w:pPr>
      <w:r w:rsidRPr="00420B37">
        <w:t>t</w:t>
      </w:r>
      <w:r w:rsidR="008A4D71" w:rsidRPr="00420B37">
        <w:t>he way that the community access</w:t>
      </w:r>
      <w:r w:rsidR="00B40BA5" w:rsidRPr="00420B37">
        <w:t>es</w:t>
      </w:r>
      <w:r w:rsidR="008A4D71" w:rsidRPr="00420B37">
        <w:t xml:space="preserve"> and use</w:t>
      </w:r>
      <w:r w:rsidR="00B40BA5" w:rsidRPr="00420B37">
        <w:t>s</w:t>
      </w:r>
      <w:r w:rsidR="008A4D71" w:rsidRPr="00420B37">
        <w:t xml:space="preserve"> voice services has changed</w:t>
      </w:r>
      <w:r w:rsidR="005740A3" w:rsidRPr="00420B37">
        <w:t>, including greater use of mobile services and use of broadband networks to support voice services</w:t>
      </w:r>
    </w:p>
    <w:p w14:paraId="6BE89405" w14:textId="5DCD5B15" w:rsidR="008A4D71" w:rsidRPr="00420B37" w:rsidRDefault="00A4458B" w:rsidP="00C4146E">
      <w:pPr>
        <w:pStyle w:val="Listparagraphbullets"/>
      </w:pPr>
      <w:r w:rsidRPr="00420B37">
        <w:t>m</w:t>
      </w:r>
      <w:r w:rsidR="009A370C" w:rsidRPr="00420B37">
        <w:t xml:space="preserve">ost </w:t>
      </w:r>
      <w:r w:rsidR="005740A3" w:rsidRPr="00420B37">
        <w:t>voice</w:t>
      </w:r>
      <w:r w:rsidR="008A4D71" w:rsidRPr="00420B37">
        <w:t xml:space="preserve"> </w:t>
      </w:r>
      <w:r w:rsidR="004549DB" w:rsidRPr="00420B37">
        <w:t xml:space="preserve">services </w:t>
      </w:r>
      <w:r w:rsidR="008A4D71" w:rsidRPr="00420B37">
        <w:t xml:space="preserve">are </w:t>
      </w:r>
      <w:r w:rsidR="00CB32E8" w:rsidRPr="00420B37">
        <w:t xml:space="preserve">now </w:t>
      </w:r>
      <w:r w:rsidR="008A4D71" w:rsidRPr="00420B37">
        <w:t xml:space="preserve">supplied over the </w:t>
      </w:r>
      <w:r w:rsidR="007B65B9" w:rsidRPr="00420B37">
        <w:t>National Broadband Network (</w:t>
      </w:r>
      <w:r w:rsidR="008A4D71" w:rsidRPr="00420B37">
        <w:t>NBN</w:t>
      </w:r>
      <w:r w:rsidR="007B65B9" w:rsidRPr="00420B37">
        <w:t>)</w:t>
      </w:r>
      <w:r w:rsidR="008A4D71" w:rsidRPr="00420B37">
        <w:t xml:space="preserve"> (or other </w:t>
      </w:r>
      <w:r w:rsidR="00EE49E3" w:rsidRPr="00420B37">
        <w:t xml:space="preserve">similar </w:t>
      </w:r>
      <w:r w:rsidR="008A4D71" w:rsidRPr="00420B37">
        <w:t>networks</w:t>
      </w:r>
      <w:r w:rsidR="00EE49E3" w:rsidRPr="00420B37">
        <w:t xml:space="preserve"> that generally operate on a wholesale</w:t>
      </w:r>
      <w:r w:rsidR="00B40BA5" w:rsidRPr="00420B37">
        <w:t>-</w:t>
      </w:r>
      <w:r w:rsidR="00EE49E3" w:rsidRPr="00420B37">
        <w:t xml:space="preserve">only basis), </w:t>
      </w:r>
      <w:r w:rsidR="005740A3" w:rsidRPr="00420B37">
        <w:t xml:space="preserve">affecting how </w:t>
      </w:r>
      <w:r w:rsidR="00EE49E3" w:rsidRPr="00420B37">
        <w:t xml:space="preserve">retailers </w:t>
      </w:r>
      <w:r w:rsidRPr="00420B37">
        <w:t xml:space="preserve">arrange to supply services to </w:t>
      </w:r>
      <w:r w:rsidR="00EE49E3" w:rsidRPr="00420B37">
        <w:t>consumers</w:t>
      </w:r>
      <w:r w:rsidR="004549DB" w:rsidRPr="00420B37">
        <w:t xml:space="preserve"> </w:t>
      </w:r>
    </w:p>
    <w:p w14:paraId="54836778" w14:textId="2A2C198F" w:rsidR="00681E7C" w:rsidRPr="00420B37" w:rsidRDefault="00C1147B" w:rsidP="00C4146E">
      <w:pPr>
        <w:pStyle w:val="Listparagraphbullets"/>
      </w:pPr>
      <w:r w:rsidRPr="00420B37">
        <w:t xml:space="preserve">for most of the population </w:t>
      </w:r>
      <w:r w:rsidR="00A4458B" w:rsidRPr="00420B37">
        <w:t>T</w:t>
      </w:r>
      <w:r w:rsidR="008A4D71" w:rsidRPr="00420B37">
        <w:t>elstra is no longer a vertically</w:t>
      </w:r>
      <w:r w:rsidR="00B40BA5" w:rsidRPr="00420B37">
        <w:t>-</w:t>
      </w:r>
      <w:r w:rsidR="008A4D71" w:rsidRPr="00420B37">
        <w:t xml:space="preserve">integrated </w:t>
      </w:r>
      <w:r w:rsidR="00681E7C" w:rsidRPr="00420B37">
        <w:t xml:space="preserve">fixed voice network </w:t>
      </w:r>
      <w:r w:rsidR="000E3187">
        <w:t xml:space="preserve">operator </w:t>
      </w:r>
      <w:r w:rsidR="00681E7C" w:rsidRPr="00420B37">
        <w:t xml:space="preserve">and </w:t>
      </w:r>
      <w:r w:rsidR="008A4D71" w:rsidRPr="00420B37">
        <w:t>retailer (which was the case when the CSG was first introduced)</w:t>
      </w:r>
      <w:r w:rsidR="00681E7C" w:rsidRPr="00420B37">
        <w:t xml:space="preserve"> </w:t>
      </w:r>
    </w:p>
    <w:p w14:paraId="502556E9" w14:textId="78DD501F" w:rsidR="005C3197" w:rsidRPr="00420B37" w:rsidRDefault="00681E7C" w:rsidP="00C4146E">
      <w:pPr>
        <w:pStyle w:val="Listparagraphbullets"/>
      </w:pPr>
      <w:r w:rsidRPr="00420B37">
        <w:t xml:space="preserve">regulatory settings, particularly for the supply of wholesale supply of broadband services, under both the </w:t>
      </w:r>
      <w:r w:rsidRPr="00420B37">
        <w:rPr>
          <w:i/>
        </w:rPr>
        <w:t>Competition and Consumer Act 2010</w:t>
      </w:r>
      <w:r w:rsidRPr="00420B37">
        <w:t xml:space="preserve"> and the </w:t>
      </w:r>
      <w:r w:rsidRPr="00420B37">
        <w:rPr>
          <w:i/>
        </w:rPr>
        <w:t xml:space="preserve">Telecommunications Act </w:t>
      </w:r>
      <w:r w:rsidR="00AF778B" w:rsidRPr="00420B37">
        <w:rPr>
          <w:i/>
        </w:rPr>
        <w:t>1997</w:t>
      </w:r>
      <w:r w:rsidR="00AF778B" w:rsidRPr="00420B37">
        <w:t xml:space="preserve">, </w:t>
      </w:r>
      <w:r w:rsidR="00E227FF">
        <w:t xml:space="preserve">have been adjusted to </w:t>
      </w:r>
      <w:r w:rsidR="00AF778B" w:rsidRPr="00420B37">
        <w:t>reflect</w:t>
      </w:r>
      <w:r w:rsidRPr="00420B37">
        <w:t xml:space="preserve"> these changes in the industry</w:t>
      </w:r>
    </w:p>
    <w:p w14:paraId="43840D33" w14:textId="77777777" w:rsidR="009347A2" w:rsidRPr="00420B37" w:rsidRDefault="009347A2" w:rsidP="00C4146E">
      <w:pPr>
        <w:pStyle w:val="Listparagraphbullets"/>
      </w:pPr>
      <w:r w:rsidRPr="00420B37">
        <w:t xml:space="preserve">Telstra has </w:t>
      </w:r>
      <w:r w:rsidR="000F61B1" w:rsidRPr="00420B37">
        <w:t>restructured</w:t>
      </w:r>
      <w:r w:rsidRPr="00420B37">
        <w:t xml:space="preserve"> itself in</w:t>
      </w:r>
      <w:r w:rsidR="000F61B1" w:rsidRPr="00420B37">
        <w:t>to</w:t>
      </w:r>
      <w:r w:rsidRPr="00420B37">
        <w:t xml:space="preserve"> multiple companies,</w:t>
      </w:r>
      <w:r w:rsidR="000F61B1" w:rsidRPr="00420B37">
        <w:t xml:space="preserve"> including an infrastructure and service company,</w:t>
      </w:r>
      <w:r w:rsidRPr="00420B37">
        <w:t xml:space="preserve"> although Telstra has provided </w:t>
      </w:r>
      <w:r w:rsidR="000F61B1" w:rsidRPr="00420B37">
        <w:t>assurances</w:t>
      </w:r>
      <w:r w:rsidRPr="00420B37">
        <w:t xml:space="preserve"> regulated </w:t>
      </w:r>
      <w:r w:rsidR="000F61B1" w:rsidRPr="00420B37">
        <w:t>service</w:t>
      </w:r>
      <w:r w:rsidRPr="00420B37">
        <w:t xml:space="preserve"> delivery will be unaffected, and </w:t>
      </w:r>
      <w:r w:rsidR="000F61B1" w:rsidRPr="00420B37">
        <w:t>legislation</w:t>
      </w:r>
      <w:r w:rsidRPr="00420B37">
        <w:t xml:space="preserve"> has be</w:t>
      </w:r>
      <w:r w:rsidR="000F61B1" w:rsidRPr="00420B37">
        <w:t>e</w:t>
      </w:r>
      <w:r w:rsidRPr="00420B37">
        <w:t>n put in place to underpin this.</w:t>
      </w:r>
    </w:p>
    <w:p w14:paraId="3BFB2E3A" w14:textId="77777777" w:rsidR="00E227FF" w:rsidRDefault="00681E7C" w:rsidP="00B40BA5">
      <w:pPr>
        <w:spacing w:after="80"/>
        <w:rPr>
          <w:lang w:val="en-AU"/>
        </w:rPr>
      </w:pPr>
      <w:r w:rsidRPr="00420B37">
        <w:rPr>
          <w:lang w:val="en-AU"/>
        </w:rPr>
        <w:t xml:space="preserve">Relevantly, </w:t>
      </w:r>
      <w:r w:rsidR="00095FF5" w:rsidRPr="00420B37">
        <w:rPr>
          <w:lang w:val="en-AU"/>
        </w:rPr>
        <w:t xml:space="preserve">NBN Co </w:t>
      </w:r>
      <w:r w:rsidR="00336024" w:rsidRPr="00420B37">
        <w:rPr>
          <w:lang w:val="en-AU"/>
        </w:rPr>
        <w:t xml:space="preserve">has been </w:t>
      </w:r>
      <w:r w:rsidR="00095FF5" w:rsidRPr="00420B37">
        <w:rPr>
          <w:lang w:val="en-AU"/>
        </w:rPr>
        <w:t xml:space="preserve">engaging with </w:t>
      </w:r>
      <w:r w:rsidR="00B40BA5" w:rsidRPr="00420B37">
        <w:rPr>
          <w:lang w:val="en-AU"/>
        </w:rPr>
        <w:t xml:space="preserve">the </w:t>
      </w:r>
      <w:r w:rsidR="00095FF5" w:rsidRPr="00420B37">
        <w:rPr>
          <w:lang w:val="en-AU"/>
        </w:rPr>
        <w:t>Australian Competition and Consumer Commission (</w:t>
      </w:r>
      <w:r w:rsidR="008919D8" w:rsidRPr="00420B37">
        <w:rPr>
          <w:lang w:val="en-AU"/>
        </w:rPr>
        <w:t>ACCC</w:t>
      </w:r>
      <w:r w:rsidR="00095FF5" w:rsidRPr="00420B37">
        <w:rPr>
          <w:lang w:val="en-AU"/>
        </w:rPr>
        <w:t>)</w:t>
      </w:r>
      <w:r w:rsidR="00336024" w:rsidRPr="00420B37">
        <w:rPr>
          <w:lang w:val="en-AU"/>
        </w:rPr>
        <w:t>,</w:t>
      </w:r>
      <w:r w:rsidRPr="00420B37">
        <w:rPr>
          <w:lang w:val="en-AU"/>
        </w:rPr>
        <w:t xml:space="preserve"> industry and consumer groups on a revised Special Access Undertaking (SAU) under the access regime in Part XIC of the </w:t>
      </w:r>
      <w:r w:rsidRPr="00420B37">
        <w:rPr>
          <w:i/>
          <w:lang w:val="en-AU"/>
        </w:rPr>
        <w:t>Competition and Consumer Act 2010</w:t>
      </w:r>
      <w:r w:rsidR="001C0EA4" w:rsidRPr="00420B37">
        <w:rPr>
          <w:lang w:val="en-AU"/>
        </w:rPr>
        <w:t xml:space="preserve">. The SAU </w:t>
      </w:r>
      <w:r w:rsidR="008919D8" w:rsidRPr="00420B37">
        <w:rPr>
          <w:lang w:val="en-AU"/>
        </w:rPr>
        <w:t xml:space="preserve">is intended to set long term parameters for the supply of </w:t>
      </w:r>
      <w:r w:rsidR="00E227FF">
        <w:rPr>
          <w:lang w:val="en-AU"/>
        </w:rPr>
        <w:t xml:space="preserve">wholesale </w:t>
      </w:r>
      <w:r w:rsidR="008919D8" w:rsidRPr="00420B37">
        <w:rPr>
          <w:lang w:val="en-AU"/>
        </w:rPr>
        <w:t>NBN services</w:t>
      </w:r>
      <w:r w:rsidR="001C0EA4" w:rsidRPr="00420B37">
        <w:rPr>
          <w:lang w:val="en-AU"/>
        </w:rPr>
        <w:t xml:space="preserve">. </w:t>
      </w:r>
    </w:p>
    <w:p w14:paraId="126DCE26" w14:textId="77777777" w:rsidR="00767746" w:rsidRDefault="00E227FF" w:rsidP="00767746">
      <w:pPr>
        <w:spacing w:after="80"/>
        <w:rPr>
          <w:lang w:val="en-AU"/>
        </w:rPr>
      </w:pPr>
      <w:r w:rsidRPr="00E227FF">
        <w:rPr>
          <w:lang w:val="en-AU"/>
        </w:rPr>
        <w:t>On 29 November 2022, NBN Co lodged a variation to its Special Access Undertaking (SAU) with the ACCC.</w:t>
      </w:r>
      <w:r>
        <w:rPr>
          <w:lang w:val="en-AU"/>
        </w:rPr>
        <w:t xml:space="preserve"> As part of the proposed variation, </w:t>
      </w:r>
      <w:r w:rsidR="001C0EA4" w:rsidRPr="00420B37">
        <w:rPr>
          <w:lang w:val="en-AU"/>
        </w:rPr>
        <w:t xml:space="preserve">NBN Co is proposing </w:t>
      </w:r>
      <w:r>
        <w:rPr>
          <w:lang w:val="en-AU"/>
        </w:rPr>
        <w:t xml:space="preserve">to include in the SAU </w:t>
      </w:r>
      <w:r w:rsidR="001C0EA4" w:rsidRPr="00420B37">
        <w:rPr>
          <w:lang w:val="en-AU"/>
        </w:rPr>
        <w:t xml:space="preserve">a range of </w:t>
      </w:r>
      <w:r>
        <w:rPr>
          <w:lang w:val="en-AU"/>
        </w:rPr>
        <w:t xml:space="preserve">wholesale </w:t>
      </w:r>
      <w:r w:rsidR="001C0EA4" w:rsidRPr="00420B37">
        <w:rPr>
          <w:lang w:val="en-AU"/>
        </w:rPr>
        <w:t xml:space="preserve">performance standards </w:t>
      </w:r>
      <w:r w:rsidR="00435A4A">
        <w:rPr>
          <w:lang w:val="en-AU"/>
        </w:rPr>
        <w:t>(</w:t>
      </w:r>
      <w:r w:rsidR="00767746">
        <w:rPr>
          <w:lang w:val="en-AU"/>
        </w:rPr>
        <w:t xml:space="preserve">generally </w:t>
      </w:r>
      <w:r w:rsidR="00435A4A">
        <w:rPr>
          <w:lang w:val="en-AU"/>
        </w:rPr>
        <w:t xml:space="preserve">with 90% performance objectives) </w:t>
      </w:r>
      <w:r w:rsidR="00336024" w:rsidRPr="00420B37">
        <w:rPr>
          <w:lang w:val="en-AU"/>
        </w:rPr>
        <w:t xml:space="preserve">which include </w:t>
      </w:r>
      <w:r w:rsidR="00336024" w:rsidRPr="00420B37">
        <w:rPr>
          <w:lang w:val="en-AU"/>
        </w:rPr>
        <w:lastRenderedPageBreak/>
        <w:t xml:space="preserve">matters </w:t>
      </w:r>
      <w:r w:rsidR="00507172" w:rsidRPr="00420B37">
        <w:rPr>
          <w:lang w:val="en-AU"/>
        </w:rPr>
        <w:t>historically</w:t>
      </w:r>
      <w:r w:rsidR="00336024" w:rsidRPr="00420B37">
        <w:rPr>
          <w:lang w:val="en-AU"/>
        </w:rPr>
        <w:t xml:space="preserve"> cover</w:t>
      </w:r>
      <w:r w:rsidR="00507172" w:rsidRPr="00420B37">
        <w:rPr>
          <w:lang w:val="en-AU"/>
        </w:rPr>
        <w:t>ed</w:t>
      </w:r>
      <w:r w:rsidR="00336024" w:rsidRPr="00420B37">
        <w:rPr>
          <w:lang w:val="en-AU"/>
        </w:rPr>
        <w:t xml:space="preserve"> by the CSG, such as connection, repair and appointment timeframes, and payment (rebates) where these a</w:t>
      </w:r>
      <w:r w:rsidR="009347A2" w:rsidRPr="00420B37">
        <w:rPr>
          <w:lang w:val="en-AU"/>
        </w:rPr>
        <w:t>re</w:t>
      </w:r>
      <w:r w:rsidR="00336024" w:rsidRPr="00420B37">
        <w:rPr>
          <w:lang w:val="en-AU"/>
        </w:rPr>
        <w:t xml:space="preserve"> not met. </w:t>
      </w:r>
    </w:p>
    <w:p w14:paraId="2E293299" w14:textId="12CA63F9" w:rsidR="00507172" w:rsidRPr="00420B37" w:rsidRDefault="00CC337D" w:rsidP="00756427">
      <w:pPr>
        <w:spacing w:after="80"/>
        <w:rPr>
          <w:lang w:val="en-AU"/>
        </w:rPr>
      </w:pPr>
      <w:r w:rsidRPr="00420B37">
        <w:rPr>
          <w:lang w:val="en-AU"/>
        </w:rPr>
        <w:t xml:space="preserve">NBN Co has also proposed </w:t>
      </w:r>
      <w:r w:rsidR="00E227FF">
        <w:rPr>
          <w:lang w:val="en-AU"/>
        </w:rPr>
        <w:t>its revised</w:t>
      </w:r>
      <w:r w:rsidR="00E227FF" w:rsidRPr="00420B37">
        <w:rPr>
          <w:lang w:val="en-AU"/>
        </w:rPr>
        <w:t xml:space="preserve"> </w:t>
      </w:r>
      <w:r w:rsidR="009347A2" w:rsidRPr="00420B37">
        <w:rPr>
          <w:lang w:val="en-AU"/>
        </w:rPr>
        <w:t xml:space="preserve">SAU will </w:t>
      </w:r>
      <w:r w:rsidRPr="00420B37">
        <w:rPr>
          <w:lang w:val="en-AU"/>
        </w:rPr>
        <w:t>also include</w:t>
      </w:r>
      <w:r w:rsidR="008919D8" w:rsidRPr="00420B37">
        <w:rPr>
          <w:lang w:val="en-AU"/>
        </w:rPr>
        <w:t xml:space="preserve"> </w:t>
      </w:r>
      <w:r w:rsidR="007B5F1D" w:rsidRPr="00420B37">
        <w:rPr>
          <w:lang w:val="en-AU"/>
        </w:rPr>
        <w:t xml:space="preserve">a </w:t>
      </w:r>
      <w:r w:rsidR="009347A2" w:rsidRPr="00420B37">
        <w:rPr>
          <w:lang w:val="en-AU"/>
        </w:rPr>
        <w:t>mechanism for</w:t>
      </w:r>
      <w:r w:rsidR="00FA2B50" w:rsidRPr="00420B37">
        <w:rPr>
          <w:lang w:val="en-AU"/>
        </w:rPr>
        <w:t xml:space="preserve"> updating </w:t>
      </w:r>
      <w:r w:rsidR="008A4D71" w:rsidRPr="00420B37">
        <w:rPr>
          <w:lang w:val="en-AU"/>
        </w:rPr>
        <w:t>wholesale service levels</w:t>
      </w:r>
      <w:r w:rsidR="00FA2B50" w:rsidRPr="00420B37">
        <w:rPr>
          <w:lang w:val="en-AU"/>
        </w:rPr>
        <w:t xml:space="preserve"> over </w:t>
      </w:r>
      <w:r w:rsidR="00FA2B50" w:rsidRPr="003B657B">
        <w:rPr>
          <w:lang w:val="en-AU"/>
        </w:rPr>
        <w:t>time</w:t>
      </w:r>
      <w:r w:rsidR="00756427" w:rsidRPr="003B657B">
        <w:rPr>
          <w:lang w:val="en-AU"/>
        </w:rPr>
        <w:t>, including if a change to service standards is required part way through a regulatory cycle for RSPs to comply with new retail service standards regulations</w:t>
      </w:r>
      <w:r w:rsidR="00A06136" w:rsidRPr="003B657B">
        <w:rPr>
          <w:rStyle w:val="FootnoteReference"/>
          <w:lang w:val="en-AU"/>
        </w:rPr>
        <w:footnoteReference w:id="4"/>
      </w:r>
      <w:r w:rsidR="00756427" w:rsidRPr="003B657B">
        <w:rPr>
          <w:lang w:val="en-AU"/>
        </w:rPr>
        <w:t>.</w:t>
      </w:r>
      <w:r w:rsidR="00B769FA" w:rsidRPr="00420B37">
        <w:rPr>
          <w:lang w:val="en-AU"/>
        </w:rPr>
        <w:t xml:space="preserve"> </w:t>
      </w:r>
      <w:r w:rsidR="00507172" w:rsidRPr="00420B37">
        <w:rPr>
          <w:lang w:val="en-AU"/>
        </w:rPr>
        <w:t xml:space="preserve">The SAU process is due to be completed by mid-2023. </w:t>
      </w:r>
      <w:r w:rsidR="009347A2" w:rsidRPr="00420B37">
        <w:rPr>
          <w:lang w:val="en-AU"/>
        </w:rPr>
        <w:t xml:space="preserve">Commitments under the SAU can also be </w:t>
      </w:r>
      <w:r w:rsidR="00B80AB3">
        <w:rPr>
          <w:lang w:val="en-AU"/>
        </w:rPr>
        <w:t>replaced</w:t>
      </w:r>
      <w:r w:rsidR="009347A2" w:rsidRPr="00420B37">
        <w:rPr>
          <w:lang w:val="en-AU"/>
        </w:rPr>
        <w:t xml:space="preserve"> by standard</w:t>
      </w:r>
      <w:r w:rsidR="00180159" w:rsidRPr="00420B37">
        <w:rPr>
          <w:lang w:val="en-AU"/>
        </w:rPr>
        <w:t>s</w:t>
      </w:r>
      <w:r w:rsidR="009347A2" w:rsidRPr="00420B37">
        <w:rPr>
          <w:lang w:val="en-AU"/>
        </w:rPr>
        <w:t xml:space="preserve">, rules and </w:t>
      </w:r>
      <w:r w:rsidR="00507172" w:rsidRPr="00420B37">
        <w:rPr>
          <w:lang w:val="en-AU"/>
        </w:rPr>
        <w:t>benchmarks</w:t>
      </w:r>
      <w:r w:rsidR="009347A2" w:rsidRPr="00420B37">
        <w:rPr>
          <w:lang w:val="en-AU"/>
        </w:rPr>
        <w:t xml:space="preserve"> (SRB</w:t>
      </w:r>
      <w:r w:rsidR="000F61B1" w:rsidRPr="00420B37">
        <w:rPr>
          <w:lang w:val="en-AU"/>
        </w:rPr>
        <w:t>s</w:t>
      </w:r>
      <w:r w:rsidR="009347A2" w:rsidRPr="00420B37">
        <w:rPr>
          <w:lang w:val="en-AU"/>
        </w:rPr>
        <w:t>) made by</w:t>
      </w:r>
      <w:r w:rsidR="000F61B1" w:rsidRPr="00420B37">
        <w:rPr>
          <w:lang w:val="en-AU"/>
        </w:rPr>
        <w:t xml:space="preserve"> </w:t>
      </w:r>
      <w:r w:rsidR="009347A2" w:rsidRPr="00420B37">
        <w:rPr>
          <w:lang w:val="en-AU"/>
        </w:rPr>
        <w:t xml:space="preserve">the Minister for </w:t>
      </w:r>
      <w:r w:rsidR="00507172" w:rsidRPr="00420B37">
        <w:rPr>
          <w:lang w:val="en-AU"/>
        </w:rPr>
        <w:t>Communications</w:t>
      </w:r>
      <w:r w:rsidR="009347A2" w:rsidRPr="00420B37">
        <w:rPr>
          <w:lang w:val="en-AU"/>
        </w:rPr>
        <w:t xml:space="preserve"> if this is </w:t>
      </w:r>
      <w:r w:rsidR="00507172" w:rsidRPr="00420B37">
        <w:rPr>
          <w:lang w:val="en-AU"/>
        </w:rPr>
        <w:t>considered warranted.</w:t>
      </w:r>
      <w:r w:rsidR="00E227FF">
        <w:rPr>
          <w:lang w:val="en-AU"/>
        </w:rPr>
        <w:t xml:space="preserve"> A brief summary of key service level commitments included in NBN Co’s SAU is at </w:t>
      </w:r>
      <w:r w:rsidR="00E41126" w:rsidRPr="00961546">
        <w:rPr>
          <w:b/>
          <w:lang w:val="en-AU"/>
        </w:rPr>
        <w:t>Appendix</w:t>
      </w:r>
      <w:r w:rsidR="00E227FF" w:rsidRPr="00961546">
        <w:rPr>
          <w:b/>
          <w:lang w:val="en-AU"/>
        </w:rPr>
        <w:t xml:space="preserve"> </w:t>
      </w:r>
      <w:r w:rsidR="00E41126" w:rsidRPr="00961546">
        <w:rPr>
          <w:b/>
          <w:lang w:val="en-AU"/>
        </w:rPr>
        <w:t>B</w:t>
      </w:r>
      <w:r w:rsidR="00E227FF">
        <w:rPr>
          <w:lang w:val="en-AU"/>
        </w:rPr>
        <w:t xml:space="preserve">, however, stakeholders </w:t>
      </w:r>
      <w:r w:rsidR="00CB4676">
        <w:rPr>
          <w:lang w:val="en-AU"/>
        </w:rPr>
        <w:t>should</w:t>
      </w:r>
      <w:r w:rsidR="00E227FF">
        <w:rPr>
          <w:lang w:val="en-AU"/>
        </w:rPr>
        <w:t xml:space="preserve"> refer to the </w:t>
      </w:r>
      <w:hyperlink r:id="rId25" w:history="1">
        <w:r w:rsidR="00E227FF" w:rsidRPr="00E227FF">
          <w:rPr>
            <w:rStyle w:val="Hyperlink"/>
            <w:lang w:val="en-AU"/>
          </w:rPr>
          <w:t>ACCC website</w:t>
        </w:r>
      </w:hyperlink>
      <w:r w:rsidR="00E227FF">
        <w:rPr>
          <w:lang w:val="en-AU"/>
        </w:rPr>
        <w:t xml:space="preserve"> to review the full proposed SAU variation</w:t>
      </w:r>
      <w:r w:rsidR="00E9685A">
        <w:rPr>
          <w:lang w:val="en-AU"/>
        </w:rPr>
        <w:t>,</w:t>
      </w:r>
      <w:r w:rsidR="00E227FF">
        <w:rPr>
          <w:lang w:val="en-AU"/>
        </w:rPr>
        <w:t xml:space="preserve"> other supporting documents provided by NBN Co</w:t>
      </w:r>
      <w:r w:rsidR="00E9685A">
        <w:rPr>
          <w:lang w:val="en-AU"/>
        </w:rPr>
        <w:t xml:space="preserve"> and a</w:t>
      </w:r>
      <w:r w:rsidR="00A17B08">
        <w:rPr>
          <w:lang w:val="en-AU"/>
        </w:rPr>
        <w:t xml:space="preserve"> related </w:t>
      </w:r>
      <w:r w:rsidR="00E9685A">
        <w:rPr>
          <w:lang w:val="en-AU"/>
        </w:rPr>
        <w:t xml:space="preserve">ACCC </w:t>
      </w:r>
      <w:r w:rsidR="00A17B08">
        <w:rPr>
          <w:lang w:val="en-AU"/>
        </w:rPr>
        <w:t>consultation paper</w:t>
      </w:r>
      <w:r w:rsidR="00E9685A">
        <w:rPr>
          <w:lang w:val="en-AU"/>
        </w:rPr>
        <w:t>.</w:t>
      </w:r>
    </w:p>
    <w:p w14:paraId="7D86F504" w14:textId="58C5E1FE" w:rsidR="008A4D71" w:rsidRPr="00420B37" w:rsidRDefault="00C1147B" w:rsidP="00B40BA5">
      <w:pPr>
        <w:spacing w:after="80"/>
        <w:rPr>
          <w:lang w:val="en-AU"/>
        </w:rPr>
      </w:pPr>
      <w:r w:rsidRPr="00420B37">
        <w:rPr>
          <w:lang w:val="en-AU"/>
        </w:rPr>
        <w:t xml:space="preserve">Clearly these underlying wholesale arrangements are </w:t>
      </w:r>
      <w:r w:rsidR="00D00625" w:rsidRPr="00420B37">
        <w:rPr>
          <w:lang w:val="en-AU"/>
        </w:rPr>
        <w:t>important</w:t>
      </w:r>
      <w:r w:rsidRPr="00420B37">
        <w:rPr>
          <w:lang w:val="en-AU"/>
        </w:rPr>
        <w:t xml:space="preserve"> to the </w:t>
      </w:r>
      <w:r w:rsidR="00D00625" w:rsidRPr="00420B37">
        <w:rPr>
          <w:lang w:val="en-AU"/>
        </w:rPr>
        <w:t>future</w:t>
      </w:r>
      <w:r w:rsidRPr="00420B37">
        <w:rPr>
          <w:lang w:val="en-AU"/>
        </w:rPr>
        <w:t xml:space="preserve"> role of the CSG</w:t>
      </w:r>
      <w:r w:rsidR="001B4422">
        <w:rPr>
          <w:lang w:val="en-AU"/>
        </w:rPr>
        <w:t>,</w:t>
      </w:r>
      <w:r w:rsidRPr="00420B37">
        <w:rPr>
          <w:lang w:val="en-AU"/>
        </w:rPr>
        <w:t xml:space="preserve"> and </w:t>
      </w:r>
      <w:r w:rsidR="006A3941" w:rsidRPr="00420B37">
        <w:rPr>
          <w:lang w:val="en-AU"/>
        </w:rPr>
        <w:t>ideally</w:t>
      </w:r>
      <w:r w:rsidRPr="00420B37">
        <w:rPr>
          <w:lang w:val="en-AU"/>
        </w:rPr>
        <w:t xml:space="preserve"> they would be more settled </w:t>
      </w:r>
      <w:r w:rsidR="00D00625" w:rsidRPr="00420B37">
        <w:rPr>
          <w:lang w:val="en-AU"/>
        </w:rPr>
        <w:t>for this consultation. However, the consultation must be complete</w:t>
      </w:r>
      <w:r w:rsidR="00180159" w:rsidRPr="00420B37">
        <w:rPr>
          <w:lang w:val="en-AU"/>
        </w:rPr>
        <w:t>d</w:t>
      </w:r>
      <w:r w:rsidR="00D00625" w:rsidRPr="00420B37">
        <w:rPr>
          <w:lang w:val="en-AU"/>
        </w:rPr>
        <w:t xml:space="preserve"> in time so that any necessary changes to the CSG legislation can be made before 1</w:t>
      </w:r>
      <w:r w:rsidR="00180159" w:rsidRPr="00420B37">
        <w:rPr>
          <w:lang w:val="en-AU"/>
        </w:rPr>
        <w:t> </w:t>
      </w:r>
      <w:r w:rsidR="00D00625" w:rsidRPr="00420B37">
        <w:rPr>
          <w:lang w:val="en-AU"/>
        </w:rPr>
        <w:t>October 2023, noting the sunsetting date cannot be deferred again under the Legislation Act. This means the two processes</w:t>
      </w:r>
      <w:bookmarkStart w:id="13" w:name="_Hlk120211109"/>
      <w:r w:rsidR="00D00625" w:rsidRPr="00420B37">
        <w:rPr>
          <w:lang w:val="en-AU"/>
        </w:rPr>
        <w:t xml:space="preserve"> – </w:t>
      </w:r>
      <w:bookmarkEnd w:id="13"/>
      <w:r w:rsidR="00D00625" w:rsidRPr="00420B37">
        <w:rPr>
          <w:lang w:val="en-AU"/>
        </w:rPr>
        <w:t>consideration of the SAU and this review of the CSG – need to run in parallel. Stakeholder</w:t>
      </w:r>
      <w:r w:rsidR="00180159" w:rsidRPr="00420B37">
        <w:rPr>
          <w:lang w:val="en-AU"/>
        </w:rPr>
        <w:t>s</w:t>
      </w:r>
      <w:r w:rsidR="00D00625" w:rsidRPr="00420B37">
        <w:rPr>
          <w:lang w:val="en-AU"/>
        </w:rPr>
        <w:t xml:space="preserve"> should therefore consider the CSG against the background of these wholesale arrangements and particularly the SAU.  </w:t>
      </w:r>
    </w:p>
    <w:p w14:paraId="3D7287B3" w14:textId="77777777" w:rsidR="00733E5A" w:rsidRPr="00420B37" w:rsidRDefault="00D00625" w:rsidP="001C4888">
      <w:pPr>
        <w:spacing w:after="80"/>
        <w:rPr>
          <w:lang w:val="en-AU"/>
        </w:rPr>
      </w:pPr>
      <w:r w:rsidRPr="00420B37">
        <w:rPr>
          <w:lang w:val="en-AU"/>
        </w:rPr>
        <w:t xml:space="preserve">While those interested are invited to provide such views on the CSG as they consider appropriate, the </w:t>
      </w:r>
      <w:r w:rsidR="007B5F1D" w:rsidRPr="00420B37">
        <w:rPr>
          <w:lang w:val="en-AU"/>
        </w:rPr>
        <w:t xml:space="preserve">Department would </w:t>
      </w:r>
      <w:r w:rsidRPr="00420B37">
        <w:rPr>
          <w:lang w:val="en-AU"/>
        </w:rPr>
        <w:t xml:space="preserve">find particularly helpful </w:t>
      </w:r>
      <w:r w:rsidR="007B5F1D" w:rsidRPr="00420B37">
        <w:rPr>
          <w:lang w:val="en-AU"/>
        </w:rPr>
        <w:t xml:space="preserve">stakeholder </w:t>
      </w:r>
      <w:r w:rsidR="00B40BA5" w:rsidRPr="00420B37">
        <w:rPr>
          <w:lang w:val="en-AU"/>
        </w:rPr>
        <w:t>views on</w:t>
      </w:r>
      <w:r w:rsidR="00E471CE" w:rsidRPr="00420B37">
        <w:rPr>
          <w:lang w:val="en-AU"/>
        </w:rPr>
        <w:t xml:space="preserve"> the following questions</w:t>
      </w:r>
      <w:r w:rsidR="00733E5A" w:rsidRPr="00420B37">
        <w:rPr>
          <w:lang w:val="en-AU"/>
        </w:rPr>
        <w:t>:</w:t>
      </w:r>
    </w:p>
    <w:p w14:paraId="6DCCB192" w14:textId="77777777" w:rsidR="00D00625" w:rsidRPr="00420B37" w:rsidRDefault="00D00625" w:rsidP="00C4146E">
      <w:pPr>
        <w:pStyle w:val="Listparagraphbullets"/>
      </w:pPr>
      <w:bookmarkStart w:id="14" w:name="_Hlk120217929"/>
      <w:r w:rsidRPr="00420B37">
        <w:t xml:space="preserve">Does the </w:t>
      </w:r>
      <w:r w:rsidR="00733E5A" w:rsidRPr="00420B37">
        <w:t xml:space="preserve">CSG </w:t>
      </w:r>
      <w:r w:rsidRPr="00420B37">
        <w:t>remain relev</w:t>
      </w:r>
      <w:r w:rsidR="00733E5A" w:rsidRPr="00420B37">
        <w:t>ant and useful</w:t>
      </w:r>
      <w:r w:rsidRPr="00420B37">
        <w:t>, noting the changes in the Australian telecommunications market place?</w:t>
      </w:r>
      <w:r w:rsidR="006B56F7" w:rsidRPr="00420B37">
        <w:t xml:space="preserve"> Why/Why not?</w:t>
      </w:r>
    </w:p>
    <w:p w14:paraId="60C51C2F" w14:textId="77777777" w:rsidR="00B769FA" w:rsidRPr="00420B37" w:rsidRDefault="00733E5A" w:rsidP="00C4146E">
      <w:pPr>
        <w:pStyle w:val="Listparagraphbullets"/>
      </w:pPr>
      <w:r w:rsidRPr="00420B37">
        <w:t xml:space="preserve">Are there </w:t>
      </w:r>
      <w:r w:rsidR="00D00625" w:rsidRPr="00420B37">
        <w:t xml:space="preserve">other </w:t>
      </w:r>
      <w:r w:rsidRPr="00420B37">
        <w:t xml:space="preserve">approaches </w:t>
      </w:r>
      <w:r w:rsidR="00AC1026" w:rsidRPr="00420B37">
        <w:t xml:space="preserve">to the CSG </w:t>
      </w:r>
      <w:r w:rsidRPr="00420B37">
        <w:t xml:space="preserve">that </w:t>
      </w:r>
      <w:r w:rsidR="00D00625" w:rsidRPr="00420B37">
        <w:t>should be considered</w:t>
      </w:r>
      <w:r w:rsidR="009A370C" w:rsidRPr="00420B37">
        <w:t>?</w:t>
      </w:r>
      <w:r w:rsidRPr="00420B37">
        <w:t xml:space="preserve"> </w:t>
      </w:r>
      <w:r w:rsidR="009A370C" w:rsidRPr="00420B37">
        <w:t>I</w:t>
      </w:r>
      <w:r w:rsidRPr="00420B37">
        <w:t xml:space="preserve">f so, </w:t>
      </w:r>
      <w:r w:rsidR="00B80AB3">
        <w:t xml:space="preserve">what are these and </w:t>
      </w:r>
      <w:r w:rsidRPr="00420B37">
        <w:t>why would these be preferable?</w:t>
      </w:r>
    </w:p>
    <w:p w14:paraId="04D71184" w14:textId="77777777" w:rsidR="00AC1026" w:rsidRPr="00420B37" w:rsidRDefault="00AC1026" w:rsidP="00C4146E">
      <w:pPr>
        <w:pStyle w:val="Listparagraphbullets"/>
      </w:pPr>
      <w:r w:rsidRPr="00420B37">
        <w:t xml:space="preserve">Are different approaches potentially required </w:t>
      </w:r>
      <w:r w:rsidR="00B80AB3">
        <w:t>in relation to</w:t>
      </w:r>
      <w:r w:rsidR="00B80AB3" w:rsidRPr="00420B37">
        <w:t xml:space="preserve"> </w:t>
      </w:r>
      <w:r w:rsidR="00883E7D" w:rsidRPr="00420B37">
        <w:t xml:space="preserve">the NBN and similar networks as opposed to the fixed line voice network still operated by Telstra outside NBN Co’s fixed line footprint </w:t>
      </w:r>
      <w:r w:rsidRPr="00420B37">
        <w:t>(where voice services subject to the CSG are still primarily supplied over Telstra’s copper network)?</w:t>
      </w:r>
    </w:p>
    <w:p w14:paraId="49C7B1A5" w14:textId="77777777" w:rsidR="00883E7D" w:rsidRPr="00420B37" w:rsidRDefault="00883E7D" w:rsidP="00C4146E">
      <w:pPr>
        <w:pStyle w:val="Listparagraphbullets"/>
      </w:pPr>
      <w:r w:rsidRPr="00420B37">
        <w:t xml:space="preserve">If there is an ongoing role for the CSG, are there any changes required to the details of the subordinate legislation that give effect </w:t>
      </w:r>
      <w:r w:rsidR="001B4422">
        <w:t xml:space="preserve">to </w:t>
      </w:r>
      <w:r w:rsidRPr="00420B37">
        <w:t>it</w:t>
      </w:r>
      <w:r w:rsidR="006B56F7" w:rsidRPr="00420B37">
        <w:t xml:space="preserve">? If so, what and why? </w:t>
      </w:r>
    </w:p>
    <w:bookmarkEnd w:id="14"/>
    <w:p w14:paraId="0CF6E5BB" w14:textId="253405BF" w:rsidR="00883E7D" w:rsidRPr="00420B37" w:rsidRDefault="00883E7D" w:rsidP="00883E7D">
      <w:pPr>
        <w:spacing w:after="80"/>
        <w:rPr>
          <w:lang w:val="en-AU"/>
        </w:rPr>
      </w:pPr>
      <w:r w:rsidRPr="00420B37">
        <w:rPr>
          <w:lang w:val="en-AU"/>
        </w:rPr>
        <w:t>This discussion paper proceeds o</w:t>
      </w:r>
      <w:r w:rsidR="001B4422">
        <w:rPr>
          <w:lang w:val="en-AU"/>
        </w:rPr>
        <w:t>n</w:t>
      </w:r>
      <w:r w:rsidRPr="00420B37">
        <w:rPr>
          <w:lang w:val="en-AU"/>
        </w:rPr>
        <w:t xml:space="preserve"> the basis that the CSG appears to remain relevant to the residual Telstra network outside the NBN fixed line network, but there may be other options in relation to the NBN and other similar networks</w:t>
      </w:r>
      <w:r w:rsidR="00B80AB3">
        <w:rPr>
          <w:lang w:val="en-AU"/>
        </w:rPr>
        <w:t xml:space="preserve"> that need to be considered</w:t>
      </w:r>
      <w:r w:rsidRPr="00420B37">
        <w:rPr>
          <w:lang w:val="en-AU"/>
        </w:rPr>
        <w:t>.</w:t>
      </w:r>
    </w:p>
    <w:p w14:paraId="76D7E1CA" w14:textId="7195EB9B" w:rsidR="002D1FF3" w:rsidRPr="00420B37" w:rsidRDefault="00706279" w:rsidP="001C4888">
      <w:pPr>
        <w:pStyle w:val="Listparagraphbullets"/>
        <w:numPr>
          <w:ilvl w:val="0"/>
          <w:numId w:val="0"/>
        </w:numPr>
        <w:spacing w:after="80"/>
        <w:contextualSpacing w:val="0"/>
        <w:rPr>
          <w:rFonts w:cs="Segoe UI"/>
          <w:szCs w:val="21"/>
        </w:rPr>
      </w:pPr>
      <w:r w:rsidRPr="00C97881">
        <w:rPr>
          <w:rFonts w:cs="Segoe UI"/>
          <w:szCs w:val="21"/>
        </w:rPr>
        <w:t>Interested s</w:t>
      </w:r>
      <w:r w:rsidR="002D1FF3" w:rsidRPr="00C97881">
        <w:rPr>
          <w:rFonts w:cs="Segoe UI"/>
          <w:szCs w:val="21"/>
        </w:rPr>
        <w:t xml:space="preserve">takeholders </w:t>
      </w:r>
      <w:r w:rsidRPr="00C97881">
        <w:rPr>
          <w:rFonts w:cs="Segoe UI"/>
          <w:szCs w:val="21"/>
        </w:rPr>
        <w:t xml:space="preserve">should </w:t>
      </w:r>
      <w:r w:rsidR="00E035A8" w:rsidRPr="00C97881">
        <w:rPr>
          <w:rFonts w:cs="Segoe UI"/>
          <w:szCs w:val="21"/>
        </w:rPr>
        <w:t xml:space="preserve">lodge </w:t>
      </w:r>
      <w:r w:rsidR="00B03A2A" w:rsidRPr="00C97881">
        <w:rPr>
          <w:rFonts w:cs="Segoe UI"/>
          <w:szCs w:val="21"/>
        </w:rPr>
        <w:t xml:space="preserve">their </w:t>
      </w:r>
      <w:r w:rsidR="00733E5A" w:rsidRPr="00C97881">
        <w:rPr>
          <w:rFonts w:cs="Segoe UI"/>
          <w:szCs w:val="21"/>
        </w:rPr>
        <w:t xml:space="preserve">submissions by </w:t>
      </w:r>
      <w:r w:rsidR="00452F73">
        <w:rPr>
          <w:rFonts w:cs="Segoe UI"/>
          <w:szCs w:val="21"/>
        </w:rPr>
        <w:t>Monday</w:t>
      </w:r>
      <w:r w:rsidR="00CB4676" w:rsidRPr="00C97881">
        <w:rPr>
          <w:rFonts w:cs="Segoe UI"/>
          <w:szCs w:val="21"/>
        </w:rPr>
        <w:t xml:space="preserve">, </w:t>
      </w:r>
      <w:r w:rsidR="00452F73">
        <w:rPr>
          <w:rFonts w:cs="Segoe UI"/>
          <w:szCs w:val="21"/>
        </w:rPr>
        <w:t>27</w:t>
      </w:r>
      <w:r w:rsidR="00AA6323" w:rsidRPr="00C97881">
        <w:rPr>
          <w:rFonts w:cs="Segoe UI"/>
          <w:szCs w:val="21"/>
        </w:rPr>
        <w:t xml:space="preserve"> March </w:t>
      </w:r>
      <w:r w:rsidR="00CB4676" w:rsidRPr="00C97881">
        <w:rPr>
          <w:rFonts w:cs="Segoe UI"/>
          <w:szCs w:val="21"/>
        </w:rPr>
        <w:t>2023</w:t>
      </w:r>
      <w:r w:rsidR="00887659" w:rsidRPr="00C97881">
        <w:rPr>
          <w:rFonts w:cs="Segoe UI"/>
          <w:szCs w:val="21"/>
        </w:rPr>
        <w:t>,</w:t>
      </w:r>
      <w:r w:rsidR="00CB4676" w:rsidRPr="00C97881">
        <w:rPr>
          <w:rFonts w:cs="Segoe UI"/>
          <w:szCs w:val="21"/>
        </w:rPr>
        <w:t xml:space="preserve"> </w:t>
      </w:r>
      <w:r w:rsidR="00FE6333" w:rsidRPr="00C97881">
        <w:rPr>
          <w:rFonts w:cs="Segoe UI"/>
          <w:szCs w:val="21"/>
        </w:rPr>
        <w:t xml:space="preserve">our preference is that submissions are submitted via </w:t>
      </w:r>
      <w:r w:rsidR="002D1FF3" w:rsidRPr="00C97881">
        <w:rPr>
          <w:rFonts w:cs="Segoe UI"/>
          <w:szCs w:val="21"/>
        </w:rPr>
        <w:t>email</w:t>
      </w:r>
      <w:r w:rsidR="00E035A8" w:rsidRPr="00C97881">
        <w:rPr>
          <w:rFonts w:cs="Segoe UI"/>
          <w:szCs w:val="21"/>
        </w:rPr>
        <w:t xml:space="preserve"> to </w:t>
      </w:r>
      <w:hyperlink r:id="rId26" w:history="1">
        <w:r w:rsidR="000B5D4B" w:rsidRPr="00C97881">
          <w:rPr>
            <w:rStyle w:val="Hyperlink"/>
            <w:rFonts w:cs="Segoe UI"/>
            <w:szCs w:val="21"/>
          </w:rPr>
          <w:t>usb@communications.gov.au</w:t>
        </w:r>
      </w:hyperlink>
      <w:r w:rsidR="00CB4676" w:rsidRPr="00C97881">
        <w:rPr>
          <w:rStyle w:val="Hyperlink"/>
          <w:rFonts w:cs="Segoe UI"/>
          <w:szCs w:val="21"/>
        </w:rPr>
        <w:t xml:space="preserve"> </w:t>
      </w:r>
      <w:r w:rsidR="00CB4676" w:rsidRPr="00C97881">
        <w:t xml:space="preserve">or </w:t>
      </w:r>
      <w:r w:rsidR="00FE6333" w:rsidRPr="00C97881">
        <w:t>alternative</w:t>
      </w:r>
      <w:r w:rsidR="00A17B08" w:rsidRPr="00C97881">
        <w:t>ly</w:t>
      </w:r>
      <w:r w:rsidR="00FE6333" w:rsidRPr="00C97881">
        <w:t xml:space="preserve"> submitted </w:t>
      </w:r>
      <w:r w:rsidR="00CB4676" w:rsidRPr="00C97881">
        <w:t xml:space="preserve">via the </w:t>
      </w:r>
      <w:hyperlink r:id="rId27" w:history="1">
        <w:r w:rsidR="00CB4676" w:rsidRPr="00C97881">
          <w:rPr>
            <w:rStyle w:val="Hyperlink"/>
          </w:rPr>
          <w:t>Department’s ‘Have Your Say’ page</w:t>
        </w:r>
      </w:hyperlink>
      <w:r w:rsidR="002D1FF3" w:rsidRPr="00C97881">
        <w:rPr>
          <w:rFonts w:cs="Segoe UI"/>
          <w:szCs w:val="21"/>
        </w:rPr>
        <w:t xml:space="preserve">. </w:t>
      </w:r>
      <w:r w:rsidR="00235C29" w:rsidRPr="00C97881">
        <w:rPr>
          <w:rFonts w:cs="Segoe UI"/>
          <w:szCs w:val="21"/>
        </w:rPr>
        <w:t>Q</w:t>
      </w:r>
      <w:r w:rsidR="002D1FF3" w:rsidRPr="00C97881">
        <w:rPr>
          <w:rFonts w:cs="Segoe UI"/>
          <w:szCs w:val="21"/>
        </w:rPr>
        <w:t xml:space="preserve">uestions </w:t>
      </w:r>
      <w:r w:rsidR="00235C29" w:rsidRPr="00C97881">
        <w:rPr>
          <w:rFonts w:cs="Segoe UI"/>
          <w:szCs w:val="21"/>
        </w:rPr>
        <w:t xml:space="preserve">about </w:t>
      </w:r>
      <w:r w:rsidR="002D1FF3" w:rsidRPr="00C97881">
        <w:rPr>
          <w:rFonts w:cs="Segoe UI"/>
          <w:szCs w:val="21"/>
        </w:rPr>
        <w:t>th</w:t>
      </w:r>
      <w:r w:rsidR="00AD1839" w:rsidRPr="00C97881">
        <w:rPr>
          <w:rFonts w:cs="Segoe UI"/>
          <w:szCs w:val="21"/>
        </w:rPr>
        <w:t>is</w:t>
      </w:r>
      <w:r w:rsidR="002D1FF3" w:rsidRPr="00C97881">
        <w:rPr>
          <w:rFonts w:cs="Segoe UI"/>
          <w:szCs w:val="21"/>
        </w:rPr>
        <w:t xml:space="preserve"> paper or the consultation process can </w:t>
      </w:r>
      <w:r w:rsidR="003E610A" w:rsidRPr="00C97881">
        <w:rPr>
          <w:rFonts w:cs="Segoe UI"/>
          <w:szCs w:val="21"/>
        </w:rPr>
        <w:t xml:space="preserve">also </w:t>
      </w:r>
      <w:r w:rsidR="002D1FF3" w:rsidRPr="00C97881">
        <w:rPr>
          <w:rFonts w:cs="Segoe UI"/>
          <w:szCs w:val="21"/>
        </w:rPr>
        <w:t>be directed to the above email</w:t>
      </w:r>
      <w:r w:rsidR="00733E5A" w:rsidRPr="00C97881">
        <w:rPr>
          <w:rFonts w:cs="Segoe UI"/>
          <w:szCs w:val="21"/>
        </w:rPr>
        <w:t xml:space="preserve"> address</w:t>
      </w:r>
      <w:r w:rsidR="002D1FF3" w:rsidRPr="00C97881">
        <w:rPr>
          <w:rFonts w:cs="Segoe UI"/>
          <w:szCs w:val="21"/>
        </w:rPr>
        <w:t>.</w:t>
      </w:r>
      <w:r w:rsidR="002D1FF3" w:rsidRPr="00420B37">
        <w:rPr>
          <w:rFonts w:cs="Segoe UI"/>
          <w:szCs w:val="21"/>
        </w:rPr>
        <w:t xml:space="preserve">  </w:t>
      </w:r>
    </w:p>
    <w:p w14:paraId="52FDFEB0" w14:textId="77777777" w:rsidR="00677F93" w:rsidRPr="00420B37" w:rsidRDefault="006433DB" w:rsidP="00AA4BDC">
      <w:pPr>
        <w:pStyle w:val="Heading2"/>
        <w:spacing w:after="80"/>
        <w:rPr>
          <w:lang w:val="en-AU"/>
        </w:rPr>
      </w:pPr>
      <w:bookmarkStart w:id="15" w:name="_Toc74232136"/>
      <w:bookmarkStart w:id="16" w:name="_Toc88488629"/>
      <w:bookmarkStart w:id="17" w:name="_Toc117156625"/>
      <w:bookmarkStart w:id="18" w:name="_Toc127530721"/>
      <w:r w:rsidRPr="00420B37">
        <w:rPr>
          <w:lang w:val="en-AU"/>
        </w:rPr>
        <w:t xml:space="preserve">Overview of the </w:t>
      </w:r>
      <w:r w:rsidR="00DA0C9F" w:rsidRPr="00420B37">
        <w:rPr>
          <w:lang w:val="en-AU"/>
        </w:rPr>
        <w:t xml:space="preserve">CSG </w:t>
      </w:r>
      <w:bookmarkStart w:id="19" w:name="_Toc88488630"/>
      <w:bookmarkStart w:id="20" w:name="_Toc117071424"/>
      <w:bookmarkEnd w:id="15"/>
      <w:bookmarkEnd w:id="16"/>
      <w:r w:rsidR="00DA0C9F" w:rsidRPr="00420B37">
        <w:rPr>
          <w:lang w:val="en-AU"/>
        </w:rPr>
        <w:t>r</w:t>
      </w:r>
      <w:r w:rsidR="00677F93" w:rsidRPr="00420B37">
        <w:rPr>
          <w:lang w:val="en-AU"/>
        </w:rPr>
        <w:t xml:space="preserve">egulatory </w:t>
      </w:r>
      <w:bookmarkEnd w:id="19"/>
      <w:r w:rsidR="00677F93" w:rsidRPr="00420B37">
        <w:rPr>
          <w:lang w:val="en-AU"/>
        </w:rPr>
        <w:t>framework</w:t>
      </w:r>
      <w:bookmarkEnd w:id="17"/>
      <w:bookmarkEnd w:id="20"/>
      <w:bookmarkEnd w:id="18"/>
    </w:p>
    <w:p w14:paraId="75208CF6" w14:textId="39DE3684" w:rsidR="00061F6D" w:rsidRPr="00420B37" w:rsidRDefault="00061F6D" w:rsidP="00AC3A93">
      <w:pPr>
        <w:rPr>
          <w:lang w:val="en-AU"/>
        </w:rPr>
      </w:pPr>
      <w:r w:rsidRPr="00420B37">
        <w:rPr>
          <w:lang w:val="en-AU"/>
        </w:rPr>
        <w:t xml:space="preserve">The CSG was originally </w:t>
      </w:r>
      <w:r w:rsidR="00706279" w:rsidRPr="00420B37">
        <w:rPr>
          <w:lang w:val="en-AU"/>
        </w:rPr>
        <w:t xml:space="preserve">introduced in 1997 </w:t>
      </w:r>
      <w:r w:rsidR="008D3A29" w:rsidRPr="00420B37">
        <w:rPr>
          <w:lang w:val="en-AU"/>
        </w:rPr>
        <w:t xml:space="preserve">to </w:t>
      </w:r>
      <w:r w:rsidR="00FA2B50" w:rsidRPr="00420B37">
        <w:rPr>
          <w:lang w:val="en-AU"/>
        </w:rPr>
        <w:t xml:space="preserve">set requirements for the </w:t>
      </w:r>
      <w:r w:rsidR="00AC1026" w:rsidRPr="00420B37">
        <w:rPr>
          <w:lang w:val="en-AU"/>
        </w:rPr>
        <w:t xml:space="preserve">supply of </w:t>
      </w:r>
      <w:r w:rsidR="004549DB" w:rsidRPr="00420B37">
        <w:rPr>
          <w:lang w:val="en-AU"/>
        </w:rPr>
        <w:t>STS</w:t>
      </w:r>
      <w:r w:rsidR="00C22C73" w:rsidRPr="00420B37">
        <w:rPr>
          <w:lang w:val="en-AU"/>
        </w:rPr>
        <w:t xml:space="preserve"> </w:t>
      </w:r>
      <w:r w:rsidR="008D3A29" w:rsidRPr="00420B37">
        <w:rPr>
          <w:lang w:val="en-AU"/>
        </w:rPr>
        <w:t>(</w:t>
      </w:r>
      <w:r w:rsidR="00AC1026" w:rsidRPr="00420B37">
        <w:rPr>
          <w:lang w:val="en-AU"/>
        </w:rPr>
        <w:t xml:space="preserve">complementing the access arrangements provided </w:t>
      </w:r>
      <w:r w:rsidR="00FA2B50" w:rsidRPr="00420B37">
        <w:rPr>
          <w:lang w:val="en-AU"/>
        </w:rPr>
        <w:t>under</w:t>
      </w:r>
      <w:r w:rsidR="00AC1026" w:rsidRPr="00420B37">
        <w:rPr>
          <w:lang w:val="en-AU"/>
        </w:rPr>
        <w:t xml:space="preserve"> the </w:t>
      </w:r>
      <w:r w:rsidR="008D3A29" w:rsidRPr="00420B37">
        <w:rPr>
          <w:lang w:val="en-AU"/>
        </w:rPr>
        <w:t>Universal Service Obligation)</w:t>
      </w:r>
      <w:r w:rsidR="00FA2B50" w:rsidRPr="00420B37">
        <w:rPr>
          <w:lang w:val="en-AU"/>
        </w:rPr>
        <w:t>. This included</w:t>
      </w:r>
      <w:r w:rsidR="00EA1C57" w:rsidRPr="00420B37">
        <w:rPr>
          <w:lang w:val="en-AU"/>
        </w:rPr>
        <w:t xml:space="preserve"> setting </w:t>
      </w:r>
      <w:r w:rsidR="008D3A29" w:rsidRPr="00420B37">
        <w:rPr>
          <w:lang w:val="en-AU"/>
        </w:rPr>
        <w:t>timeframes for connection and repair</w:t>
      </w:r>
      <w:r w:rsidR="00AC1026" w:rsidRPr="00420B37">
        <w:rPr>
          <w:lang w:val="en-AU"/>
        </w:rPr>
        <w:t xml:space="preserve"> of services</w:t>
      </w:r>
      <w:r w:rsidR="00FA2B50" w:rsidRPr="00420B37">
        <w:rPr>
          <w:lang w:val="en-AU"/>
        </w:rPr>
        <w:t xml:space="preserve">, and </w:t>
      </w:r>
      <w:r w:rsidR="004549DB" w:rsidRPr="00420B37">
        <w:rPr>
          <w:lang w:val="en-AU"/>
        </w:rPr>
        <w:t xml:space="preserve">the </w:t>
      </w:r>
      <w:r w:rsidR="00FA2B50" w:rsidRPr="00420B37">
        <w:rPr>
          <w:lang w:val="en-AU"/>
        </w:rPr>
        <w:t>making and keeping</w:t>
      </w:r>
      <w:r w:rsidR="004549DB" w:rsidRPr="00420B37">
        <w:rPr>
          <w:lang w:val="en-AU"/>
        </w:rPr>
        <w:t xml:space="preserve"> of</w:t>
      </w:r>
      <w:r w:rsidR="00FA2B50" w:rsidRPr="00420B37">
        <w:rPr>
          <w:lang w:val="en-AU"/>
        </w:rPr>
        <w:t xml:space="preserve"> appointments</w:t>
      </w:r>
      <w:r w:rsidR="007B3297" w:rsidRPr="00420B37">
        <w:rPr>
          <w:lang w:val="en-AU"/>
        </w:rPr>
        <w:t>.</w:t>
      </w:r>
      <w:r w:rsidR="005C3197" w:rsidRPr="00420B37">
        <w:rPr>
          <w:lang w:val="en-AU"/>
        </w:rPr>
        <w:t xml:space="preserve"> </w:t>
      </w:r>
      <w:r w:rsidR="007B3297" w:rsidRPr="00420B37">
        <w:rPr>
          <w:lang w:val="en-AU"/>
        </w:rPr>
        <w:t>W</w:t>
      </w:r>
      <w:r w:rsidR="00EA2EDB" w:rsidRPr="00420B37">
        <w:rPr>
          <w:lang w:val="en-AU"/>
        </w:rPr>
        <w:t xml:space="preserve">hile some elements </w:t>
      </w:r>
      <w:r w:rsidR="00EA1C57" w:rsidRPr="00420B37">
        <w:rPr>
          <w:lang w:val="en-AU"/>
        </w:rPr>
        <w:t xml:space="preserve">of the CSG </w:t>
      </w:r>
      <w:r w:rsidR="00EA2EDB" w:rsidRPr="00420B37">
        <w:rPr>
          <w:lang w:val="en-AU"/>
        </w:rPr>
        <w:t xml:space="preserve">have been adjusted over time, </w:t>
      </w:r>
      <w:r w:rsidR="005C3197" w:rsidRPr="00420B37">
        <w:rPr>
          <w:lang w:val="en-AU"/>
        </w:rPr>
        <w:t xml:space="preserve">notably with </w:t>
      </w:r>
      <w:r w:rsidR="00F47BBA" w:rsidRPr="00420B37">
        <w:rPr>
          <w:lang w:val="en-AU"/>
        </w:rPr>
        <w:t>the</w:t>
      </w:r>
      <w:r w:rsidR="00706279" w:rsidRPr="00420B37">
        <w:rPr>
          <w:lang w:val="en-AU"/>
        </w:rPr>
        <w:t xml:space="preserve"> </w:t>
      </w:r>
      <w:r w:rsidR="00EA2EDB" w:rsidRPr="00420B37">
        <w:rPr>
          <w:lang w:val="en-AU"/>
        </w:rPr>
        <w:t xml:space="preserve">introduction of CSG benchmarks (discussed further below), </w:t>
      </w:r>
      <w:r w:rsidR="00180159" w:rsidRPr="00420B37">
        <w:rPr>
          <w:lang w:val="en-AU"/>
        </w:rPr>
        <w:t>the broad character</w:t>
      </w:r>
      <w:r w:rsidR="0025569B" w:rsidRPr="00420B37">
        <w:rPr>
          <w:lang w:val="en-AU"/>
        </w:rPr>
        <w:t>istics</w:t>
      </w:r>
      <w:r w:rsidR="00180159" w:rsidRPr="00420B37">
        <w:rPr>
          <w:lang w:val="en-AU"/>
        </w:rPr>
        <w:t xml:space="preserve"> of the CSG</w:t>
      </w:r>
      <w:r w:rsidR="00EA2EDB" w:rsidRPr="00420B37">
        <w:rPr>
          <w:lang w:val="en-AU"/>
        </w:rPr>
        <w:t xml:space="preserve"> </w:t>
      </w:r>
      <w:r w:rsidR="00EA1C57" w:rsidRPr="00420B37">
        <w:rPr>
          <w:lang w:val="en-AU"/>
        </w:rPr>
        <w:t>h</w:t>
      </w:r>
      <w:r w:rsidR="00EA2EDB" w:rsidRPr="00420B37">
        <w:rPr>
          <w:lang w:val="en-AU"/>
        </w:rPr>
        <w:t>a</w:t>
      </w:r>
      <w:r w:rsidR="0025569B" w:rsidRPr="00420B37">
        <w:rPr>
          <w:lang w:val="en-AU"/>
        </w:rPr>
        <w:t>ve</w:t>
      </w:r>
      <w:r w:rsidR="00EA2EDB" w:rsidRPr="00420B37">
        <w:rPr>
          <w:lang w:val="en-AU"/>
        </w:rPr>
        <w:t xml:space="preserve"> remained relatively unchanged</w:t>
      </w:r>
      <w:r w:rsidR="00B80AB3">
        <w:rPr>
          <w:lang w:val="en-AU"/>
        </w:rPr>
        <w:t xml:space="preserve"> since their introduction</w:t>
      </w:r>
      <w:r w:rsidR="00EA2EDB" w:rsidRPr="00420B37">
        <w:rPr>
          <w:lang w:val="en-AU"/>
        </w:rPr>
        <w:t>.</w:t>
      </w:r>
      <w:r w:rsidR="00756427">
        <w:rPr>
          <w:lang w:val="en-AU"/>
        </w:rPr>
        <w:t xml:space="preserve"> </w:t>
      </w:r>
    </w:p>
    <w:p w14:paraId="7CCCB033" w14:textId="57CD292E" w:rsidR="007F1E36" w:rsidRPr="00420B37" w:rsidRDefault="00B9073B" w:rsidP="007F1E36">
      <w:pPr>
        <w:rPr>
          <w:lang w:val="en-AU"/>
        </w:rPr>
      </w:pPr>
      <w:r w:rsidRPr="00420B37">
        <w:rPr>
          <w:lang w:val="en-AU"/>
        </w:rPr>
        <w:lastRenderedPageBreak/>
        <w:t xml:space="preserve">Under </w:t>
      </w:r>
      <w:r w:rsidR="001112EA" w:rsidRPr="00420B37">
        <w:rPr>
          <w:lang w:val="en-AU"/>
        </w:rPr>
        <w:t xml:space="preserve">Part 5 of the </w:t>
      </w:r>
      <w:r w:rsidR="0051555D" w:rsidRPr="00420B37">
        <w:rPr>
          <w:lang w:val="en-AU"/>
        </w:rPr>
        <w:t xml:space="preserve">TCPSS </w:t>
      </w:r>
      <w:r w:rsidR="001112EA" w:rsidRPr="00420B37">
        <w:rPr>
          <w:lang w:val="en-AU"/>
        </w:rPr>
        <w:t>Act</w:t>
      </w:r>
      <w:r w:rsidR="00796757" w:rsidRPr="00420B37">
        <w:rPr>
          <w:lang w:val="en-AU"/>
        </w:rPr>
        <w:t xml:space="preserve">, the </w:t>
      </w:r>
      <w:r w:rsidR="004D0AD8" w:rsidRPr="00420B37">
        <w:rPr>
          <w:lang w:val="en-AU"/>
        </w:rPr>
        <w:t xml:space="preserve">Minister </w:t>
      </w:r>
      <w:r w:rsidR="009F4CFC" w:rsidRPr="00420B37">
        <w:rPr>
          <w:lang w:val="en-AU"/>
        </w:rPr>
        <w:t xml:space="preserve">for Communications </w:t>
      </w:r>
      <w:r w:rsidR="004D0AD8" w:rsidRPr="00420B37">
        <w:rPr>
          <w:lang w:val="en-AU"/>
        </w:rPr>
        <w:t xml:space="preserve">may direct the </w:t>
      </w:r>
      <w:r w:rsidR="00796757" w:rsidRPr="00420B37">
        <w:rPr>
          <w:lang w:val="en-AU"/>
        </w:rPr>
        <w:t xml:space="preserve">ACMA </w:t>
      </w:r>
      <w:r w:rsidR="004D0AD8" w:rsidRPr="00420B37">
        <w:rPr>
          <w:lang w:val="en-AU"/>
        </w:rPr>
        <w:t xml:space="preserve">to </w:t>
      </w:r>
      <w:r w:rsidR="00796757" w:rsidRPr="00420B37">
        <w:rPr>
          <w:lang w:val="en-AU"/>
        </w:rPr>
        <w:t xml:space="preserve">make </w:t>
      </w:r>
      <w:r w:rsidR="00B224AA" w:rsidRPr="00420B37">
        <w:rPr>
          <w:lang w:val="en-AU"/>
        </w:rPr>
        <w:t>performance standards that CSPs must comply with</w:t>
      </w:r>
      <w:r w:rsidR="00AC3A93" w:rsidRPr="00420B37">
        <w:rPr>
          <w:lang w:val="en-AU"/>
        </w:rPr>
        <w:t>.</w:t>
      </w:r>
      <w:r w:rsidR="00CF5FCF" w:rsidRPr="00420B37">
        <w:rPr>
          <w:rStyle w:val="FootnoteReference"/>
          <w:lang w:val="en-AU"/>
        </w:rPr>
        <w:footnoteReference w:id="5"/>
      </w:r>
      <w:r w:rsidR="00D333A9" w:rsidRPr="00420B37">
        <w:rPr>
          <w:lang w:val="en-AU"/>
        </w:rPr>
        <w:t xml:space="preserve"> As a consequence, the ACMA can only make</w:t>
      </w:r>
      <w:r w:rsidR="007F1E36" w:rsidRPr="00420B37">
        <w:rPr>
          <w:lang w:val="en-AU"/>
        </w:rPr>
        <w:t xml:space="preserve"> (or vary)</w:t>
      </w:r>
      <w:r w:rsidR="00D333A9" w:rsidRPr="00420B37">
        <w:rPr>
          <w:lang w:val="en-AU"/>
        </w:rPr>
        <w:t xml:space="preserve"> </w:t>
      </w:r>
      <w:r w:rsidR="001A7894" w:rsidRPr="00420B37">
        <w:rPr>
          <w:lang w:val="en-AU"/>
        </w:rPr>
        <w:t xml:space="preserve">CSG </w:t>
      </w:r>
      <w:r w:rsidR="00D333A9" w:rsidRPr="00420B37">
        <w:rPr>
          <w:lang w:val="en-AU"/>
        </w:rPr>
        <w:t xml:space="preserve">performance standards </w:t>
      </w:r>
      <w:r w:rsidR="007F1E36" w:rsidRPr="00420B37">
        <w:rPr>
          <w:lang w:val="en-AU"/>
        </w:rPr>
        <w:t xml:space="preserve">in accordance with a </w:t>
      </w:r>
      <w:r w:rsidR="00D333A9" w:rsidRPr="00420B37">
        <w:rPr>
          <w:lang w:val="en-AU"/>
        </w:rPr>
        <w:t>Minister</w:t>
      </w:r>
      <w:r w:rsidR="007F1E36" w:rsidRPr="00420B37">
        <w:rPr>
          <w:lang w:val="en-AU"/>
        </w:rPr>
        <w:t>ial direction</w:t>
      </w:r>
      <w:r w:rsidR="003A66CD" w:rsidRPr="00420B37">
        <w:rPr>
          <w:lang w:val="en-AU"/>
        </w:rPr>
        <w:t xml:space="preserve">. </w:t>
      </w:r>
      <w:r w:rsidR="007F1E36" w:rsidRPr="00420B37">
        <w:rPr>
          <w:lang w:val="en-AU"/>
        </w:rPr>
        <w:t xml:space="preserve">The current Ministerial direction, the </w:t>
      </w:r>
      <w:hyperlink r:id="rId28" w:history="1">
        <w:r w:rsidR="007F1E36" w:rsidRPr="00420B37">
          <w:rPr>
            <w:rStyle w:val="Hyperlink"/>
            <w:i/>
            <w:lang w:val="en-AU"/>
          </w:rPr>
          <w:t>Telecommunications (Customer Service Guarantee) Direction (No. 1) 2011</w:t>
        </w:r>
      </w:hyperlink>
      <w:r w:rsidR="004549DB" w:rsidRPr="00420B37">
        <w:rPr>
          <w:i/>
          <w:lang w:val="en-AU"/>
        </w:rPr>
        <w:t xml:space="preserve"> </w:t>
      </w:r>
      <w:r w:rsidR="004549DB" w:rsidRPr="00420B37">
        <w:rPr>
          <w:lang w:val="en-AU"/>
        </w:rPr>
        <w:t xml:space="preserve">(the CSG Direction), </w:t>
      </w:r>
      <w:r w:rsidR="007F1E36" w:rsidRPr="00420B37">
        <w:rPr>
          <w:rFonts w:cs="Times New Roman"/>
          <w:szCs w:val="24"/>
          <w:lang w:val="en-AU"/>
        </w:rPr>
        <w:t>is exempt from sunsetting arrangements</w:t>
      </w:r>
      <w:r w:rsidR="005D2DF0" w:rsidRPr="00420B37">
        <w:rPr>
          <w:rFonts w:cs="Times New Roman"/>
          <w:szCs w:val="24"/>
          <w:lang w:val="en-AU"/>
        </w:rPr>
        <w:t>, but as it is pivotal to the overall scheme it is part of this review</w:t>
      </w:r>
      <w:r w:rsidR="007F1E36" w:rsidRPr="00420B37">
        <w:rPr>
          <w:rFonts w:cs="Times New Roman"/>
          <w:szCs w:val="24"/>
          <w:lang w:val="en-AU"/>
        </w:rPr>
        <w:t>.</w:t>
      </w:r>
    </w:p>
    <w:p w14:paraId="53909807" w14:textId="77777777" w:rsidR="00D13DAA" w:rsidRPr="00420B37" w:rsidRDefault="00CB7AAB" w:rsidP="00D13DAA">
      <w:pPr>
        <w:rPr>
          <w:color w:val="000000"/>
          <w:shd w:val="clear" w:color="auto" w:fill="FFFFFF"/>
          <w:lang w:val="en-AU"/>
        </w:rPr>
      </w:pPr>
      <w:r w:rsidRPr="00420B37">
        <w:rPr>
          <w:lang w:val="en-AU"/>
        </w:rPr>
        <w:t xml:space="preserve">Performance standards can relate to connection, fault repair, </w:t>
      </w:r>
      <w:r w:rsidR="000E50E4" w:rsidRPr="00420B37">
        <w:rPr>
          <w:lang w:val="en-AU"/>
        </w:rPr>
        <w:t xml:space="preserve">the </w:t>
      </w:r>
      <w:r w:rsidRPr="00420B37">
        <w:rPr>
          <w:lang w:val="en-AU"/>
        </w:rPr>
        <w:t xml:space="preserve">keeping of </w:t>
      </w:r>
      <w:r w:rsidR="001A7894" w:rsidRPr="00420B37">
        <w:rPr>
          <w:lang w:val="en-AU"/>
        </w:rPr>
        <w:t>appointments</w:t>
      </w:r>
      <w:r w:rsidRPr="00420B37">
        <w:rPr>
          <w:lang w:val="en-AU"/>
        </w:rPr>
        <w:t xml:space="preserve"> or </w:t>
      </w:r>
      <w:r w:rsidR="001A7894" w:rsidRPr="00420B37">
        <w:rPr>
          <w:lang w:val="en-AU"/>
        </w:rPr>
        <w:t>any other matter concerning the supply, or proposed supply, of a carriage service to a customer.</w:t>
      </w:r>
      <w:r w:rsidR="00174245" w:rsidRPr="00420B37">
        <w:rPr>
          <w:lang w:val="en-AU"/>
        </w:rPr>
        <w:t xml:space="preserve"> </w:t>
      </w:r>
      <w:r w:rsidR="00D333A9" w:rsidRPr="00420B37">
        <w:rPr>
          <w:lang w:val="en-AU"/>
        </w:rPr>
        <w:t>If directed by the Minister to make performance standards, the ACMA can</w:t>
      </w:r>
      <w:r w:rsidR="00AC3A93" w:rsidRPr="00420B37">
        <w:rPr>
          <w:lang w:val="en-AU"/>
        </w:rPr>
        <w:t xml:space="preserve"> also</w:t>
      </w:r>
      <w:r w:rsidR="00D333A9" w:rsidRPr="00420B37">
        <w:rPr>
          <w:lang w:val="en-AU"/>
        </w:rPr>
        <w:t xml:space="preserve"> determine a scale of damages</w:t>
      </w:r>
      <w:r w:rsidR="00B22E65" w:rsidRPr="00420B37">
        <w:rPr>
          <w:lang w:val="en-AU"/>
        </w:rPr>
        <w:t xml:space="preserve"> (i.e. compensation) </w:t>
      </w:r>
      <w:r w:rsidR="00CF5FCF" w:rsidRPr="00420B37">
        <w:rPr>
          <w:lang w:val="en-AU"/>
        </w:rPr>
        <w:t>for breaches of those standards</w:t>
      </w:r>
      <w:r w:rsidR="00F47BBA" w:rsidRPr="00420B37">
        <w:rPr>
          <w:lang w:val="en-AU"/>
        </w:rPr>
        <w:t xml:space="preserve">, as well as </w:t>
      </w:r>
      <w:r w:rsidR="00D333A9" w:rsidRPr="00420B37">
        <w:rPr>
          <w:color w:val="000000"/>
          <w:shd w:val="clear" w:color="auto" w:fill="FFFFFF"/>
          <w:lang w:val="en-AU"/>
        </w:rPr>
        <w:t>arrangements for customers of CSP</w:t>
      </w:r>
      <w:r w:rsidR="00CF5FCF" w:rsidRPr="00420B37">
        <w:rPr>
          <w:color w:val="000000"/>
          <w:shd w:val="clear" w:color="auto" w:fill="FFFFFF"/>
          <w:lang w:val="en-AU"/>
        </w:rPr>
        <w:t>s</w:t>
      </w:r>
      <w:r w:rsidR="00D333A9" w:rsidRPr="00420B37">
        <w:rPr>
          <w:color w:val="000000"/>
          <w:shd w:val="clear" w:color="auto" w:fill="FFFFFF"/>
          <w:lang w:val="en-AU"/>
        </w:rPr>
        <w:t xml:space="preserve"> to waive their </w:t>
      </w:r>
      <w:r w:rsidR="00CF5FCF" w:rsidRPr="00420B37">
        <w:rPr>
          <w:color w:val="000000"/>
          <w:shd w:val="clear" w:color="auto" w:fill="FFFFFF"/>
          <w:lang w:val="en-AU"/>
        </w:rPr>
        <w:t xml:space="preserve">CSG </w:t>
      </w:r>
      <w:r w:rsidR="00D333A9" w:rsidRPr="00420B37">
        <w:rPr>
          <w:color w:val="000000"/>
          <w:shd w:val="clear" w:color="auto" w:fill="FFFFFF"/>
          <w:lang w:val="en-AU"/>
        </w:rPr>
        <w:t xml:space="preserve">rights </w:t>
      </w:r>
      <w:r w:rsidR="00CF5FCF" w:rsidRPr="00420B37">
        <w:rPr>
          <w:color w:val="000000"/>
          <w:shd w:val="clear" w:color="auto" w:fill="FFFFFF"/>
          <w:lang w:val="en-AU"/>
        </w:rPr>
        <w:t>in whole or in part</w:t>
      </w:r>
      <w:r w:rsidR="008D4296" w:rsidRPr="00420B37">
        <w:rPr>
          <w:color w:val="000000"/>
          <w:shd w:val="clear" w:color="auto" w:fill="FFFFFF"/>
          <w:lang w:val="en-AU"/>
        </w:rPr>
        <w:t xml:space="preserve"> (except for STS supplied </w:t>
      </w:r>
      <w:r w:rsidR="000E194C" w:rsidRPr="00420B37">
        <w:rPr>
          <w:color w:val="000000"/>
          <w:shd w:val="clear" w:color="auto" w:fill="FFFFFF"/>
          <w:lang w:val="en-AU"/>
        </w:rPr>
        <w:t>by Telstra in</w:t>
      </w:r>
      <w:r w:rsidR="008D4296" w:rsidRPr="00420B37">
        <w:rPr>
          <w:color w:val="000000"/>
          <w:shd w:val="clear" w:color="auto" w:fill="FFFFFF"/>
          <w:lang w:val="en-AU"/>
        </w:rPr>
        <w:t xml:space="preserve"> fulfillment of the USO). </w:t>
      </w:r>
      <w:r w:rsidR="009862AA" w:rsidRPr="00420B37">
        <w:rPr>
          <w:color w:val="000000"/>
          <w:shd w:val="clear" w:color="auto" w:fill="FFFFFF"/>
          <w:lang w:val="en-AU"/>
        </w:rPr>
        <w:t>The existing p</w:t>
      </w:r>
      <w:r w:rsidR="00D13DAA" w:rsidRPr="00420B37">
        <w:rPr>
          <w:color w:val="000000"/>
          <w:shd w:val="clear" w:color="auto" w:fill="FFFFFF"/>
          <w:lang w:val="en-AU"/>
        </w:rPr>
        <w:t xml:space="preserve">erformance standards, compensation amounts and </w:t>
      </w:r>
      <w:r w:rsidR="00E41126">
        <w:rPr>
          <w:color w:val="000000"/>
          <w:shd w:val="clear" w:color="auto" w:fill="FFFFFF"/>
          <w:lang w:val="en-AU"/>
        </w:rPr>
        <w:t xml:space="preserve">detailed </w:t>
      </w:r>
      <w:r w:rsidR="00D13DAA" w:rsidRPr="00420B37">
        <w:rPr>
          <w:color w:val="000000"/>
          <w:shd w:val="clear" w:color="auto" w:fill="FFFFFF"/>
          <w:lang w:val="en-AU"/>
        </w:rPr>
        <w:t xml:space="preserve">waiver arrangements </w:t>
      </w:r>
      <w:r w:rsidR="008A4D71" w:rsidRPr="00420B37">
        <w:rPr>
          <w:color w:val="000000"/>
          <w:shd w:val="clear" w:color="auto" w:fill="FFFFFF"/>
          <w:lang w:val="en-AU"/>
        </w:rPr>
        <w:t xml:space="preserve">are set out in </w:t>
      </w:r>
      <w:r w:rsidR="005C3197" w:rsidRPr="00420B37">
        <w:rPr>
          <w:color w:val="000000"/>
          <w:shd w:val="clear" w:color="auto" w:fill="FFFFFF"/>
          <w:lang w:val="en-AU"/>
        </w:rPr>
        <w:t xml:space="preserve">a single </w:t>
      </w:r>
      <w:r w:rsidR="008D3A29" w:rsidRPr="00420B37">
        <w:rPr>
          <w:color w:val="000000"/>
          <w:shd w:val="clear" w:color="auto" w:fill="FFFFFF"/>
          <w:lang w:val="en-AU"/>
        </w:rPr>
        <w:t xml:space="preserve">ACMA </w:t>
      </w:r>
      <w:r w:rsidR="005C3197" w:rsidRPr="00420B37">
        <w:rPr>
          <w:color w:val="000000"/>
          <w:shd w:val="clear" w:color="auto" w:fill="FFFFFF"/>
          <w:lang w:val="en-AU"/>
        </w:rPr>
        <w:t xml:space="preserve">instrument, the </w:t>
      </w:r>
      <w:hyperlink r:id="rId29" w:history="1">
        <w:r w:rsidR="00D13DAA" w:rsidRPr="00420B37">
          <w:rPr>
            <w:rStyle w:val="Hyperlink"/>
            <w:i/>
            <w:lang w:val="en-AU"/>
          </w:rPr>
          <w:t>Telecommunications (Customer Service Guarantee) Standard 2011</w:t>
        </w:r>
        <w:r w:rsidR="00D13DAA" w:rsidRPr="005A3260">
          <w:rPr>
            <w:rStyle w:val="Hyperlink"/>
            <w:u w:val="none"/>
            <w:lang w:val="en-AU"/>
          </w:rPr>
          <w:t xml:space="preserve"> </w:t>
        </w:r>
      </w:hyperlink>
      <w:r w:rsidR="00D13DAA" w:rsidRPr="00420B37">
        <w:rPr>
          <w:lang w:val="en-AU"/>
        </w:rPr>
        <w:t>(the CSG Standard).</w:t>
      </w:r>
      <w:r w:rsidR="002D1FF3" w:rsidRPr="00420B37">
        <w:rPr>
          <w:lang w:val="en-AU"/>
        </w:rPr>
        <w:t xml:space="preserve"> </w:t>
      </w:r>
    </w:p>
    <w:p w14:paraId="6D2515FD" w14:textId="77777777" w:rsidR="00B9073B" w:rsidRPr="00420B37" w:rsidRDefault="007D29EE" w:rsidP="00757518">
      <w:pPr>
        <w:rPr>
          <w:lang w:val="en-AU"/>
        </w:rPr>
      </w:pPr>
      <w:r w:rsidRPr="00420B37">
        <w:rPr>
          <w:lang w:val="en-AU"/>
        </w:rPr>
        <w:t>As part of a broader package of legislative reforms made in 2010</w:t>
      </w:r>
      <w:r w:rsidRPr="00420B37">
        <w:rPr>
          <w:rStyle w:val="FootnoteReference"/>
          <w:lang w:val="en-AU"/>
        </w:rPr>
        <w:footnoteReference w:id="6"/>
      </w:r>
      <w:r w:rsidRPr="00420B37">
        <w:rPr>
          <w:lang w:val="en-AU"/>
        </w:rPr>
        <w:t>, c</w:t>
      </w:r>
      <w:r w:rsidR="00CF5FCF" w:rsidRPr="00420B37">
        <w:rPr>
          <w:lang w:val="en-AU"/>
        </w:rPr>
        <w:t xml:space="preserve">hanges were made </w:t>
      </w:r>
      <w:r w:rsidR="00B22E65" w:rsidRPr="00420B37">
        <w:rPr>
          <w:lang w:val="en-AU"/>
        </w:rPr>
        <w:t>to</w:t>
      </w:r>
      <w:r w:rsidR="00CF5FCF" w:rsidRPr="00420B37">
        <w:rPr>
          <w:lang w:val="en-AU"/>
        </w:rPr>
        <w:t xml:space="preserve"> allow the</w:t>
      </w:r>
      <w:r w:rsidR="00C605D2" w:rsidRPr="00420B37">
        <w:rPr>
          <w:lang w:val="en-AU"/>
        </w:rPr>
        <w:t xml:space="preserve"> </w:t>
      </w:r>
      <w:r w:rsidR="00F27417" w:rsidRPr="00420B37">
        <w:rPr>
          <w:lang w:val="en-AU"/>
        </w:rPr>
        <w:t xml:space="preserve">Minister </w:t>
      </w:r>
      <w:r w:rsidR="00CF5FCF" w:rsidRPr="00420B37">
        <w:rPr>
          <w:lang w:val="en-AU"/>
        </w:rPr>
        <w:t xml:space="preserve">to </w:t>
      </w:r>
      <w:r w:rsidR="004D0AD8" w:rsidRPr="00420B37">
        <w:rPr>
          <w:lang w:val="en-AU"/>
        </w:rPr>
        <w:t>make</w:t>
      </w:r>
      <w:r w:rsidR="00F27417" w:rsidRPr="00420B37">
        <w:rPr>
          <w:lang w:val="en-AU"/>
        </w:rPr>
        <w:t xml:space="preserve"> minimum</w:t>
      </w:r>
      <w:r w:rsidR="00706279" w:rsidRPr="00420B37">
        <w:rPr>
          <w:lang w:val="en-AU"/>
        </w:rPr>
        <w:t xml:space="preserve"> </w:t>
      </w:r>
      <w:r w:rsidR="00F27417" w:rsidRPr="00420B37">
        <w:rPr>
          <w:lang w:val="en-AU"/>
        </w:rPr>
        <w:t>performance benchmarks</w:t>
      </w:r>
      <w:r w:rsidR="008D4296" w:rsidRPr="00420B37">
        <w:rPr>
          <w:lang w:val="en-AU"/>
        </w:rPr>
        <w:t xml:space="preserve"> in relation to compliance with the CSG standards.</w:t>
      </w:r>
      <w:r w:rsidR="003307E3" w:rsidRPr="00420B37">
        <w:rPr>
          <w:lang w:val="en-AU"/>
        </w:rPr>
        <w:t xml:space="preserve"> </w:t>
      </w:r>
      <w:r w:rsidR="00CB32E8" w:rsidRPr="00420B37">
        <w:rPr>
          <w:lang w:val="en-AU"/>
        </w:rPr>
        <w:t>The</w:t>
      </w:r>
      <w:r w:rsidR="005D5D23" w:rsidRPr="00420B37">
        <w:rPr>
          <w:lang w:val="en-AU"/>
        </w:rPr>
        <w:t xml:space="preserve"> </w:t>
      </w:r>
      <w:hyperlink r:id="rId30" w:history="1">
        <w:r w:rsidR="005D5D23" w:rsidRPr="00420B37">
          <w:rPr>
            <w:rStyle w:val="Hyperlink"/>
            <w:i/>
            <w:lang w:val="en-AU"/>
          </w:rPr>
          <w:t>Telecommunications (Customer Service Guarantee – Retail Performance Benchmarks) Instrument (No. 1) 2011</w:t>
        </w:r>
      </w:hyperlink>
      <w:r w:rsidR="005D5D23" w:rsidRPr="00420B37">
        <w:rPr>
          <w:i/>
          <w:lang w:val="en-AU"/>
        </w:rPr>
        <w:t xml:space="preserve"> </w:t>
      </w:r>
      <w:r w:rsidR="005D5D23" w:rsidRPr="00420B37">
        <w:rPr>
          <w:lang w:val="en-AU"/>
        </w:rPr>
        <w:t>(the CSG Benchmarks Instrument)</w:t>
      </w:r>
      <w:r w:rsidR="000C44C5" w:rsidRPr="00420B37">
        <w:rPr>
          <w:lang w:val="en-AU"/>
        </w:rPr>
        <w:t xml:space="preserve"> </w:t>
      </w:r>
      <w:r w:rsidR="005D5D23" w:rsidRPr="00420B37">
        <w:rPr>
          <w:lang w:val="en-AU"/>
        </w:rPr>
        <w:t>commenced from 1</w:t>
      </w:r>
      <w:r w:rsidR="008D3A29" w:rsidRPr="00420B37">
        <w:rPr>
          <w:lang w:val="en-AU"/>
        </w:rPr>
        <w:t> </w:t>
      </w:r>
      <w:r w:rsidR="005D5D23" w:rsidRPr="00420B37">
        <w:rPr>
          <w:lang w:val="en-AU"/>
        </w:rPr>
        <w:t xml:space="preserve">October 2011. </w:t>
      </w:r>
      <w:r w:rsidR="00CB32E8" w:rsidRPr="00420B37">
        <w:rPr>
          <w:lang w:val="en-AU"/>
        </w:rPr>
        <w:t>T</w:t>
      </w:r>
      <w:r w:rsidR="00706279" w:rsidRPr="00420B37">
        <w:rPr>
          <w:lang w:val="en-AU"/>
        </w:rPr>
        <w:t>he</w:t>
      </w:r>
      <w:r w:rsidR="00CB32E8" w:rsidRPr="00420B37">
        <w:rPr>
          <w:lang w:val="en-AU"/>
        </w:rPr>
        <w:t>se</w:t>
      </w:r>
      <w:r w:rsidR="00706279" w:rsidRPr="00420B37">
        <w:rPr>
          <w:lang w:val="en-AU"/>
        </w:rPr>
        <w:t xml:space="preserve"> </w:t>
      </w:r>
      <w:r w:rsidR="00C7182C" w:rsidRPr="00420B37">
        <w:rPr>
          <w:lang w:val="en-AU"/>
        </w:rPr>
        <w:t xml:space="preserve">benchmarks </w:t>
      </w:r>
      <w:r w:rsidR="00706279" w:rsidRPr="00420B37">
        <w:rPr>
          <w:lang w:val="en-AU"/>
        </w:rPr>
        <w:t xml:space="preserve">were intended to </w:t>
      </w:r>
      <w:r w:rsidR="00BE1C4B" w:rsidRPr="00420B37">
        <w:rPr>
          <w:lang w:val="en-AU"/>
        </w:rPr>
        <w:t xml:space="preserve">provide a stronger incentive for </w:t>
      </w:r>
      <w:r w:rsidR="00706279" w:rsidRPr="00420B37">
        <w:rPr>
          <w:lang w:val="en-AU"/>
        </w:rPr>
        <w:t xml:space="preserve">larger providers in the </w:t>
      </w:r>
      <w:r w:rsidR="00BE1C4B" w:rsidRPr="00420B37">
        <w:rPr>
          <w:lang w:val="en-AU"/>
        </w:rPr>
        <w:t>industry to maintain and improve service quality</w:t>
      </w:r>
      <w:r w:rsidR="007F1E36" w:rsidRPr="00420B37">
        <w:rPr>
          <w:lang w:val="en-AU"/>
        </w:rPr>
        <w:t xml:space="preserve">, particularly </w:t>
      </w:r>
      <w:r w:rsidR="007B65B9" w:rsidRPr="00420B37">
        <w:rPr>
          <w:lang w:val="en-AU"/>
        </w:rPr>
        <w:t xml:space="preserve">during </w:t>
      </w:r>
      <w:r w:rsidR="001C4888" w:rsidRPr="00420B37">
        <w:rPr>
          <w:lang w:val="en-AU"/>
        </w:rPr>
        <w:t xml:space="preserve">a period of change (while </w:t>
      </w:r>
      <w:r w:rsidR="007B65B9" w:rsidRPr="00420B37">
        <w:rPr>
          <w:lang w:val="en-AU"/>
        </w:rPr>
        <w:t xml:space="preserve">the NBN </w:t>
      </w:r>
      <w:r w:rsidR="001C4888" w:rsidRPr="00420B37">
        <w:rPr>
          <w:lang w:val="en-AU"/>
        </w:rPr>
        <w:t>w</w:t>
      </w:r>
      <w:r w:rsidR="007B65B9" w:rsidRPr="00420B37">
        <w:rPr>
          <w:lang w:val="en-AU"/>
        </w:rPr>
        <w:t>as</w:t>
      </w:r>
      <w:r w:rsidR="001C4888" w:rsidRPr="00420B37">
        <w:rPr>
          <w:lang w:val="en-AU"/>
        </w:rPr>
        <w:t xml:space="preserve"> being rolled out</w:t>
      </w:r>
      <w:r w:rsidR="007B65B9" w:rsidRPr="00420B37">
        <w:rPr>
          <w:lang w:val="en-AU"/>
        </w:rPr>
        <w:t xml:space="preserve"> </w:t>
      </w:r>
      <w:r w:rsidR="001C4888" w:rsidRPr="00420B37">
        <w:rPr>
          <w:lang w:val="en-AU"/>
        </w:rPr>
        <w:t xml:space="preserve">and </w:t>
      </w:r>
      <w:r w:rsidR="007B65B9" w:rsidRPr="00420B37">
        <w:rPr>
          <w:lang w:val="en-AU"/>
        </w:rPr>
        <w:t xml:space="preserve">customers </w:t>
      </w:r>
      <w:r w:rsidR="001C4888" w:rsidRPr="00420B37">
        <w:rPr>
          <w:lang w:val="en-AU"/>
        </w:rPr>
        <w:t xml:space="preserve">were </w:t>
      </w:r>
      <w:r w:rsidR="007B65B9" w:rsidRPr="00420B37">
        <w:rPr>
          <w:lang w:val="en-AU"/>
        </w:rPr>
        <w:t>migrat</w:t>
      </w:r>
      <w:r w:rsidR="001C4888" w:rsidRPr="00420B37">
        <w:rPr>
          <w:lang w:val="en-AU"/>
        </w:rPr>
        <w:t>ing</w:t>
      </w:r>
      <w:r w:rsidR="007B65B9" w:rsidRPr="00420B37">
        <w:rPr>
          <w:lang w:val="en-AU"/>
        </w:rPr>
        <w:t xml:space="preserve"> to the network</w:t>
      </w:r>
      <w:r w:rsidR="004549DB" w:rsidRPr="00420B37">
        <w:rPr>
          <w:lang w:val="en-AU"/>
        </w:rPr>
        <w:t>)</w:t>
      </w:r>
      <w:r w:rsidR="007B65B9" w:rsidRPr="00420B37">
        <w:rPr>
          <w:lang w:val="en-AU"/>
        </w:rPr>
        <w:t xml:space="preserve">. </w:t>
      </w:r>
    </w:p>
    <w:p w14:paraId="42C975C2" w14:textId="77777777" w:rsidR="008D3A29" w:rsidRPr="00420B37" w:rsidRDefault="008D3A29" w:rsidP="008D3A29">
      <w:pPr>
        <w:spacing w:before="160"/>
        <w:rPr>
          <w:lang w:val="en-AU"/>
        </w:rPr>
      </w:pPr>
      <w:r w:rsidRPr="00420B37">
        <w:rPr>
          <w:lang w:val="en-AU"/>
        </w:rPr>
        <w:t xml:space="preserve">Beyond providing for subordinate instruments to be made by the ACMA or the Minister, Part 5 of the TCPSS Act also sets out </w:t>
      </w:r>
      <w:bookmarkStart w:id="21" w:name="_Toc88029378"/>
      <w:r w:rsidRPr="00420B37">
        <w:rPr>
          <w:lang w:val="en-AU"/>
        </w:rPr>
        <w:t>a number of important process matters</w:t>
      </w:r>
      <w:r w:rsidR="004549DB" w:rsidRPr="00420B37">
        <w:rPr>
          <w:lang w:val="en-AU"/>
        </w:rPr>
        <w:t>. Th</w:t>
      </w:r>
      <w:r w:rsidR="005D2DF0" w:rsidRPr="00420B37">
        <w:rPr>
          <w:lang w:val="en-AU"/>
        </w:rPr>
        <w:t>ese</w:t>
      </w:r>
      <w:r w:rsidR="004549DB" w:rsidRPr="00420B37">
        <w:rPr>
          <w:lang w:val="en-AU"/>
        </w:rPr>
        <w:t xml:space="preserve"> include</w:t>
      </w:r>
      <w:r w:rsidRPr="00420B37">
        <w:rPr>
          <w:lang w:val="en-AU"/>
        </w:rPr>
        <w:t xml:space="preserve"> </w:t>
      </w:r>
      <w:r w:rsidRPr="00420B37">
        <w:rPr>
          <w:bCs/>
          <w:color w:val="000000"/>
          <w:shd w:val="clear" w:color="auto" w:fill="FFFFFF"/>
          <w:lang w:val="en-AU"/>
        </w:rPr>
        <w:t>processes and timeframes to be followed by CSPs in accepting and paying compensation to consumers, as well as</w:t>
      </w:r>
      <w:r w:rsidRPr="00420B37">
        <w:rPr>
          <w:lang w:val="en-AU"/>
        </w:rPr>
        <w:t xml:space="preserve"> right of contribution</w:t>
      </w:r>
      <w:bookmarkEnd w:id="21"/>
      <w:r w:rsidRPr="00420B37">
        <w:rPr>
          <w:lang w:val="en-AU"/>
        </w:rPr>
        <w:t xml:space="preserve"> arrangements (which allow CSPs to seek to recover some or all of a CSG compensation payment if non-compliance was wholly or partly attributable to the actions of a second CSP).</w:t>
      </w:r>
      <w:bookmarkStart w:id="22" w:name="_Toc88029369"/>
      <w:r w:rsidRPr="00420B37">
        <w:rPr>
          <w:rStyle w:val="FootnoteReference"/>
          <w:lang w:val="en-AU"/>
        </w:rPr>
        <w:footnoteReference w:id="7"/>
      </w:r>
      <w:bookmarkEnd w:id="22"/>
    </w:p>
    <w:p w14:paraId="45B76E37" w14:textId="74B1BDC6" w:rsidR="000E194C" w:rsidRPr="00420B37" w:rsidRDefault="000E194C" w:rsidP="00757518">
      <w:pPr>
        <w:rPr>
          <w:lang w:val="en-AU"/>
        </w:rPr>
      </w:pPr>
      <w:r w:rsidRPr="00420B37">
        <w:rPr>
          <w:lang w:val="en-AU"/>
        </w:rPr>
        <w:t xml:space="preserve">The </w:t>
      </w:r>
      <w:r w:rsidR="007F1E36" w:rsidRPr="00420B37">
        <w:rPr>
          <w:lang w:val="en-AU"/>
        </w:rPr>
        <w:t xml:space="preserve">CSG </w:t>
      </w:r>
      <w:r w:rsidRPr="00420B37">
        <w:rPr>
          <w:lang w:val="en-AU"/>
        </w:rPr>
        <w:t>complement</w:t>
      </w:r>
      <w:r w:rsidR="007F1E36" w:rsidRPr="00420B37">
        <w:rPr>
          <w:lang w:val="en-AU"/>
        </w:rPr>
        <w:t>s</w:t>
      </w:r>
      <w:r w:rsidRPr="00420B37">
        <w:rPr>
          <w:lang w:val="en-AU"/>
        </w:rPr>
        <w:t xml:space="preserve"> Telstra’s requirements under the USO to provide</w:t>
      </w:r>
      <w:r w:rsidR="00602F62">
        <w:rPr>
          <w:lang w:val="en-AU"/>
        </w:rPr>
        <w:t xml:space="preserve"> people in</w:t>
      </w:r>
      <w:r w:rsidRPr="00420B37">
        <w:rPr>
          <w:lang w:val="en-AU"/>
        </w:rPr>
        <w:t xml:space="preserve"> Australia with access to voice services, regardless of where they live or work. Under the </w:t>
      </w:r>
      <w:r w:rsidR="004549DB" w:rsidRPr="00420B37">
        <w:rPr>
          <w:lang w:val="en-AU"/>
        </w:rPr>
        <w:t xml:space="preserve">TCPSS </w:t>
      </w:r>
      <w:r w:rsidRPr="00420B37">
        <w:rPr>
          <w:lang w:val="en-AU"/>
        </w:rPr>
        <w:t>Act,</w:t>
      </w:r>
      <w:r w:rsidRPr="00420B37">
        <w:rPr>
          <w:i/>
          <w:lang w:val="en-AU"/>
        </w:rPr>
        <w:t xml:space="preserve"> </w:t>
      </w:r>
      <w:r w:rsidRPr="00420B37">
        <w:rPr>
          <w:lang w:val="en-AU"/>
        </w:rPr>
        <w:t>Telstra has a legislated requirement to provide STS</w:t>
      </w:r>
      <w:r w:rsidR="002B58F1" w:rsidRPr="00420B37">
        <w:rPr>
          <w:lang w:val="en-AU"/>
        </w:rPr>
        <w:t xml:space="preserve"> (and </w:t>
      </w:r>
      <w:r w:rsidRPr="00420B37">
        <w:rPr>
          <w:lang w:val="en-AU"/>
        </w:rPr>
        <w:t>payphones</w:t>
      </w:r>
      <w:r w:rsidR="002B58F1" w:rsidRPr="00420B37">
        <w:rPr>
          <w:lang w:val="en-AU"/>
        </w:rPr>
        <w:t>)</w:t>
      </w:r>
      <w:r w:rsidRPr="00420B37">
        <w:rPr>
          <w:lang w:val="en-AU"/>
        </w:rPr>
        <w:t xml:space="preserve"> on reasonable request nationally. Telstra has an existing contract with the Commonwealth to deliver the USO – the Telstra Universal Service Obligation Performance Agreement (TUSOPA) – which </w:t>
      </w:r>
      <w:r w:rsidR="001E768B">
        <w:rPr>
          <w:lang w:val="en-AU"/>
        </w:rPr>
        <w:t xml:space="preserve">commenced </w:t>
      </w:r>
      <w:r w:rsidRPr="00420B37">
        <w:rPr>
          <w:lang w:val="en-AU"/>
        </w:rPr>
        <w:t xml:space="preserve">in 2012 and runs to 2032. Where Telstra provides voice services under the USO, it must seek to meet the connection, repair and appointment-keeping standards set out in the CSG Standard (and the associated benchmarks). </w:t>
      </w:r>
    </w:p>
    <w:p w14:paraId="290C0C8C" w14:textId="77777777" w:rsidR="00CF5FCF" w:rsidRPr="00420B37" w:rsidRDefault="00C605D2" w:rsidP="006E37FD">
      <w:pPr>
        <w:spacing w:before="160"/>
        <w:rPr>
          <w:lang w:val="en-AU"/>
        </w:rPr>
      </w:pPr>
      <w:r w:rsidRPr="00420B37">
        <w:rPr>
          <w:lang w:val="en-AU"/>
        </w:rPr>
        <w:t>Separate to the CSG arrangements, s</w:t>
      </w:r>
      <w:r w:rsidR="00F27417" w:rsidRPr="00420B37">
        <w:rPr>
          <w:lang w:val="en-AU"/>
        </w:rPr>
        <w:t xml:space="preserve">ection 529 of the </w:t>
      </w:r>
      <w:r w:rsidR="00F27417" w:rsidRPr="00420B37">
        <w:rPr>
          <w:i/>
          <w:lang w:val="en-AU"/>
        </w:rPr>
        <w:t xml:space="preserve">Telecommunications Act 1997 </w:t>
      </w:r>
      <w:r w:rsidR="00F27417" w:rsidRPr="00420B37">
        <w:rPr>
          <w:lang w:val="en-AU"/>
        </w:rPr>
        <w:t xml:space="preserve">allows the ACMA to </w:t>
      </w:r>
      <w:r w:rsidR="0007432E" w:rsidRPr="00420B37">
        <w:rPr>
          <w:lang w:val="en-AU"/>
        </w:rPr>
        <w:t xml:space="preserve">make </w:t>
      </w:r>
      <w:r w:rsidR="00CB32E8" w:rsidRPr="00420B37">
        <w:rPr>
          <w:lang w:val="en-AU"/>
        </w:rPr>
        <w:t xml:space="preserve">record keeping rules. </w:t>
      </w:r>
      <w:r w:rsidR="004549DB" w:rsidRPr="00420B37">
        <w:rPr>
          <w:lang w:val="en-AU"/>
        </w:rPr>
        <w:t xml:space="preserve">The </w:t>
      </w:r>
      <w:r w:rsidR="00CB32E8" w:rsidRPr="00420B37">
        <w:rPr>
          <w:lang w:val="en-AU"/>
        </w:rPr>
        <w:t>ACMA’s</w:t>
      </w:r>
      <w:r w:rsidR="00CF5FCF" w:rsidRPr="00420B37">
        <w:rPr>
          <w:lang w:val="en-AU"/>
        </w:rPr>
        <w:t xml:space="preserve"> </w:t>
      </w:r>
      <w:hyperlink r:id="rId31" w:history="1">
        <w:r w:rsidR="00CF5FCF" w:rsidRPr="00420B37">
          <w:rPr>
            <w:rStyle w:val="Hyperlink"/>
            <w:i/>
            <w:lang w:val="en-AU"/>
          </w:rPr>
          <w:t>Telecommunications (Customer Service Guarantee) Record-Keeping Rules 2011</w:t>
        </w:r>
      </w:hyperlink>
      <w:r w:rsidR="00CF5FCF" w:rsidRPr="00420B37">
        <w:rPr>
          <w:i/>
          <w:lang w:val="en-AU"/>
        </w:rPr>
        <w:t xml:space="preserve"> </w:t>
      </w:r>
      <w:r w:rsidR="00CF5FCF" w:rsidRPr="00420B37">
        <w:rPr>
          <w:lang w:val="en-AU"/>
        </w:rPr>
        <w:t>(the CSG RKRs)</w:t>
      </w:r>
      <w:r w:rsidR="00CB32E8" w:rsidRPr="00420B37">
        <w:rPr>
          <w:lang w:val="en-AU"/>
        </w:rPr>
        <w:t xml:space="preserve"> </w:t>
      </w:r>
      <w:r w:rsidR="00706279" w:rsidRPr="00420B37">
        <w:rPr>
          <w:lang w:val="en-AU"/>
        </w:rPr>
        <w:t>require</w:t>
      </w:r>
      <w:r w:rsidR="00CF5FCF" w:rsidRPr="00420B37">
        <w:rPr>
          <w:lang w:val="en-AU"/>
        </w:rPr>
        <w:t xml:space="preserve"> larger CSPs to keep and retain information about compliance with CSG benchmarks, and report on this information annually to the ACMA. </w:t>
      </w:r>
    </w:p>
    <w:p w14:paraId="4E4A2529" w14:textId="7E726609" w:rsidR="000E194C" w:rsidRPr="00420B37" w:rsidRDefault="007F1E36" w:rsidP="007F1E36">
      <w:pPr>
        <w:rPr>
          <w:lang w:val="en-AU"/>
        </w:rPr>
      </w:pPr>
      <w:r w:rsidRPr="00420B37">
        <w:rPr>
          <w:lang w:val="en-AU"/>
        </w:rPr>
        <w:t xml:space="preserve">Accordingly, </w:t>
      </w:r>
      <w:r w:rsidR="001706B9" w:rsidRPr="00420B37">
        <w:rPr>
          <w:lang w:val="en-AU"/>
        </w:rPr>
        <w:t xml:space="preserve">the </w:t>
      </w:r>
      <w:r w:rsidRPr="00420B37">
        <w:rPr>
          <w:lang w:val="en-AU"/>
        </w:rPr>
        <w:t xml:space="preserve">Ministerial direction to the ACMA, and the </w:t>
      </w:r>
      <w:r w:rsidR="009F4CFC" w:rsidRPr="00420B37">
        <w:rPr>
          <w:lang w:val="en-AU"/>
        </w:rPr>
        <w:t>C</w:t>
      </w:r>
      <w:r w:rsidR="00C7182C" w:rsidRPr="00420B37">
        <w:rPr>
          <w:lang w:val="en-AU"/>
        </w:rPr>
        <w:t xml:space="preserve">SG </w:t>
      </w:r>
      <w:r w:rsidR="000E194C" w:rsidRPr="00420B37">
        <w:rPr>
          <w:lang w:val="en-AU"/>
        </w:rPr>
        <w:t>S</w:t>
      </w:r>
      <w:r w:rsidR="00C7182C" w:rsidRPr="00420B37">
        <w:rPr>
          <w:lang w:val="en-AU"/>
        </w:rPr>
        <w:t>tandard</w:t>
      </w:r>
      <w:r w:rsidRPr="00420B37">
        <w:rPr>
          <w:lang w:val="en-AU"/>
        </w:rPr>
        <w:t xml:space="preserve"> itself</w:t>
      </w:r>
      <w:r w:rsidR="004549DB" w:rsidRPr="00420B37">
        <w:rPr>
          <w:lang w:val="en-AU"/>
        </w:rPr>
        <w:t>,</w:t>
      </w:r>
      <w:r w:rsidRPr="00420B37">
        <w:rPr>
          <w:lang w:val="en-AU"/>
        </w:rPr>
        <w:t xml:space="preserve"> are central</w:t>
      </w:r>
      <w:r w:rsidR="008D3A29" w:rsidRPr="00420B37">
        <w:rPr>
          <w:lang w:val="en-AU"/>
        </w:rPr>
        <w:t xml:space="preserve"> to the operation of the CSG</w:t>
      </w:r>
      <w:r w:rsidR="00C7182C" w:rsidRPr="00420B37">
        <w:rPr>
          <w:lang w:val="en-AU"/>
        </w:rPr>
        <w:t xml:space="preserve">, noting that any changes to the standard would </w:t>
      </w:r>
      <w:r w:rsidR="00FA433B" w:rsidRPr="00420B37">
        <w:rPr>
          <w:lang w:val="en-AU"/>
        </w:rPr>
        <w:t xml:space="preserve">have implications for the </w:t>
      </w:r>
      <w:r w:rsidR="001A7894" w:rsidRPr="00420B37">
        <w:rPr>
          <w:lang w:val="en-AU"/>
        </w:rPr>
        <w:t xml:space="preserve">CSG </w:t>
      </w:r>
      <w:r w:rsidR="00C7182C" w:rsidRPr="00420B37">
        <w:rPr>
          <w:lang w:val="en-AU"/>
        </w:rPr>
        <w:t>benchmarks</w:t>
      </w:r>
      <w:r w:rsidR="008D3A29" w:rsidRPr="00420B37">
        <w:rPr>
          <w:lang w:val="en-AU"/>
        </w:rPr>
        <w:t xml:space="preserve">. Any </w:t>
      </w:r>
      <w:r w:rsidR="00E227FF">
        <w:rPr>
          <w:lang w:val="en-AU"/>
        </w:rPr>
        <w:t xml:space="preserve">ACMA </w:t>
      </w:r>
      <w:r w:rsidR="008D3A29" w:rsidRPr="00420B37">
        <w:rPr>
          <w:lang w:val="en-AU"/>
        </w:rPr>
        <w:t xml:space="preserve">RKRs are similarly dependent on </w:t>
      </w:r>
      <w:r w:rsidR="00E227FF">
        <w:rPr>
          <w:lang w:val="en-AU"/>
        </w:rPr>
        <w:t xml:space="preserve">the </w:t>
      </w:r>
      <w:r w:rsidR="005D6E37" w:rsidRPr="00420B37">
        <w:rPr>
          <w:lang w:val="en-AU"/>
        </w:rPr>
        <w:t xml:space="preserve">other </w:t>
      </w:r>
      <w:r w:rsidR="008D3A29" w:rsidRPr="00420B37">
        <w:rPr>
          <w:lang w:val="en-AU"/>
        </w:rPr>
        <w:t>CSG instruments and their details</w:t>
      </w:r>
      <w:r w:rsidR="00CB7AAB" w:rsidRPr="00420B37">
        <w:rPr>
          <w:lang w:val="en-AU"/>
        </w:rPr>
        <w:t>.</w:t>
      </w:r>
      <w:r w:rsidR="00706279" w:rsidRPr="00420B37">
        <w:rPr>
          <w:lang w:val="en-AU"/>
        </w:rPr>
        <w:t xml:space="preserve"> </w:t>
      </w:r>
      <w:r w:rsidR="002B58F1" w:rsidRPr="00420B37">
        <w:rPr>
          <w:lang w:val="en-AU"/>
        </w:rPr>
        <w:lastRenderedPageBreak/>
        <w:t>Many</w:t>
      </w:r>
      <w:r w:rsidR="00BF01F6" w:rsidRPr="00420B37">
        <w:rPr>
          <w:lang w:val="en-AU"/>
        </w:rPr>
        <w:t xml:space="preserve"> </w:t>
      </w:r>
      <w:r w:rsidR="00FA433B" w:rsidRPr="00420B37">
        <w:rPr>
          <w:lang w:val="en-AU"/>
        </w:rPr>
        <w:t xml:space="preserve">definitions </w:t>
      </w:r>
      <w:r w:rsidR="00BF01F6" w:rsidRPr="00420B37">
        <w:rPr>
          <w:lang w:val="en-AU"/>
        </w:rPr>
        <w:t xml:space="preserve">and </w:t>
      </w:r>
      <w:r w:rsidR="00CB32E8" w:rsidRPr="00420B37">
        <w:rPr>
          <w:lang w:val="en-AU"/>
        </w:rPr>
        <w:t>c</w:t>
      </w:r>
      <w:r w:rsidR="00BF01F6" w:rsidRPr="00420B37">
        <w:rPr>
          <w:lang w:val="en-AU"/>
        </w:rPr>
        <w:t xml:space="preserve">oncepts </w:t>
      </w:r>
      <w:r w:rsidR="004559C6" w:rsidRPr="00420B37">
        <w:rPr>
          <w:lang w:val="en-AU"/>
        </w:rPr>
        <w:t>in the</w:t>
      </w:r>
      <w:r w:rsidR="00BF01F6" w:rsidRPr="00420B37">
        <w:rPr>
          <w:lang w:val="en-AU"/>
        </w:rPr>
        <w:t xml:space="preserve"> </w:t>
      </w:r>
      <w:r w:rsidR="00706279" w:rsidRPr="00420B37">
        <w:rPr>
          <w:lang w:val="en-AU"/>
        </w:rPr>
        <w:t xml:space="preserve">CSG </w:t>
      </w:r>
      <w:r w:rsidR="004559C6" w:rsidRPr="00420B37">
        <w:rPr>
          <w:lang w:val="en-AU"/>
        </w:rPr>
        <w:t>S</w:t>
      </w:r>
      <w:r w:rsidR="00BF01F6" w:rsidRPr="00420B37">
        <w:rPr>
          <w:lang w:val="en-AU"/>
        </w:rPr>
        <w:t>tandard are</w:t>
      </w:r>
      <w:r w:rsidR="004559C6" w:rsidRPr="00420B37">
        <w:rPr>
          <w:lang w:val="en-AU"/>
        </w:rPr>
        <w:t xml:space="preserve"> also</w:t>
      </w:r>
      <w:r w:rsidR="00BF01F6" w:rsidRPr="00420B37">
        <w:rPr>
          <w:lang w:val="en-AU"/>
        </w:rPr>
        <w:t xml:space="preserve"> used and incorporated in </w:t>
      </w:r>
      <w:r w:rsidR="00706279" w:rsidRPr="00420B37">
        <w:rPr>
          <w:lang w:val="en-AU"/>
        </w:rPr>
        <w:t xml:space="preserve">other </w:t>
      </w:r>
      <w:r w:rsidR="00BF01F6" w:rsidRPr="00420B37">
        <w:rPr>
          <w:lang w:val="en-AU"/>
        </w:rPr>
        <w:t xml:space="preserve">regulatory </w:t>
      </w:r>
      <w:r w:rsidR="00706279" w:rsidRPr="00420B37">
        <w:rPr>
          <w:lang w:val="en-AU"/>
        </w:rPr>
        <w:t>instruments</w:t>
      </w:r>
      <w:r w:rsidR="00BF01F6" w:rsidRPr="00420B37">
        <w:rPr>
          <w:lang w:val="en-AU"/>
        </w:rPr>
        <w:t xml:space="preserve"> </w:t>
      </w:r>
      <w:r w:rsidR="004549DB" w:rsidRPr="00420B37">
        <w:rPr>
          <w:lang w:val="en-AU"/>
        </w:rPr>
        <w:t>related to</w:t>
      </w:r>
      <w:r w:rsidR="00BF01F6" w:rsidRPr="00420B37">
        <w:rPr>
          <w:lang w:val="en-AU"/>
        </w:rPr>
        <w:t xml:space="preserve"> </w:t>
      </w:r>
      <w:r w:rsidR="00CB32E8" w:rsidRPr="00420B37">
        <w:rPr>
          <w:lang w:val="en-AU"/>
        </w:rPr>
        <w:t xml:space="preserve">the supply of </w:t>
      </w:r>
      <w:r w:rsidR="002B58F1" w:rsidRPr="00420B37">
        <w:rPr>
          <w:lang w:val="en-AU"/>
        </w:rPr>
        <w:t>STS</w:t>
      </w:r>
      <w:r w:rsidR="008D4296" w:rsidRPr="00420B37">
        <w:rPr>
          <w:lang w:val="en-AU"/>
        </w:rPr>
        <w:t>,</w:t>
      </w:r>
      <w:r w:rsidR="002B58F1" w:rsidRPr="00420B37">
        <w:rPr>
          <w:lang w:val="en-AU"/>
        </w:rPr>
        <w:t xml:space="preserve"> </w:t>
      </w:r>
      <w:r w:rsidR="000E194C" w:rsidRPr="00420B37">
        <w:rPr>
          <w:lang w:val="en-AU"/>
        </w:rPr>
        <w:t>such as</w:t>
      </w:r>
      <w:r w:rsidR="008D4296" w:rsidRPr="00420B37">
        <w:rPr>
          <w:lang w:val="en-AU"/>
        </w:rPr>
        <w:t xml:space="preserve"> Telstra’s </w:t>
      </w:r>
      <w:hyperlink r:id="rId32" w:history="1">
        <w:r w:rsidR="008D4296" w:rsidRPr="00420B37">
          <w:rPr>
            <w:rStyle w:val="Hyperlink"/>
            <w:lang w:val="en-AU"/>
          </w:rPr>
          <w:t>carrier licence</w:t>
        </w:r>
        <w:r w:rsidR="002B58F1" w:rsidRPr="00420B37">
          <w:rPr>
            <w:rStyle w:val="Hyperlink"/>
            <w:lang w:val="en-AU"/>
          </w:rPr>
          <w:t xml:space="preserve"> </w:t>
        </w:r>
        <w:r w:rsidR="008D4296" w:rsidRPr="00420B37">
          <w:rPr>
            <w:rStyle w:val="Hyperlink"/>
            <w:lang w:val="en-AU"/>
          </w:rPr>
          <w:t>conditions</w:t>
        </w:r>
      </w:hyperlink>
      <w:r w:rsidR="000E194C" w:rsidRPr="00420B37">
        <w:rPr>
          <w:lang w:val="en-AU"/>
        </w:rPr>
        <w:t>.</w:t>
      </w:r>
    </w:p>
    <w:p w14:paraId="0D80689E" w14:textId="77777777" w:rsidR="00F431DB" w:rsidRPr="00420B37" w:rsidRDefault="00F431DB" w:rsidP="007F1E36">
      <w:pPr>
        <w:rPr>
          <w:lang w:val="en-AU"/>
        </w:rPr>
      </w:pPr>
      <w:r w:rsidRPr="00420B37">
        <w:rPr>
          <w:lang w:val="en-AU"/>
        </w:rPr>
        <w:t xml:space="preserve">The CSG has to date been limited to fixed voice services. It has not applied to broadband services. It was </w:t>
      </w:r>
      <w:r w:rsidR="00180159" w:rsidRPr="00420B37">
        <w:rPr>
          <w:lang w:val="en-AU"/>
        </w:rPr>
        <w:t xml:space="preserve">also </w:t>
      </w:r>
      <w:r w:rsidRPr="00420B37">
        <w:rPr>
          <w:lang w:val="en-AU"/>
        </w:rPr>
        <w:t xml:space="preserve">not applied to mobile services because they involve different connection and repair processes – i.e. these matters are managed separately and typically they do not require a technician to visit a </w:t>
      </w:r>
      <w:r w:rsidR="006A3941" w:rsidRPr="00420B37">
        <w:rPr>
          <w:lang w:val="en-AU"/>
        </w:rPr>
        <w:t>premise</w:t>
      </w:r>
      <w:r w:rsidRPr="00420B37">
        <w:rPr>
          <w:lang w:val="en-AU"/>
        </w:rPr>
        <w:t>.</w:t>
      </w:r>
    </w:p>
    <w:p w14:paraId="123A3D42" w14:textId="77777777" w:rsidR="009862AA" w:rsidRPr="00420B37" w:rsidRDefault="00F431DB" w:rsidP="009549CF">
      <w:pPr>
        <w:pStyle w:val="Heading2"/>
        <w:spacing w:after="80"/>
        <w:rPr>
          <w:lang w:val="en-AU"/>
        </w:rPr>
      </w:pPr>
      <w:bookmarkStart w:id="23" w:name="_Toc127530722"/>
      <w:r w:rsidRPr="00420B37">
        <w:rPr>
          <w:lang w:val="en-AU"/>
        </w:rPr>
        <w:t xml:space="preserve">Relevant </w:t>
      </w:r>
      <w:r w:rsidR="008A4D71" w:rsidRPr="00420B37">
        <w:rPr>
          <w:lang w:val="en-AU"/>
        </w:rPr>
        <w:t xml:space="preserve">market </w:t>
      </w:r>
      <w:r w:rsidR="00F13D21" w:rsidRPr="00420B37">
        <w:rPr>
          <w:lang w:val="en-AU"/>
        </w:rPr>
        <w:t>developments</w:t>
      </w:r>
      <w:bookmarkEnd w:id="23"/>
    </w:p>
    <w:p w14:paraId="5F4CC7DE" w14:textId="77777777" w:rsidR="001706B9" w:rsidRPr="00420B37" w:rsidRDefault="001706B9" w:rsidP="00180159">
      <w:pPr>
        <w:rPr>
          <w:lang w:val="en-AU"/>
        </w:rPr>
      </w:pPr>
      <w:r w:rsidRPr="00420B37">
        <w:rPr>
          <w:lang w:val="en-AU"/>
        </w:rPr>
        <w:t>This section outlines some important changes in Australia’s telecommunications marketplace relevant to the future operation of the CSG as background</w:t>
      </w:r>
      <w:r w:rsidR="001E768B">
        <w:rPr>
          <w:lang w:val="en-AU"/>
        </w:rPr>
        <w:t>,</w:t>
      </w:r>
      <w:r w:rsidRPr="00420B37">
        <w:rPr>
          <w:lang w:val="en-AU"/>
        </w:rPr>
        <w:t xml:space="preserve"> to </w:t>
      </w:r>
      <w:r w:rsidR="001E768B">
        <w:rPr>
          <w:lang w:val="en-AU"/>
        </w:rPr>
        <w:t xml:space="preserve">assist with any </w:t>
      </w:r>
      <w:r w:rsidRPr="00420B37">
        <w:rPr>
          <w:lang w:val="en-AU"/>
        </w:rPr>
        <w:t>comment</w:t>
      </w:r>
      <w:r w:rsidR="001E768B">
        <w:rPr>
          <w:lang w:val="en-AU"/>
        </w:rPr>
        <w:t>s</w:t>
      </w:r>
      <w:r w:rsidRPr="00420B37">
        <w:rPr>
          <w:lang w:val="en-AU"/>
        </w:rPr>
        <w:t xml:space="preserve"> on the future role of the CSG and the need for possible change, whether to the CSG as a policy </w:t>
      </w:r>
      <w:r w:rsidR="00602F62">
        <w:rPr>
          <w:lang w:val="en-AU"/>
        </w:rPr>
        <w:t>mechanism</w:t>
      </w:r>
      <w:r w:rsidR="00602F62" w:rsidRPr="00420B37">
        <w:rPr>
          <w:lang w:val="en-AU"/>
        </w:rPr>
        <w:t xml:space="preserve"> </w:t>
      </w:r>
      <w:r w:rsidRPr="00420B37">
        <w:rPr>
          <w:lang w:val="en-AU"/>
        </w:rPr>
        <w:t xml:space="preserve">or to its details.  </w:t>
      </w:r>
    </w:p>
    <w:p w14:paraId="1F9C8703" w14:textId="77777777" w:rsidR="005866EA" w:rsidRPr="00420B37" w:rsidRDefault="005866EA" w:rsidP="005866EA">
      <w:pPr>
        <w:pStyle w:val="Heading3"/>
        <w:rPr>
          <w:lang w:val="en-AU"/>
        </w:rPr>
      </w:pPr>
      <w:bookmarkStart w:id="24" w:name="_Toc127530723"/>
      <w:r w:rsidRPr="00420B37">
        <w:rPr>
          <w:lang w:val="en-AU"/>
        </w:rPr>
        <w:t>Changing community use of voice services</w:t>
      </w:r>
      <w:bookmarkEnd w:id="24"/>
    </w:p>
    <w:p w14:paraId="52F43F20" w14:textId="50F83C52" w:rsidR="0053025C" w:rsidRPr="00420B37" w:rsidRDefault="005866EA" w:rsidP="005866EA">
      <w:pPr>
        <w:rPr>
          <w:lang w:val="en-AU"/>
        </w:rPr>
      </w:pPr>
      <w:r w:rsidRPr="00420B37">
        <w:rPr>
          <w:lang w:val="en-AU"/>
        </w:rPr>
        <w:t xml:space="preserve">While access to voice services under USO arrangements (and associated protections under the CSG) </w:t>
      </w:r>
      <w:r w:rsidR="001706B9" w:rsidRPr="00420B37">
        <w:rPr>
          <w:lang w:val="en-AU"/>
        </w:rPr>
        <w:t xml:space="preserve">is </w:t>
      </w:r>
      <w:r w:rsidRPr="00420B37">
        <w:rPr>
          <w:lang w:val="en-AU"/>
        </w:rPr>
        <w:t>still important to different consumer groups, including communities in regional and remote areas, the way consumers access voice services has significantly changed</w:t>
      </w:r>
      <w:r w:rsidR="001706B9" w:rsidRPr="00420B37">
        <w:rPr>
          <w:lang w:val="en-AU"/>
        </w:rPr>
        <w:t xml:space="preserve"> since the CSG was put in place</w:t>
      </w:r>
      <w:r w:rsidRPr="00420B37">
        <w:rPr>
          <w:lang w:val="en-AU"/>
        </w:rPr>
        <w:t>. Recent ACMA research shows the use of fixed-line home phones has continually declined, with only approx</w:t>
      </w:r>
      <w:r w:rsidR="001E768B">
        <w:rPr>
          <w:lang w:val="en-AU"/>
        </w:rPr>
        <w:t>imately</w:t>
      </w:r>
      <w:r w:rsidRPr="00420B37">
        <w:rPr>
          <w:lang w:val="en-AU"/>
        </w:rPr>
        <w:t xml:space="preserve"> 36% of adult Australians now having a </w:t>
      </w:r>
      <w:r w:rsidR="00180159" w:rsidRPr="00420B37">
        <w:rPr>
          <w:lang w:val="en-AU"/>
        </w:rPr>
        <w:t xml:space="preserve">fixed voice </w:t>
      </w:r>
      <w:r w:rsidRPr="00420B37">
        <w:rPr>
          <w:lang w:val="en-AU"/>
        </w:rPr>
        <w:t xml:space="preserve">service and </w:t>
      </w:r>
      <w:r w:rsidR="004549DB" w:rsidRPr="00420B37">
        <w:rPr>
          <w:lang w:val="en-AU"/>
        </w:rPr>
        <w:t>approx</w:t>
      </w:r>
      <w:r w:rsidR="001E768B">
        <w:rPr>
          <w:lang w:val="en-AU"/>
        </w:rPr>
        <w:t xml:space="preserve">imately </w:t>
      </w:r>
      <w:r w:rsidRPr="00420B37">
        <w:rPr>
          <w:lang w:val="en-AU"/>
        </w:rPr>
        <w:t>63% relying solely on a mobile service to make voice calls at home (compared to 29% in 2015).</w:t>
      </w:r>
      <w:r w:rsidRPr="00420B37">
        <w:rPr>
          <w:rStyle w:val="FootnoteReference"/>
          <w:lang w:val="en-AU"/>
        </w:rPr>
        <w:footnoteReference w:id="8"/>
      </w:r>
      <w:r w:rsidRPr="00420B37">
        <w:rPr>
          <w:lang w:val="en-AU"/>
        </w:rPr>
        <w:t xml:space="preserve"> </w:t>
      </w:r>
    </w:p>
    <w:p w14:paraId="7F26A1F0" w14:textId="77777777" w:rsidR="0053025C" w:rsidRPr="00420B37" w:rsidRDefault="0053025C" w:rsidP="0053025C">
      <w:pPr>
        <w:ind w:right="-308"/>
        <w:rPr>
          <w:lang w:val="en-AU"/>
        </w:rPr>
      </w:pPr>
      <w:r w:rsidRPr="00420B37">
        <w:rPr>
          <w:lang w:val="en-AU"/>
        </w:rPr>
        <w:t xml:space="preserve">By contrast, </w:t>
      </w:r>
      <w:r w:rsidR="0025569B" w:rsidRPr="00420B37">
        <w:rPr>
          <w:lang w:val="en-AU"/>
        </w:rPr>
        <w:t>over 8</w:t>
      </w:r>
      <w:r w:rsidRPr="00420B37">
        <w:rPr>
          <w:lang w:val="en-AU"/>
        </w:rPr>
        <w:t xml:space="preserve"> million premises have fixed broadband connections and there are over 30 million mobile services in operation. (Neither of these services are directly covered by the CSG.) </w:t>
      </w:r>
    </w:p>
    <w:p w14:paraId="081F62EF" w14:textId="77777777" w:rsidR="005866EA" w:rsidRPr="00420B37" w:rsidRDefault="005866EA" w:rsidP="005866EA">
      <w:pPr>
        <w:rPr>
          <w:lang w:val="en-AU"/>
        </w:rPr>
      </w:pPr>
      <w:r w:rsidRPr="00420B37">
        <w:rPr>
          <w:lang w:val="en-AU"/>
        </w:rPr>
        <w:t xml:space="preserve">This suggests some consumers may prefer mobile services to having a dedicated fixed voice service at home, or may not wish to pay for multiple voice services. It is also the case that fixed broadband connections can also now be </w:t>
      </w:r>
      <w:r w:rsidR="0053025C" w:rsidRPr="00420B37">
        <w:rPr>
          <w:lang w:val="en-AU"/>
        </w:rPr>
        <w:t xml:space="preserve">used </w:t>
      </w:r>
      <w:r w:rsidRPr="00420B37">
        <w:rPr>
          <w:lang w:val="en-AU"/>
        </w:rPr>
        <w:t xml:space="preserve">in different ways to support voice communication, such as through Wi-Fi calling or </w:t>
      </w:r>
      <w:r w:rsidR="0025569B" w:rsidRPr="00420B37">
        <w:rPr>
          <w:lang w:val="en-AU"/>
        </w:rPr>
        <w:t>voice over internet protocol (</w:t>
      </w:r>
      <w:r w:rsidRPr="00420B37">
        <w:rPr>
          <w:lang w:val="en-AU"/>
        </w:rPr>
        <w:t>VoIP</w:t>
      </w:r>
      <w:r w:rsidR="0025569B" w:rsidRPr="00420B37">
        <w:rPr>
          <w:lang w:val="en-AU"/>
        </w:rPr>
        <w:t>)</w:t>
      </w:r>
      <w:r w:rsidRPr="00420B37">
        <w:rPr>
          <w:lang w:val="en-AU"/>
        </w:rPr>
        <w:t>.</w:t>
      </w:r>
    </w:p>
    <w:p w14:paraId="37233049" w14:textId="47B5353D" w:rsidR="003D56D0" w:rsidRPr="00420B37" w:rsidRDefault="00AD7863" w:rsidP="005866EA">
      <w:pPr>
        <w:rPr>
          <w:lang w:val="en-AU"/>
        </w:rPr>
      </w:pPr>
      <w:r w:rsidRPr="00420B37">
        <w:rPr>
          <w:lang w:val="en-AU"/>
        </w:rPr>
        <w:t>While the</w:t>
      </w:r>
      <w:r w:rsidR="00FA2B50" w:rsidRPr="00420B37">
        <w:rPr>
          <w:lang w:val="en-AU"/>
        </w:rPr>
        <w:t xml:space="preserve"> CSG arrangements</w:t>
      </w:r>
      <w:r w:rsidRPr="00420B37">
        <w:rPr>
          <w:lang w:val="en-AU"/>
        </w:rPr>
        <w:t xml:space="preserve"> are focused on providing </w:t>
      </w:r>
      <w:r w:rsidR="004549DB" w:rsidRPr="00420B37">
        <w:rPr>
          <w:lang w:val="en-AU"/>
        </w:rPr>
        <w:t xml:space="preserve">for the </w:t>
      </w:r>
      <w:r w:rsidRPr="00420B37">
        <w:rPr>
          <w:lang w:val="en-AU"/>
        </w:rPr>
        <w:t>prompt connection and repair of fixed voice services to premises</w:t>
      </w:r>
      <w:r w:rsidR="00FA2B50" w:rsidRPr="00420B37">
        <w:rPr>
          <w:lang w:val="en-AU"/>
        </w:rPr>
        <w:t xml:space="preserve">, </w:t>
      </w:r>
      <w:r w:rsidR="00365C47" w:rsidRPr="00420B37">
        <w:rPr>
          <w:lang w:val="en-AU"/>
        </w:rPr>
        <w:t xml:space="preserve">the CSG Standard provides </w:t>
      </w:r>
      <w:r w:rsidR="005D6E37" w:rsidRPr="00420B37">
        <w:rPr>
          <w:lang w:val="en-AU"/>
        </w:rPr>
        <w:t xml:space="preserve">flexibility for providers to offer </w:t>
      </w:r>
      <w:r w:rsidR="00FA2B50" w:rsidRPr="00420B37">
        <w:rPr>
          <w:lang w:val="en-AU"/>
        </w:rPr>
        <w:t xml:space="preserve">interim </w:t>
      </w:r>
      <w:r w:rsidR="0026305F" w:rsidRPr="00420B37">
        <w:rPr>
          <w:lang w:val="en-AU"/>
        </w:rPr>
        <w:t xml:space="preserve">or alternative </w:t>
      </w:r>
      <w:r w:rsidR="00C22C73" w:rsidRPr="00420B37">
        <w:rPr>
          <w:lang w:val="en-AU"/>
        </w:rPr>
        <w:t xml:space="preserve">voice </w:t>
      </w:r>
      <w:r w:rsidR="00FA2B50" w:rsidRPr="00420B37">
        <w:rPr>
          <w:lang w:val="en-AU"/>
        </w:rPr>
        <w:t xml:space="preserve">services to consumers if </w:t>
      </w:r>
      <w:r w:rsidR="00365C47" w:rsidRPr="00420B37">
        <w:rPr>
          <w:lang w:val="en-AU"/>
        </w:rPr>
        <w:t>they cannot meet the</w:t>
      </w:r>
      <w:r w:rsidR="00FA2B50" w:rsidRPr="00420B37">
        <w:rPr>
          <w:lang w:val="en-AU"/>
        </w:rPr>
        <w:t xml:space="preserve"> </w:t>
      </w:r>
      <w:r w:rsidRPr="00420B37">
        <w:rPr>
          <w:lang w:val="en-AU"/>
        </w:rPr>
        <w:t>CSG connection or repair timeframes</w:t>
      </w:r>
      <w:r w:rsidR="0026305F" w:rsidRPr="00420B37">
        <w:rPr>
          <w:lang w:val="en-AU"/>
        </w:rPr>
        <w:t>.</w:t>
      </w:r>
      <w:r w:rsidRPr="00420B37">
        <w:rPr>
          <w:lang w:val="en-AU"/>
        </w:rPr>
        <w:t xml:space="preserve"> </w:t>
      </w:r>
      <w:r w:rsidR="00031BB9" w:rsidRPr="00420B37">
        <w:rPr>
          <w:lang w:val="en-AU"/>
        </w:rPr>
        <w:t xml:space="preserve">In making such offers, the provider is required to provide an </w:t>
      </w:r>
      <w:r w:rsidR="00031BB9" w:rsidRPr="00420B37">
        <w:rPr>
          <w:color w:val="000000"/>
          <w:shd w:val="clear" w:color="auto" w:fill="FFFFFF"/>
          <w:lang w:val="en-AU"/>
        </w:rPr>
        <w:t xml:space="preserve">estimate of the time to repair or connect the CSG service. The Department understands </w:t>
      </w:r>
      <w:r w:rsidR="00031BB9" w:rsidRPr="00420B37">
        <w:rPr>
          <w:lang w:val="en-AU"/>
        </w:rPr>
        <w:t>interim</w:t>
      </w:r>
      <w:r w:rsidR="006F3703" w:rsidRPr="00420B37">
        <w:rPr>
          <w:lang w:val="en-AU"/>
        </w:rPr>
        <w:t xml:space="preserve"> </w:t>
      </w:r>
      <w:r w:rsidR="00C22C73" w:rsidRPr="00420B37">
        <w:rPr>
          <w:lang w:val="en-AU"/>
        </w:rPr>
        <w:t xml:space="preserve">services </w:t>
      </w:r>
      <w:r w:rsidR="00031BB9" w:rsidRPr="00420B37">
        <w:rPr>
          <w:lang w:val="en-AU"/>
        </w:rPr>
        <w:t xml:space="preserve">are typically offered over </w:t>
      </w:r>
      <w:r w:rsidR="0026305F" w:rsidRPr="00420B37">
        <w:rPr>
          <w:lang w:val="en-AU"/>
        </w:rPr>
        <w:t xml:space="preserve">mobile </w:t>
      </w:r>
      <w:r w:rsidR="00365C47" w:rsidRPr="00420B37">
        <w:rPr>
          <w:lang w:val="en-AU"/>
        </w:rPr>
        <w:t xml:space="preserve">networks, but </w:t>
      </w:r>
      <w:r w:rsidR="00031BB9" w:rsidRPr="00420B37">
        <w:rPr>
          <w:lang w:val="en-AU"/>
        </w:rPr>
        <w:t xml:space="preserve">interim services </w:t>
      </w:r>
      <w:r w:rsidR="00365C47" w:rsidRPr="00420B37">
        <w:rPr>
          <w:lang w:val="en-AU"/>
        </w:rPr>
        <w:t xml:space="preserve">may also be </w:t>
      </w:r>
      <w:r w:rsidR="00031BB9" w:rsidRPr="00420B37">
        <w:rPr>
          <w:lang w:val="en-AU"/>
        </w:rPr>
        <w:t xml:space="preserve">offered </w:t>
      </w:r>
      <w:r w:rsidR="00365C47" w:rsidRPr="00420B37">
        <w:rPr>
          <w:lang w:val="en-AU"/>
        </w:rPr>
        <w:t>over other networks (such as satellite)</w:t>
      </w:r>
      <w:r w:rsidR="00031BB9" w:rsidRPr="00420B37">
        <w:rPr>
          <w:lang w:val="en-AU"/>
        </w:rPr>
        <w:t>.</w:t>
      </w:r>
      <w:r w:rsidR="0026305F" w:rsidRPr="00420B37">
        <w:rPr>
          <w:lang w:val="en-AU"/>
        </w:rPr>
        <w:t xml:space="preserve"> If accepted</w:t>
      </w:r>
      <w:r w:rsidR="00365C47" w:rsidRPr="00420B37">
        <w:rPr>
          <w:lang w:val="en-AU"/>
        </w:rPr>
        <w:t xml:space="preserve">, interim services </w:t>
      </w:r>
      <w:r w:rsidR="00C22C73" w:rsidRPr="00420B37">
        <w:rPr>
          <w:lang w:val="en-AU"/>
        </w:rPr>
        <w:t xml:space="preserve">can be provided for up to </w:t>
      </w:r>
      <w:r w:rsidR="00610619">
        <w:rPr>
          <w:lang w:val="en-AU"/>
        </w:rPr>
        <w:t>6</w:t>
      </w:r>
      <w:r w:rsidR="00610619" w:rsidRPr="00420B37">
        <w:rPr>
          <w:lang w:val="en-AU"/>
        </w:rPr>
        <w:t xml:space="preserve"> </w:t>
      </w:r>
      <w:r w:rsidR="00C22C73" w:rsidRPr="00420B37">
        <w:rPr>
          <w:lang w:val="en-AU"/>
        </w:rPr>
        <w:t xml:space="preserve">months, or longer if the customer agrees. </w:t>
      </w:r>
      <w:r w:rsidR="0025569B" w:rsidRPr="00420B37">
        <w:rPr>
          <w:lang w:val="en-AU"/>
        </w:rPr>
        <w:t xml:space="preserve">Alternative services may include arrangements to redirect calls to another number. </w:t>
      </w:r>
      <w:r w:rsidR="00365C47" w:rsidRPr="00420B37">
        <w:rPr>
          <w:lang w:val="en-AU"/>
        </w:rPr>
        <w:t xml:space="preserve">The CSG </w:t>
      </w:r>
      <w:r w:rsidR="00031BB9" w:rsidRPr="00420B37">
        <w:rPr>
          <w:lang w:val="en-AU"/>
        </w:rPr>
        <w:t xml:space="preserve">arrangements (i.e. access to compensation) </w:t>
      </w:r>
      <w:r w:rsidR="00365C47" w:rsidRPr="00420B37">
        <w:rPr>
          <w:lang w:val="en-AU"/>
        </w:rPr>
        <w:t>do not apply where a customer rejects a reasonable offer of interim or alternative voice service</w:t>
      </w:r>
      <w:r w:rsidR="00031BB9" w:rsidRPr="00420B37">
        <w:rPr>
          <w:lang w:val="en-AU"/>
        </w:rPr>
        <w:t xml:space="preserve"> or for periods where</w:t>
      </w:r>
      <w:r w:rsidR="00F82189">
        <w:rPr>
          <w:lang w:val="en-AU"/>
        </w:rPr>
        <w:t xml:space="preserve"> </w:t>
      </w:r>
      <w:r w:rsidR="00031BB9" w:rsidRPr="00420B37">
        <w:rPr>
          <w:lang w:val="en-AU"/>
        </w:rPr>
        <w:t>an interim or alternative service is being provided.</w:t>
      </w:r>
      <w:r w:rsidR="00365C47" w:rsidRPr="00420B37">
        <w:rPr>
          <w:lang w:val="en-AU"/>
        </w:rPr>
        <w:t xml:space="preserve"> </w:t>
      </w:r>
    </w:p>
    <w:p w14:paraId="5C00229B" w14:textId="77777777" w:rsidR="00F431DB" w:rsidRPr="00420B37" w:rsidRDefault="00061007" w:rsidP="00753FA5">
      <w:pPr>
        <w:rPr>
          <w:lang w:val="en-AU"/>
        </w:rPr>
      </w:pPr>
      <w:r w:rsidRPr="00420B37">
        <w:rPr>
          <w:lang w:val="en-AU"/>
        </w:rPr>
        <w:t xml:space="preserve">The Department understands </w:t>
      </w:r>
      <w:r w:rsidR="003D56D0" w:rsidRPr="00420B37">
        <w:rPr>
          <w:lang w:val="en-AU"/>
        </w:rPr>
        <w:t xml:space="preserve">that </w:t>
      </w:r>
      <w:r w:rsidR="00F6755D" w:rsidRPr="00420B37">
        <w:rPr>
          <w:lang w:val="en-AU"/>
        </w:rPr>
        <w:t xml:space="preserve">a proportion of </w:t>
      </w:r>
      <w:r w:rsidRPr="00420B37">
        <w:rPr>
          <w:lang w:val="en-AU"/>
        </w:rPr>
        <w:t xml:space="preserve">consumers </w:t>
      </w:r>
      <w:r w:rsidR="003D56D0" w:rsidRPr="00420B37">
        <w:rPr>
          <w:lang w:val="en-AU"/>
        </w:rPr>
        <w:t xml:space="preserve">choose not to </w:t>
      </w:r>
      <w:r w:rsidRPr="00420B37">
        <w:rPr>
          <w:lang w:val="en-AU"/>
        </w:rPr>
        <w:t xml:space="preserve">accept </w:t>
      </w:r>
      <w:r w:rsidR="00F6755D" w:rsidRPr="00420B37">
        <w:rPr>
          <w:lang w:val="en-AU"/>
        </w:rPr>
        <w:t xml:space="preserve">offers of </w:t>
      </w:r>
      <w:r w:rsidRPr="00420B37">
        <w:rPr>
          <w:lang w:val="en-AU"/>
        </w:rPr>
        <w:t>interim or alternative services</w:t>
      </w:r>
      <w:r w:rsidR="003D56D0" w:rsidRPr="00420B37">
        <w:rPr>
          <w:lang w:val="en-AU"/>
        </w:rPr>
        <w:t xml:space="preserve"> under CSG arrangements</w:t>
      </w:r>
      <w:r w:rsidR="00651114" w:rsidRPr="00420B37">
        <w:rPr>
          <w:lang w:val="en-AU"/>
        </w:rPr>
        <w:t xml:space="preserve">. This </w:t>
      </w:r>
      <w:r w:rsidR="00943963" w:rsidRPr="00420B37">
        <w:rPr>
          <w:lang w:val="en-AU"/>
        </w:rPr>
        <w:t xml:space="preserve">would suggest these consumers may have access to and are prepared to rely on </w:t>
      </w:r>
      <w:r w:rsidR="00B0321D" w:rsidRPr="00420B37">
        <w:rPr>
          <w:lang w:val="en-AU"/>
        </w:rPr>
        <w:t xml:space="preserve">mobile or other </w:t>
      </w:r>
      <w:r w:rsidR="00F6755D" w:rsidRPr="00420B37">
        <w:rPr>
          <w:lang w:val="en-AU"/>
        </w:rPr>
        <w:t>services</w:t>
      </w:r>
      <w:r w:rsidR="00943963" w:rsidRPr="00420B37">
        <w:rPr>
          <w:lang w:val="en-AU"/>
        </w:rPr>
        <w:t xml:space="preserve">, at least for a period, </w:t>
      </w:r>
      <w:r w:rsidR="00552C20" w:rsidRPr="00420B37">
        <w:rPr>
          <w:lang w:val="en-AU"/>
        </w:rPr>
        <w:t>if there is a delay in having their</w:t>
      </w:r>
      <w:r w:rsidR="00943963" w:rsidRPr="00420B37">
        <w:rPr>
          <w:lang w:val="en-AU"/>
        </w:rPr>
        <w:t xml:space="preserve"> fixed service connected or repaired</w:t>
      </w:r>
      <w:r w:rsidR="00F6755D" w:rsidRPr="00420B37">
        <w:rPr>
          <w:lang w:val="en-AU"/>
        </w:rPr>
        <w:t>.</w:t>
      </w:r>
    </w:p>
    <w:p w14:paraId="0C3C7618" w14:textId="5E2F02F5" w:rsidR="00F431DB" w:rsidRPr="00420B37" w:rsidRDefault="00F431DB" w:rsidP="00753FA5">
      <w:pPr>
        <w:rPr>
          <w:lang w:val="en-AU"/>
        </w:rPr>
      </w:pPr>
      <w:r w:rsidRPr="00420B37">
        <w:rPr>
          <w:lang w:val="en-AU"/>
        </w:rPr>
        <w:t xml:space="preserve">In this context </w:t>
      </w:r>
      <w:r w:rsidR="002D6760" w:rsidRPr="00420B37">
        <w:rPr>
          <w:lang w:val="en-AU"/>
        </w:rPr>
        <w:t>the CSG could be seen as less relevant as fewer people are using services to which the CSG appl</w:t>
      </w:r>
      <w:r w:rsidR="00646E0D">
        <w:rPr>
          <w:lang w:val="en-AU"/>
        </w:rPr>
        <w:t>ies</w:t>
      </w:r>
      <w:r w:rsidR="002D6760" w:rsidRPr="00420B37">
        <w:rPr>
          <w:lang w:val="en-AU"/>
        </w:rPr>
        <w:t xml:space="preserve">, but </w:t>
      </w:r>
      <w:r w:rsidR="006A3941" w:rsidRPr="00420B37">
        <w:rPr>
          <w:lang w:val="en-AU"/>
        </w:rPr>
        <w:t>conversely,</w:t>
      </w:r>
      <w:r w:rsidR="002D6760" w:rsidRPr="00420B37">
        <w:rPr>
          <w:lang w:val="en-AU"/>
        </w:rPr>
        <w:t xml:space="preserve"> they are using services without comparable protections.</w:t>
      </w:r>
    </w:p>
    <w:p w14:paraId="068B2BC6" w14:textId="77777777" w:rsidR="00BE083B" w:rsidRPr="00420B37" w:rsidRDefault="00BE083B" w:rsidP="00BE083B">
      <w:pPr>
        <w:pStyle w:val="Heading3"/>
        <w:rPr>
          <w:lang w:val="en-AU"/>
        </w:rPr>
      </w:pPr>
      <w:bookmarkStart w:id="25" w:name="_Toc127530724"/>
      <w:r w:rsidRPr="00420B37">
        <w:rPr>
          <w:lang w:val="en-AU"/>
        </w:rPr>
        <w:lastRenderedPageBreak/>
        <w:t>NBN rollout and Telstra</w:t>
      </w:r>
      <w:r w:rsidR="00C146F0" w:rsidRPr="00420B37">
        <w:rPr>
          <w:lang w:val="en-AU"/>
        </w:rPr>
        <w:t xml:space="preserve"> restructuring</w:t>
      </w:r>
      <w:bookmarkEnd w:id="25"/>
    </w:p>
    <w:p w14:paraId="241AEF1F" w14:textId="77777777" w:rsidR="00095FF5" w:rsidRPr="00420B37" w:rsidRDefault="00095FF5" w:rsidP="00095FF5">
      <w:pPr>
        <w:pStyle w:val="ListParagraph"/>
        <w:numPr>
          <w:ilvl w:val="0"/>
          <w:numId w:val="0"/>
        </w:numPr>
        <w:contextualSpacing w:val="0"/>
        <w:rPr>
          <w:lang w:val="en-AU"/>
        </w:rPr>
      </w:pPr>
      <w:r w:rsidRPr="00420B37">
        <w:rPr>
          <w:rFonts w:cs="Times New Roman"/>
          <w:szCs w:val="24"/>
          <w:lang w:val="en-AU"/>
        </w:rPr>
        <w:t xml:space="preserve">When the CSG regime commenced in 1997, Telstra was the </w:t>
      </w:r>
      <w:r w:rsidR="00602F62">
        <w:rPr>
          <w:rFonts w:cs="Times New Roman"/>
          <w:szCs w:val="24"/>
          <w:lang w:val="en-AU"/>
        </w:rPr>
        <w:t>leading</w:t>
      </w:r>
      <w:r w:rsidR="00602F62" w:rsidRPr="00420B37">
        <w:rPr>
          <w:rFonts w:cs="Times New Roman"/>
          <w:szCs w:val="24"/>
          <w:lang w:val="en-AU"/>
        </w:rPr>
        <w:t xml:space="preserve"> </w:t>
      </w:r>
      <w:r w:rsidRPr="00420B37">
        <w:rPr>
          <w:rFonts w:cs="Times New Roman"/>
          <w:szCs w:val="24"/>
          <w:lang w:val="en-AU"/>
        </w:rPr>
        <w:t xml:space="preserve">retail provider in the market, </w:t>
      </w:r>
      <w:r w:rsidR="007B3297" w:rsidRPr="00420B37">
        <w:rPr>
          <w:rFonts w:cs="Times New Roman"/>
          <w:szCs w:val="24"/>
          <w:lang w:val="en-AU"/>
        </w:rPr>
        <w:t>as well as</w:t>
      </w:r>
      <w:r w:rsidRPr="00420B37">
        <w:rPr>
          <w:rFonts w:cs="Times New Roman"/>
          <w:szCs w:val="24"/>
          <w:lang w:val="en-AU"/>
        </w:rPr>
        <w:t xml:space="preserve"> the owner and operator of a national </w:t>
      </w:r>
      <w:r w:rsidR="008D3A29" w:rsidRPr="00420B37">
        <w:rPr>
          <w:rFonts w:cs="Times New Roman"/>
          <w:szCs w:val="24"/>
          <w:lang w:val="en-AU"/>
        </w:rPr>
        <w:t>voice</w:t>
      </w:r>
      <w:r w:rsidRPr="00420B37">
        <w:rPr>
          <w:rFonts w:cs="Times New Roman"/>
          <w:szCs w:val="24"/>
          <w:lang w:val="en-AU"/>
        </w:rPr>
        <w:t xml:space="preserve"> network. As a consequence, Telstra could readily fulfil its CSG obligations as an integrated retailer and wholesaler. </w:t>
      </w:r>
      <w:r w:rsidR="005866EA" w:rsidRPr="00420B37">
        <w:rPr>
          <w:rFonts w:cs="Times New Roman"/>
          <w:szCs w:val="24"/>
          <w:lang w:val="en-AU"/>
        </w:rPr>
        <w:t xml:space="preserve">However, </w:t>
      </w:r>
      <w:r w:rsidR="005866EA" w:rsidRPr="00420B37">
        <w:rPr>
          <w:lang w:val="en-AU"/>
        </w:rPr>
        <w:t xml:space="preserve">significant reforms and changes have </w:t>
      </w:r>
      <w:r w:rsidR="004549DB" w:rsidRPr="00420B37">
        <w:rPr>
          <w:lang w:val="en-AU"/>
        </w:rPr>
        <w:t xml:space="preserve">since </w:t>
      </w:r>
      <w:r w:rsidR="005866EA" w:rsidRPr="00420B37">
        <w:rPr>
          <w:lang w:val="en-AU"/>
        </w:rPr>
        <w:t xml:space="preserve">occurred, including the rollout of the NBN.  </w:t>
      </w:r>
    </w:p>
    <w:p w14:paraId="385447D6" w14:textId="77777777" w:rsidR="002D6760" w:rsidRPr="00420B37" w:rsidRDefault="00095FF5" w:rsidP="00095FF5">
      <w:pPr>
        <w:rPr>
          <w:lang w:val="en-AU"/>
        </w:rPr>
      </w:pPr>
      <w:r w:rsidRPr="00420B37">
        <w:rPr>
          <w:lang w:val="en-AU"/>
        </w:rPr>
        <w:t xml:space="preserve">NBN Co and other similar carriers generally operate on a wholesale basis, and NBN Co has specific non-discrimination obligations. </w:t>
      </w:r>
      <w:r w:rsidR="002D6760" w:rsidRPr="00420B37">
        <w:rPr>
          <w:lang w:val="en-AU"/>
        </w:rPr>
        <w:t xml:space="preserve">NBN Co now provides the vast majority of fixed line connections in Australia. While these are fundamentally broadband services, they also support voice services. </w:t>
      </w:r>
      <w:r w:rsidR="00602F62">
        <w:rPr>
          <w:lang w:val="en-AU"/>
        </w:rPr>
        <w:t xml:space="preserve">Telstra has also largely structurally separated by transferring distribution network assets to NBN Co and migrating its retail services to the NBN. </w:t>
      </w:r>
      <w:r w:rsidRPr="00420B37">
        <w:rPr>
          <w:lang w:val="en-AU"/>
        </w:rPr>
        <w:t>In the main, this means Telstra, Optus</w:t>
      </w:r>
      <w:r w:rsidR="008616D0">
        <w:rPr>
          <w:rStyle w:val="FootnoteReference"/>
          <w:lang w:val="en-AU"/>
        </w:rPr>
        <w:footnoteReference w:id="9"/>
      </w:r>
      <w:r w:rsidRPr="00420B37">
        <w:rPr>
          <w:lang w:val="en-AU"/>
        </w:rPr>
        <w:t xml:space="preserve"> and any other </w:t>
      </w:r>
      <w:r w:rsidR="002D6760" w:rsidRPr="00420B37">
        <w:rPr>
          <w:lang w:val="en-AU"/>
        </w:rPr>
        <w:t xml:space="preserve">retailers </w:t>
      </w:r>
      <w:r w:rsidR="00C52A7B">
        <w:rPr>
          <w:lang w:val="en-AU"/>
        </w:rPr>
        <w:t>providing</w:t>
      </w:r>
      <w:r w:rsidR="00C52A7B" w:rsidRPr="00420B37">
        <w:rPr>
          <w:lang w:val="en-AU"/>
        </w:rPr>
        <w:t xml:space="preserve"> </w:t>
      </w:r>
      <w:r w:rsidRPr="00420B37">
        <w:rPr>
          <w:lang w:val="en-AU"/>
        </w:rPr>
        <w:t>CSG eligible services are heavily reliant on NBN</w:t>
      </w:r>
      <w:r w:rsidR="004549DB" w:rsidRPr="00420B37">
        <w:rPr>
          <w:lang w:val="en-AU"/>
        </w:rPr>
        <w:t xml:space="preserve"> Co</w:t>
      </w:r>
      <w:r w:rsidRPr="00420B37">
        <w:rPr>
          <w:lang w:val="en-AU"/>
        </w:rPr>
        <w:t xml:space="preserve"> or another statutory infrastructure provider (SIP) to support and maintain the local networks now used to deliver CSG services. </w:t>
      </w:r>
      <w:r w:rsidR="002D6760" w:rsidRPr="00420B37">
        <w:rPr>
          <w:lang w:val="en-AU"/>
        </w:rPr>
        <w:t>In this context, there has been greater focus on NBN Co and other SIP</w:t>
      </w:r>
      <w:r w:rsidR="0025569B" w:rsidRPr="00420B37">
        <w:rPr>
          <w:lang w:val="en-AU"/>
        </w:rPr>
        <w:t>s</w:t>
      </w:r>
      <w:r w:rsidR="002D6760" w:rsidRPr="00420B37">
        <w:rPr>
          <w:lang w:val="en-AU"/>
        </w:rPr>
        <w:t xml:space="preserve"> supporting the outcomes the CSG has previously delivered.</w:t>
      </w:r>
    </w:p>
    <w:p w14:paraId="1454B2D6" w14:textId="4C9163CB" w:rsidR="00095FF5" w:rsidRPr="00420B37" w:rsidRDefault="00095FF5" w:rsidP="00095FF5">
      <w:pPr>
        <w:rPr>
          <w:lang w:val="en-AU"/>
        </w:rPr>
      </w:pPr>
      <w:r w:rsidRPr="00420B37">
        <w:rPr>
          <w:lang w:val="en-AU"/>
        </w:rPr>
        <w:t xml:space="preserve">However, outside the NBN fixed-line footprint, Telstra continues to deliver CSG services largely using its residual copper network across rural and remote areas of Australia </w:t>
      </w:r>
      <w:r w:rsidR="007B3297" w:rsidRPr="00420B37">
        <w:rPr>
          <w:lang w:val="en-AU"/>
        </w:rPr>
        <w:t>(a</w:t>
      </w:r>
      <w:r w:rsidR="00F4469C" w:rsidRPr="00420B37">
        <w:rPr>
          <w:lang w:val="en-AU"/>
        </w:rPr>
        <w:t>pprox</w:t>
      </w:r>
      <w:r w:rsidR="00646E0D">
        <w:rPr>
          <w:lang w:val="en-AU"/>
        </w:rPr>
        <w:t>imately</w:t>
      </w:r>
      <w:r w:rsidRPr="00420B37">
        <w:rPr>
          <w:lang w:val="en-AU"/>
        </w:rPr>
        <w:t xml:space="preserve"> 8% of premises). </w:t>
      </w:r>
      <w:r w:rsidR="002D6760" w:rsidRPr="00420B37">
        <w:rPr>
          <w:lang w:val="en-AU"/>
        </w:rPr>
        <w:t>This means the CSG may remain more relevant in relation to this network.</w:t>
      </w:r>
    </w:p>
    <w:p w14:paraId="105D8A45" w14:textId="109A59F4" w:rsidR="00681B2B" w:rsidRPr="00420B37" w:rsidRDefault="002D6760" w:rsidP="00095FF5">
      <w:pPr>
        <w:rPr>
          <w:lang w:val="en-AU"/>
        </w:rPr>
      </w:pPr>
      <w:r w:rsidRPr="00420B37">
        <w:rPr>
          <w:lang w:val="en-AU"/>
        </w:rPr>
        <w:t xml:space="preserve">More recently, Telstra has </w:t>
      </w:r>
      <w:r w:rsidR="00681B2B" w:rsidRPr="00420B37">
        <w:rPr>
          <w:lang w:val="en-AU"/>
        </w:rPr>
        <w:t>initiated a corporate restructure under which it has established a number of separate companies to focus on particular aspects of its business.</w:t>
      </w:r>
      <w:r w:rsidRPr="00420B37">
        <w:rPr>
          <w:lang w:val="en-AU"/>
        </w:rPr>
        <w:t xml:space="preserve"> </w:t>
      </w:r>
      <w:r w:rsidR="00681B2B" w:rsidRPr="00420B37">
        <w:rPr>
          <w:lang w:val="en-AU"/>
        </w:rPr>
        <w:t xml:space="preserve">This includes the establishment of separate companies to operate its network and to provide services. </w:t>
      </w:r>
      <w:r w:rsidR="00646E0D">
        <w:rPr>
          <w:lang w:val="en-AU"/>
        </w:rPr>
        <w:t xml:space="preserve"> </w:t>
      </w:r>
      <w:r w:rsidR="00681B2B" w:rsidRPr="00420B37">
        <w:rPr>
          <w:lang w:val="en-AU"/>
        </w:rPr>
        <w:t>While this could raise questions about Telstra</w:t>
      </w:r>
      <w:r w:rsidR="00177F8A">
        <w:rPr>
          <w:lang w:val="en-AU"/>
        </w:rPr>
        <w:t>’s</w:t>
      </w:r>
      <w:r w:rsidR="00681B2B" w:rsidRPr="00420B37">
        <w:rPr>
          <w:lang w:val="en-AU"/>
        </w:rPr>
        <w:t xml:space="preserve"> ongoing delivery of outcomes under the CSG, Telstra has given undertakings that regulated service delivery will be unaffected and this has been backed up by new legislation</w:t>
      </w:r>
      <w:r w:rsidR="00C42F67">
        <w:rPr>
          <w:rStyle w:val="FootnoteReference"/>
          <w:lang w:val="en-AU"/>
        </w:rPr>
        <w:footnoteReference w:id="10"/>
      </w:r>
      <w:r w:rsidR="00681B2B" w:rsidRPr="00420B37">
        <w:rPr>
          <w:lang w:val="en-AU"/>
        </w:rPr>
        <w:t xml:space="preserve">. As such, the restructure should not affect CSG delivery in the absence of other changes, but any views </w:t>
      </w:r>
      <w:r w:rsidR="00F467E9">
        <w:rPr>
          <w:lang w:val="en-AU"/>
        </w:rPr>
        <w:t xml:space="preserve">to the contrary </w:t>
      </w:r>
      <w:r w:rsidR="00681B2B" w:rsidRPr="00420B37">
        <w:rPr>
          <w:lang w:val="en-AU"/>
        </w:rPr>
        <w:t>in this regard would be welcome.</w:t>
      </w:r>
    </w:p>
    <w:p w14:paraId="6F8E3A54" w14:textId="77777777" w:rsidR="00BE083B" w:rsidRPr="00420B37" w:rsidRDefault="00681B2B" w:rsidP="00BE083B">
      <w:pPr>
        <w:pStyle w:val="Heading3"/>
        <w:rPr>
          <w:lang w:val="en-AU"/>
        </w:rPr>
      </w:pPr>
      <w:bookmarkStart w:id="26" w:name="_Toc117690073"/>
      <w:bookmarkStart w:id="27" w:name="_Toc127530725"/>
      <w:r w:rsidRPr="00420B37">
        <w:rPr>
          <w:lang w:val="en-AU"/>
        </w:rPr>
        <w:t xml:space="preserve">Refocusing on </w:t>
      </w:r>
      <w:r w:rsidR="00BE083B" w:rsidRPr="00420B37">
        <w:rPr>
          <w:lang w:val="en-AU"/>
        </w:rPr>
        <w:t xml:space="preserve">wholesale </w:t>
      </w:r>
      <w:bookmarkEnd w:id="26"/>
      <w:r w:rsidR="00EA1C57" w:rsidRPr="00420B37">
        <w:rPr>
          <w:lang w:val="en-AU"/>
        </w:rPr>
        <w:t>service</w:t>
      </w:r>
      <w:r w:rsidRPr="00420B37">
        <w:rPr>
          <w:lang w:val="en-AU"/>
        </w:rPr>
        <w:t>s</w:t>
      </w:r>
      <w:bookmarkEnd w:id="27"/>
    </w:p>
    <w:p w14:paraId="3E608A5F" w14:textId="6C6A819B" w:rsidR="005866EA" w:rsidRPr="00420B37" w:rsidRDefault="00095FF5" w:rsidP="005866EA">
      <w:pPr>
        <w:rPr>
          <w:lang w:val="en-AU"/>
        </w:rPr>
      </w:pPr>
      <w:r w:rsidRPr="00420B37">
        <w:rPr>
          <w:lang w:val="en-AU"/>
        </w:rPr>
        <w:t>Given the market structure</w:t>
      </w:r>
      <w:r w:rsidR="002D6760" w:rsidRPr="00420B37">
        <w:rPr>
          <w:lang w:val="en-AU"/>
        </w:rPr>
        <w:t xml:space="preserve"> that has evolved, with a greater </w:t>
      </w:r>
      <w:r w:rsidR="00681B2B" w:rsidRPr="00420B37">
        <w:rPr>
          <w:lang w:val="en-AU"/>
        </w:rPr>
        <w:t>separation</w:t>
      </w:r>
      <w:r w:rsidR="002D6760" w:rsidRPr="00420B37">
        <w:rPr>
          <w:lang w:val="en-AU"/>
        </w:rPr>
        <w:t xml:space="preserve"> of network operations</w:t>
      </w:r>
      <w:r w:rsidR="00681B2B" w:rsidRPr="00420B37">
        <w:rPr>
          <w:lang w:val="en-AU"/>
        </w:rPr>
        <w:t xml:space="preserve"> and retail service supply</w:t>
      </w:r>
      <w:r w:rsidRPr="00420B37">
        <w:rPr>
          <w:lang w:val="en-AU"/>
        </w:rPr>
        <w:t xml:space="preserve">, </w:t>
      </w:r>
      <w:r w:rsidR="00681B2B" w:rsidRPr="00420B37">
        <w:rPr>
          <w:lang w:val="en-AU"/>
        </w:rPr>
        <w:t>as flagged above, there has been a greater focus on supporting CSG-</w:t>
      </w:r>
      <w:r w:rsidR="0025569B" w:rsidRPr="00420B37">
        <w:rPr>
          <w:lang w:val="en-AU"/>
        </w:rPr>
        <w:t xml:space="preserve">like </w:t>
      </w:r>
      <w:r w:rsidRPr="00420B37">
        <w:rPr>
          <w:lang w:val="en-AU"/>
        </w:rPr>
        <w:t xml:space="preserve">connection and repair </w:t>
      </w:r>
      <w:r w:rsidR="00681B2B" w:rsidRPr="00420B37">
        <w:rPr>
          <w:lang w:val="en-AU"/>
        </w:rPr>
        <w:t>outcomes at the wholesale network level</w:t>
      </w:r>
      <w:r w:rsidR="00C42F67">
        <w:rPr>
          <w:lang w:val="en-AU"/>
        </w:rPr>
        <w:t xml:space="preserve">. This approach </w:t>
      </w:r>
      <w:r w:rsidR="00681B2B" w:rsidRPr="00420B37">
        <w:rPr>
          <w:lang w:val="en-AU"/>
        </w:rPr>
        <w:t xml:space="preserve">also </w:t>
      </w:r>
      <w:r w:rsidR="0048400E" w:rsidRPr="00420B37">
        <w:rPr>
          <w:lang w:val="en-AU"/>
        </w:rPr>
        <w:t>protect</w:t>
      </w:r>
      <w:r w:rsidR="00C42F67">
        <w:rPr>
          <w:lang w:val="en-AU"/>
        </w:rPr>
        <w:t>s</w:t>
      </w:r>
      <w:r w:rsidR="0048400E" w:rsidRPr="00420B37">
        <w:rPr>
          <w:lang w:val="en-AU"/>
        </w:rPr>
        <w:t xml:space="preserve"> consumers in relation to the underlying broadband connections and service</w:t>
      </w:r>
      <w:r w:rsidR="0025569B" w:rsidRPr="00420B37">
        <w:rPr>
          <w:lang w:val="en-AU"/>
        </w:rPr>
        <w:t>,</w:t>
      </w:r>
      <w:r w:rsidR="0048400E" w:rsidRPr="00420B37">
        <w:rPr>
          <w:lang w:val="en-AU"/>
        </w:rPr>
        <w:t xml:space="preserve"> not just a voice service provided using that broadband service</w:t>
      </w:r>
      <w:r w:rsidRPr="00420B37">
        <w:rPr>
          <w:lang w:val="en-AU"/>
        </w:rPr>
        <w:t>.</w:t>
      </w:r>
    </w:p>
    <w:p w14:paraId="18A9410C" w14:textId="044C3FC6" w:rsidR="00BF137E" w:rsidRPr="00420B37" w:rsidRDefault="0048400E" w:rsidP="00CB32E8">
      <w:pPr>
        <w:rPr>
          <w:u w:val="single"/>
          <w:lang w:val="en-AU"/>
        </w:rPr>
      </w:pPr>
      <w:r w:rsidRPr="00420B37">
        <w:rPr>
          <w:lang w:val="en-AU"/>
        </w:rPr>
        <w:t xml:space="preserve">As noted above, </w:t>
      </w:r>
      <w:r w:rsidR="00CB32E8" w:rsidRPr="00420B37">
        <w:rPr>
          <w:lang w:val="en-AU"/>
        </w:rPr>
        <w:t xml:space="preserve">NBN Co </w:t>
      </w:r>
      <w:r w:rsidR="00C42F67">
        <w:rPr>
          <w:lang w:val="en-AU"/>
        </w:rPr>
        <w:t>has been</w:t>
      </w:r>
      <w:r w:rsidR="00CB32E8" w:rsidRPr="00420B37">
        <w:rPr>
          <w:lang w:val="en-AU"/>
        </w:rPr>
        <w:t xml:space="preserve"> engaging with the ACCC</w:t>
      </w:r>
      <w:r w:rsidR="00C858FE" w:rsidRPr="00420B37">
        <w:rPr>
          <w:lang w:val="en-AU"/>
        </w:rPr>
        <w:t>, industry and consumer gr</w:t>
      </w:r>
      <w:r w:rsidR="007B3297" w:rsidRPr="00420B37">
        <w:rPr>
          <w:lang w:val="en-AU"/>
        </w:rPr>
        <w:t>o</w:t>
      </w:r>
      <w:r w:rsidR="00C858FE" w:rsidRPr="00420B37">
        <w:rPr>
          <w:lang w:val="en-AU"/>
        </w:rPr>
        <w:t>ups</w:t>
      </w:r>
      <w:r w:rsidR="00CB32E8" w:rsidRPr="00420B37">
        <w:rPr>
          <w:lang w:val="en-AU"/>
        </w:rPr>
        <w:t xml:space="preserve"> on the terms of a proposed revised SAU. NBN Co </w:t>
      </w:r>
      <w:r w:rsidRPr="00420B37">
        <w:rPr>
          <w:lang w:val="en-AU"/>
        </w:rPr>
        <w:t>is proposing</w:t>
      </w:r>
      <w:r w:rsidR="00E41126" w:rsidRPr="00420B37">
        <w:rPr>
          <w:rStyle w:val="FootnoteReference"/>
          <w:lang w:val="en-AU"/>
        </w:rPr>
        <w:footnoteReference w:id="11"/>
      </w:r>
      <w:r w:rsidRPr="00420B37">
        <w:rPr>
          <w:lang w:val="en-AU"/>
        </w:rPr>
        <w:t xml:space="preserve"> to include</w:t>
      </w:r>
      <w:r w:rsidR="00CB32E8" w:rsidRPr="00420B37">
        <w:rPr>
          <w:lang w:val="en-AU"/>
        </w:rPr>
        <w:t xml:space="preserve"> </w:t>
      </w:r>
      <w:r w:rsidRPr="00420B37">
        <w:rPr>
          <w:lang w:val="en-AU"/>
        </w:rPr>
        <w:t xml:space="preserve">CSG-like </w:t>
      </w:r>
      <w:r w:rsidR="00CB32E8" w:rsidRPr="00420B37">
        <w:rPr>
          <w:lang w:val="en-AU"/>
        </w:rPr>
        <w:t xml:space="preserve">service quality standards </w:t>
      </w:r>
      <w:r w:rsidR="006B140E" w:rsidRPr="00420B37">
        <w:rPr>
          <w:lang w:val="en-AU"/>
        </w:rPr>
        <w:t>in areas such as connection, repair and appointment</w:t>
      </w:r>
      <w:r w:rsidR="00532E54">
        <w:rPr>
          <w:lang w:val="en-AU"/>
        </w:rPr>
        <w:t>-</w:t>
      </w:r>
      <w:r w:rsidR="006B140E" w:rsidRPr="00420B37">
        <w:rPr>
          <w:lang w:val="en-AU"/>
        </w:rPr>
        <w:t xml:space="preserve">keeping </w:t>
      </w:r>
      <w:r w:rsidRPr="00420B37">
        <w:rPr>
          <w:lang w:val="en-AU"/>
        </w:rPr>
        <w:t>in the SAU and a mechanism to change these over</w:t>
      </w:r>
      <w:r w:rsidR="00CB32E8" w:rsidRPr="00420B37">
        <w:rPr>
          <w:lang w:val="en-AU"/>
        </w:rPr>
        <w:t xml:space="preserve"> time</w:t>
      </w:r>
      <w:r w:rsidR="00E41126">
        <w:rPr>
          <w:lang w:val="en-AU"/>
        </w:rPr>
        <w:t xml:space="preserve"> – a brief summary of its proposed arrangements is at </w:t>
      </w:r>
      <w:r w:rsidR="00E41126" w:rsidRPr="00D51458">
        <w:rPr>
          <w:b/>
          <w:lang w:val="en-AU"/>
        </w:rPr>
        <w:t>Appendix B</w:t>
      </w:r>
      <w:r w:rsidR="00F268BD">
        <w:rPr>
          <w:lang w:val="en-AU"/>
        </w:rPr>
        <w:t>.</w:t>
      </w:r>
      <w:r w:rsidR="00CB32E8" w:rsidRPr="00420B37">
        <w:rPr>
          <w:lang w:val="en-AU"/>
        </w:rPr>
        <w:t xml:space="preserve"> </w:t>
      </w:r>
      <w:r w:rsidRPr="00420B37">
        <w:rPr>
          <w:lang w:val="en-AU"/>
        </w:rPr>
        <w:t xml:space="preserve">NBN Co’s aim is </w:t>
      </w:r>
      <w:r w:rsidR="005866EA" w:rsidRPr="00420B37">
        <w:rPr>
          <w:lang w:val="en-AU"/>
        </w:rPr>
        <w:t xml:space="preserve">to </w:t>
      </w:r>
      <w:r w:rsidR="00CB32E8" w:rsidRPr="00420B37">
        <w:rPr>
          <w:lang w:val="en-AU"/>
        </w:rPr>
        <w:t xml:space="preserve">have </w:t>
      </w:r>
      <w:r w:rsidRPr="00420B37">
        <w:rPr>
          <w:lang w:val="en-AU"/>
        </w:rPr>
        <w:t xml:space="preserve">its </w:t>
      </w:r>
      <w:r w:rsidR="00CB32E8" w:rsidRPr="00420B37">
        <w:rPr>
          <w:lang w:val="en-AU"/>
        </w:rPr>
        <w:t>SAU accepted and ready for implementation by 1 July 2023</w:t>
      </w:r>
      <w:r w:rsidR="00095FF5" w:rsidRPr="00420B37">
        <w:rPr>
          <w:lang w:val="en-AU"/>
        </w:rPr>
        <w:t>.</w:t>
      </w:r>
      <w:r w:rsidR="00F467E9">
        <w:rPr>
          <w:lang w:val="en-AU"/>
        </w:rPr>
        <w:t xml:space="preserve"> The ACCC has also proposed detailed record-keeping rules relating to NBN Co’s </w:t>
      </w:r>
      <w:r w:rsidR="0053594C">
        <w:rPr>
          <w:lang w:val="en-AU"/>
        </w:rPr>
        <w:t xml:space="preserve">wholesale </w:t>
      </w:r>
      <w:r w:rsidR="00F467E9">
        <w:rPr>
          <w:lang w:val="en-AU"/>
        </w:rPr>
        <w:t>service standards.</w:t>
      </w:r>
      <w:r w:rsidR="00F467E9">
        <w:rPr>
          <w:rStyle w:val="FootnoteReference"/>
          <w:lang w:val="en-AU"/>
        </w:rPr>
        <w:footnoteReference w:id="12"/>
      </w:r>
    </w:p>
    <w:p w14:paraId="3031175E" w14:textId="602A4731" w:rsidR="00095FF5" w:rsidRPr="00420B37" w:rsidRDefault="005866EA" w:rsidP="00EA1C57">
      <w:pPr>
        <w:rPr>
          <w:lang w:val="en-AU"/>
        </w:rPr>
      </w:pPr>
      <w:r w:rsidRPr="00420B37">
        <w:rPr>
          <w:lang w:val="en-AU"/>
        </w:rPr>
        <w:lastRenderedPageBreak/>
        <w:t>W</w:t>
      </w:r>
      <w:r w:rsidR="00515288" w:rsidRPr="00420B37">
        <w:rPr>
          <w:lang w:val="en-AU"/>
        </w:rPr>
        <w:t xml:space="preserve">holesale service levels </w:t>
      </w:r>
      <w:r w:rsidR="003502C0" w:rsidRPr="00420B37">
        <w:rPr>
          <w:lang w:val="en-AU"/>
        </w:rPr>
        <w:t xml:space="preserve">can </w:t>
      </w:r>
      <w:r w:rsidR="00515288" w:rsidRPr="00420B37">
        <w:rPr>
          <w:lang w:val="en-AU"/>
        </w:rPr>
        <w:t xml:space="preserve">also be </w:t>
      </w:r>
      <w:r w:rsidR="00095FF5" w:rsidRPr="00420B37">
        <w:rPr>
          <w:lang w:val="en-AU"/>
        </w:rPr>
        <w:t xml:space="preserve">dealt with in other ways, such as </w:t>
      </w:r>
      <w:r w:rsidR="00515288" w:rsidRPr="00420B37">
        <w:rPr>
          <w:lang w:val="en-AU"/>
        </w:rPr>
        <w:t xml:space="preserve">through the statutory infrastructure provider (SIP) regime. </w:t>
      </w:r>
      <w:r w:rsidR="00EA1C57" w:rsidRPr="00420B37">
        <w:rPr>
          <w:lang w:val="en-AU"/>
        </w:rPr>
        <w:t xml:space="preserve">The </w:t>
      </w:r>
      <w:r w:rsidR="00515288" w:rsidRPr="00420B37">
        <w:rPr>
          <w:lang w:val="en-AU"/>
        </w:rPr>
        <w:t xml:space="preserve">SIP arrangements </w:t>
      </w:r>
      <w:r w:rsidR="00CB32E8" w:rsidRPr="00420B37">
        <w:rPr>
          <w:lang w:val="en-AU"/>
        </w:rPr>
        <w:t xml:space="preserve">set out in Part 19 of the </w:t>
      </w:r>
      <w:hyperlink r:id="rId33" w:history="1">
        <w:r w:rsidR="00CB32E8" w:rsidRPr="00420B37">
          <w:rPr>
            <w:rStyle w:val="Hyperlink"/>
            <w:i/>
            <w:lang w:val="en-AU"/>
          </w:rPr>
          <w:t>Telecommunications Act 1997</w:t>
        </w:r>
      </w:hyperlink>
      <w:r w:rsidRPr="00420B37">
        <w:rPr>
          <w:lang w:val="en-AU"/>
        </w:rPr>
        <w:t xml:space="preserve"> </w:t>
      </w:r>
      <w:r w:rsidR="00CB32E8" w:rsidRPr="00420B37">
        <w:rPr>
          <w:lang w:val="en-AU"/>
        </w:rPr>
        <w:t>provide that all premises in Australia are able to be connected to a fixed network and access superfast broadband services over that network upon reasonable request. NBN Co is the default SIP for all parts of Australia</w:t>
      </w:r>
      <w:r w:rsidR="00C75C3A" w:rsidRPr="00420B37">
        <w:rPr>
          <w:lang w:val="en-AU"/>
        </w:rPr>
        <w:t xml:space="preserve">, however other </w:t>
      </w:r>
      <w:r w:rsidR="00CB32E8" w:rsidRPr="00420B37">
        <w:rPr>
          <w:lang w:val="en-AU"/>
        </w:rPr>
        <w:t xml:space="preserve">network providers can also be SIPs, such as where they have been contracted to service premises in a new real estate development. </w:t>
      </w:r>
      <w:r w:rsidR="00C75C3A" w:rsidRPr="00420B37">
        <w:rPr>
          <w:lang w:val="en-AU"/>
        </w:rPr>
        <w:t xml:space="preserve">SIPs </w:t>
      </w:r>
      <w:r w:rsidR="00C858FE" w:rsidRPr="00420B37">
        <w:rPr>
          <w:lang w:val="en-AU"/>
        </w:rPr>
        <w:t xml:space="preserve">must </w:t>
      </w:r>
      <w:r w:rsidR="00C75C3A" w:rsidRPr="00420B37">
        <w:rPr>
          <w:lang w:val="en-AU"/>
        </w:rPr>
        <w:t xml:space="preserve">supply wholesale services that allow retail providers to provide services with peak speeds of at least 25 Mbps for uploads and 5 Mbps for downloads, and </w:t>
      </w:r>
      <w:r w:rsidR="00C858FE" w:rsidRPr="00420B37">
        <w:rPr>
          <w:lang w:val="en-AU"/>
        </w:rPr>
        <w:t xml:space="preserve">which </w:t>
      </w:r>
      <w:r w:rsidR="00C42F67">
        <w:rPr>
          <w:lang w:val="en-AU"/>
        </w:rPr>
        <w:t xml:space="preserve">(in most cases) </w:t>
      </w:r>
      <w:r w:rsidR="00C75C3A" w:rsidRPr="00420B37">
        <w:rPr>
          <w:lang w:val="en-AU"/>
        </w:rPr>
        <w:t xml:space="preserve">are capable of supporting retail voice services. </w:t>
      </w:r>
      <w:r w:rsidR="00095FF5" w:rsidRPr="00420B37">
        <w:rPr>
          <w:lang w:val="en-AU"/>
        </w:rPr>
        <w:t xml:space="preserve">The SIP regime </w:t>
      </w:r>
      <w:r w:rsidR="00EA1C57" w:rsidRPr="00420B37">
        <w:rPr>
          <w:lang w:val="en-AU"/>
        </w:rPr>
        <w:t xml:space="preserve">provides scope for the </w:t>
      </w:r>
      <w:r w:rsidR="00095FF5" w:rsidRPr="00420B37">
        <w:rPr>
          <w:lang w:val="en-AU"/>
        </w:rPr>
        <w:t xml:space="preserve">Minister </w:t>
      </w:r>
      <w:r w:rsidR="00EA1C57" w:rsidRPr="00420B37">
        <w:rPr>
          <w:lang w:val="en-AU"/>
        </w:rPr>
        <w:t>to make</w:t>
      </w:r>
      <w:r w:rsidR="00095FF5" w:rsidRPr="00420B37">
        <w:rPr>
          <w:lang w:val="en-AU"/>
        </w:rPr>
        <w:t xml:space="preserve"> standards, rules and benchmark</w:t>
      </w:r>
      <w:r w:rsidR="00EA1C57" w:rsidRPr="00420B37">
        <w:rPr>
          <w:lang w:val="en-AU"/>
        </w:rPr>
        <w:t>s that would set minimum</w:t>
      </w:r>
      <w:r w:rsidR="00C858FE" w:rsidRPr="00420B37">
        <w:rPr>
          <w:lang w:val="en-AU"/>
        </w:rPr>
        <w:t xml:space="preserve"> </w:t>
      </w:r>
      <w:r w:rsidR="00095FF5" w:rsidRPr="00420B37">
        <w:rPr>
          <w:lang w:val="en-AU"/>
        </w:rPr>
        <w:t xml:space="preserve">performance </w:t>
      </w:r>
      <w:r w:rsidR="00EA1C57" w:rsidRPr="00420B37">
        <w:rPr>
          <w:lang w:val="en-AU"/>
        </w:rPr>
        <w:t>requirements</w:t>
      </w:r>
      <w:r w:rsidR="00095FF5" w:rsidRPr="00420B37">
        <w:rPr>
          <w:lang w:val="en-AU"/>
        </w:rPr>
        <w:t xml:space="preserve"> </w:t>
      </w:r>
      <w:r w:rsidR="00EA1C57" w:rsidRPr="00420B37">
        <w:rPr>
          <w:lang w:val="en-AU"/>
        </w:rPr>
        <w:t xml:space="preserve">for the </w:t>
      </w:r>
      <w:r w:rsidR="00095FF5" w:rsidRPr="00420B37">
        <w:rPr>
          <w:lang w:val="en-AU"/>
        </w:rPr>
        <w:t>network</w:t>
      </w:r>
      <w:r w:rsidR="004549DB" w:rsidRPr="00420B37">
        <w:rPr>
          <w:lang w:val="en-AU"/>
        </w:rPr>
        <w:t>s</w:t>
      </w:r>
      <w:r w:rsidR="00095FF5" w:rsidRPr="00420B37">
        <w:rPr>
          <w:lang w:val="en-AU"/>
        </w:rPr>
        <w:t xml:space="preserve"> </w:t>
      </w:r>
      <w:r w:rsidR="00EA1C57" w:rsidRPr="00420B37">
        <w:rPr>
          <w:lang w:val="en-AU"/>
        </w:rPr>
        <w:t>and services offered by</w:t>
      </w:r>
      <w:r w:rsidR="00095FF5" w:rsidRPr="00420B37">
        <w:rPr>
          <w:lang w:val="en-AU"/>
        </w:rPr>
        <w:t xml:space="preserve"> NBN Co and/or other SIPs. </w:t>
      </w:r>
    </w:p>
    <w:p w14:paraId="665A38DA" w14:textId="77777777" w:rsidR="003502C0" w:rsidRPr="00420B37" w:rsidRDefault="003502C0" w:rsidP="00EA1C57">
      <w:pPr>
        <w:rPr>
          <w:lang w:val="en-AU"/>
        </w:rPr>
      </w:pPr>
      <w:r w:rsidRPr="00420B37">
        <w:rPr>
          <w:lang w:val="en-AU"/>
        </w:rPr>
        <w:t>These changes reflect the developments in the Australian telecommunications marketplace and provide new ways to deliver the outcomes the CSG has provided historically in a potentially more effective way by targeting the network operators</w:t>
      </w:r>
      <w:r w:rsidR="00C146F0" w:rsidRPr="00420B37">
        <w:rPr>
          <w:lang w:val="en-AU"/>
        </w:rPr>
        <w:t xml:space="preserve"> able to deal with the matters the CSG is directed at.</w:t>
      </w:r>
      <w:r w:rsidRPr="00420B37">
        <w:rPr>
          <w:lang w:val="en-AU"/>
        </w:rPr>
        <w:t xml:space="preserve"> </w:t>
      </w:r>
    </w:p>
    <w:p w14:paraId="2E43FCE1" w14:textId="77777777" w:rsidR="001D7D43" w:rsidRPr="00420B37" w:rsidRDefault="005F26B6" w:rsidP="001D7D43">
      <w:pPr>
        <w:pStyle w:val="Heading2"/>
        <w:rPr>
          <w:lang w:val="en-AU"/>
        </w:rPr>
      </w:pPr>
      <w:bookmarkStart w:id="28" w:name="_Toc117690075"/>
      <w:bookmarkStart w:id="29" w:name="_Toc127530726"/>
      <w:r w:rsidRPr="00420B37">
        <w:rPr>
          <w:lang w:val="en-AU"/>
        </w:rPr>
        <w:t>P</w:t>
      </w:r>
      <w:r w:rsidR="001D7D43" w:rsidRPr="00420B37">
        <w:rPr>
          <w:lang w:val="en-AU"/>
        </w:rPr>
        <w:t xml:space="preserve">otential </w:t>
      </w:r>
      <w:r w:rsidRPr="00420B37">
        <w:rPr>
          <w:lang w:val="en-AU"/>
        </w:rPr>
        <w:t xml:space="preserve">future </w:t>
      </w:r>
      <w:r w:rsidR="001D7D43" w:rsidRPr="00420B37">
        <w:rPr>
          <w:lang w:val="en-AU"/>
        </w:rPr>
        <w:t>approaches to the CSG</w:t>
      </w:r>
      <w:bookmarkEnd w:id="28"/>
      <w:bookmarkEnd w:id="29"/>
    </w:p>
    <w:p w14:paraId="01491CFB" w14:textId="77777777" w:rsidR="00AD06B0" w:rsidRPr="00420B37" w:rsidRDefault="00AD06B0" w:rsidP="00AD06B0">
      <w:pPr>
        <w:ind w:right="-166"/>
        <w:rPr>
          <w:lang w:val="en-AU"/>
        </w:rPr>
      </w:pPr>
      <w:r w:rsidRPr="00420B37">
        <w:rPr>
          <w:lang w:val="en-AU"/>
        </w:rPr>
        <w:t xml:space="preserve">While </w:t>
      </w:r>
      <w:r w:rsidR="007A1A70">
        <w:rPr>
          <w:lang w:val="en-AU"/>
        </w:rPr>
        <w:t>many of the changes discussed above relate to</w:t>
      </w:r>
      <w:r w:rsidRPr="00420B37">
        <w:rPr>
          <w:lang w:val="en-AU"/>
        </w:rPr>
        <w:t xml:space="preserve"> fixed broadband networks, Telstra still operates its own networks to provide voice </w:t>
      </w:r>
      <w:r w:rsidR="006B140E" w:rsidRPr="00420B37">
        <w:rPr>
          <w:lang w:val="en-AU"/>
        </w:rPr>
        <w:t>services</w:t>
      </w:r>
      <w:r w:rsidRPr="00420B37">
        <w:rPr>
          <w:lang w:val="en-AU"/>
        </w:rPr>
        <w:t xml:space="preserve"> to 8% of premises in rural and remote Australia, and the CSG as it exists today may remain more relevant in this context. </w:t>
      </w:r>
    </w:p>
    <w:p w14:paraId="6CE98978" w14:textId="1028A67C" w:rsidR="00AD1839" w:rsidRPr="00420B37" w:rsidRDefault="00AD06B0">
      <w:pPr>
        <w:rPr>
          <w:rFonts w:cs="Times New Roman"/>
          <w:szCs w:val="24"/>
          <w:lang w:val="en-AU"/>
        </w:rPr>
      </w:pPr>
      <w:r w:rsidRPr="00420B37">
        <w:rPr>
          <w:lang w:val="en-AU"/>
        </w:rPr>
        <w:t xml:space="preserve">More broadly, </w:t>
      </w:r>
      <w:r w:rsidR="008A4D71" w:rsidRPr="00420B37">
        <w:rPr>
          <w:lang w:val="en-AU"/>
        </w:rPr>
        <w:t xml:space="preserve">the </w:t>
      </w:r>
      <w:r w:rsidR="00A247E5" w:rsidRPr="00420B37">
        <w:rPr>
          <w:lang w:val="en-AU"/>
        </w:rPr>
        <w:t xml:space="preserve">changes described </w:t>
      </w:r>
      <w:r w:rsidR="008A4D71" w:rsidRPr="00420B37">
        <w:rPr>
          <w:lang w:val="en-AU"/>
        </w:rPr>
        <w:t>above</w:t>
      </w:r>
      <w:r w:rsidR="007A1A70">
        <w:rPr>
          <w:lang w:val="en-AU"/>
        </w:rPr>
        <w:t xml:space="preserve"> point to </w:t>
      </w:r>
      <w:r w:rsidR="008F1633" w:rsidRPr="00420B37">
        <w:rPr>
          <w:lang w:val="en-AU"/>
        </w:rPr>
        <w:t>a new approach to protect</w:t>
      </w:r>
      <w:r w:rsidR="007A1A70">
        <w:rPr>
          <w:lang w:val="en-AU"/>
        </w:rPr>
        <w:t>ing</w:t>
      </w:r>
      <w:r w:rsidR="008F1633" w:rsidRPr="00420B37">
        <w:rPr>
          <w:lang w:val="en-AU"/>
        </w:rPr>
        <w:t xml:space="preserve"> consumers when th</w:t>
      </w:r>
      <w:r w:rsidR="00177F8A">
        <w:rPr>
          <w:lang w:val="en-AU"/>
        </w:rPr>
        <w:t>ey</w:t>
      </w:r>
      <w:r w:rsidR="008F1633" w:rsidRPr="00420B37">
        <w:rPr>
          <w:lang w:val="en-AU"/>
        </w:rPr>
        <w:t xml:space="preserve"> are using fixed telecommunications. This focuses on the provision and use of broadband services</w:t>
      </w:r>
      <w:r w:rsidR="00966EBC">
        <w:rPr>
          <w:lang w:val="en-AU"/>
        </w:rPr>
        <w:t xml:space="preserve"> (</w:t>
      </w:r>
      <w:r w:rsidR="008F1633" w:rsidRPr="00420B37">
        <w:rPr>
          <w:lang w:val="en-AU"/>
        </w:rPr>
        <w:t xml:space="preserve">both </w:t>
      </w:r>
      <w:r w:rsidR="00A247E5" w:rsidRPr="00420B37">
        <w:rPr>
          <w:lang w:val="en-AU"/>
        </w:rPr>
        <w:t>as services in themselves and as platforms for other services like voice</w:t>
      </w:r>
      <w:r w:rsidR="00966EBC">
        <w:rPr>
          <w:lang w:val="en-AU"/>
        </w:rPr>
        <w:t>)</w:t>
      </w:r>
      <w:r w:rsidR="008F1633" w:rsidRPr="00420B37">
        <w:rPr>
          <w:lang w:val="en-AU"/>
        </w:rPr>
        <w:t xml:space="preserve"> and on wholesale supply</w:t>
      </w:r>
      <w:r w:rsidR="00A247E5" w:rsidRPr="00420B37">
        <w:rPr>
          <w:lang w:val="en-AU"/>
        </w:rPr>
        <w:t>,</w:t>
      </w:r>
      <w:r w:rsidR="008F1633" w:rsidRPr="00420B37">
        <w:rPr>
          <w:lang w:val="en-AU"/>
        </w:rPr>
        <w:t xml:space="preserve"> in recognition that many issues arise at the wholesale level and may be beyond the direct control of </w:t>
      </w:r>
      <w:r w:rsidR="00A247E5" w:rsidRPr="00420B37">
        <w:rPr>
          <w:lang w:val="en-AU"/>
        </w:rPr>
        <w:t>retailers</w:t>
      </w:r>
      <w:r w:rsidR="008F1633" w:rsidRPr="00420B37">
        <w:rPr>
          <w:lang w:val="en-AU"/>
        </w:rPr>
        <w:t xml:space="preserve">. The future of the CSG </w:t>
      </w:r>
      <w:r w:rsidR="00A247E5" w:rsidRPr="00420B37">
        <w:rPr>
          <w:lang w:val="en-AU"/>
        </w:rPr>
        <w:t xml:space="preserve">needs </w:t>
      </w:r>
      <w:r w:rsidR="008F1633" w:rsidRPr="00420B37">
        <w:rPr>
          <w:lang w:val="en-AU"/>
        </w:rPr>
        <w:t xml:space="preserve">be considered </w:t>
      </w:r>
      <w:r w:rsidR="00A247E5" w:rsidRPr="00420B37">
        <w:rPr>
          <w:lang w:val="en-AU"/>
        </w:rPr>
        <w:t>in this context</w:t>
      </w:r>
      <w:r w:rsidR="007A1A70">
        <w:rPr>
          <w:lang w:val="en-AU"/>
        </w:rPr>
        <w:t xml:space="preserve">. </w:t>
      </w:r>
      <w:r w:rsidR="00A247E5" w:rsidRPr="00420B37">
        <w:rPr>
          <w:lang w:val="en-AU"/>
        </w:rPr>
        <w:t xml:space="preserve">Four </w:t>
      </w:r>
      <w:r w:rsidR="00BC3F70" w:rsidRPr="00420B37">
        <w:rPr>
          <w:lang w:val="en-AU"/>
        </w:rPr>
        <w:t xml:space="preserve">possible </w:t>
      </w:r>
      <w:r w:rsidR="006A3941">
        <w:rPr>
          <w:lang w:val="en-AU"/>
        </w:rPr>
        <w:t>options</w:t>
      </w:r>
      <w:r w:rsidR="00BC3F70" w:rsidRPr="00420B37">
        <w:rPr>
          <w:lang w:val="en-AU"/>
        </w:rPr>
        <w:t xml:space="preserve"> </w:t>
      </w:r>
      <w:r w:rsidR="006B140E" w:rsidRPr="00420B37">
        <w:rPr>
          <w:lang w:val="en-AU"/>
        </w:rPr>
        <w:t>are</w:t>
      </w:r>
      <w:r w:rsidR="00BC3F70" w:rsidRPr="00420B37">
        <w:rPr>
          <w:lang w:val="en-AU"/>
        </w:rPr>
        <w:t xml:space="preserve"> canvassed below. </w:t>
      </w:r>
      <w:r w:rsidR="007A1A70">
        <w:rPr>
          <w:lang w:val="en-AU"/>
        </w:rPr>
        <w:t xml:space="preserve">These are provided </w:t>
      </w:r>
      <w:r w:rsidR="00BC3F70" w:rsidRPr="00420B37">
        <w:rPr>
          <w:lang w:val="en-AU"/>
        </w:rPr>
        <w:t xml:space="preserve">to </w:t>
      </w:r>
      <w:r w:rsidR="007A1A70">
        <w:rPr>
          <w:lang w:val="en-AU"/>
        </w:rPr>
        <w:t>help</w:t>
      </w:r>
      <w:r w:rsidR="007A1A70" w:rsidRPr="00420B37">
        <w:rPr>
          <w:lang w:val="en-AU"/>
        </w:rPr>
        <w:t xml:space="preserve"> </w:t>
      </w:r>
      <w:r w:rsidR="00BC3F70" w:rsidRPr="00420B37">
        <w:rPr>
          <w:lang w:val="en-AU"/>
        </w:rPr>
        <w:t>stakeholders’ consideration and feedback</w:t>
      </w:r>
      <w:r w:rsidR="00C42F67">
        <w:rPr>
          <w:lang w:val="en-AU"/>
        </w:rPr>
        <w:t>. However, they</w:t>
      </w:r>
      <w:r w:rsidR="00BC3F70" w:rsidRPr="00420B37">
        <w:rPr>
          <w:lang w:val="en-AU"/>
        </w:rPr>
        <w:t xml:space="preserve"> </w:t>
      </w:r>
      <w:r w:rsidR="00D23272" w:rsidRPr="00420B37">
        <w:rPr>
          <w:rFonts w:cs="Times New Roman"/>
          <w:szCs w:val="24"/>
          <w:lang w:val="en-AU"/>
        </w:rPr>
        <w:t>should not be considered exhaustive</w:t>
      </w:r>
      <w:r w:rsidR="001D7842" w:rsidRPr="00420B37">
        <w:rPr>
          <w:rFonts w:cs="Times New Roman"/>
          <w:szCs w:val="24"/>
          <w:lang w:val="en-AU"/>
        </w:rPr>
        <w:t xml:space="preserve"> or indicative of future Government policy.</w:t>
      </w:r>
      <w:r w:rsidR="002D3DE9" w:rsidRPr="00420B37">
        <w:rPr>
          <w:rFonts w:cs="Times New Roman"/>
          <w:szCs w:val="24"/>
          <w:lang w:val="en-AU"/>
        </w:rPr>
        <w:t xml:space="preserve"> </w:t>
      </w:r>
      <w:r w:rsidR="001D7842" w:rsidRPr="00420B37">
        <w:rPr>
          <w:rFonts w:cs="Times New Roman"/>
          <w:szCs w:val="24"/>
          <w:lang w:val="en-AU"/>
        </w:rPr>
        <w:t>S</w:t>
      </w:r>
      <w:r w:rsidR="00D23272" w:rsidRPr="00420B37">
        <w:rPr>
          <w:rFonts w:cs="Times New Roman"/>
          <w:szCs w:val="24"/>
          <w:lang w:val="en-AU"/>
        </w:rPr>
        <w:t>takeholders should feel free to comment on</w:t>
      </w:r>
      <w:r w:rsidR="002D3DE9" w:rsidRPr="00420B37">
        <w:rPr>
          <w:rFonts w:cs="Times New Roman"/>
          <w:szCs w:val="24"/>
          <w:lang w:val="en-AU"/>
        </w:rPr>
        <w:t xml:space="preserve"> </w:t>
      </w:r>
      <w:r w:rsidR="00EA1C57" w:rsidRPr="00420B37">
        <w:rPr>
          <w:rFonts w:cs="Times New Roman"/>
          <w:szCs w:val="24"/>
          <w:lang w:val="en-AU"/>
        </w:rPr>
        <w:t xml:space="preserve">the advantages and disadvantages </w:t>
      </w:r>
      <w:r w:rsidR="00D23272" w:rsidRPr="00420B37">
        <w:rPr>
          <w:rFonts w:cs="Times New Roman"/>
          <w:szCs w:val="24"/>
          <w:lang w:val="en-AU"/>
        </w:rPr>
        <w:t xml:space="preserve">of these approaches, or to </w:t>
      </w:r>
      <w:r w:rsidR="00EA5AC0" w:rsidRPr="00420B37">
        <w:rPr>
          <w:rFonts w:cs="Times New Roman"/>
          <w:szCs w:val="24"/>
          <w:lang w:val="en-AU"/>
        </w:rPr>
        <w:t xml:space="preserve">propose </w:t>
      </w:r>
      <w:r w:rsidR="00D23272" w:rsidRPr="00420B37">
        <w:rPr>
          <w:rFonts w:cs="Times New Roman"/>
          <w:szCs w:val="24"/>
          <w:lang w:val="en-AU"/>
        </w:rPr>
        <w:t>alternative</w:t>
      </w:r>
      <w:r w:rsidR="00EA1C57" w:rsidRPr="00420B37">
        <w:rPr>
          <w:rFonts w:cs="Times New Roman"/>
          <w:szCs w:val="24"/>
          <w:lang w:val="en-AU"/>
        </w:rPr>
        <w:t xml:space="preserve"> approaches</w:t>
      </w:r>
      <w:r w:rsidR="00AD1839" w:rsidRPr="00420B37">
        <w:rPr>
          <w:rFonts w:cs="Times New Roman"/>
          <w:szCs w:val="24"/>
          <w:lang w:val="en-AU"/>
        </w:rPr>
        <w:t xml:space="preserve">.  </w:t>
      </w:r>
    </w:p>
    <w:p w14:paraId="564BBAF4" w14:textId="77777777" w:rsidR="00A247E5" w:rsidRPr="00420B37" w:rsidRDefault="00A247E5" w:rsidP="006B140E">
      <w:pPr>
        <w:pStyle w:val="Heading3"/>
        <w:rPr>
          <w:lang w:val="en-AU"/>
        </w:rPr>
      </w:pPr>
      <w:bookmarkStart w:id="30" w:name="_Toc127530727"/>
      <w:bookmarkStart w:id="31" w:name="_Toc117071434"/>
      <w:r w:rsidRPr="00420B37">
        <w:rPr>
          <w:lang w:val="en-AU"/>
        </w:rPr>
        <w:t>Telstra legacy network</w:t>
      </w:r>
      <w:bookmarkEnd w:id="30"/>
    </w:p>
    <w:p w14:paraId="324FF97C" w14:textId="77777777" w:rsidR="00A247E5" w:rsidRPr="00420B37" w:rsidRDefault="00A247E5" w:rsidP="00A247E5">
      <w:pPr>
        <w:rPr>
          <w:lang w:val="en-AU"/>
        </w:rPr>
      </w:pPr>
      <w:r w:rsidRPr="00420B37">
        <w:rPr>
          <w:lang w:val="en-AU"/>
        </w:rPr>
        <w:t>While the</w:t>
      </w:r>
      <w:r w:rsidR="005C404F" w:rsidRPr="00420B37">
        <w:rPr>
          <w:lang w:val="en-AU"/>
        </w:rPr>
        <w:t>re ha</w:t>
      </w:r>
      <w:r w:rsidR="00835CD6" w:rsidRPr="00420B37">
        <w:rPr>
          <w:lang w:val="en-AU"/>
        </w:rPr>
        <w:t>ve</w:t>
      </w:r>
      <w:r w:rsidR="005C404F" w:rsidRPr="00420B37">
        <w:rPr>
          <w:lang w:val="en-AU"/>
        </w:rPr>
        <w:t xml:space="preserve"> been significant change</w:t>
      </w:r>
      <w:r w:rsidR="006B140E" w:rsidRPr="00420B37">
        <w:rPr>
          <w:lang w:val="en-AU"/>
        </w:rPr>
        <w:t>s</w:t>
      </w:r>
      <w:r w:rsidR="005C404F" w:rsidRPr="00420B37">
        <w:rPr>
          <w:lang w:val="en-AU"/>
        </w:rPr>
        <w:t xml:space="preserve"> in the market place and </w:t>
      </w:r>
      <w:r w:rsidR="006B140E" w:rsidRPr="00420B37">
        <w:rPr>
          <w:lang w:val="en-AU"/>
        </w:rPr>
        <w:t xml:space="preserve">a </w:t>
      </w:r>
      <w:r w:rsidR="005C404F" w:rsidRPr="00420B37">
        <w:rPr>
          <w:lang w:val="en-AU"/>
        </w:rPr>
        <w:t xml:space="preserve">refocusing on broadband and wholesale mechanisms, </w:t>
      </w:r>
      <w:r w:rsidRPr="00420B37">
        <w:rPr>
          <w:lang w:val="en-AU"/>
        </w:rPr>
        <w:t xml:space="preserve">Telstra continues to operate </w:t>
      </w:r>
      <w:r w:rsidR="00CC337D" w:rsidRPr="00420B37">
        <w:rPr>
          <w:lang w:val="en-AU"/>
        </w:rPr>
        <w:t xml:space="preserve">(under regulatory and contractual arrangements) </w:t>
      </w:r>
      <w:r w:rsidRPr="00420B37">
        <w:rPr>
          <w:lang w:val="en-AU"/>
        </w:rPr>
        <w:t xml:space="preserve">networks that provide voice services to </w:t>
      </w:r>
      <w:r w:rsidR="00B0704C">
        <w:rPr>
          <w:lang w:val="en-AU"/>
        </w:rPr>
        <w:t xml:space="preserve">premises </w:t>
      </w:r>
      <w:r w:rsidR="004B072E">
        <w:rPr>
          <w:lang w:val="en-AU"/>
        </w:rPr>
        <w:t>located beyond the NBN fixed line footprint (</w:t>
      </w:r>
      <w:r w:rsidR="00B0704C">
        <w:rPr>
          <w:lang w:val="en-AU"/>
        </w:rPr>
        <w:t xml:space="preserve">around </w:t>
      </w:r>
      <w:r w:rsidR="004B072E">
        <w:rPr>
          <w:lang w:val="en-AU"/>
        </w:rPr>
        <w:t>8% of all premises</w:t>
      </w:r>
      <w:r w:rsidR="00961546">
        <w:rPr>
          <w:lang w:val="en-AU"/>
        </w:rPr>
        <w:t>,</w:t>
      </w:r>
      <w:r w:rsidR="00B0704C">
        <w:rPr>
          <w:lang w:val="en-AU"/>
        </w:rPr>
        <w:t xml:space="preserve"> which are typically in rural and remote areas</w:t>
      </w:r>
      <w:r w:rsidR="004B072E">
        <w:rPr>
          <w:lang w:val="en-AU"/>
        </w:rPr>
        <w:t>).</w:t>
      </w:r>
      <w:r w:rsidR="006C782E" w:rsidRPr="00420B37">
        <w:rPr>
          <w:lang w:val="en-AU"/>
        </w:rPr>
        <w:t xml:space="preserve"> </w:t>
      </w:r>
      <w:r w:rsidRPr="00420B37">
        <w:rPr>
          <w:lang w:val="en-AU"/>
        </w:rPr>
        <w:t xml:space="preserve">As noted above, these services are generally </w:t>
      </w:r>
      <w:r w:rsidR="006B140E" w:rsidRPr="00420B37">
        <w:rPr>
          <w:lang w:val="en-AU"/>
        </w:rPr>
        <w:t>supplied</w:t>
      </w:r>
      <w:r w:rsidRPr="00420B37">
        <w:rPr>
          <w:lang w:val="en-AU"/>
        </w:rPr>
        <w:t xml:space="preserve"> by Telstra under the USO. The CSG is closely linked to the USO, supplementing its delivery, and being central in the assessment of performance for payment purposes.</w:t>
      </w:r>
      <w:r w:rsidR="00C05569" w:rsidRPr="00420B37">
        <w:rPr>
          <w:lang w:val="en-AU"/>
        </w:rPr>
        <w:t xml:space="preserve"> While not subject to the USO or CSG arrangements, ADSL broadband is also provided as a commercial legacy service to around 1</w:t>
      </w:r>
      <w:r w:rsidR="007A1A70">
        <w:rPr>
          <w:lang w:val="en-AU"/>
        </w:rPr>
        <w:t>0</w:t>
      </w:r>
      <w:r w:rsidR="00C05569" w:rsidRPr="00420B37">
        <w:rPr>
          <w:lang w:val="en-AU"/>
        </w:rPr>
        <w:t xml:space="preserve">0,000 </w:t>
      </w:r>
      <w:r w:rsidR="00292794" w:rsidRPr="00420B37">
        <w:rPr>
          <w:lang w:val="en-AU"/>
        </w:rPr>
        <w:t xml:space="preserve">regional and remote </w:t>
      </w:r>
      <w:r w:rsidR="00C05569" w:rsidRPr="00420B37">
        <w:rPr>
          <w:lang w:val="en-AU"/>
        </w:rPr>
        <w:t xml:space="preserve">premises. </w:t>
      </w:r>
    </w:p>
    <w:p w14:paraId="4122D187" w14:textId="77777777" w:rsidR="00A247E5" w:rsidRPr="00420B37" w:rsidRDefault="00A247E5" w:rsidP="00A247E5">
      <w:pPr>
        <w:rPr>
          <w:lang w:val="en-AU"/>
        </w:rPr>
      </w:pPr>
      <w:r w:rsidRPr="00420B37">
        <w:rPr>
          <w:lang w:val="en-AU"/>
        </w:rPr>
        <w:t>In this context, the CSG would appear to have an ongoing role in relation to fixed voice services Telstra provides over these networks, suggesting the CSG instruments should be remade much in their current from or with some revisions to modern</w:t>
      </w:r>
      <w:r w:rsidR="00AD06B0" w:rsidRPr="00420B37">
        <w:rPr>
          <w:lang w:val="en-AU"/>
        </w:rPr>
        <w:t>ise</w:t>
      </w:r>
      <w:r w:rsidRPr="00420B37">
        <w:rPr>
          <w:lang w:val="en-AU"/>
        </w:rPr>
        <w:t xml:space="preserve"> them.</w:t>
      </w:r>
    </w:p>
    <w:p w14:paraId="6FCD0CD2" w14:textId="063A4170" w:rsidR="00E268D4" w:rsidRPr="005A3260" w:rsidRDefault="00E268D4" w:rsidP="00A247E5">
      <w:pPr>
        <w:rPr>
          <w:lang w:val="en-AU"/>
        </w:rPr>
      </w:pPr>
      <w:r w:rsidRPr="005A3260">
        <w:rPr>
          <w:lang w:val="en-AU"/>
        </w:rPr>
        <w:t xml:space="preserve">However, if this approach is compared to that </w:t>
      </w:r>
      <w:r w:rsidR="00F37FE3">
        <w:rPr>
          <w:lang w:val="en-AU"/>
        </w:rPr>
        <w:t xml:space="preserve">which has emerged </w:t>
      </w:r>
      <w:r w:rsidRPr="005A3260">
        <w:rPr>
          <w:lang w:val="en-AU"/>
        </w:rPr>
        <w:t>for wholesale broadband networks, consideration could be given to whether CSG-like safeguards should be applied to connection</w:t>
      </w:r>
      <w:r w:rsidR="006B140E" w:rsidRPr="005A3260">
        <w:rPr>
          <w:lang w:val="en-AU"/>
        </w:rPr>
        <w:t>s</w:t>
      </w:r>
      <w:r w:rsidRPr="005A3260">
        <w:rPr>
          <w:lang w:val="en-AU"/>
        </w:rPr>
        <w:t xml:space="preserve"> provided by Telstra, whether for fixed voice, or ADSL, and whether these might be better directed to the new Telstra infrastructure company, </w:t>
      </w:r>
      <w:r w:rsidR="00292794" w:rsidRPr="005A3260">
        <w:rPr>
          <w:lang w:val="en-AU"/>
        </w:rPr>
        <w:t>InfraCo</w:t>
      </w:r>
      <w:r w:rsidRPr="005A3260">
        <w:rPr>
          <w:lang w:val="en-AU"/>
        </w:rPr>
        <w:t xml:space="preserve">. This would provide more holistic and equitable cover for those consumers dependent on that network for ADSL as well as voice. It could also provide greater support for other retailers using the Telstra network to provide voice </w:t>
      </w:r>
      <w:r w:rsidR="00064722" w:rsidRPr="005A3260">
        <w:rPr>
          <w:lang w:val="en-AU"/>
        </w:rPr>
        <w:t xml:space="preserve">in rural and remote areas </w:t>
      </w:r>
      <w:r w:rsidRPr="005A3260">
        <w:rPr>
          <w:lang w:val="en-AU"/>
        </w:rPr>
        <w:t xml:space="preserve">or ADSL services. It would also provide for greater consistency between the </w:t>
      </w:r>
      <w:r w:rsidRPr="005A3260">
        <w:rPr>
          <w:lang w:val="en-AU"/>
        </w:rPr>
        <w:lastRenderedPageBreak/>
        <w:t xml:space="preserve">treatment of the Telstra legacy network and the NBN and other comparable networks providing more equitable treatment for rural </w:t>
      </w:r>
      <w:r w:rsidR="00292794" w:rsidRPr="005A3260">
        <w:rPr>
          <w:lang w:val="en-AU"/>
        </w:rPr>
        <w:t>and</w:t>
      </w:r>
      <w:r w:rsidRPr="005A3260">
        <w:rPr>
          <w:lang w:val="en-AU"/>
        </w:rPr>
        <w:t xml:space="preserve"> remote consumers. Arguing against such changes, however, </w:t>
      </w:r>
      <w:r w:rsidR="003E67E1" w:rsidRPr="005A3260">
        <w:rPr>
          <w:lang w:val="en-AU"/>
        </w:rPr>
        <w:t xml:space="preserve">ADSL and the </w:t>
      </w:r>
      <w:r w:rsidRPr="005A3260">
        <w:rPr>
          <w:lang w:val="en-AU"/>
        </w:rPr>
        <w:t xml:space="preserve">Telstra </w:t>
      </w:r>
      <w:r w:rsidR="00AF778B" w:rsidRPr="005A3260">
        <w:rPr>
          <w:lang w:val="en-AU"/>
        </w:rPr>
        <w:t xml:space="preserve">copper </w:t>
      </w:r>
      <w:r w:rsidRPr="005A3260">
        <w:rPr>
          <w:lang w:val="en-AU"/>
        </w:rPr>
        <w:t xml:space="preserve">network </w:t>
      </w:r>
      <w:r w:rsidR="003E67E1" w:rsidRPr="005A3260">
        <w:rPr>
          <w:lang w:val="en-AU"/>
        </w:rPr>
        <w:t xml:space="preserve">may have a limited lifespan, reducing the potential benefit of such change </w:t>
      </w:r>
      <w:r w:rsidR="00966EBC">
        <w:rPr>
          <w:lang w:val="en-AU"/>
        </w:rPr>
        <w:t>noting</w:t>
      </w:r>
      <w:r w:rsidR="003E67E1" w:rsidRPr="005A3260">
        <w:rPr>
          <w:lang w:val="en-AU"/>
        </w:rPr>
        <w:t xml:space="preserve"> the costs involved.</w:t>
      </w:r>
      <w:r w:rsidRPr="005A3260">
        <w:rPr>
          <w:lang w:val="en-AU"/>
        </w:rPr>
        <w:t xml:space="preserve"> </w:t>
      </w:r>
    </w:p>
    <w:p w14:paraId="2871B9E5" w14:textId="77777777" w:rsidR="000277DB" w:rsidRPr="00420B37" w:rsidRDefault="000277DB" w:rsidP="005344AC">
      <w:pPr>
        <w:pStyle w:val="Heading3"/>
        <w:rPr>
          <w:lang w:val="en-AU"/>
        </w:rPr>
      </w:pPr>
      <w:bookmarkStart w:id="32" w:name="_Toc127530728"/>
      <w:r w:rsidRPr="00420B37">
        <w:rPr>
          <w:lang w:val="en-AU"/>
        </w:rPr>
        <w:t xml:space="preserve">Focusing on </w:t>
      </w:r>
      <w:r w:rsidR="00E268D4" w:rsidRPr="00420B37">
        <w:rPr>
          <w:lang w:val="en-AU"/>
        </w:rPr>
        <w:t xml:space="preserve">other </w:t>
      </w:r>
      <w:r w:rsidR="005344AC" w:rsidRPr="00420B37">
        <w:rPr>
          <w:lang w:val="en-AU"/>
        </w:rPr>
        <w:t xml:space="preserve">wholesale </w:t>
      </w:r>
      <w:r w:rsidR="00E268D4" w:rsidRPr="00420B37">
        <w:rPr>
          <w:lang w:val="en-AU"/>
        </w:rPr>
        <w:t>networks</w:t>
      </w:r>
      <w:bookmarkEnd w:id="32"/>
    </w:p>
    <w:p w14:paraId="2DF5455B" w14:textId="062C4A5C" w:rsidR="005344AC" w:rsidRPr="00420B37" w:rsidRDefault="005344AC" w:rsidP="005344AC">
      <w:pPr>
        <w:rPr>
          <w:lang w:val="en-AU"/>
        </w:rPr>
      </w:pPr>
      <w:r w:rsidRPr="00420B37">
        <w:rPr>
          <w:lang w:val="en-AU"/>
        </w:rPr>
        <w:t>With the growing reliance on the NBN and other SIP networks to provide broadband</w:t>
      </w:r>
      <w:r w:rsidR="0054461A" w:rsidRPr="00420B37">
        <w:rPr>
          <w:lang w:val="en-AU"/>
        </w:rPr>
        <w:t xml:space="preserve">, which also </w:t>
      </w:r>
      <w:r w:rsidRPr="00420B37">
        <w:rPr>
          <w:lang w:val="en-AU"/>
        </w:rPr>
        <w:t xml:space="preserve">support voice, </w:t>
      </w:r>
      <w:r w:rsidR="007A1A70">
        <w:rPr>
          <w:lang w:val="en-AU"/>
        </w:rPr>
        <w:t>one</w:t>
      </w:r>
      <w:r w:rsidR="007A1A70" w:rsidRPr="00420B37">
        <w:rPr>
          <w:lang w:val="en-AU"/>
        </w:rPr>
        <w:t xml:space="preserve"> </w:t>
      </w:r>
      <w:r w:rsidRPr="00420B37">
        <w:rPr>
          <w:lang w:val="en-AU"/>
        </w:rPr>
        <w:t xml:space="preserve">approach </w:t>
      </w:r>
      <w:r w:rsidR="007A1A70">
        <w:rPr>
          <w:lang w:val="en-AU"/>
        </w:rPr>
        <w:t xml:space="preserve">to future service regulation </w:t>
      </w:r>
      <w:r w:rsidR="00966EBC">
        <w:rPr>
          <w:lang w:val="en-AU"/>
        </w:rPr>
        <w:t>c</w:t>
      </w:r>
      <w:r w:rsidRPr="00420B37">
        <w:rPr>
          <w:lang w:val="en-AU"/>
        </w:rPr>
        <w:t>ould emphasise the role of delivery requirements at the wholesale level on NBN Co and other SIPs.</w:t>
      </w:r>
      <w:r w:rsidR="00115F68" w:rsidRPr="00420B37">
        <w:rPr>
          <w:lang w:val="en-AU"/>
        </w:rPr>
        <w:t xml:space="preserve"> These requirements would apply nationally, but could take account of differences between urban, regional, rural, remote and other areas.</w:t>
      </w:r>
    </w:p>
    <w:p w14:paraId="3572929E" w14:textId="77777777" w:rsidR="004E26B3" w:rsidRPr="00420B37" w:rsidRDefault="004E26B3" w:rsidP="005344AC">
      <w:pPr>
        <w:rPr>
          <w:lang w:val="en-AU"/>
        </w:rPr>
      </w:pPr>
      <w:r w:rsidRPr="00420B37">
        <w:rPr>
          <w:lang w:val="en-AU"/>
        </w:rPr>
        <w:t>Th</w:t>
      </w:r>
      <w:r w:rsidR="00E53709">
        <w:rPr>
          <w:lang w:val="en-AU"/>
        </w:rPr>
        <w:t>is</w:t>
      </w:r>
      <w:r w:rsidRPr="00420B37">
        <w:rPr>
          <w:lang w:val="en-AU"/>
        </w:rPr>
        <w:t xml:space="preserve"> would be </w:t>
      </w:r>
      <w:r w:rsidR="00E53709">
        <w:rPr>
          <w:lang w:val="en-AU"/>
        </w:rPr>
        <w:t>a significant</w:t>
      </w:r>
      <w:r w:rsidRPr="00420B37">
        <w:rPr>
          <w:lang w:val="en-AU"/>
        </w:rPr>
        <w:t xml:space="preserve"> advance for consumers. Consumers would receive protections for their broadband services</w:t>
      </w:r>
      <w:r w:rsidR="00761FFB" w:rsidRPr="00420B37">
        <w:rPr>
          <w:lang w:val="en-AU"/>
        </w:rPr>
        <w:t xml:space="preserve">, not just their fixed voice services, noting more </w:t>
      </w:r>
      <w:r w:rsidR="00CC337D" w:rsidRPr="00420B37">
        <w:rPr>
          <w:lang w:val="en-AU"/>
        </w:rPr>
        <w:t xml:space="preserve">fixed </w:t>
      </w:r>
      <w:r w:rsidR="00761FFB" w:rsidRPr="00420B37">
        <w:rPr>
          <w:lang w:val="en-AU"/>
        </w:rPr>
        <w:t xml:space="preserve">broadband services are </w:t>
      </w:r>
      <w:r w:rsidR="006B140E" w:rsidRPr="00420B37">
        <w:rPr>
          <w:lang w:val="en-AU"/>
        </w:rPr>
        <w:t xml:space="preserve">now </w:t>
      </w:r>
      <w:r w:rsidR="00761FFB" w:rsidRPr="00420B37">
        <w:rPr>
          <w:lang w:val="en-AU"/>
        </w:rPr>
        <w:t>being deliver</w:t>
      </w:r>
      <w:r w:rsidR="006B140E" w:rsidRPr="00420B37">
        <w:rPr>
          <w:lang w:val="en-AU"/>
        </w:rPr>
        <w:t>ed</w:t>
      </w:r>
      <w:r w:rsidR="00761FFB" w:rsidRPr="00420B37">
        <w:rPr>
          <w:lang w:val="en-AU"/>
        </w:rPr>
        <w:t xml:space="preserve"> than CSG services, and broadband service</w:t>
      </w:r>
      <w:r w:rsidR="006B140E" w:rsidRPr="00420B37">
        <w:rPr>
          <w:lang w:val="en-AU"/>
        </w:rPr>
        <w:t>s</w:t>
      </w:r>
      <w:r w:rsidR="00761FFB" w:rsidRPr="00420B37">
        <w:rPr>
          <w:lang w:val="en-AU"/>
        </w:rPr>
        <w:t xml:space="preserve"> support more use</w:t>
      </w:r>
      <w:r w:rsidR="00E53709">
        <w:rPr>
          <w:lang w:val="en-AU"/>
        </w:rPr>
        <w:t>s</w:t>
      </w:r>
      <w:r w:rsidR="00761FFB" w:rsidRPr="00420B37">
        <w:rPr>
          <w:lang w:val="en-AU"/>
        </w:rPr>
        <w:t xml:space="preserve"> than simple voice. However, these protections would </w:t>
      </w:r>
      <w:r w:rsidR="00E53709">
        <w:rPr>
          <w:lang w:val="en-AU"/>
        </w:rPr>
        <w:t xml:space="preserve">still </w:t>
      </w:r>
      <w:r w:rsidR="00761FFB" w:rsidRPr="00420B37">
        <w:rPr>
          <w:lang w:val="en-AU"/>
        </w:rPr>
        <w:t>support the voice services delivered over those broadband networks.</w:t>
      </w:r>
    </w:p>
    <w:p w14:paraId="076F9A15" w14:textId="77777777" w:rsidR="00CD0708" w:rsidRPr="00420B37" w:rsidRDefault="00985A82" w:rsidP="005344AC">
      <w:pPr>
        <w:rPr>
          <w:lang w:val="en-AU"/>
        </w:rPr>
      </w:pPr>
      <w:r w:rsidRPr="00420B37">
        <w:rPr>
          <w:lang w:val="en-AU"/>
        </w:rPr>
        <w:t>This approach would reflect that most key activities associated with the connection and repair of voice and broadband services are now largely controlled in practice by NBN Co and other SIPs, rather than CSPs.</w:t>
      </w:r>
      <w:r w:rsidR="00835CD6" w:rsidRPr="00420B37">
        <w:rPr>
          <w:lang w:val="en-AU"/>
        </w:rPr>
        <w:t xml:space="preserve"> </w:t>
      </w:r>
      <w:r w:rsidR="00CD0708" w:rsidRPr="00420B37">
        <w:rPr>
          <w:lang w:val="en-AU"/>
        </w:rPr>
        <w:t>The approach recognises that many of the issues of concern to consumers are determined by the operation of the underlying wholesale networks, and often those networks are the sole provider in an area and may face limited if any competition, particularly in the fixed line market.</w:t>
      </w:r>
    </w:p>
    <w:p w14:paraId="5F76D392" w14:textId="77777777" w:rsidR="0054461A" w:rsidRPr="00420B37" w:rsidRDefault="005344AC" w:rsidP="005344AC">
      <w:pPr>
        <w:rPr>
          <w:lang w:val="en-AU"/>
        </w:rPr>
      </w:pPr>
      <w:r w:rsidRPr="00420B37">
        <w:rPr>
          <w:lang w:val="en-AU"/>
        </w:rPr>
        <w:t xml:space="preserve">Such requirements </w:t>
      </w:r>
      <w:r w:rsidR="00CD0708" w:rsidRPr="00420B37">
        <w:rPr>
          <w:lang w:val="en-AU"/>
        </w:rPr>
        <w:t>w</w:t>
      </w:r>
      <w:r w:rsidRPr="00420B37">
        <w:rPr>
          <w:lang w:val="en-AU"/>
        </w:rPr>
        <w:t>ould cover broadband data services generally rather than the voice services</w:t>
      </w:r>
      <w:r w:rsidR="00CD0708" w:rsidRPr="00420B37">
        <w:rPr>
          <w:lang w:val="en-AU"/>
        </w:rPr>
        <w:t xml:space="preserve"> which they</w:t>
      </w:r>
      <w:r w:rsidR="00835CD6" w:rsidRPr="00420B37">
        <w:rPr>
          <w:lang w:val="en-AU"/>
        </w:rPr>
        <w:t xml:space="preserve"> support</w:t>
      </w:r>
      <w:r w:rsidRPr="00420B37">
        <w:rPr>
          <w:lang w:val="en-AU"/>
        </w:rPr>
        <w:t xml:space="preserve">. That is, they would cover the connection and supply of </w:t>
      </w:r>
      <w:r w:rsidR="00CD0708" w:rsidRPr="00420B37">
        <w:rPr>
          <w:lang w:val="en-AU"/>
        </w:rPr>
        <w:t>broadband data services</w:t>
      </w:r>
      <w:r w:rsidRPr="00420B37">
        <w:rPr>
          <w:lang w:val="en-AU"/>
        </w:rPr>
        <w:t xml:space="preserve">, </w:t>
      </w:r>
      <w:r w:rsidR="00CD0708" w:rsidRPr="00420B37">
        <w:rPr>
          <w:lang w:val="en-AU"/>
        </w:rPr>
        <w:t>their</w:t>
      </w:r>
      <w:r w:rsidRPr="00420B37">
        <w:rPr>
          <w:lang w:val="en-AU"/>
        </w:rPr>
        <w:t xml:space="preserve"> repair in the event of a fault, </w:t>
      </w:r>
      <w:r w:rsidR="00CC337D" w:rsidRPr="00420B37">
        <w:rPr>
          <w:lang w:val="en-AU"/>
        </w:rPr>
        <w:t xml:space="preserve">and </w:t>
      </w:r>
      <w:r w:rsidRPr="00420B37">
        <w:rPr>
          <w:lang w:val="en-AU"/>
        </w:rPr>
        <w:t>the keeping of appointment</w:t>
      </w:r>
      <w:r w:rsidR="00CC337D" w:rsidRPr="00420B37">
        <w:rPr>
          <w:lang w:val="en-AU"/>
        </w:rPr>
        <w:t>s</w:t>
      </w:r>
      <w:r w:rsidRPr="00420B37">
        <w:rPr>
          <w:lang w:val="en-AU"/>
        </w:rPr>
        <w:t xml:space="preserve"> </w:t>
      </w:r>
      <w:r w:rsidR="0054461A" w:rsidRPr="00420B37">
        <w:rPr>
          <w:lang w:val="en-AU"/>
        </w:rPr>
        <w:t xml:space="preserve">(much like the CSG) </w:t>
      </w:r>
      <w:r w:rsidRPr="00420B37">
        <w:rPr>
          <w:lang w:val="en-AU"/>
        </w:rPr>
        <w:t xml:space="preserve">and other matters relevant to the performance of </w:t>
      </w:r>
      <w:r w:rsidR="0054461A" w:rsidRPr="00420B37">
        <w:rPr>
          <w:lang w:val="en-AU"/>
        </w:rPr>
        <w:t>services such as service availability and fault rates.</w:t>
      </w:r>
    </w:p>
    <w:p w14:paraId="6C9F6DDD" w14:textId="77777777" w:rsidR="005344AC" w:rsidRPr="00420B37" w:rsidRDefault="00CD0708" w:rsidP="005344AC">
      <w:pPr>
        <w:rPr>
          <w:lang w:val="en-AU"/>
        </w:rPr>
      </w:pPr>
      <w:r w:rsidRPr="00420B37">
        <w:rPr>
          <w:lang w:val="en-AU"/>
        </w:rPr>
        <w:t xml:space="preserve">NBN Co </w:t>
      </w:r>
      <w:r w:rsidR="00835CD6" w:rsidRPr="00420B37">
        <w:rPr>
          <w:lang w:val="en-AU"/>
        </w:rPr>
        <w:t>has commercial arrangements in place to</w:t>
      </w:r>
      <w:r w:rsidRPr="00420B37">
        <w:rPr>
          <w:lang w:val="en-AU"/>
        </w:rPr>
        <w:t xml:space="preserve"> pay rebates where it fails to meet </w:t>
      </w:r>
      <w:r w:rsidR="00985A82" w:rsidRPr="00420B37">
        <w:rPr>
          <w:lang w:val="en-AU"/>
        </w:rPr>
        <w:t xml:space="preserve">a range of performance requirements. Where rebates are paid, it </w:t>
      </w:r>
      <w:r w:rsidR="00E53709">
        <w:rPr>
          <w:lang w:val="en-AU"/>
        </w:rPr>
        <w:t xml:space="preserve">generally </w:t>
      </w:r>
      <w:r w:rsidR="00985A82" w:rsidRPr="00420B37">
        <w:rPr>
          <w:lang w:val="en-AU"/>
        </w:rPr>
        <w:t xml:space="preserve">requires these (or a </w:t>
      </w:r>
      <w:r w:rsidR="00835CD6" w:rsidRPr="00420B37">
        <w:rPr>
          <w:lang w:val="en-AU"/>
        </w:rPr>
        <w:t xml:space="preserve">fair value </w:t>
      </w:r>
      <w:r w:rsidR="00985A82" w:rsidRPr="00420B37">
        <w:rPr>
          <w:lang w:val="en-AU"/>
        </w:rPr>
        <w:t xml:space="preserve">benefit) to be passed through to end-users. These rebates would serve much the same purpose as CSG </w:t>
      </w:r>
      <w:r w:rsidR="004E26B3" w:rsidRPr="00420B37">
        <w:rPr>
          <w:lang w:val="en-AU"/>
        </w:rPr>
        <w:t>compensation</w:t>
      </w:r>
      <w:r w:rsidR="00985A82" w:rsidRPr="00420B37">
        <w:rPr>
          <w:lang w:val="en-AU"/>
        </w:rPr>
        <w:t xml:space="preserve"> payments.</w:t>
      </w:r>
      <w:r w:rsidRPr="00420B37">
        <w:rPr>
          <w:lang w:val="en-AU"/>
        </w:rPr>
        <w:t xml:space="preserve"> </w:t>
      </w:r>
    </w:p>
    <w:p w14:paraId="3B46B1B8" w14:textId="77777777" w:rsidR="00985A82" w:rsidRPr="00420B37" w:rsidRDefault="00985A82" w:rsidP="00985A82">
      <w:pPr>
        <w:rPr>
          <w:lang w:val="en-AU"/>
        </w:rPr>
      </w:pPr>
      <w:r w:rsidRPr="00420B37">
        <w:rPr>
          <w:lang w:val="en-AU"/>
        </w:rPr>
        <w:t xml:space="preserve">NBN Co and other SIPs are already required to publish their terms and conditions for supplying services to their wholesale customers. </w:t>
      </w:r>
      <w:r w:rsidR="00835CD6" w:rsidRPr="00420B37">
        <w:rPr>
          <w:lang w:val="en-AU"/>
        </w:rPr>
        <w:t>Typically,</w:t>
      </w:r>
      <w:r w:rsidRPr="00420B37">
        <w:rPr>
          <w:lang w:val="en-AU"/>
        </w:rPr>
        <w:t xml:space="preserve"> these include requirements/matters of the kind covered by the CSG and any related rebates. </w:t>
      </w:r>
      <w:r w:rsidR="00C642B4">
        <w:rPr>
          <w:lang w:val="en-AU"/>
        </w:rPr>
        <w:t xml:space="preserve">On 29 November 2022, </w:t>
      </w:r>
      <w:r w:rsidRPr="00420B37">
        <w:rPr>
          <w:lang w:val="en-AU"/>
        </w:rPr>
        <w:t xml:space="preserve">NBN Co </w:t>
      </w:r>
      <w:r w:rsidR="00C642B4">
        <w:rPr>
          <w:lang w:val="en-AU"/>
        </w:rPr>
        <w:t xml:space="preserve">lodged a revised SAU </w:t>
      </w:r>
      <w:r w:rsidR="00321F8F">
        <w:rPr>
          <w:lang w:val="en-AU"/>
        </w:rPr>
        <w:t>with the ACCC including a number of service standards largely reflecting its wholesale broadband agreement version 4 (WBA4)</w:t>
      </w:r>
      <w:r w:rsidRPr="00420B37">
        <w:rPr>
          <w:lang w:val="en-AU"/>
        </w:rPr>
        <w:t>. These could be used as its basic requirements. Other SIPs could also lodge SAUs. SAUs could be complemented or replaced by</w:t>
      </w:r>
      <w:r w:rsidR="004B072E">
        <w:rPr>
          <w:lang w:val="en-AU"/>
        </w:rPr>
        <w:t xml:space="preserve"> SIP</w:t>
      </w:r>
      <w:r w:rsidRPr="00420B37">
        <w:rPr>
          <w:lang w:val="en-AU"/>
        </w:rPr>
        <w:t xml:space="preserve"> </w:t>
      </w:r>
      <w:r w:rsidR="004B072E">
        <w:rPr>
          <w:lang w:val="en-AU"/>
        </w:rPr>
        <w:t>standards, rules and benchmarks (SRBs)</w:t>
      </w:r>
      <w:r w:rsidRPr="00420B37">
        <w:rPr>
          <w:lang w:val="en-AU"/>
        </w:rPr>
        <w:t>, if considered more appropriate. In the absence of SAU</w:t>
      </w:r>
      <w:r w:rsidR="00835CD6" w:rsidRPr="00420B37">
        <w:rPr>
          <w:lang w:val="en-AU"/>
        </w:rPr>
        <w:t>s</w:t>
      </w:r>
      <w:r w:rsidRPr="00420B37">
        <w:rPr>
          <w:lang w:val="en-AU"/>
        </w:rPr>
        <w:t>, SRBs could be put in place.</w:t>
      </w:r>
    </w:p>
    <w:p w14:paraId="221CB231" w14:textId="0DC83AE2" w:rsidR="00DB2C81" w:rsidRPr="00420B37" w:rsidRDefault="00DB2C81" w:rsidP="00985A82">
      <w:pPr>
        <w:rPr>
          <w:lang w:val="en-AU"/>
        </w:rPr>
      </w:pPr>
      <w:r w:rsidRPr="00420B37">
        <w:rPr>
          <w:lang w:val="en-AU"/>
        </w:rPr>
        <w:t xml:space="preserve">On this foundation, there would be </w:t>
      </w:r>
      <w:r w:rsidR="00CB3505">
        <w:rPr>
          <w:lang w:val="en-AU"/>
        </w:rPr>
        <w:t>4</w:t>
      </w:r>
      <w:r w:rsidR="00CB3505" w:rsidRPr="00420B37">
        <w:rPr>
          <w:lang w:val="en-AU"/>
        </w:rPr>
        <w:t xml:space="preserve"> </w:t>
      </w:r>
      <w:r w:rsidRPr="00420B37">
        <w:rPr>
          <w:lang w:val="en-AU"/>
        </w:rPr>
        <w:t xml:space="preserve">main options when it comes to the CSG. </w:t>
      </w:r>
    </w:p>
    <w:p w14:paraId="41ECCD2E" w14:textId="60FDA8D7" w:rsidR="001D3153" w:rsidRPr="00420B37" w:rsidRDefault="00DB2C81" w:rsidP="001D3153">
      <w:pPr>
        <w:rPr>
          <w:lang w:val="en-AU"/>
        </w:rPr>
      </w:pPr>
      <w:r w:rsidRPr="00420B37">
        <w:rPr>
          <w:lang w:val="en-AU"/>
        </w:rPr>
        <w:t>First, w</w:t>
      </w:r>
      <w:r w:rsidR="001D3153" w:rsidRPr="00420B37">
        <w:rPr>
          <w:lang w:val="en-AU"/>
        </w:rPr>
        <w:t>ith wholesale arrangement</w:t>
      </w:r>
      <w:r w:rsidR="008E04F4">
        <w:rPr>
          <w:lang w:val="en-AU"/>
        </w:rPr>
        <w:t>s</w:t>
      </w:r>
      <w:r w:rsidR="001D3153" w:rsidRPr="00420B37">
        <w:rPr>
          <w:lang w:val="en-AU"/>
        </w:rPr>
        <w:t xml:space="preserve"> like these in place, the CSG might be considered unnecessary because the work it does is effectively being done through these wholesale arrangements. </w:t>
      </w:r>
      <w:r w:rsidR="000C00D1" w:rsidRPr="00420B37">
        <w:rPr>
          <w:lang w:val="en-AU"/>
        </w:rPr>
        <w:t xml:space="preserve">In this context, the CSG could be allowed to lapse in relation to voice services provided over these networks. </w:t>
      </w:r>
      <w:r w:rsidR="001D3153" w:rsidRPr="00420B37">
        <w:rPr>
          <w:lang w:val="en-AU"/>
        </w:rPr>
        <w:t xml:space="preserve">However, consumers could be concerned that the effectiveness of the arrangements is dependent on NBN Co and </w:t>
      </w:r>
      <w:r w:rsidR="00835CD6" w:rsidRPr="00420B37">
        <w:rPr>
          <w:lang w:val="en-AU"/>
        </w:rPr>
        <w:t xml:space="preserve">other </w:t>
      </w:r>
      <w:r w:rsidR="001D3153" w:rsidRPr="00420B37">
        <w:rPr>
          <w:lang w:val="en-AU"/>
        </w:rPr>
        <w:t>SIP</w:t>
      </w:r>
      <w:r w:rsidR="00835CD6" w:rsidRPr="00420B37">
        <w:rPr>
          <w:lang w:val="en-AU"/>
        </w:rPr>
        <w:t>s</w:t>
      </w:r>
      <w:r w:rsidR="001D3153" w:rsidRPr="00420B37">
        <w:rPr>
          <w:lang w:val="en-AU"/>
        </w:rPr>
        <w:t xml:space="preserve"> keeping in place effective </w:t>
      </w:r>
      <w:r w:rsidR="00AF778B" w:rsidRPr="00420B37">
        <w:rPr>
          <w:lang w:val="en-AU"/>
        </w:rPr>
        <w:t xml:space="preserve">wholesale </w:t>
      </w:r>
      <w:r w:rsidR="001D3153" w:rsidRPr="00420B37">
        <w:rPr>
          <w:lang w:val="en-AU"/>
        </w:rPr>
        <w:t xml:space="preserve">safeguards or the Government imposing </w:t>
      </w:r>
      <w:r w:rsidR="00835CD6" w:rsidRPr="00420B37">
        <w:rPr>
          <w:lang w:val="en-AU"/>
        </w:rPr>
        <w:t xml:space="preserve">safeguards </w:t>
      </w:r>
      <w:r w:rsidR="001D3153" w:rsidRPr="00420B37">
        <w:rPr>
          <w:lang w:val="en-AU"/>
        </w:rPr>
        <w:t xml:space="preserve">on them. The success of the approach </w:t>
      </w:r>
      <w:r w:rsidR="00835CD6" w:rsidRPr="00420B37">
        <w:rPr>
          <w:lang w:val="en-AU"/>
        </w:rPr>
        <w:t xml:space="preserve">would also </w:t>
      </w:r>
      <w:r w:rsidR="001D3153" w:rsidRPr="00420B37">
        <w:rPr>
          <w:lang w:val="en-AU"/>
        </w:rPr>
        <w:t xml:space="preserve">depend on competition between RSPs </w:t>
      </w:r>
      <w:r w:rsidR="000C00D1" w:rsidRPr="00420B37">
        <w:rPr>
          <w:lang w:val="en-AU"/>
        </w:rPr>
        <w:t xml:space="preserve">giving them the incentive </w:t>
      </w:r>
      <w:r w:rsidR="00835CD6" w:rsidRPr="00420B37">
        <w:rPr>
          <w:lang w:val="en-AU"/>
        </w:rPr>
        <w:t>t</w:t>
      </w:r>
      <w:r w:rsidR="001D3153" w:rsidRPr="00420B37">
        <w:rPr>
          <w:lang w:val="en-AU"/>
        </w:rPr>
        <w:t xml:space="preserve">o provide equivalent </w:t>
      </w:r>
      <w:r w:rsidR="000C00D1" w:rsidRPr="00420B37">
        <w:rPr>
          <w:lang w:val="en-AU"/>
        </w:rPr>
        <w:t>protections</w:t>
      </w:r>
      <w:r w:rsidR="001D3153" w:rsidRPr="00420B37">
        <w:rPr>
          <w:lang w:val="en-AU"/>
        </w:rPr>
        <w:t xml:space="preserve"> to their </w:t>
      </w:r>
      <w:r w:rsidR="00E53709">
        <w:rPr>
          <w:lang w:val="en-AU"/>
        </w:rPr>
        <w:t xml:space="preserve">retail </w:t>
      </w:r>
      <w:r w:rsidR="000C00D1" w:rsidRPr="00420B37">
        <w:rPr>
          <w:lang w:val="en-AU"/>
        </w:rPr>
        <w:t>customers</w:t>
      </w:r>
      <w:r w:rsidR="001D3153" w:rsidRPr="00420B37">
        <w:rPr>
          <w:lang w:val="en-AU"/>
        </w:rPr>
        <w:t>.</w:t>
      </w:r>
    </w:p>
    <w:p w14:paraId="34882D36" w14:textId="77777777" w:rsidR="00DB2C81" w:rsidRPr="00420B37" w:rsidRDefault="00DB2C81" w:rsidP="00C4146E">
      <w:pPr>
        <w:keepLines/>
        <w:rPr>
          <w:lang w:val="en-AU"/>
        </w:rPr>
      </w:pPr>
      <w:r w:rsidRPr="00420B37">
        <w:rPr>
          <w:lang w:val="en-AU"/>
        </w:rPr>
        <w:lastRenderedPageBreak/>
        <w:t xml:space="preserve">Second, </w:t>
      </w:r>
      <w:r w:rsidR="00AF778B" w:rsidRPr="00420B37">
        <w:rPr>
          <w:lang w:val="en-AU"/>
        </w:rPr>
        <w:t xml:space="preserve">as noted above, </w:t>
      </w:r>
      <w:r w:rsidR="000C00D1" w:rsidRPr="00420B37">
        <w:rPr>
          <w:lang w:val="en-AU"/>
        </w:rPr>
        <w:t xml:space="preserve">there may be concerns that there would be insufficient incentives for RSPs to </w:t>
      </w:r>
      <w:r w:rsidR="00835CD6" w:rsidRPr="00420B37">
        <w:rPr>
          <w:lang w:val="en-AU"/>
        </w:rPr>
        <w:t>provide the</w:t>
      </w:r>
      <w:r w:rsidR="000C00D1" w:rsidRPr="00420B37">
        <w:rPr>
          <w:lang w:val="en-AU"/>
        </w:rPr>
        <w:t xml:space="preserve"> performance outcomes they are receiving from NBN Co and SIPs to their consumers. </w:t>
      </w:r>
      <w:bookmarkEnd w:id="31"/>
      <w:r w:rsidR="000C00D1" w:rsidRPr="00420B37">
        <w:rPr>
          <w:lang w:val="en-AU"/>
        </w:rPr>
        <w:t xml:space="preserve">This might be addressed by placing new requirements on RSPs to ensure these performance outcomes </w:t>
      </w:r>
      <w:r w:rsidRPr="00420B37">
        <w:rPr>
          <w:lang w:val="en-AU"/>
        </w:rPr>
        <w:t xml:space="preserve">are made available to their customers, or there is at least transparency as to what outcomes the RSPs will provide. </w:t>
      </w:r>
      <w:r w:rsidR="00AC1026" w:rsidRPr="00420B37">
        <w:rPr>
          <w:lang w:val="en-AU"/>
        </w:rPr>
        <w:t xml:space="preserve">Depending on the detail of </w:t>
      </w:r>
      <w:r w:rsidRPr="00420B37">
        <w:rPr>
          <w:lang w:val="en-AU"/>
        </w:rPr>
        <w:t xml:space="preserve">the </w:t>
      </w:r>
      <w:r w:rsidR="00AC1026" w:rsidRPr="00420B37">
        <w:rPr>
          <w:lang w:val="en-AU"/>
        </w:rPr>
        <w:t>retail requirements, t</w:t>
      </w:r>
      <w:r w:rsidR="008C29B9" w:rsidRPr="00420B37">
        <w:rPr>
          <w:lang w:val="en-AU"/>
        </w:rPr>
        <w:t xml:space="preserve">here are various </w:t>
      </w:r>
      <w:r w:rsidR="00A4458B" w:rsidRPr="00420B37">
        <w:rPr>
          <w:lang w:val="en-AU"/>
        </w:rPr>
        <w:t xml:space="preserve">existing mechanisms </w:t>
      </w:r>
      <w:r w:rsidR="00AC1026" w:rsidRPr="00420B37">
        <w:rPr>
          <w:lang w:val="en-AU"/>
        </w:rPr>
        <w:t xml:space="preserve">that could be potentially used, </w:t>
      </w:r>
      <w:r w:rsidRPr="00420B37">
        <w:rPr>
          <w:lang w:val="en-AU"/>
        </w:rPr>
        <w:t xml:space="preserve">but </w:t>
      </w:r>
      <w:r w:rsidR="00C40BB1" w:rsidRPr="00420B37">
        <w:rPr>
          <w:lang w:val="en-AU"/>
        </w:rPr>
        <w:t>service provider rules</w:t>
      </w:r>
      <w:r w:rsidRPr="00420B37">
        <w:rPr>
          <w:lang w:val="en-AU"/>
        </w:rPr>
        <w:t xml:space="preserve"> would likely be </w:t>
      </w:r>
      <w:r w:rsidR="00835CD6" w:rsidRPr="00420B37">
        <w:rPr>
          <w:lang w:val="en-AU"/>
        </w:rPr>
        <w:t xml:space="preserve">the </w:t>
      </w:r>
      <w:r w:rsidRPr="00420B37">
        <w:rPr>
          <w:lang w:val="en-AU"/>
        </w:rPr>
        <w:t>most effective.</w:t>
      </w:r>
      <w:r w:rsidR="0056296F" w:rsidRPr="00420B37">
        <w:rPr>
          <w:lang w:val="en-AU"/>
        </w:rPr>
        <w:t xml:space="preserve"> This new mechanism would be designed to work back-to-back, with the wholesale arrangements that have evolved. </w:t>
      </w:r>
    </w:p>
    <w:p w14:paraId="673B3FBD" w14:textId="4C8F23CF" w:rsidR="00DB2C81" w:rsidRPr="00420B37" w:rsidRDefault="00DB2C81" w:rsidP="000C00D1">
      <w:pPr>
        <w:rPr>
          <w:lang w:val="en-AU"/>
        </w:rPr>
      </w:pPr>
      <w:r w:rsidRPr="00420B37">
        <w:rPr>
          <w:lang w:val="en-AU"/>
        </w:rPr>
        <w:t xml:space="preserve">Third, the proceeding approach would have many similarities with the existing CSG, </w:t>
      </w:r>
      <w:r w:rsidR="00E53709">
        <w:rPr>
          <w:lang w:val="en-AU"/>
        </w:rPr>
        <w:t>but</w:t>
      </w:r>
      <w:r w:rsidR="00E53709" w:rsidRPr="00420B37">
        <w:rPr>
          <w:lang w:val="en-AU"/>
        </w:rPr>
        <w:t xml:space="preserve"> </w:t>
      </w:r>
      <w:r w:rsidRPr="00420B37">
        <w:rPr>
          <w:lang w:val="en-AU"/>
        </w:rPr>
        <w:t xml:space="preserve">another option could be to </w:t>
      </w:r>
      <w:r w:rsidR="00E53709">
        <w:rPr>
          <w:lang w:val="en-AU"/>
        </w:rPr>
        <w:t xml:space="preserve">explicitly </w:t>
      </w:r>
      <w:r w:rsidRPr="00420B37">
        <w:rPr>
          <w:lang w:val="en-AU"/>
        </w:rPr>
        <w:t>rewrite the CSG so it worked, back</w:t>
      </w:r>
      <w:r w:rsidR="0056296F" w:rsidRPr="00420B37">
        <w:rPr>
          <w:lang w:val="en-AU"/>
        </w:rPr>
        <w:t>-</w:t>
      </w:r>
      <w:r w:rsidRPr="00420B37">
        <w:rPr>
          <w:lang w:val="en-AU"/>
        </w:rPr>
        <w:t>to</w:t>
      </w:r>
      <w:r w:rsidR="0056296F" w:rsidRPr="00420B37">
        <w:rPr>
          <w:lang w:val="en-AU"/>
        </w:rPr>
        <w:t>-</w:t>
      </w:r>
      <w:r w:rsidRPr="00420B37">
        <w:rPr>
          <w:lang w:val="en-AU"/>
        </w:rPr>
        <w:t xml:space="preserve">back, with the wholesale arrangements that have evolved. This would require the CSG to be modified to apply to broadband services generally (not just voice) and to recognise rebates provided by NBN Co and other SIPs.  </w:t>
      </w:r>
    </w:p>
    <w:p w14:paraId="67092EAB" w14:textId="77777777" w:rsidR="001D3153" w:rsidRPr="00420B37" w:rsidRDefault="0056296F" w:rsidP="001D3153">
      <w:pPr>
        <w:rPr>
          <w:lang w:val="en-AU"/>
        </w:rPr>
      </w:pPr>
      <w:bookmarkStart w:id="33" w:name="_Hlk115337212"/>
      <w:r w:rsidRPr="00420B37">
        <w:rPr>
          <w:lang w:val="en-AU"/>
        </w:rPr>
        <w:t xml:space="preserve">Fourth, the </w:t>
      </w:r>
      <w:r w:rsidR="001D3153" w:rsidRPr="00420B37">
        <w:rPr>
          <w:lang w:val="en-AU"/>
        </w:rPr>
        <w:t>existing CSG arrangements</w:t>
      </w:r>
      <w:r w:rsidRPr="00420B37">
        <w:rPr>
          <w:lang w:val="en-AU"/>
        </w:rPr>
        <w:t xml:space="preserve"> could be retained in much the same form as they </w:t>
      </w:r>
      <w:r w:rsidR="0062082B" w:rsidRPr="00420B37">
        <w:rPr>
          <w:lang w:val="en-AU"/>
        </w:rPr>
        <w:t xml:space="preserve">exist </w:t>
      </w:r>
      <w:r w:rsidRPr="00420B37">
        <w:rPr>
          <w:lang w:val="en-AU"/>
        </w:rPr>
        <w:t xml:space="preserve">today, or with </w:t>
      </w:r>
      <w:r w:rsidR="00E53709">
        <w:rPr>
          <w:lang w:val="en-AU"/>
        </w:rPr>
        <w:t xml:space="preserve">only </w:t>
      </w:r>
      <w:r w:rsidRPr="00420B37">
        <w:rPr>
          <w:lang w:val="en-AU"/>
        </w:rPr>
        <w:t>necessary revisions</w:t>
      </w:r>
      <w:r w:rsidR="001D3153" w:rsidRPr="00420B37">
        <w:rPr>
          <w:lang w:val="en-AU"/>
        </w:rPr>
        <w:t xml:space="preserve">. </w:t>
      </w:r>
      <w:r w:rsidRPr="00420B37">
        <w:rPr>
          <w:lang w:val="en-AU"/>
        </w:rPr>
        <w:t xml:space="preserve">This would mean consumers with broadband </w:t>
      </w:r>
      <w:r w:rsidR="007D7358" w:rsidRPr="00420B37">
        <w:rPr>
          <w:lang w:val="en-AU"/>
        </w:rPr>
        <w:t>services</w:t>
      </w:r>
      <w:r w:rsidRPr="00420B37">
        <w:rPr>
          <w:lang w:val="en-AU"/>
        </w:rPr>
        <w:t xml:space="preserve"> would rely on </w:t>
      </w:r>
      <w:r w:rsidR="007D7358" w:rsidRPr="00420B37">
        <w:rPr>
          <w:lang w:val="en-AU"/>
        </w:rPr>
        <w:t>the</w:t>
      </w:r>
      <w:r w:rsidRPr="00420B37">
        <w:rPr>
          <w:lang w:val="en-AU"/>
        </w:rPr>
        <w:t xml:space="preserve"> </w:t>
      </w:r>
      <w:r w:rsidR="00E94BE1" w:rsidRPr="00420B37">
        <w:rPr>
          <w:lang w:val="en-AU"/>
        </w:rPr>
        <w:t xml:space="preserve">new </w:t>
      </w:r>
      <w:r w:rsidR="007D7358" w:rsidRPr="00420B37">
        <w:rPr>
          <w:lang w:val="en-AU"/>
        </w:rPr>
        <w:t>protections</w:t>
      </w:r>
      <w:r w:rsidRPr="00420B37">
        <w:rPr>
          <w:lang w:val="en-AU"/>
        </w:rPr>
        <w:t xml:space="preserve"> </w:t>
      </w:r>
      <w:r w:rsidR="007D7358" w:rsidRPr="00420B37">
        <w:rPr>
          <w:lang w:val="en-AU"/>
        </w:rPr>
        <w:t>available</w:t>
      </w:r>
      <w:r w:rsidRPr="00420B37">
        <w:rPr>
          <w:lang w:val="en-AU"/>
        </w:rPr>
        <w:t xml:space="preserve"> under undertaking</w:t>
      </w:r>
      <w:r w:rsidR="00E94BE1" w:rsidRPr="00420B37">
        <w:rPr>
          <w:lang w:val="en-AU"/>
        </w:rPr>
        <w:t>s</w:t>
      </w:r>
      <w:r w:rsidRPr="00420B37">
        <w:rPr>
          <w:lang w:val="en-AU"/>
        </w:rPr>
        <w:t xml:space="preserve"> from NBN Co or SIPs, but there would continue to be additional protections for users of fixed voice services. </w:t>
      </w:r>
      <w:r w:rsidR="001D3153" w:rsidRPr="00420B37">
        <w:rPr>
          <w:lang w:val="en-AU"/>
        </w:rPr>
        <w:t xml:space="preserve">The instruments that are due to sunset could be remade, either in their existing form or with some amendments to update specific provisions, based on stakeholder feedback. </w:t>
      </w:r>
      <w:r w:rsidRPr="00420B37">
        <w:rPr>
          <w:lang w:val="en-AU"/>
        </w:rPr>
        <w:t xml:space="preserve">One issue that would need to be considered is </w:t>
      </w:r>
      <w:r w:rsidR="00EC6931">
        <w:rPr>
          <w:lang w:val="en-AU"/>
        </w:rPr>
        <w:t>the alignment and interaction of</w:t>
      </w:r>
      <w:r w:rsidRPr="00420B37">
        <w:rPr>
          <w:lang w:val="en-AU"/>
        </w:rPr>
        <w:t xml:space="preserve"> </w:t>
      </w:r>
      <w:r w:rsidR="00EC6931">
        <w:rPr>
          <w:lang w:val="en-AU"/>
        </w:rPr>
        <w:t xml:space="preserve">CSG </w:t>
      </w:r>
      <w:r w:rsidR="00E94BE1" w:rsidRPr="00420B37">
        <w:rPr>
          <w:lang w:val="en-AU"/>
        </w:rPr>
        <w:t xml:space="preserve">timeframes </w:t>
      </w:r>
      <w:r w:rsidR="00EC6931">
        <w:rPr>
          <w:lang w:val="en-AU"/>
        </w:rPr>
        <w:t>and those</w:t>
      </w:r>
      <w:r w:rsidR="00E94BE1" w:rsidRPr="00420B37">
        <w:rPr>
          <w:lang w:val="en-AU"/>
        </w:rPr>
        <w:t xml:space="preserve"> offered by NBN Co and other SIPs, noting RSPs may have difficulty meeting CSG requirements that are not supported by NBN Co and other SIPs. CSG payments may also</w:t>
      </w:r>
      <w:r w:rsidRPr="00420B37">
        <w:rPr>
          <w:lang w:val="en-AU"/>
        </w:rPr>
        <w:t xml:space="preserve"> need</w:t>
      </w:r>
      <w:r w:rsidR="007D7358" w:rsidRPr="00420B37">
        <w:rPr>
          <w:lang w:val="en-AU"/>
        </w:rPr>
        <w:t xml:space="preserve"> to </w:t>
      </w:r>
      <w:r w:rsidRPr="00420B37">
        <w:rPr>
          <w:lang w:val="en-AU"/>
        </w:rPr>
        <w:t>be aligned with rebates being proposed by NBN Co and other SI</w:t>
      </w:r>
      <w:r w:rsidR="00E94BE1" w:rsidRPr="00420B37">
        <w:rPr>
          <w:lang w:val="en-AU"/>
        </w:rPr>
        <w:t>Ps</w:t>
      </w:r>
      <w:r w:rsidRPr="00420B37">
        <w:rPr>
          <w:lang w:val="en-AU"/>
        </w:rPr>
        <w:t xml:space="preserve"> or to take account of them </w:t>
      </w:r>
      <w:r w:rsidR="007D7358" w:rsidRPr="00420B37">
        <w:rPr>
          <w:lang w:val="en-AU"/>
        </w:rPr>
        <w:t>in determining payments. For example, if a rebate was paid by NBN Co or another SIP and paid to the end consumers it may be appropriate for that amount to be deduct</w:t>
      </w:r>
      <w:r w:rsidR="00CC337D" w:rsidRPr="00420B37">
        <w:rPr>
          <w:lang w:val="en-AU"/>
        </w:rPr>
        <w:t>ed</w:t>
      </w:r>
      <w:r w:rsidR="007D7358" w:rsidRPr="00420B37">
        <w:rPr>
          <w:lang w:val="en-AU"/>
        </w:rPr>
        <w:t xml:space="preserve"> from any CSG payment.</w:t>
      </w:r>
    </w:p>
    <w:p w14:paraId="66503D5F" w14:textId="77777777" w:rsidR="00835CD6" w:rsidRPr="00420B37" w:rsidRDefault="005C404F" w:rsidP="00835CD6">
      <w:pPr>
        <w:rPr>
          <w:lang w:val="en-AU"/>
        </w:rPr>
      </w:pPr>
      <w:r w:rsidRPr="00420B37">
        <w:rPr>
          <w:lang w:val="en-AU"/>
        </w:rPr>
        <w:t xml:space="preserve">If this </w:t>
      </w:r>
      <w:r w:rsidR="0038662C">
        <w:rPr>
          <w:lang w:val="en-AU"/>
        </w:rPr>
        <w:t xml:space="preserve">last </w:t>
      </w:r>
      <w:r w:rsidRPr="00420B37">
        <w:rPr>
          <w:lang w:val="en-AU"/>
        </w:rPr>
        <w:t>option were adopted and any CSG requirements applying to Telstra</w:t>
      </w:r>
      <w:r w:rsidR="00EC6931">
        <w:rPr>
          <w:lang w:val="en-AU"/>
        </w:rPr>
        <w:t>’s legacy network outside the NBN fixed line footprint</w:t>
      </w:r>
      <w:r w:rsidRPr="00420B37">
        <w:rPr>
          <w:lang w:val="en-AU"/>
        </w:rPr>
        <w:t xml:space="preserve"> were </w:t>
      </w:r>
      <w:r w:rsidR="0038662C">
        <w:rPr>
          <w:lang w:val="en-AU"/>
        </w:rPr>
        <w:t>retained</w:t>
      </w:r>
      <w:r w:rsidRPr="00420B37">
        <w:rPr>
          <w:lang w:val="en-AU"/>
        </w:rPr>
        <w:t xml:space="preserve">, there may be merit in keeping both sets of arrangements aligned as much as possible. </w:t>
      </w:r>
      <w:r w:rsidR="00835CD6" w:rsidRPr="00420B37">
        <w:rPr>
          <w:lang w:val="en-AU"/>
        </w:rPr>
        <w:t xml:space="preserve">While there may be some merit and attraction in having ‘back to back’ arrangements as </w:t>
      </w:r>
      <w:r w:rsidR="00420B37" w:rsidRPr="00420B37">
        <w:rPr>
          <w:lang w:val="en-AU"/>
        </w:rPr>
        <w:t xml:space="preserve">per </w:t>
      </w:r>
      <w:r w:rsidR="00835CD6" w:rsidRPr="00420B37">
        <w:rPr>
          <w:lang w:val="en-AU"/>
        </w:rPr>
        <w:t>option</w:t>
      </w:r>
      <w:r w:rsidR="00420B37" w:rsidRPr="00420B37">
        <w:rPr>
          <w:lang w:val="en-AU"/>
        </w:rPr>
        <w:t>s</w:t>
      </w:r>
      <w:r w:rsidR="00835CD6" w:rsidRPr="00420B37">
        <w:rPr>
          <w:lang w:val="en-AU"/>
        </w:rPr>
        <w:t xml:space="preserve"> 3 and 4, a potential issue would be accommodating situations where multiple </w:t>
      </w:r>
      <w:r w:rsidR="0038662C">
        <w:rPr>
          <w:lang w:val="en-AU"/>
        </w:rPr>
        <w:t xml:space="preserve">parties, including intermediaries, </w:t>
      </w:r>
      <w:r w:rsidR="00835CD6" w:rsidRPr="00420B37">
        <w:rPr>
          <w:lang w:val="en-AU"/>
        </w:rPr>
        <w:t xml:space="preserve">are involved in supplying </w:t>
      </w:r>
      <w:r w:rsidR="00420B37" w:rsidRPr="00420B37">
        <w:rPr>
          <w:lang w:val="en-AU"/>
        </w:rPr>
        <w:t xml:space="preserve">wholesale </w:t>
      </w:r>
      <w:r w:rsidR="00835CD6" w:rsidRPr="00420B37">
        <w:rPr>
          <w:lang w:val="en-AU"/>
        </w:rPr>
        <w:t>services.</w:t>
      </w:r>
      <w:r w:rsidR="00835CD6" w:rsidRPr="00420B37">
        <w:rPr>
          <w:rStyle w:val="FootnoteReference"/>
          <w:lang w:val="en-AU"/>
        </w:rPr>
        <w:footnoteReference w:id="13"/>
      </w:r>
      <w:r w:rsidR="00835CD6" w:rsidRPr="00420B37">
        <w:rPr>
          <w:lang w:val="en-AU"/>
        </w:rPr>
        <w:t xml:space="preserve"> </w:t>
      </w:r>
    </w:p>
    <w:p w14:paraId="2F4F4AE4" w14:textId="77777777" w:rsidR="001D3153" w:rsidRPr="00420B37" w:rsidRDefault="00E94BE1" w:rsidP="00E471CE">
      <w:pPr>
        <w:pStyle w:val="Heading2"/>
        <w:keepNext w:val="0"/>
        <w:spacing w:after="80"/>
        <w:rPr>
          <w:lang w:val="en-AU"/>
        </w:rPr>
      </w:pPr>
      <w:bookmarkStart w:id="34" w:name="_Toc127530729"/>
      <w:bookmarkStart w:id="35" w:name="_Toc74232160"/>
      <w:bookmarkStart w:id="36" w:name="_Toc88488642"/>
      <w:bookmarkStart w:id="37" w:name="_Toc90650838"/>
      <w:bookmarkStart w:id="38" w:name="_Toc117528549"/>
      <w:bookmarkStart w:id="39" w:name="_Toc117690079"/>
      <w:bookmarkEnd w:id="33"/>
      <w:r w:rsidRPr="00420B37">
        <w:rPr>
          <w:lang w:val="en-AU"/>
        </w:rPr>
        <w:t>Details of the CSG instruments</w:t>
      </w:r>
      <w:r w:rsidR="00931D6C" w:rsidRPr="00420B37">
        <w:rPr>
          <w:lang w:val="en-AU"/>
        </w:rPr>
        <w:t xml:space="preserve"> if remade</w:t>
      </w:r>
      <w:bookmarkEnd w:id="34"/>
    </w:p>
    <w:p w14:paraId="0FF8DD74" w14:textId="77777777" w:rsidR="00E94BE1" w:rsidRPr="00420B37" w:rsidRDefault="00E94BE1" w:rsidP="00E94BE1">
      <w:pPr>
        <w:rPr>
          <w:lang w:val="en-AU"/>
        </w:rPr>
      </w:pPr>
      <w:r w:rsidRPr="00420B37">
        <w:rPr>
          <w:lang w:val="en-AU"/>
        </w:rPr>
        <w:t xml:space="preserve">The Australian telecommunications industry has changed significantly since the CSG was introduced over 20 years ago but the CSG, by contrast, has changed little. New </w:t>
      </w:r>
      <w:r w:rsidR="00931D6C" w:rsidRPr="00420B37">
        <w:rPr>
          <w:lang w:val="en-AU"/>
        </w:rPr>
        <w:t>regulatory</w:t>
      </w:r>
      <w:r w:rsidRPr="00420B37">
        <w:rPr>
          <w:lang w:val="en-AU"/>
        </w:rPr>
        <w:t xml:space="preserve"> arra</w:t>
      </w:r>
      <w:r w:rsidR="00931D6C" w:rsidRPr="00420B37">
        <w:rPr>
          <w:lang w:val="en-AU"/>
        </w:rPr>
        <w:t>ngements</w:t>
      </w:r>
      <w:r w:rsidRPr="00420B37">
        <w:rPr>
          <w:lang w:val="en-AU"/>
        </w:rPr>
        <w:t xml:space="preserve"> have evolved to provide greater </w:t>
      </w:r>
      <w:r w:rsidR="00931D6C" w:rsidRPr="00420B37">
        <w:rPr>
          <w:lang w:val="en-AU"/>
        </w:rPr>
        <w:t>protections</w:t>
      </w:r>
      <w:r w:rsidRPr="00420B37">
        <w:rPr>
          <w:lang w:val="en-AU"/>
        </w:rPr>
        <w:t xml:space="preserve"> </w:t>
      </w:r>
      <w:r w:rsidR="00931D6C" w:rsidRPr="00420B37">
        <w:rPr>
          <w:lang w:val="en-AU"/>
        </w:rPr>
        <w:t>for</w:t>
      </w:r>
      <w:r w:rsidRPr="00420B37">
        <w:rPr>
          <w:lang w:val="en-AU"/>
        </w:rPr>
        <w:t xml:space="preserve"> </w:t>
      </w:r>
      <w:r w:rsidR="00931D6C" w:rsidRPr="00420B37">
        <w:rPr>
          <w:lang w:val="en-AU"/>
        </w:rPr>
        <w:t>users</w:t>
      </w:r>
      <w:r w:rsidRPr="00420B37">
        <w:rPr>
          <w:lang w:val="en-AU"/>
        </w:rPr>
        <w:t xml:space="preserve"> </w:t>
      </w:r>
      <w:r w:rsidR="00931D6C" w:rsidRPr="00420B37">
        <w:rPr>
          <w:lang w:val="en-AU"/>
        </w:rPr>
        <w:t>of</w:t>
      </w:r>
      <w:r w:rsidRPr="00420B37">
        <w:rPr>
          <w:lang w:val="en-AU"/>
        </w:rPr>
        <w:t xml:space="preserve"> fixed broadband </w:t>
      </w:r>
      <w:r w:rsidR="00931D6C" w:rsidRPr="00420B37">
        <w:rPr>
          <w:lang w:val="en-AU"/>
        </w:rPr>
        <w:t>services</w:t>
      </w:r>
      <w:r w:rsidRPr="00420B37">
        <w:rPr>
          <w:lang w:val="en-AU"/>
        </w:rPr>
        <w:t xml:space="preserve">, and whether </w:t>
      </w:r>
      <w:r w:rsidR="0062082B" w:rsidRPr="00420B37">
        <w:rPr>
          <w:lang w:val="en-AU"/>
        </w:rPr>
        <w:t xml:space="preserve">these </w:t>
      </w:r>
      <w:r w:rsidRPr="00420B37">
        <w:rPr>
          <w:lang w:val="en-AU"/>
        </w:rPr>
        <w:t>arr</w:t>
      </w:r>
      <w:r w:rsidR="00931D6C" w:rsidRPr="00420B37">
        <w:rPr>
          <w:lang w:val="en-AU"/>
        </w:rPr>
        <w:t>angements</w:t>
      </w:r>
      <w:r w:rsidRPr="00420B37">
        <w:rPr>
          <w:lang w:val="en-AU"/>
        </w:rPr>
        <w:t xml:space="preserve"> need to be refined further, </w:t>
      </w:r>
      <w:r w:rsidR="00931D6C" w:rsidRPr="00420B37">
        <w:rPr>
          <w:lang w:val="en-AU"/>
        </w:rPr>
        <w:t>potentially</w:t>
      </w:r>
      <w:r w:rsidRPr="00420B37">
        <w:rPr>
          <w:lang w:val="en-AU"/>
        </w:rPr>
        <w:t xml:space="preserve"> </w:t>
      </w:r>
      <w:r w:rsidR="00931D6C" w:rsidRPr="00420B37">
        <w:rPr>
          <w:lang w:val="en-AU"/>
        </w:rPr>
        <w:t>displacing the</w:t>
      </w:r>
      <w:r w:rsidRPr="00420B37">
        <w:rPr>
          <w:lang w:val="en-AU"/>
        </w:rPr>
        <w:t xml:space="preserve"> CSG</w:t>
      </w:r>
      <w:r w:rsidR="007D7759">
        <w:rPr>
          <w:lang w:val="en-AU"/>
        </w:rPr>
        <w:t>,</w:t>
      </w:r>
      <w:r w:rsidRPr="00420B37">
        <w:rPr>
          <w:lang w:val="en-AU"/>
        </w:rPr>
        <w:t xml:space="preserve"> is a </w:t>
      </w:r>
      <w:r w:rsidR="00931D6C" w:rsidRPr="00420B37">
        <w:rPr>
          <w:lang w:val="en-AU"/>
        </w:rPr>
        <w:t>threshold</w:t>
      </w:r>
      <w:r w:rsidRPr="00420B37">
        <w:rPr>
          <w:lang w:val="en-AU"/>
        </w:rPr>
        <w:t xml:space="preserve"> issue in this discussion paper.</w:t>
      </w:r>
    </w:p>
    <w:p w14:paraId="59546FB3" w14:textId="77777777" w:rsidR="00931D6C" w:rsidRPr="00420B37" w:rsidRDefault="00E94BE1" w:rsidP="00C4146E">
      <w:pPr>
        <w:keepNext/>
        <w:rPr>
          <w:lang w:val="en-AU"/>
        </w:rPr>
      </w:pPr>
      <w:r w:rsidRPr="00420B37">
        <w:rPr>
          <w:lang w:val="en-AU"/>
        </w:rPr>
        <w:t xml:space="preserve">As noted above, the CSG will likely need to continue to apply to the Telstra legacy network servicing the 8% of premises in rural and remote Australia outside the NBN Co fixed line footprint. </w:t>
      </w:r>
      <w:r w:rsidR="00931D6C" w:rsidRPr="00420B37">
        <w:rPr>
          <w:lang w:val="en-AU"/>
        </w:rPr>
        <w:t xml:space="preserve">You may also </w:t>
      </w:r>
      <w:r w:rsidR="00C05569" w:rsidRPr="00420B37">
        <w:rPr>
          <w:lang w:val="en-AU"/>
        </w:rPr>
        <w:t xml:space="preserve">wish to </w:t>
      </w:r>
      <w:r w:rsidR="00931D6C" w:rsidRPr="00420B37">
        <w:rPr>
          <w:lang w:val="en-AU"/>
        </w:rPr>
        <w:t xml:space="preserve">consider </w:t>
      </w:r>
      <w:r w:rsidR="00C05569" w:rsidRPr="00420B37">
        <w:rPr>
          <w:lang w:val="en-AU"/>
        </w:rPr>
        <w:t xml:space="preserve">if </w:t>
      </w:r>
      <w:r w:rsidR="00931D6C" w:rsidRPr="00420B37">
        <w:rPr>
          <w:lang w:val="en-AU"/>
        </w:rPr>
        <w:t>the CSG should continue i</w:t>
      </w:r>
      <w:r w:rsidR="00420B37" w:rsidRPr="00420B37">
        <w:rPr>
          <w:lang w:val="en-AU"/>
        </w:rPr>
        <w:t>n</w:t>
      </w:r>
      <w:r w:rsidR="00931D6C" w:rsidRPr="00420B37">
        <w:rPr>
          <w:lang w:val="en-AU"/>
        </w:rPr>
        <w:t xml:space="preserve"> much</w:t>
      </w:r>
      <w:r w:rsidR="002974D1">
        <w:rPr>
          <w:lang w:val="en-AU"/>
        </w:rPr>
        <w:t xml:space="preserve"> of</w:t>
      </w:r>
      <w:r w:rsidR="00931D6C" w:rsidRPr="00420B37">
        <w:rPr>
          <w:lang w:val="en-AU"/>
        </w:rPr>
        <w:t xml:space="preserve"> its current form in relation to the NBN </w:t>
      </w:r>
      <w:r w:rsidR="00C05569" w:rsidRPr="00420B37">
        <w:rPr>
          <w:lang w:val="en-AU"/>
        </w:rPr>
        <w:t>C</w:t>
      </w:r>
      <w:r w:rsidR="00931D6C" w:rsidRPr="00420B37">
        <w:rPr>
          <w:lang w:val="en-AU"/>
        </w:rPr>
        <w:t>o fixed line footprint (as per option 4 above).</w:t>
      </w:r>
      <w:r w:rsidR="00420B37" w:rsidRPr="00420B37">
        <w:rPr>
          <w:lang w:val="en-AU"/>
        </w:rPr>
        <w:t xml:space="preserve"> </w:t>
      </w:r>
      <w:r w:rsidR="00931D6C" w:rsidRPr="00420B37">
        <w:rPr>
          <w:lang w:val="en-AU"/>
        </w:rPr>
        <w:t>In th</w:t>
      </w:r>
      <w:r w:rsidR="00420B37" w:rsidRPr="00420B37">
        <w:rPr>
          <w:lang w:val="en-AU"/>
        </w:rPr>
        <w:t>ese</w:t>
      </w:r>
      <w:r w:rsidR="00931D6C" w:rsidRPr="00420B37">
        <w:rPr>
          <w:lang w:val="en-AU"/>
        </w:rPr>
        <w:t xml:space="preserve"> instance</w:t>
      </w:r>
      <w:r w:rsidR="00420B37" w:rsidRPr="00420B37">
        <w:rPr>
          <w:lang w:val="en-AU"/>
        </w:rPr>
        <w:t>s</w:t>
      </w:r>
      <w:r w:rsidR="00931D6C" w:rsidRPr="00420B37">
        <w:rPr>
          <w:lang w:val="en-AU"/>
        </w:rPr>
        <w:t xml:space="preserve">, we would appreciate hearing any </w:t>
      </w:r>
      <w:r w:rsidR="00931D6C" w:rsidRPr="00420B37">
        <w:rPr>
          <w:lang w:val="en-AU"/>
        </w:rPr>
        <w:lastRenderedPageBreak/>
        <w:t>views you have on the details of the CSG as it is drafted now</w:t>
      </w:r>
      <w:r w:rsidR="004B072E">
        <w:rPr>
          <w:lang w:val="en-AU"/>
        </w:rPr>
        <w:t>,</w:t>
      </w:r>
      <w:r w:rsidR="00931D6C" w:rsidRPr="00420B37">
        <w:rPr>
          <w:lang w:val="en-AU"/>
        </w:rPr>
        <w:t xml:space="preserve"> </w:t>
      </w:r>
      <w:r w:rsidR="004B072E">
        <w:rPr>
          <w:lang w:val="en-AU"/>
        </w:rPr>
        <w:t>as well as</w:t>
      </w:r>
      <w:r w:rsidR="00931D6C" w:rsidRPr="00420B37">
        <w:rPr>
          <w:lang w:val="en-AU"/>
        </w:rPr>
        <w:t xml:space="preserve"> </w:t>
      </w:r>
      <w:r w:rsidR="006D56BA">
        <w:rPr>
          <w:lang w:val="en-AU"/>
        </w:rPr>
        <w:t xml:space="preserve">how it </w:t>
      </w:r>
      <w:r w:rsidR="00931D6C" w:rsidRPr="00420B37">
        <w:rPr>
          <w:lang w:val="en-AU"/>
        </w:rPr>
        <w:t xml:space="preserve">might need to be remade. This </w:t>
      </w:r>
      <w:r w:rsidR="00C05569" w:rsidRPr="00420B37">
        <w:rPr>
          <w:lang w:val="en-AU"/>
        </w:rPr>
        <w:t xml:space="preserve">could </w:t>
      </w:r>
      <w:r w:rsidR="00931D6C" w:rsidRPr="00420B37">
        <w:rPr>
          <w:lang w:val="en-AU"/>
        </w:rPr>
        <w:t>include issue</w:t>
      </w:r>
      <w:r w:rsidR="00AD06B0" w:rsidRPr="00420B37">
        <w:rPr>
          <w:lang w:val="en-AU"/>
        </w:rPr>
        <w:t>s</w:t>
      </w:r>
      <w:r w:rsidR="00931D6C" w:rsidRPr="00420B37">
        <w:rPr>
          <w:lang w:val="en-AU"/>
        </w:rPr>
        <w:t xml:space="preserve"> such as:</w:t>
      </w:r>
    </w:p>
    <w:p w14:paraId="174E0796" w14:textId="33801C8B" w:rsidR="00931D6C" w:rsidRPr="00420B37" w:rsidRDefault="00064722" w:rsidP="00C4146E">
      <w:pPr>
        <w:pStyle w:val="Listparagraphbullets"/>
        <w:keepNext/>
      </w:pPr>
      <w:r w:rsidRPr="00420B37">
        <w:t>the services the CSG applies to</w:t>
      </w:r>
    </w:p>
    <w:p w14:paraId="2785CC00" w14:textId="54D3D7DD" w:rsidR="00064722" w:rsidRPr="00420B37" w:rsidRDefault="00064722" w:rsidP="00C4146E">
      <w:pPr>
        <w:pStyle w:val="Listparagraphbullets"/>
      </w:pPr>
      <w:r w:rsidRPr="00420B37">
        <w:t>the matters that standards and benchmarks under the CSG apply to (e.g. currently connections, repairs and appointments)</w:t>
      </w:r>
    </w:p>
    <w:p w14:paraId="52EFF2EA" w14:textId="5E0D0B2E" w:rsidR="00064722" w:rsidRPr="00420B37" w:rsidRDefault="00064722" w:rsidP="00C4146E">
      <w:pPr>
        <w:pStyle w:val="Listparagraphbullets"/>
      </w:pPr>
      <w:r w:rsidRPr="00420B37">
        <w:t>the details of the standards and benchmarks that apply under the CSG (e.g. the number of days for connections</w:t>
      </w:r>
      <w:r w:rsidR="00C05569" w:rsidRPr="00420B37">
        <w:t xml:space="preserve"> and</w:t>
      </w:r>
      <w:r w:rsidRPr="00420B37">
        <w:t xml:space="preserve"> repairs, and </w:t>
      </w:r>
      <w:r w:rsidR="00C05569" w:rsidRPr="00420B37">
        <w:t xml:space="preserve">timeframes for arranging and keeping appointments and </w:t>
      </w:r>
      <w:r w:rsidRPr="00420B37">
        <w:t>that these are met in 90% of cases)</w:t>
      </w:r>
    </w:p>
    <w:p w14:paraId="5A46EFD2" w14:textId="3572D202" w:rsidR="00064722" w:rsidRPr="00420B37" w:rsidRDefault="00064722" w:rsidP="00C4146E">
      <w:pPr>
        <w:pStyle w:val="Listparagraphbullets"/>
      </w:pPr>
      <w:r w:rsidRPr="00420B37">
        <w:t>the levels of compensation</w:t>
      </w:r>
    </w:p>
    <w:p w14:paraId="6E6B2BF2" w14:textId="10EF5897" w:rsidR="00064722" w:rsidRPr="00D369F4" w:rsidRDefault="00064722" w:rsidP="00C4146E">
      <w:pPr>
        <w:pStyle w:val="Listparagraphbullets"/>
      </w:pPr>
      <w:r w:rsidRPr="00D369F4">
        <w:t>waiver param</w:t>
      </w:r>
      <w:r w:rsidR="006D56BA" w:rsidRPr="00D369F4">
        <w:t>e</w:t>
      </w:r>
      <w:r w:rsidR="00C05569" w:rsidRPr="00D369F4">
        <w:t>ters</w:t>
      </w:r>
    </w:p>
    <w:p w14:paraId="48B5FAF8" w14:textId="0BE0C033" w:rsidR="00840F37" w:rsidRPr="00AA6323" w:rsidRDefault="000F5B77" w:rsidP="00C4146E">
      <w:pPr>
        <w:pStyle w:val="Listparagraphbullets"/>
      </w:pPr>
      <w:r w:rsidRPr="00AA6323">
        <w:t xml:space="preserve">scope for providers to claim localised or mass service disruption exemptions, and associated notification and publication requirements. </w:t>
      </w:r>
    </w:p>
    <w:p w14:paraId="2E04B4E9" w14:textId="60F2410A" w:rsidR="00757518" w:rsidRPr="004D06FB" w:rsidRDefault="00757518" w:rsidP="004D06FB">
      <w:pPr>
        <w:pStyle w:val="Heading2"/>
      </w:pPr>
      <w:bookmarkStart w:id="40" w:name="_Toc127530730"/>
      <w:r w:rsidRPr="004D06FB">
        <w:t>Next steps</w:t>
      </w:r>
      <w:bookmarkEnd w:id="35"/>
      <w:bookmarkEnd w:id="36"/>
      <w:bookmarkEnd w:id="37"/>
      <w:bookmarkEnd w:id="38"/>
      <w:bookmarkEnd w:id="39"/>
      <w:bookmarkEnd w:id="40"/>
    </w:p>
    <w:p w14:paraId="059D1F92" w14:textId="77777777" w:rsidR="00A4458B" w:rsidRPr="00420B37" w:rsidRDefault="00757518" w:rsidP="00E471CE">
      <w:pPr>
        <w:rPr>
          <w:lang w:val="en-AU"/>
        </w:rPr>
      </w:pPr>
      <w:r w:rsidRPr="00420B37">
        <w:rPr>
          <w:rFonts w:cs="Times New Roman"/>
          <w:szCs w:val="24"/>
          <w:lang w:val="en-AU"/>
        </w:rPr>
        <w:t xml:space="preserve">Stakeholder views are important to </w:t>
      </w:r>
      <w:r w:rsidR="00DA2F29" w:rsidRPr="00420B37">
        <w:rPr>
          <w:rFonts w:cs="Times New Roman"/>
          <w:szCs w:val="24"/>
          <w:lang w:val="en-AU"/>
        </w:rPr>
        <w:t>the future of the</w:t>
      </w:r>
      <w:r w:rsidRPr="00420B37">
        <w:rPr>
          <w:rFonts w:cs="Times New Roman"/>
          <w:szCs w:val="24"/>
          <w:lang w:val="en-AU"/>
        </w:rPr>
        <w:t xml:space="preserve"> </w:t>
      </w:r>
      <w:r w:rsidR="008A457F" w:rsidRPr="00420B37">
        <w:rPr>
          <w:rFonts w:cs="Times New Roman"/>
          <w:szCs w:val="24"/>
          <w:lang w:val="en-AU"/>
        </w:rPr>
        <w:t xml:space="preserve">CSG </w:t>
      </w:r>
      <w:r w:rsidR="00F44B1C" w:rsidRPr="00420B37">
        <w:rPr>
          <w:rFonts w:cs="Times New Roman"/>
          <w:szCs w:val="24"/>
          <w:lang w:val="en-AU"/>
        </w:rPr>
        <w:t xml:space="preserve">arrangements </w:t>
      </w:r>
      <w:r w:rsidR="00BF01F6" w:rsidRPr="00420B37">
        <w:rPr>
          <w:rFonts w:cs="Times New Roman"/>
          <w:szCs w:val="24"/>
          <w:lang w:val="en-AU"/>
        </w:rPr>
        <w:t xml:space="preserve">and </w:t>
      </w:r>
      <w:r w:rsidR="00DA2F29" w:rsidRPr="00420B37">
        <w:rPr>
          <w:rFonts w:cs="Times New Roman"/>
          <w:szCs w:val="24"/>
          <w:lang w:val="en-AU"/>
        </w:rPr>
        <w:t xml:space="preserve">the </w:t>
      </w:r>
      <w:r w:rsidR="00F44B1C" w:rsidRPr="00420B37">
        <w:rPr>
          <w:rFonts w:cs="Times New Roman"/>
          <w:szCs w:val="24"/>
          <w:lang w:val="en-AU"/>
        </w:rPr>
        <w:t xml:space="preserve">individual </w:t>
      </w:r>
      <w:r w:rsidR="008A457F" w:rsidRPr="00420B37">
        <w:rPr>
          <w:rFonts w:cs="Times New Roman"/>
          <w:szCs w:val="24"/>
          <w:lang w:val="en-AU"/>
        </w:rPr>
        <w:t>instrument</w:t>
      </w:r>
      <w:r w:rsidR="00787793" w:rsidRPr="00420B37">
        <w:rPr>
          <w:rFonts w:cs="Times New Roman"/>
          <w:szCs w:val="24"/>
          <w:lang w:val="en-AU"/>
        </w:rPr>
        <w:t>s</w:t>
      </w:r>
      <w:r w:rsidRPr="00420B37">
        <w:rPr>
          <w:rFonts w:cs="Times New Roman"/>
          <w:szCs w:val="24"/>
          <w:lang w:val="en-AU"/>
        </w:rPr>
        <w:t xml:space="preserve"> </w:t>
      </w:r>
      <w:r w:rsidR="00DA2F29" w:rsidRPr="00420B37">
        <w:rPr>
          <w:rFonts w:cs="Times New Roman"/>
          <w:szCs w:val="24"/>
          <w:lang w:val="en-AU"/>
        </w:rPr>
        <w:t>that give effect to it</w:t>
      </w:r>
      <w:r w:rsidR="00A4458B" w:rsidRPr="00420B37">
        <w:rPr>
          <w:rFonts w:cs="Times New Roman"/>
          <w:szCs w:val="24"/>
          <w:lang w:val="en-AU"/>
        </w:rPr>
        <w:t xml:space="preserve">. </w:t>
      </w:r>
    </w:p>
    <w:p w14:paraId="77D0DE1B" w14:textId="77777777" w:rsidR="00A4458B" w:rsidRPr="00420B37" w:rsidRDefault="007B3EEF" w:rsidP="00A4458B">
      <w:pPr>
        <w:keepNext/>
        <w:keepLines/>
        <w:rPr>
          <w:lang w:val="en-AU"/>
        </w:rPr>
      </w:pPr>
      <w:r w:rsidRPr="00420B37">
        <w:rPr>
          <w:lang w:val="en-AU"/>
        </w:rPr>
        <w:t>T</w:t>
      </w:r>
      <w:r w:rsidR="00A4458B" w:rsidRPr="00420B37">
        <w:rPr>
          <w:lang w:val="en-AU"/>
        </w:rPr>
        <w:t>he sunsetting regime in the Legislation Act generally requires that consideration be given to repealing instruments</w:t>
      </w:r>
      <w:r w:rsidR="00A1797B" w:rsidRPr="00420B37">
        <w:rPr>
          <w:lang w:val="en-AU"/>
        </w:rPr>
        <w:t xml:space="preserve"> (</w:t>
      </w:r>
      <w:r w:rsidR="00A4458B" w:rsidRPr="00420B37">
        <w:rPr>
          <w:lang w:val="en-AU"/>
        </w:rPr>
        <w:t>or allowing them to sunset</w:t>
      </w:r>
      <w:r w:rsidR="00A1797B" w:rsidRPr="00420B37">
        <w:rPr>
          <w:lang w:val="en-AU"/>
        </w:rPr>
        <w:t>)</w:t>
      </w:r>
      <w:r w:rsidR="00A4458B" w:rsidRPr="00420B37">
        <w:rPr>
          <w:lang w:val="en-AU"/>
        </w:rPr>
        <w:t xml:space="preserve"> if they are no longer </w:t>
      </w:r>
      <w:r w:rsidR="00ED534F" w:rsidRPr="00420B37">
        <w:rPr>
          <w:lang w:val="en-AU"/>
        </w:rPr>
        <w:t>relevant</w:t>
      </w:r>
      <w:r w:rsidR="00A4458B" w:rsidRPr="00420B37">
        <w:rPr>
          <w:lang w:val="en-AU"/>
        </w:rPr>
        <w:t xml:space="preserve">. However, as discussed, </w:t>
      </w:r>
      <w:r w:rsidR="00ED534F" w:rsidRPr="00420B37">
        <w:rPr>
          <w:lang w:val="en-AU"/>
        </w:rPr>
        <w:t xml:space="preserve">we are first and foremost interested in the future role of the CSG overall as a policy </w:t>
      </w:r>
      <w:r w:rsidR="00F230DF">
        <w:rPr>
          <w:lang w:val="en-AU"/>
        </w:rPr>
        <w:t>mechanism</w:t>
      </w:r>
      <w:r w:rsidR="00ED534F" w:rsidRPr="00420B37">
        <w:rPr>
          <w:lang w:val="en-AU"/>
        </w:rPr>
        <w:t>, with the instrument</w:t>
      </w:r>
      <w:r w:rsidR="006B140E" w:rsidRPr="00420B37">
        <w:rPr>
          <w:lang w:val="en-AU"/>
        </w:rPr>
        <w:t>s</w:t>
      </w:r>
      <w:r w:rsidR="00ED534F" w:rsidRPr="00420B37">
        <w:rPr>
          <w:lang w:val="en-AU"/>
        </w:rPr>
        <w:t xml:space="preserve"> that give effect to it being a subsequent matter.</w:t>
      </w:r>
      <w:r w:rsidR="00C858FE" w:rsidRPr="00420B37">
        <w:rPr>
          <w:lang w:val="en-AU"/>
        </w:rPr>
        <w:t xml:space="preserve"> </w:t>
      </w:r>
    </w:p>
    <w:p w14:paraId="22E5A93F" w14:textId="77777777" w:rsidR="00A1797B" w:rsidRPr="00420B37" w:rsidRDefault="00A4458B" w:rsidP="00A4458B">
      <w:pPr>
        <w:rPr>
          <w:rFonts w:cs="Times New Roman"/>
          <w:szCs w:val="24"/>
          <w:lang w:val="en-AU"/>
        </w:rPr>
      </w:pPr>
      <w:r w:rsidRPr="00420B37">
        <w:rPr>
          <w:rFonts w:cs="Times New Roman"/>
          <w:szCs w:val="24"/>
          <w:lang w:val="en-AU"/>
        </w:rPr>
        <w:t xml:space="preserve">In all cases, if there are to be any significant changes – such as replacing, repealing or significantly adjusting </w:t>
      </w:r>
      <w:r w:rsidR="00C858FE" w:rsidRPr="00420B37">
        <w:rPr>
          <w:rFonts w:cs="Times New Roman"/>
          <w:szCs w:val="24"/>
          <w:lang w:val="en-AU"/>
        </w:rPr>
        <w:t xml:space="preserve">the </w:t>
      </w:r>
      <w:r w:rsidRPr="00420B37">
        <w:rPr>
          <w:rFonts w:cs="Times New Roman"/>
          <w:szCs w:val="24"/>
          <w:lang w:val="en-AU"/>
        </w:rPr>
        <w:t xml:space="preserve">CSG </w:t>
      </w:r>
      <w:r w:rsidR="00C858FE" w:rsidRPr="00420B37">
        <w:rPr>
          <w:rFonts w:cs="Times New Roman"/>
          <w:szCs w:val="24"/>
          <w:lang w:val="en-AU"/>
        </w:rPr>
        <w:t xml:space="preserve">and relevant </w:t>
      </w:r>
      <w:r w:rsidR="00AC1026" w:rsidRPr="00420B37">
        <w:rPr>
          <w:rFonts w:cs="Times New Roman"/>
          <w:szCs w:val="24"/>
          <w:lang w:val="en-AU"/>
        </w:rPr>
        <w:t>instruments –</w:t>
      </w:r>
      <w:r w:rsidRPr="00420B37">
        <w:rPr>
          <w:rFonts w:cs="Times New Roman"/>
          <w:szCs w:val="24"/>
          <w:lang w:val="en-AU"/>
        </w:rPr>
        <w:t xml:space="preserve"> then </w:t>
      </w:r>
      <w:r w:rsidR="00AC1026" w:rsidRPr="00420B37">
        <w:rPr>
          <w:rFonts w:cs="Times New Roman"/>
          <w:szCs w:val="24"/>
          <w:lang w:val="en-AU"/>
        </w:rPr>
        <w:t xml:space="preserve">that in and of itself would take some time to progress, and other </w:t>
      </w:r>
      <w:r w:rsidRPr="00420B37">
        <w:rPr>
          <w:rFonts w:cs="Times New Roman"/>
          <w:szCs w:val="24"/>
          <w:lang w:val="en-AU"/>
        </w:rPr>
        <w:t xml:space="preserve">practical implementation issues would </w:t>
      </w:r>
      <w:r w:rsidR="00AC1026" w:rsidRPr="00420B37">
        <w:rPr>
          <w:rFonts w:cs="Times New Roman"/>
          <w:szCs w:val="24"/>
          <w:lang w:val="en-AU"/>
        </w:rPr>
        <w:t xml:space="preserve">likely </w:t>
      </w:r>
      <w:r w:rsidRPr="00420B37">
        <w:rPr>
          <w:rFonts w:cs="Times New Roman"/>
          <w:szCs w:val="24"/>
          <w:lang w:val="en-AU"/>
        </w:rPr>
        <w:t xml:space="preserve">need to be managed. For example, </w:t>
      </w:r>
      <w:r w:rsidR="007B65B9" w:rsidRPr="00420B37">
        <w:rPr>
          <w:rFonts w:cs="Times New Roman"/>
          <w:szCs w:val="24"/>
          <w:lang w:val="en-AU"/>
        </w:rPr>
        <w:t xml:space="preserve">the </w:t>
      </w:r>
      <w:r w:rsidRPr="00420B37">
        <w:rPr>
          <w:rFonts w:cs="Times New Roman"/>
          <w:szCs w:val="24"/>
          <w:lang w:val="en-AU"/>
        </w:rPr>
        <w:t xml:space="preserve">ACMA and industry may need some lead time to adjust existing </w:t>
      </w:r>
      <w:r w:rsidR="00C858FE" w:rsidRPr="00420B37">
        <w:rPr>
          <w:rFonts w:cs="Times New Roman"/>
          <w:szCs w:val="24"/>
          <w:lang w:val="en-AU"/>
        </w:rPr>
        <w:t xml:space="preserve">systems </w:t>
      </w:r>
      <w:r w:rsidR="00A1797B" w:rsidRPr="00420B37">
        <w:rPr>
          <w:rFonts w:cs="Times New Roman"/>
          <w:szCs w:val="24"/>
          <w:lang w:val="en-AU"/>
        </w:rPr>
        <w:t xml:space="preserve">and </w:t>
      </w:r>
      <w:r w:rsidRPr="00420B37">
        <w:rPr>
          <w:rFonts w:cs="Times New Roman"/>
          <w:szCs w:val="24"/>
          <w:lang w:val="en-AU"/>
        </w:rPr>
        <w:t>processes, and to effectively communicate changes to the community more generally. Stakeholders are therefore encouraged to consider and comment on what practical issues might arise</w:t>
      </w:r>
      <w:r w:rsidR="00AC1026" w:rsidRPr="00420B37">
        <w:rPr>
          <w:rFonts w:cs="Times New Roman"/>
          <w:szCs w:val="24"/>
          <w:lang w:val="en-AU"/>
        </w:rPr>
        <w:t xml:space="preserve"> under different approaches</w:t>
      </w:r>
      <w:r w:rsidRPr="00420B37">
        <w:rPr>
          <w:rFonts w:cs="Times New Roman"/>
          <w:szCs w:val="24"/>
          <w:lang w:val="en-AU"/>
        </w:rPr>
        <w:t>, and how they might best be managed.</w:t>
      </w:r>
    </w:p>
    <w:p w14:paraId="5F9A9E0B" w14:textId="77777777" w:rsidR="00A4458B" w:rsidRPr="00420B37" w:rsidRDefault="00A4458B" w:rsidP="00C22C73">
      <w:pPr>
        <w:rPr>
          <w:lang w:val="en-AU"/>
        </w:rPr>
      </w:pPr>
      <w:r w:rsidRPr="00420B37">
        <w:rPr>
          <w:rFonts w:cs="Times New Roman"/>
          <w:szCs w:val="24"/>
          <w:lang w:val="en-AU"/>
        </w:rPr>
        <w:t xml:space="preserve">Subject to stakeholder feedback on different approaches, it may be that </w:t>
      </w:r>
      <w:r w:rsidRPr="00420B37">
        <w:rPr>
          <w:lang w:val="en-AU"/>
        </w:rPr>
        <w:t xml:space="preserve">CSG instruments need to be retained, at least in the short term, until alternative arrangements can be further developed and implemented. Stakeholders </w:t>
      </w:r>
      <w:r w:rsidR="00C858FE" w:rsidRPr="00420B37">
        <w:rPr>
          <w:lang w:val="en-AU"/>
        </w:rPr>
        <w:t xml:space="preserve">should also consider putting </w:t>
      </w:r>
      <w:r w:rsidRPr="00420B37">
        <w:rPr>
          <w:lang w:val="en-AU"/>
        </w:rPr>
        <w:t xml:space="preserve">forward views on the usefulness of each of the </w:t>
      </w:r>
      <w:r w:rsidR="007B65B9" w:rsidRPr="00420B37">
        <w:rPr>
          <w:lang w:val="en-AU"/>
        </w:rPr>
        <w:t xml:space="preserve">existing </w:t>
      </w:r>
      <w:r w:rsidRPr="00420B37">
        <w:rPr>
          <w:lang w:val="en-AU"/>
        </w:rPr>
        <w:t>individual CSG instruments, and</w:t>
      </w:r>
      <w:r w:rsidR="00A1797B" w:rsidRPr="00420B37">
        <w:rPr>
          <w:lang w:val="en-AU"/>
        </w:rPr>
        <w:t xml:space="preserve">, </w:t>
      </w:r>
      <w:r w:rsidRPr="00420B37">
        <w:rPr>
          <w:lang w:val="en-AU"/>
        </w:rPr>
        <w:t xml:space="preserve">as appropriate, any suggestions </w:t>
      </w:r>
      <w:r w:rsidR="007B65B9" w:rsidRPr="00420B37">
        <w:rPr>
          <w:lang w:val="en-AU"/>
        </w:rPr>
        <w:t xml:space="preserve">on </w:t>
      </w:r>
      <w:r w:rsidRPr="00420B37">
        <w:rPr>
          <w:lang w:val="en-AU"/>
        </w:rPr>
        <w:t xml:space="preserve">how and why the </w:t>
      </w:r>
      <w:r w:rsidR="00C858FE" w:rsidRPr="00420B37">
        <w:rPr>
          <w:lang w:val="en-AU"/>
        </w:rPr>
        <w:t xml:space="preserve">approach and drafting of </w:t>
      </w:r>
      <w:r w:rsidRPr="00420B37">
        <w:rPr>
          <w:lang w:val="en-AU"/>
        </w:rPr>
        <w:t xml:space="preserve">instruments might be adjusted or improved. </w:t>
      </w:r>
    </w:p>
    <w:p w14:paraId="49ADE2C3" w14:textId="77777777" w:rsidR="00ED534F" w:rsidRPr="00420B37" w:rsidRDefault="004413AF" w:rsidP="00C22C73">
      <w:pPr>
        <w:rPr>
          <w:rFonts w:cs="Times New Roman"/>
          <w:szCs w:val="24"/>
          <w:lang w:val="en-AU"/>
        </w:rPr>
      </w:pPr>
      <w:r w:rsidRPr="00420B37">
        <w:rPr>
          <w:rFonts w:cs="Times New Roman"/>
          <w:szCs w:val="24"/>
          <w:lang w:val="en-AU"/>
        </w:rPr>
        <w:t>Stakeholder</w:t>
      </w:r>
      <w:r w:rsidR="006D56BA">
        <w:rPr>
          <w:rFonts w:cs="Times New Roman"/>
          <w:szCs w:val="24"/>
          <w:lang w:val="en-AU"/>
        </w:rPr>
        <w:t>s</w:t>
      </w:r>
      <w:r w:rsidRPr="00420B37">
        <w:rPr>
          <w:rFonts w:cs="Times New Roman"/>
          <w:szCs w:val="24"/>
          <w:lang w:val="en-AU"/>
        </w:rPr>
        <w:t xml:space="preserve"> are welcome to put </w:t>
      </w:r>
      <w:r w:rsidR="006B140E" w:rsidRPr="00420B37">
        <w:rPr>
          <w:rFonts w:cs="Times New Roman"/>
          <w:szCs w:val="24"/>
          <w:lang w:val="en-AU"/>
        </w:rPr>
        <w:t xml:space="preserve">forward </w:t>
      </w:r>
      <w:r w:rsidRPr="00420B37">
        <w:rPr>
          <w:rFonts w:cs="Times New Roman"/>
          <w:szCs w:val="24"/>
          <w:lang w:val="en-AU"/>
        </w:rPr>
        <w:t>their views on</w:t>
      </w:r>
      <w:r w:rsidR="006B140E" w:rsidRPr="00420B37">
        <w:rPr>
          <w:rFonts w:cs="Times New Roman"/>
          <w:szCs w:val="24"/>
          <w:lang w:val="en-AU"/>
        </w:rPr>
        <w:t xml:space="preserve"> </w:t>
      </w:r>
      <w:r w:rsidRPr="00420B37">
        <w:rPr>
          <w:rFonts w:cs="Times New Roman"/>
          <w:szCs w:val="24"/>
          <w:lang w:val="en-AU"/>
        </w:rPr>
        <w:t>th</w:t>
      </w:r>
      <w:r w:rsidR="006B140E" w:rsidRPr="00420B37">
        <w:rPr>
          <w:rFonts w:cs="Times New Roman"/>
          <w:szCs w:val="24"/>
          <w:lang w:val="en-AU"/>
        </w:rPr>
        <w:t>e</w:t>
      </w:r>
      <w:r w:rsidRPr="00420B37">
        <w:rPr>
          <w:rFonts w:cs="Times New Roman"/>
          <w:szCs w:val="24"/>
          <w:lang w:val="en-AU"/>
        </w:rPr>
        <w:t xml:space="preserve"> CSG as they wish. </w:t>
      </w:r>
      <w:r w:rsidR="00ED534F" w:rsidRPr="00420B37">
        <w:rPr>
          <w:rFonts w:cs="Times New Roman"/>
          <w:szCs w:val="24"/>
          <w:lang w:val="en-AU"/>
        </w:rPr>
        <w:t>If it is of assistance</w:t>
      </w:r>
      <w:r w:rsidRPr="00420B37">
        <w:rPr>
          <w:rFonts w:cs="Times New Roman"/>
          <w:szCs w:val="24"/>
          <w:lang w:val="en-AU"/>
        </w:rPr>
        <w:t>,</w:t>
      </w:r>
      <w:r w:rsidR="00ED534F" w:rsidRPr="00420B37">
        <w:rPr>
          <w:rFonts w:cs="Times New Roman"/>
          <w:szCs w:val="24"/>
          <w:lang w:val="en-AU"/>
        </w:rPr>
        <w:t xml:space="preserve"> they could consider the following focal questions:</w:t>
      </w:r>
    </w:p>
    <w:p w14:paraId="2EE139B8" w14:textId="77777777" w:rsidR="00ED534F" w:rsidRPr="00420B37" w:rsidRDefault="00ED534F" w:rsidP="00ED534F">
      <w:pPr>
        <w:pStyle w:val="ListParagraph"/>
        <w:numPr>
          <w:ilvl w:val="0"/>
          <w:numId w:val="38"/>
        </w:numPr>
        <w:rPr>
          <w:lang w:val="en-AU"/>
        </w:rPr>
      </w:pPr>
      <w:r w:rsidRPr="00420B37">
        <w:rPr>
          <w:lang w:val="en-AU"/>
        </w:rPr>
        <w:t>Does the CSG remain relevant and useful, noting the changes in the Australian telecommunications market place? Why/Why not?</w:t>
      </w:r>
    </w:p>
    <w:p w14:paraId="11700A62" w14:textId="77777777" w:rsidR="00ED534F" w:rsidRPr="00420B37" w:rsidRDefault="00ED534F" w:rsidP="00ED534F">
      <w:pPr>
        <w:pStyle w:val="ListParagraph"/>
        <w:numPr>
          <w:ilvl w:val="0"/>
          <w:numId w:val="38"/>
        </w:numPr>
        <w:rPr>
          <w:lang w:val="en-AU"/>
        </w:rPr>
      </w:pPr>
      <w:r w:rsidRPr="00420B37">
        <w:rPr>
          <w:lang w:val="en-AU"/>
        </w:rPr>
        <w:t xml:space="preserve">Are there other approaches to the CSG that should be considered? If so, </w:t>
      </w:r>
      <w:r w:rsidR="00F230DF">
        <w:rPr>
          <w:lang w:val="en-AU"/>
        </w:rPr>
        <w:t xml:space="preserve">what are these and </w:t>
      </w:r>
      <w:r w:rsidRPr="00420B37">
        <w:rPr>
          <w:lang w:val="en-AU"/>
        </w:rPr>
        <w:t>why would these be preferable?</w:t>
      </w:r>
    </w:p>
    <w:p w14:paraId="124B1078" w14:textId="77777777" w:rsidR="00ED534F" w:rsidRPr="00420B37" w:rsidRDefault="00ED534F" w:rsidP="00ED534F">
      <w:pPr>
        <w:pStyle w:val="ListParagraph"/>
        <w:numPr>
          <w:ilvl w:val="0"/>
          <w:numId w:val="38"/>
        </w:numPr>
        <w:rPr>
          <w:lang w:val="en-AU"/>
        </w:rPr>
      </w:pPr>
      <w:r w:rsidRPr="00420B37">
        <w:rPr>
          <w:lang w:val="en-AU"/>
        </w:rPr>
        <w:t>Are different approaches potentially required for the NBN and similar networks as opposed to the fixed line voice network still operated by Telstra outside NBN Co’s fixed line footprint?</w:t>
      </w:r>
    </w:p>
    <w:p w14:paraId="64C38E47" w14:textId="5E35259D" w:rsidR="00ED534F" w:rsidRPr="00420B37" w:rsidRDefault="00ED534F" w:rsidP="00ED534F">
      <w:pPr>
        <w:pStyle w:val="ListParagraph"/>
        <w:numPr>
          <w:ilvl w:val="0"/>
          <w:numId w:val="38"/>
        </w:numPr>
        <w:rPr>
          <w:lang w:val="en-AU"/>
        </w:rPr>
      </w:pPr>
      <w:r w:rsidRPr="00420B37">
        <w:rPr>
          <w:lang w:val="en-AU"/>
        </w:rPr>
        <w:t>If there is an ongoing role for the CSG, are there any changes required to the details of the subordinate legislation that give effect</w:t>
      </w:r>
      <w:r w:rsidR="008E04F4">
        <w:rPr>
          <w:lang w:val="en-AU"/>
        </w:rPr>
        <w:t xml:space="preserve"> to</w:t>
      </w:r>
      <w:r w:rsidRPr="00420B37">
        <w:rPr>
          <w:lang w:val="en-AU"/>
        </w:rPr>
        <w:t xml:space="preserve"> it? </w:t>
      </w:r>
      <w:bookmarkStart w:id="41" w:name="_Hlk120218084"/>
      <w:r w:rsidRPr="00420B37">
        <w:rPr>
          <w:lang w:val="en-AU"/>
        </w:rPr>
        <w:t>If so, what and why?</w:t>
      </w:r>
      <w:bookmarkEnd w:id="41"/>
    </w:p>
    <w:p w14:paraId="3D362CF5" w14:textId="77777777" w:rsidR="00BF3B2E" w:rsidRPr="00420B37" w:rsidRDefault="007672AB" w:rsidP="00757518">
      <w:pPr>
        <w:rPr>
          <w:rFonts w:cs="Times New Roman"/>
          <w:szCs w:val="24"/>
          <w:lang w:val="en-AU"/>
        </w:rPr>
      </w:pPr>
      <w:r w:rsidRPr="00420B37">
        <w:rPr>
          <w:lang w:val="en-AU"/>
        </w:rPr>
        <w:t>Stakeholders that have any questions on this paper or the consultation process</w:t>
      </w:r>
      <w:r w:rsidR="00D13DAA" w:rsidRPr="00420B37">
        <w:rPr>
          <w:lang w:val="en-AU"/>
        </w:rPr>
        <w:t xml:space="preserve"> can direct these </w:t>
      </w:r>
      <w:r w:rsidR="00C858FE" w:rsidRPr="00420B37">
        <w:rPr>
          <w:lang w:val="en-AU"/>
        </w:rPr>
        <w:t xml:space="preserve">in the first instance </w:t>
      </w:r>
      <w:r w:rsidR="00D13DAA" w:rsidRPr="00420B37">
        <w:rPr>
          <w:lang w:val="en-AU"/>
        </w:rPr>
        <w:t>to</w:t>
      </w:r>
      <w:r w:rsidRPr="00420B37">
        <w:rPr>
          <w:lang w:val="en-AU"/>
        </w:rPr>
        <w:t xml:space="preserve"> </w:t>
      </w:r>
      <w:hyperlink r:id="rId34" w:history="1">
        <w:r w:rsidR="000B5D4B" w:rsidRPr="00420B37">
          <w:rPr>
            <w:rStyle w:val="Hyperlink"/>
            <w:lang w:val="en-AU"/>
          </w:rPr>
          <w:t>usb@communications.gov.au</w:t>
        </w:r>
      </w:hyperlink>
      <w:r w:rsidRPr="00420B37">
        <w:rPr>
          <w:lang w:val="en-AU"/>
        </w:rPr>
        <w:t xml:space="preserve">. </w:t>
      </w:r>
      <w:r w:rsidR="00C858FE" w:rsidRPr="00420B37">
        <w:rPr>
          <w:lang w:val="en-AU"/>
        </w:rPr>
        <w:t xml:space="preserve">If helpful, Departmental staff can arrange to discuss issues </w:t>
      </w:r>
      <w:r w:rsidR="00AC1026" w:rsidRPr="00420B37">
        <w:rPr>
          <w:lang w:val="en-AU"/>
        </w:rPr>
        <w:t xml:space="preserve">individually or with groups of </w:t>
      </w:r>
      <w:r w:rsidR="00C858FE" w:rsidRPr="00420B37">
        <w:rPr>
          <w:lang w:val="en-AU"/>
        </w:rPr>
        <w:t>stakeholders during the consultation period.</w:t>
      </w:r>
      <w:r w:rsidR="00A1797B" w:rsidRPr="00420B37">
        <w:rPr>
          <w:lang w:val="en-AU"/>
        </w:rPr>
        <w:t xml:space="preserve"> </w:t>
      </w:r>
      <w:r w:rsidR="00D13DAA" w:rsidRPr="00420B37">
        <w:rPr>
          <w:lang w:val="en-AU"/>
        </w:rPr>
        <w:t>Submissions can be lodged electronically via the Department’s ‘</w:t>
      </w:r>
      <w:r w:rsidR="00A1797B" w:rsidRPr="00420B37">
        <w:rPr>
          <w:lang w:val="en-AU"/>
        </w:rPr>
        <w:t>H</w:t>
      </w:r>
      <w:r w:rsidR="00D13DAA" w:rsidRPr="00420B37">
        <w:rPr>
          <w:lang w:val="en-AU"/>
        </w:rPr>
        <w:t xml:space="preserve">ave </w:t>
      </w:r>
      <w:r w:rsidR="00A1797B" w:rsidRPr="00420B37">
        <w:rPr>
          <w:lang w:val="en-AU"/>
        </w:rPr>
        <w:t>Y</w:t>
      </w:r>
      <w:r w:rsidR="00D13DAA" w:rsidRPr="00420B37">
        <w:rPr>
          <w:lang w:val="en-AU"/>
        </w:rPr>
        <w:t xml:space="preserve">our </w:t>
      </w:r>
      <w:r w:rsidR="00A1797B" w:rsidRPr="00420B37">
        <w:rPr>
          <w:lang w:val="en-AU"/>
        </w:rPr>
        <w:t>S</w:t>
      </w:r>
      <w:r w:rsidR="00D13DAA" w:rsidRPr="00420B37">
        <w:rPr>
          <w:lang w:val="en-AU"/>
        </w:rPr>
        <w:t>ay’ page or sent to the email above.</w:t>
      </w:r>
    </w:p>
    <w:tbl>
      <w:tblPr>
        <w:tblStyle w:val="DefaultTable1"/>
        <w:tblW w:w="0" w:type="auto"/>
        <w:tblLook w:val="04A0" w:firstRow="1" w:lastRow="0" w:firstColumn="1" w:lastColumn="0" w:noHBand="0" w:noVBand="1"/>
        <w:tblDescription w:val="Important milestone dates"/>
      </w:tblPr>
      <w:tblGrid>
        <w:gridCol w:w="5985"/>
        <w:gridCol w:w="2921"/>
      </w:tblGrid>
      <w:tr w:rsidR="00BF3B2E" w:rsidRPr="00420B37" w14:paraId="68DA124C" w14:textId="77777777" w:rsidTr="00B40B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85" w:type="dxa"/>
            <w:tcBorders>
              <w:bottom w:val="single" w:sz="4" w:space="0" w:color="4BB3B5"/>
            </w:tcBorders>
            <w:shd w:val="clear" w:color="auto" w:fill="081E3E"/>
          </w:tcPr>
          <w:bookmarkEnd w:id="10"/>
          <w:p w14:paraId="626793CF" w14:textId="77777777" w:rsidR="00BF3B2E" w:rsidRPr="00420B37" w:rsidRDefault="00BF3B2E" w:rsidP="009E7747">
            <w:pPr>
              <w:rPr>
                <w:lang w:val="en-AU"/>
              </w:rPr>
            </w:pPr>
            <w:r w:rsidRPr="00420B37">
              <w:rPr>
                <w:lang w:val="en-AU"/>
              </w:rPr>
              <w:lastRenderedPageBreak/>
              <w:t>Milestone</w:t>
            </w:r>
          </w:p>
        </w:tc>
        <w:tc>
          <w:tcPr>
            <w:tcW w:w="2921" w:type="dxa"/>
            <w:tcBorders>
              <w:bottom w:val="single" w:sz="4" w:space="0" w:color="4BB3B5"/>
            </w:tcBorders>
            <w:shd w:val="clear" w:color="auto" w:fill="081E3E"/>
          </w:tcPr>
          <w:p w14:paraId="3A9E601D" w14:textId="77777777" w:rsidR="00BF3B2E" w:rsidRPr="00420B37" w:rsidRDefault="00BF3B2E" w:rsidP="009E7747">
            <w:pPr>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Date</w:t>
            </w:r>
          </w:p>
        </w:tc>
      </w:tr>
      <w:tr w:rsidR="00BF3B2E" w:rsidRPr="00420B37" w14:paraId="629E4745" w14:textId="77777777" w:rsidTr="00B40BA5">
        <w:trPr>
          <w:cantSplit/>
        </w:trPr>
        <w:tc>
          <w:tcPr>
            <w:cnfStyle w:val="001000000000" w:firstRow="0" w:lastRow="0" w:firstColumn="1" w:lastColumn="0" w:oddVBand="0" w:evenVBand="0" w:oddHBand="0" w:evenHBand="0" w:firstRowFirstColumn="0" w:firstRowLastColumn="0" w:lastRowFirstColumn="0" w:lastRowLastColumn="0"/>
            <w:tcW w:w="5985" w:type="dxa"/>
            <w:tcBorders>
              <w:top w:val="single" w:sz="4" w:space="0" w:color="4BB3B5"/>
              <w:bottom w:val="single" w:sz="4" w:space="0" w:color="4BB3B5"/>
            </w:tcBorders>
          </w:tcPr>
          <w:p w14:paraId="10FCDEAE" w14:textId="77777777" w:rsidR="00BF3B2E" w:rsidRPr="00420B37" w:rsidRDefault="00BF3B2E" w:rsidP="009E7747">
            <w:pPr>
              <w:rPr>
                <w:b w:val="0"/>
                <w:lang w:val="en-AU"/>
              </w:rPr>
            </w:pPr>
            <w:r w:rsidRPr="00420B37">
              <w:rPr>
                <w:b w:val="0"/>
                <w:lang w:val="en-AU"/>
              </w:rPr>
              <w:t>Consultation paper released</w:t>
            </w:r>
          </w:p>
        </w:tc>
        <w:tc>
          <w:tcPr>
            <w:tcW w:w="2921" w:type="dxa"/>
            <w:tcBorders>
              <w:top w:val="single" w:sz="4" w:space="0" w:color="4BB3B5"/>
              <w:bottom w:val="single" w:sz="4" w:space="0" w:color="4BB3B5"/>
            </w:tcBorders>
            <w:shd w:val="clear" w:color="auto" w:fill="auto"/>
          </w:tcPr>
          <w:p w14:paraId="4FF7705C" w14:textId="513A089C" w:rsidR="00BF3B2E" w:rsidRPr="00C97881" w:rsidRDefault="00AA6323" w:rsidP="009E7747">
            <w:pPr>
              <w:cnfStyle w:val="000000000000" w:firstRow="0" w:lastRow="0" w:firstColumn="0" w:lastColumn="0" w:oddVBand="0" w:evenVBand="0" w:oddHBand="0" w:evenHBand="0" w:firstRowFirstColumn="0" w:firstRowLastColumn="0" w:lastRowFirstColumn="0" w:lastRowLastColumn="0"/>
              <w:rPr>
                <w:lang w:val="en-AU"/>
              </w:rPr>
            </w:pPr>
            <w:r w:rsidRPr="00C97881">
              <w:rPr>
                <w:lang w:val="en-AU"/>
              </w:rPr>
              <w:t xml:space="preserve">17 </w:t>
            </w:r>
            <w:r w:rsidR="0052037A">
              <w:rPr>
                <w:lang w:val="en-AU"/>
              </w:rPr>
              <w:t>February</w:t>
            </w:r>
            <w:r w:rsidRPr="00C97881">
              <w:rPr>
                <w:lang w:val="en-AU"/>
              </w:rPr>
              <w:t xml:space="preserve"> </w:t>
            </w:r>
            <w:r w:rsidR="00D51458" w:rsidRPr="00C97881">
              <w:rPr>
                <w:lang w:val="en-AU"/>
              </w:rPr>
              <w:t>2023</w:t>
            </w:r>
          </w:p>
        </w:tc>
      </w:tr>
      <w:tr w:rsidR="00BF3B2E" w:rsidRPr="00420B37" w14:paraId="28D8138B" w14:textId="77777777" w:rsidTr="00B40BA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85" w:type="dxa"/>
            <w:tcBorders>
              <w:top w:val="single" w:sz="4" w:space="0" w:color="4BB3B5"/>
              <w:bottom w:val="single" w:sz="4" w:space="0" w:color="4BB3B5"/>
            </w:tcBorders>
          </w:tcPr>
          <w:p w14:paraId="6D2117B4" w14:textId="77777777" w:rsidR="00BF3B2E" w:rsidRPr="00420B37" w:rsidRDefault="00BF3B2E" w:rsidP="009E7747">
            <w:pPr>
              <w:rPr>
                <w:b w:val="0"/>
                <w:lang w:val="en-AU"/>
              </w:rPr>
            </w:pPr>
            <w:r w:rsidRPr="00420B37">
              <w:rPr>
                <w:b w:val="0"/>
                <w:lang w:val="en-AU"/>
              </w:rPr>
              <w:t>Submissions due</w:t>
            </w:r>
          </w:p>
        </w:tc>
        <w:tc>
          <w:tcPr>
            <w:tcW w:w="2921" w:type="dxa"/>
            <w:tcBorders>
              <w:top w:val="single" w:sz="4" w:space="0" w:color="4BB3B5"/>
              <w:bottom w:val="single" w:sz="4" w:space="0" w:color="4BB3B5"/>
            </w:tcBorders>
          </w:tcPr>
          <w:p w14:paraId="299734FA" w14:textId="3B0EF95E" w:rsidR="00BF3B2E" w:rsidRPr="00C97881" w:rsidRDefault="00452F73" w:rsidP="009E7747">
            <w:pPr>
              <w:cnfStyle w:val="000000010000" w:firstRow="0" w:lastRow="0" w:firstColumn="0" w:lastColumn="0" w:oddVBand="0" w:evenVBand="0" w:oddHBand="0" w:evenHBand="1" w:firstRowFirstColumn="0" w:firstRowLastColumn="0" w:lastRowFirstColumn="0" w:lastRowLastColumn="0"/>
              <w:rPr>
                <w:lang w:val="en-AU"/>
              </w:rPr>
            </w:pPr>
            <w:r>
              <w:rPr>
                <w:rFonts w:cs="Times New Roman"/>
                <w:szCs w:val="24"/>
                <w:lang w:val="en-AU"/>
              </w:rPr>
              <w:t>27</w:t>
            </w:r>
            <w:r w:rsidR="00AA6323" w:rsidRPr="00C97881">
              <w:rPr>
                <w:rFonts w:cs="Times New Roman"/>
                <w:szCs w:val="24"/>
                <w:lang w:val="en-AU"/>
              </w:rPr>
              <w:t xml:space="preserve"> M</w:t>
            </w:r>
            <w:r w:rsidR="0052037A">
              <w:rPr>
                <w:rFonts w:cs="Times New Roman"/>
                <w:szCs w:val="24"/>
                <w:lang w:val="en-AU"/>
              </w:rPr>
              <w:t>arch</w:t>
            </w:r>
            <w:r w:rsidR="00AA6323" w:rsidRPr="00C97881">
              <w:rPr>
                <w:rFonts w:cs="Times New Roman"/>
                <w:szCs w:val="24"/>
                <w:lang w:val="en-AU"/>
              </w:rPr>
              <w:t xml:space="preserve"> </w:t>
            </w:r>
            <w:r w:rsidR="00D51458" w:rsidRPr="00C97881">
              <w:rPr>
                <w:rFonts w:cs="Times New Roman"/>
                <w:szCs w:val="24"/>
                <w:lang w:val="en-AU"/>
              </w:rPr>
              <w:t>2023</w:t>
            </w:r>
          </w:p>
        </w:tc>
      </w:tr>
      <w:tr w:rsidR="00BF3B2E" w:rsidRPr="00420B37" w14:paraId="2D12D148" w14:textId="77777777" w:rsidTr="00B40BA5">
        <w:trPr>
          <w:cantSplit/>
        </w:trPr>
        <w:tc>
          <w:tcPr>
            <w:cnfStyle w:val="001000000000" w:firstRow="0" w:lastRow="0" w:firstColumn="1" w:lastColumn="0" w:oddVBand="0" w:evenVBand="0" w:oddHBand="0" w:evenHBand="0" w:firstRowFirstColumn="0" w:firstRowLastColumn="0" w:lastRowFirstColumn="0" w:lastRowLastColumn="0"/>
            <w:tcW w:w="5985" w:type="dxa"/>
            <w:tcBorders>
              <w:top w:val="single" w:sz="4" w:space="0" w:color="4BB3B5"/>
              <w:bottom w:val="single" w:sz="4" w:space="0" w:color="4BB3B5"/>
            </w:tcBorders>
          </w:tcPr>
          <w:p w14:paraId="0472823B" w14:textId="77777777" w:rsidR="00BF3B2E" w:rsidRPr="00420B37" w:rsidRDefault="000B66FC" w:rsidP="009E7747">
            <w:pPr>
              <w:rPr>
                <w:b w:val="0"/>
                <w:lang w:val="en-AU"/>
              </w:rPr>
            </w:pPr>
            <w:r w:rsidRPr="00420B37">
              <w:rPr>
                <w:b w:val="0"/>
                <w:lang w:val="en-AU"/>
              </w:rPr>
              <w:t>The Minister</w:t>
            </w:r>
            <w:r w:rsidR="00BF3B2E" w:rsidRPr="00420B37">
              <w:rPr>
                <w:b w:val="0"/>
                <w:lang w:val="en-AU"/>
              </w:rPr>
              <w:t xml:space="preserve"> </w:t>
            </w:r>
            <w:r w:rsidR="00F230DF">
              <w:rPr>
                <w:b w:val="0"/>
                <w:lang w:val="en-AU"/>
              </w:rPr>
              <w:t xml:space="preserve">announces </w:t>
            </w:r>
            <w:r w:rsidR="00BF3B2E" w:rsidRPr="00420B37">
              <w:rPr>
                <w:b w:val="0"/>
                <w:lang w:val="en-AU"/>
              </w:rPr>
              <w:t>next steps</w:t>
            </w:r>
            <w:r w:rsidR="00C858FE" w:rsidRPr="00420B37">
              <w:rPr>
                <w:b w:val="0"/>
                <w:lang w:val="en-AU"/>
              </w:rPr>
              <w:t xml:space="preserve"> </w:t>
            </w:r>
          </w:p>
        </w:tc>
        <w:tc>
          <w:tcPr>
            <w:tcW w:w="2921" w:type="dxa"/>
            <w:tcBorders>
              <w:top w:val="single" w:sz="4" w:space="0" w:color="4BB3B5"/>
              <w:bottom w:val="single" w:sz="4" w:space="0" w:color="4BB3B5"/>
            </w:tcBorders>
          </w:tcPr>
          <w:p w14:paraId="37FAD6E5" w14:textId="77777777" w:rsidR="00BF3B2E" w:rsidRPr="00D51458" w:rsidRDefault="001A3143" w:rsidP="009E7747">
            <w:pPr>
              <w:cnfStyle w:val="000000000000" w:firstRow="0" w:lastRow="0" w:firstColumn="0" w:lastColumn="0" w:oddVBand="0" w:evenVBand="0" w:oddHBand="0" w:evenHBand="0" w:firstRowFirstColumn="0" w:firstRowLastColumn="0" w:lastRowFirstColumn="0" w:lastRowLastColumn="0"/>
              <w:rPr>
                <w:rFonts w:cs="Times New Roman"/>
                <w:szCs w:val="24"/>
                <w:lang w:val="en-AU"/>
              </w:rPr>
            </w:pPr>
            <w:r w:rsidRPr="00D51458">
              <w:rPr>
                <w:lang w:val="en-AU"/>
              </w:rPr>
              <w:t>Q</w:t>
            </w:r>
            <w:r w:rsidR="00F230DF" w:rsidRPr="00D51458">
              <w:rPr>
                <w:lang w:val="en-AU"/>
              </w:rPr>
              <w:t>2</w:t>
            </w:r>
            <w:r w:rsidRPr="00D51458">
              <w:rPr>
                <w:lang w:val="en-AU"/>
              </w:rPr>
              <w:t xml:space="preserve"> 2023</w:t>
            </w:r>
          </w:p>
        </w:tc>
      </w:tr>
      <w:tr w:rsidR="00C858FE" w:rsidRPr="00420B37" w14:paraId="59B2B87A" w14:textId="77777777" w:rsidTr="00C858F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85" w:type="dxa"/>
            <w:tcBorders>
              <w:top w:val="single" w:sz="4" w:space="0" w:color="4BB3B5"/>
              <w:bottom w:val="single" w:sz="4" w:space="0" w:color="4BB3B5"/>
            </w:tcBorders>
          </w:tcPr>
          <w:p w14:paraId="45F37293" w14:textId="2BF5C641" w:rsidR="00C858FE" w:rsidRPr="00420B37" w:rsidRDefault="00F230DF" w:rsidP="000F6811">
            <w:pPr>
              <w:rPr>
                <w:b w:val="0"/>
                <w:lang w:val="en-AU"/>
              </w:rPr>
            </w:pPr>
            <w:r>
              <w:rPr>
                <w:b w:val="0"/>
                <w:lang w:val="en-AU"/>
              </w:rPr>
              <w:t>CSG instrument</w:t>
            </w:r>
            <w:r w:rsidR="00FE6333">
              <w:rPr>
                <w:b w:val="0"/>
                <w:lang w:val="en-AU"/>
              </w:rPr>
              <w:t>(s)</w:t>
            </w:r>
            <w:r>
              <w:rPr>
                <w:b w:val="0"/>
                <w:lang w:val="en-AU"/>
              </w:rPr>
              <w:t xml:space="preserve"> revised if/as needed</w:t>
            </w:r>
            <w:r w:rsidR="00AC1026" w:rsidRPr="00420B37">
              <w:rPr>
                <w:b w:val="0"/>
                <w:lang w:val="en-AU"/>
              </w:rPr>
              <w:t xml:space="preserve"> </w:t>
            </w:r>
          </w:p>
        </w:tc>
        <w:tc>
          <w:tcPr>
            <w:tcW w:w="2921" w:type="dxa"/>
            <w:tcBorders>
              <w:top w:val="single" w:sz="4" w:space="0" w:color="4BB3B5"/>
              <w:bottom w:val="single" w:sz="4" w:space="0" w:color="4BB3B5"/>
            </w:tcBorders>
          </w:tcPr>
          <w:p w14:paraId="277F4CD1" w14:textId="77777777" w:rsidR="00C858FE" w:rsidRPr="00D51458" w:rsidRDefault="001A3143" w:rsidP="009E7747">
            <w:pPr>
              <w:cnfStyle w:val="000000010000" w:firstRow="0" w:lastRow="0" w:firstColumn="0" w:lastColumn="0" w:oddVBand="0" w:evenVBand="0" w:oddHBand="0" w:evenHBand="1" w:firstRowFirstColumn="0" w:firstRowLastColumn="0" w:lastRowFirstColumn="0" w:lastRowLastColumn="0"/>
              <w:rPr>
                <w:lang w:val="en-AU"/>
              </w:rPr>
            </w:pPr>
            <w:r w:rsidRPr="00D51458">
              <w:rPr>
                <w:lang w:val="en-AU"/>
              </w:rPr>
              <w:t>Q2-Q3 2023</w:t>
            </w:r>
          </w:p>
        </w:tc>
      </w:tr>
      <w:tr w:rsidR="00BF3B2E" w:rsidRPr="00420B37" w14:paraId="78785910" w14:textId="77777777" w:rsidTr="00B40BA5">
        <w:trPr>
          <w:cantSplit/>
        </w:trPr>
        <w:tc>
          <w:tcPr>
            <w:cnfStyle w:val="001000000000" w:firstRow="0" w:lastRow="0" w:firstColumn="1" w:lastColumn="0" w:oddVBand="0" w:evenVBand="0" w:oddHBand="0" w:evenHBand="0" w:firstRowFirstColumn="0" w:firstRowLastColumn="0" w:lastRowFirstColumn="0" w:lastRowLastColumn="0"/>
            <w:tcW w:w="5985" w:type="dxa"/>
            <w:tcBorders>
              <w:top w:val="single" w:sz="4" w:space="0" w:color="4BB3B5"/>
              <w:bottom w:val="single" w:sz="4" w:space="0" w:color="4BB3B5"/>
            </w:tcBorders>
          </w:tcPr>
          <w:p w14:paraId="385C1642" w14:textId="77777777" w:rsidR="00BF3B2E" w:rsidRPr="00420B37" w:rsidRDefault="00BF3B2E" w:rsidP="009E7747">
            <w:pPr>
              <w:rPr>
                <w:b w:val="0"/>
                <w:lang w:val="en-AU"/>
              </w:rPr>
            </w:pPr>
            <w:r w:rsidRPr="00420B37">
              <w:rPr>
                <w:b w:val="0"/>
                <w:lang w:val="en-AU"/>
              </w:rPr>
              <w:t>Instruments sunset or remade</w:t>
            </w:r>
          </w:p>
        </w:tc>
        <w:tc>
          <w:tcPr>
            <w:tcW w:w="2921" w:type="dxa"/>
            <w:tcBorders>
              <w:top w:val="single" w:sz="4" w:space="0" w:color="4BB3B5"/>
              <w:bottom w:val="single" w:sz="4" w:space="0" w:color="4BB3B5"/>
            </w:tcBorders>
          </w:tcPr>
          <w:p w14:paraId="3FCEB812" w14:textId="77777777" w:rsidR="00BF3B2E" w:rsidRPr="00D51458" w:rsidRDefault="00AC1026" w:rsidP="009E7747">
            <w:pPr>
              <w:cnfStyle w:val="000000000000" w:firstRow="0" w:lastRow="0" w:firstColumn="0" w:lastColumn="0" w:oddVBand="0" w:evenVBand="0" w:oddHBand="0" w:evenHBand="0" w:firstRowFirstColumn="0" w:firstRowLastColumn="0" w:lastRowFirstColumn="0" w:lastRowLastColumn="0"/>
              <w:rPr>
                <w:lang w:val="en-AU"/>
              </w:rPr>
            </w:pPr>
            <w:r w:rsidRPr="00D51458">
              <w:rPr>
                <w:lang w:val="en-AU"/>
              </w:rPr>
              <w:t xml:space="preserve">Before </w:t>
            </w:r>
            <w:r w:rsidR="001A3143" w:rsidRPr="00D51458">
              <w:rPr>
                <w:lang w:val="en-AU"/>
              </w:rPr>
              <w:t>1 October 2023</w:t>
            </w:r>
          </w:p>
        </w:tc>
      </w:tr>
    </w:tbl>
    <w:p w14:paraId="4DE65FC1" w14:textId="77777777" w:rsidR="00FE6333" w:rsidRDefault="00FE6333">
      <w:pPr>
        <w:sectPr w:rsidR="00FE6333" w:rsidSect="00D6206E">
          <w:headerReference w:type="default" r:id="rId35"/>
          <w:footerReference w:type="default" r:id="rId36"/>
          <w:pgSz w:w="11906" w:h="16838"/>
          <w:pgMar w:top="1440" w:right="1274" w:bottom="1134" w:left="1560" w:header="708" w:footer="0" w:gutter="0"/>
          <w:cols w:space="708"/>
          <w:docGrid w:linePitch="360"/>
        </w:sectPr>
      </w:pPr>
    </w:p>
    <w:p w14:paraId="3BFDA270" w14:textId="0D29AA5C" w:rsidR="00B36A99" w:rsidRPr="00420B37" w:rsidRDefault="00B36A99" w:rsidP="00B36A99">
      <w:pPr>
        <w:pStyle w:val="Heading2"/>
        <w:keepNext w:val="0"/>
        <w:spacing w:after="80"/>
        <w:rPr>
          <w:lang w:val="en-AU"/>
        </w:rPr>
      </w:pPr>
      <w:bookmarkStart w:id="42" w:name="_Toc127530731"/>
      <w:bookmarkStart w:id="43" w:name="_Toc117528550"/>
      <w:r>
        <w:rPr>
          <w:lang w:val="en-AU"/>
        </w:rPr>
        <w:lastRenderedPageBreak/>
        <w:t>Appendix A: Overview of the CSG instruments</w:t>
      </w:r>
      <w:bookmarkEnd w:id="42"/>
    </w:p>
    <w:bookmarkEnd w:id="43"/>
    <w:p w14:paraId="0C4D849F" w14:textId="6823F772" w:rsidR="0061307F" w:rsidRPr="00420B37" w:rsidRDefault="0084053A" w:rsidP="00B36A99">
      <w:pPr>
        <w:spacing w:line="259" w:lineRule="auto"/>
        <w:rPr>
          <w:lang w:val="en-AU"/>
        </w:rPr>
      </w:pPr>
      <w:r w:rsidRPr="00420B37">
        <w:rPr>
          <w:lang w:val="en-AU"/>
        </w:rPr>
        <w:t xml:space="preserve">The </w:t>
      </w:r>
      <w:r w:rsidR="0061307F" w:rsidRPr="00420B37">
        <w:rPr>
          <w:lang w:val="en-AU"/>
        </w:rPr>
        <w:t xml:space="preserve">existing </w:t>
      </w:r>
      <w:r w:rsidRPr="00420B37">
        <w:rPr>
          <w:lang w:val="en-AU"/>
        </w:rPr>
        <w:t xml:space="preserve">CSG framework </w:t>
      </w:r>
      <w:r w:rsidR="002B7642" w:rsidRPr="00420B37">
        <w:rPr>
          <w:lang w:val="en-AU"/>
        </w:rPr>
        <w:t xml:space="preserve">consists of </w:t>
      </w:r>
      <w:r w:rsidR="00B47BC9">
        <w:rPr>
          <w:lang w:val="en-AU"/>
        </w:rPr>
        <w:t>5</w:t>
      </w:r>
      <w:r w:rsidR="00B47BC9" w:rsidRPr="00420B37">
        <w:rPr>
          <w:lang w:val="en-AU"/>
        </w:rPr>
        <w:t xml:space="preserve"> </w:t>
      </w:r>
      <w:r w:rsidRPr="00420B37">
        <w:rPr>
          <w:lang w:val="en-AU"/>
        </w:rPr>
        <w:t>instruments</w:t>
      </w:r>
      <w:r w:rsidR="00223035" w:rsidRPr="00420B37">
        <w:rPr>
          <w:lang w:val="en-AU"/>
        </w:rPr>
        <w:t xml:space="preserve">, as detailed in the table below. </w:t>
      </w:r>
    </w:p>
    <w:p w14:paraId="14E58AC0" w14:textId="7B1531B5" w:rsidR="00671DC5" w:rsidRPr="00420B37" w:rsidRDefault="00162A61" w:rsidP="00671DC5">
      <w:pPr>
        <w:rPr>
          <w:rStyle w:val="Hyperlink"/>
          <w:color w:val="auto"/>
          <w:u w:val="none"/>
          <w:lang w:val="en-AU"/>
        </w:rPr>
      </w:pPr>
      <w:r w:rsidRPr="00420B37">
        <w:rPr>
          <w:lang w:val="en-AU"/>
        </w:rPr>
        <w:t xml:space="preserve">Based on </w:t>
      </w:r>
      <w:r w:rsidR="003F0FFD" w:rsidRPr="00420B37">
        <w:rPr>
          <w:lang w:val="en-AU"/>
        </w:rPr>
        <w:t>the CSG Direction</w:t>
      </w:r>
      <w:r w:rsidRPr="00420B37">
        <w:rPr>
          <w:lang w:val="en-AU"/>
        </w:rPr>
        <w:t xml:space="preserve">, </w:t>
      </w:r>
      <w:r w:rsidR="00AC1026" w:rsidRPr="00420B37">
        <w:rPr>
          <w:lang w:val="en-AU"/>
        </w:rPr>
        <w:t xml:space="preserve">other </w:t>
      </w:r>
      <w:r w:rsidRPr="00420B37">
        <w:rPr>
          <w:lang w:val="en-AU"/>
        </w:rPr>
        <w:t xml:space="preserve">requirements are set out in the CSG Standard as well as </w:t>
      </w:r>
      <w:r w:rsidR="0035149D">
        <w:rPr>
          <w:lang w:val="en-AU"/>
        </w:rPr>
        <w:t>3</w:t>
      </w:r>
      <w:r w:rsidR="0035149D" w:rsidRPr="00420B37">
        <w:rPr>
          <w:lang w:val="en-AU"/>
        </w:rPr>
        <w:t xml:space="preserve"> </w:t>
      </w:r>
      <w:r w:rsidRPr="00420B37">
        <w:rPr>
          <w:lang w:val="en-AU"/>
        </w:rPr>
        <w:t>supporting instruments. These</w:t>
      </w:r>
      <w:r w:rsidR="000A5030">
        <w:rPr>
          <w:lang w:val="en-AU"/>
        </w:rPr>
        <w:t xml:space="preserve"> last </w:t>
      </w:r>
      <w:r w:rsidR="004644C9">
        <w:rPr>
          <w:lang w:val="en-AU"/>
        </w:rPr>
        <w:t>4</w:t>
      </w:r>
      <w:r w:rsidR="004644C9" w:rsidRPr="00420B37">
        <w:rPr>
          <w:lang w:val="en-AU"/>
        </w:rPr>
        <w:t xml:space="preserve"> </w:t>
      </w:r>
      <w:r w:rsidRPr="00420B37">
        <w:rPr>
          <w:lang w:val="en-AU"/>
        </w:rPr>
        <w:t xml:space="preserve">instruments are </w:t>
      </w:r>
      <w:r w:rsidR="00F9282C" w:rsidRPr="00420B37">
        <w:rPr>
          <w:lang w:val="en-AU"/>
        </w:rPr>
        <w:t>each</w:t>
      </w:r>
      <w:r w:rsidRPr="00420B37">
        <w:rPr>
          <w:lang w:val="en-AU"/>
        </w:rPr>
        <w:t xml:space="preserve"> due to sunset on 1 October 2023.</w:t>
      </w:r>
    </w:p>
    <w:tbl>
      <w:tblPr>
        <w:tblStyle w:val="DefaultTable1"/>
        <w:tblW w:w="0" w:type="auto"/>
        <w:tblLook w:val="04A0" w:firstRow="1" w:lastRow="0" w:firstColumn="1" w:lastColumn="0" w:noHBand="0" w:noVBand="1"/>
        <w:tblDescription w:val="Supporting instruments"/>
      </w:tblPr>
      <w:tblGrid>
        <w:gridCol w:w="7403"/>
        <w:gridCol w:w="1669"/>
      </w:tblGrid>
      <w:tr w:rsidR="00223035" w:rsidRPr="00420B37" w14:paraId="20EC25C4" w14:textId="77777777" w:rsidTr="0061307F">
        <w:trPr>
          <w:cnfStyle w:val="100000000000" w:firstRow="1" w:lastRow="0" w:firstColumn="0" w:lastColumn="0" w:oddVBand="0" w:evenVBand="0" w:oddHBand="0" w:evenHBand="0" w:firstRowFirstColumn="0" w:firstRowLastColumn="0" w:lastRowFirstColumn="0" w:lastRowLastColumn="0"/>
          <w:cantSplit/>
          <w:trHeight w:val="241"/>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4" w:space="0" w:color="4BB3B5"/>
              <w:right w:val="nil"/>
            </w:tcBorders>
            <w:shd w:val="clear" w:color="auto" w:fill="081E3E"/>
            <w:hideMark/>
          </w:tcPr>
          <w:p w14:paraId="4508AA10" w14:textId="77777777" w:rsidR="002B7642" w:rsidRPr="00420B37" w:rsidRDefault="002B7642" w:rsidP="002B7642">
            <w:pPr>
              <w:spacing w:before="40" w:after="40"/>
              <w:rPr>
                <w:lang w:val="en-AU"/>
              </w:rPr>
            </w:pPr>
            <w:r w:rsidRPr="00420B37">
              <w:rPr>
                <w:lang w:val="en-AU"/>
              </w:rPr>
              <w:t>Instrument</w:t>
            </w:r>
          </w:p>
        </w:tc>
        <w:tc>
          <w:tcPr>
            <w:tcW w:w="0" w:type="auto"/>
            <w:tcBorders>
              <w:left w:val="nil"/>
              <w:bottom w:val="single" w:sz="4" w:space="0" w:color="4BB3B5"/>
              <w:right w:val="nil"/>
            </w:tcBorders>
            <w:shd w:val="clear" w:color="auto" w:fill="081E3E"/>
            <w:hideMark/>
          </w:tcPr>
          <w:p w14:paraId="7870F822" w14:textId="77777777" w:rsidR="002B7642" w:rsidRPr="00420B37" w:rsidRDefault="002B7642" w:rsidP="002B7642">
            <w:pPr>
              <w:spacing w:before="40" w:after="40"/>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Sunset date</w:t>
            </w:r>
          </w:p>
        </w:tc>
      </w:tr>
      <w:tr w:rsidR="00223035" w:rsidRPr="00420B37" w14:paraId="411C6B11" w14:textId="77777777" w:rsidTr="0061307F">
        <w:trPr>
          <w:cantSplit/>
          <w:trHeight w:val="4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left w:val="nil"/>
              <w:bottom w:val="single" w:sz="4" w:space="0" w:color="4BB3B5"/>
              <w:right w:val="nil"/>
            </w:tcBorders>
          </w:tcPr>
          <w:p w14:paraId="1E719BF5" w14:textId="77777777" w:rsidR="002B7642" w:rsidRPr="00420B37" w:rsidRDefault="003D2A1B" w:rsidP="002B7642">
            <w:pPr>
              <w:spacing w:before="40" w:after="40"/>
              <w:rPr>
                <w:b w:val="0"/>
                <w:lang w:val="en-AU"/>
              </w:rPr>
            </w:pPr>
            <w:r w:rsidRPr="00420B37">
              <w:rPr>
                <w:b w:val="0"/>
                <w:i/>
                <w:lang w:val="en-AU"/>
              </w:rPr>
              <w:t xml:space="preserve">Telecommunications (Customer Service Guarantee) Direction (No. 1) 2011 </w:t>
            </w:r>
            <w:r w:rsidR="004413AF" w:rsidRPr="00420B37">
              <w:rPr>
                <w:b w:val="0"/>
                <w:i/>
                <w:lang w:val="en-AU"/>
              </w:rPr>
              <w:br/>
            </w:r>
            <w:r w:rsidRPr="00420B37">
              <w:rPr>
                <w:b w:val="0"/>
                <w:lang w:val="en-AU"/>
              </w:rPr>
              <w:t>(</w:t>
            </w:r>
            <w:hyperlink r:id="rId37" w:history="1">
              <w:r w:rsidRPr="00420B37">
                <w:rPr>
                  <w:rStyle w:val="Hyperlink"/>
                  <w:b w:val="0"/>
                  <w:lang w:val="en-AU"/>
                </w:rPr>
                <w:t>the CSG Direction</w:t>
              </w:r>
            </w:hyperlink>
            <w:r w:rsidRPr="00420B37">
              <w:rPr>
                <w:b w:val="0"/>
                <w:lang w:val="en-AU"/>
              </w:rPr>
              <w:t>)</w:t>
            </w:r>
          </w:p>
        </w:tc>
        <w:tc>
          <w:tcPr>
            <w:tcW w:w="0" w:type="auto"/>
            <w:tcBorders>
              <w:top w:val="single" w:sz="4" w:space="0" w:color="4BB3B5"/>
              <w:left w:val="nil"/>
              <w:bottom w:val="single" w:sz="4" w:space="0" w:color="4BB3B5"/>
              <w:right w:val="nil"/>
            </w:tcBorders>
          </w:tcPr>
          <w:p w14:paraId="0778D1FC" w14:textId="77777777" w:rsidR="002B7642" w:rsidRPr="00420B37" w:rsidRDefault="00223035" w:rsidP="002B7642">
            <w:pPr>
              <w:spacing w:before="40" w:after="40"/>
              <w:cnfStyle w:val="000000000000" w:firstRow="0" w:lastRow="0" w:firstColumn="0" w:lastColumn="0" w:oddVBand="0" w:evenVBand="0" w:oddHBand="0" w:evenHBand="0" w:firstRowFirstColumn="0" w:firstRowLastColumn="0" w:lastRowFirstColumn="0" w:lastRowLastColumn="0"/>
              <w:rPr>
                <w:rFonts w:cs="Segoe UI"/>
                <w:szCs w:val="21"/>
                <w:lang w:val="en-AU"/>
              </w:rPr>
            </w:pPr>
            <w:r w:rsidRPr="00420B37">
              <w:rPr>
                <w:rFonts w:cs="Segoe UI"/>
                <w:szCs w:val="21"/>
                <w:lang w:val="en-AU"/>
              </w:rPr>
              <w:t>E</w:t>
            </w:r>
            <w:r w:rsidR="002B7642" w:rsidRPr="00420B37">
              <w:rPr>
                <w:rFonts w:cs="Segoe UI"/>
                <w:szCs w:val="21"/>
                <w:lang w:val="en-AU"/>
              </w:rPr>
              <w:t>xempt from sunsetting</w:t>
            </w:r>
          </w:p>
        </w:tc>
      </w:tr>
      <w:tr w:rsidR="00223035" w:rsidRPr="00420B37" w14:paraId="38D752DA" w14:textId="77777777" w:rsidTr="0061307F">
        <w:trPr>
          <w:cnfStyle w:val="000000010000" w:firstRow="0" w:lastRow="0" w:firstColumn="0" w:lastColumn="0" w:oddVBand="0" w:evenVBand="0" w:oddHBand="0" w:evenHBand="1" w:firstRowFirstColumn="0" w:firstRowLastColumn="0" w:lastRowFirstColumn="0" w:lastRowLastColumn="0"/>
          <w:cantSplit/>
          <w:trHeight w:val="2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left w:val="nil"/>
              <w:bottom w:val="single" w:sz="4" w:space="0" w:color="4BB3B5"/>
              <w:right w:val="nil"/>
            </w:tcBorders>
            <w:hideMark/>
          </w:tcPr>
          <w:p w14:paraId="7A443FB1" w14:textId="77777777" w:rsidR="002B7642" w:rsidRPr="00420B37" w:rsidRDefault="003D2A1B" w:rsidP="003D2A1B">
            <w:pPr>
              <w:rPr>
                <w:b w:val="0"/>
                <w:color w:val="auto"/>
                <w:lang w:val="en-AU"/>
              </w:rPr>
            </w:pPr>
            <w:bookmarkStart w:id="44" w:name="_Hlk120026304"/>
            <w:r w:rsidRPr="00420B37">
              <w:rPr>
                <w:b w:val="0"/>
                <w:i/>
                <w:lang w:val="en-AU"/>
              </w:rPr>
              <w:t>Telecommunications (Customer Service Guarantee) Standard 2011</w:t>
            </w:r>
            <w:r w:rsidRPr="00420B37">
              <w:rPr>
                <w:rStyle w:val="Hyperlink"/>
                <w:b w:val="0"/>
                <w:i/>
                <w:u w:val="none"/>
                <w:lang w:val="en-AU"/>
              </w:rPr>
              <w:t xml:space="preserve"> </w:t>
            </w:r>
            <w:r w:rsidRPr="00420B37">
              <w:rPr>
                <w:rStyle w:val="Hyperlink"/>
                <w:b w:val="0"/>
                <w:color w:val="auto"/>
                <w:u w:val="none"/>
                <w:lang w:val="en-AU"/>
              </w:rPr>
              <w:t xml:space="preserve">(the </w:t>
            </w:r>
            <w:hyperlink r:id="rId38" w:history="1">
              <w:r w:rsidRPr="00420B37">
                <w:rPr>
                  <w:rStyle w:val="Hyperlink"/>
                  <w:b w:val="0"/>
                  <w:lang w:val="en-AU"/>
                </w:rPr>
                <w:t>CSG Standard</w:t>
              </w:r>
            </w:hyperlink>
            <w:r w:rsidRPr="00420B37">
              <w:rPr>
                <w:rStyle w:val="Hyperlink"/>
                <w:b w:val="0"/>
                <w:color w:val="auto"/>
                <w:u w:val="none"/>
                <w:lang w:val="en-AU"/>
              </w:rPr>
              <w:t>)</w:t>
            </w:r>
          </w:p>
        </w:tc>
        <w:tc>
          <w:tcPr>
            <w:tcW w:w="0" w:type="auto"/>
            <w:tcBorders>
              <w:top w:val="single" w:sz="4" w:space="0" w:color="4BB3B5"/>
              <w:left w:val="nil"/>
              <w:bottom w:val="single" w:sz="4" w:space="0" w:color="4BB3B5"/>
              <w:right w:val="nil"/>
            </w:tcBorders>
            <w:hideMark/>
          </w:tcPr>
          <w:p w14:paraId="274C654F" w14:textId="77777777" w:rsidR="002B7642" w:rsidRPr="00420B37" w:rsidRDefault="002B7642" w:rsidP="002B7642">
            <w:pPr>
              <w:spacing w:before="40" w:after="40"/>
              <w:cnfStyle w:val="000000010000" w:firstRow="0" w:lastRow="0" w:firstColumn="0" w:lastColumn="0" w:oddVBand="0" w:evenVBand="0" w:oddHBand="0" w:evenHBand="1" w:firstRowFirstColumn="0" w:firstRowLastColumn="0" w:lastRowFirstColumn="0" w:lastRowLastColumn="0"/>
              <w:rPr>
                <w:lang w:val="en-AU"/>
              </w:rPr>
            </w:pPr>
            <w:r w:rsidRPr="00420B37">
              <w:rPr>
                <w:rFonts w:cs="Segoe UI"/>
                <w:szCs w:val="21"/>
                <w:lang w:val="en-AU"/>
              </w:rPr>
              <w:t>1 October 2023</w:t>
            </w:r>
          </w:p>
        </w:tc>
      </w:tr>
      <w:tr w:rsidR="00223035" w:rsidRPr="00420B37" w14:paraId="0CE68B8F" w14:textId="77777777" w:rsidTr="0061307F">
        <w:trPr>
          <w:cantSplit/>
          <w:trHeight w:val="4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left w:val="nil"/>
              <w:bottom w:val="single" w:sz="4" w:space="0" w:color="4BB3B5"/>
              <w:right w:val="nil"/>
            </w:tcBorders>
          </w:tcPr>
          <w:p w14:paraId="37925627" w14:textId="77777777" w:rsidR="002B7642" w:rsidRPr="00420B37" w:rsidRDefault="003D2A1B" w:rsidP="003D2A1B">
            <w:pPr>
              <w:rPr>
                <w:b w:val="0"/>
                <w:color w:val="auto"/>
                <w:lang w:val="en-AU"/>
              </w:rPr>
            </w:pPr>
            <w:r w:rsidRPr="00420B37">
              <w:rPr>
                <w:b w:val="0"/>
                <w:i/>
                <w:lang w:val="en-AU"/>
              </w:rPr>
              <w:t>Telecommunications (Customer Service Guarantee) Amendment Standard 2011 (No. 1)</w:t>
            </w:r>
            <w:r w:rsidRPr="00420B37">
              <w:rPr>
                <w:rStyle w:val="Hyperlink"/>
                <w:b w:val="0"/>
                <w:i/>
                <w:u w:val="none"/>
                <w:lang w:val="en-AU"/>
              </w:rPr>
              <w:t xml:space="preserve"> </w:t>
            </w:r>
            <w:r w:rsidRPr="00420B37">
              <w:rPr>
                <w:rStyle w:val="Hyperlink"/>
                <w:b w:val="0"/>
                <w:color w:val="auto"/>
                <w:u w:val="none"/>
                <w:lang w:val="en-AU"/>
              </w:rPr>
              <w:t xml:space="preserve">(the </w:t>
            </w:r>
            <w:hyperlink r:id="rId39" w:history="1">
              <w:r w:rsidRPr="00420B37">
                <w:rPr>
                  <w:rStyle w:val="Hyperlink"/>
                  <w:b w:val="0"/>
                  <w:i/>
                  <w:lang w:val="en-AU"/>
                </w:rPr>
                <w:t>CSG Amendment Standard</w:t>
              </w:r>
            </w:hyperlink>
            <w:r w:rsidRPr="00420B37">
              <w:rPr>
                <w:rStyle w:val="Hyperlink"/>
                <w:b w:val="0"/>
                <w:color w:val="auto"/>
                <w:lang w:val="en-AU"/>
              </w:rPr>
              <w:t>)</w:t>
            </w:r>
            <w:r w:rsidRPr="00420B37">
              <w:rPr>
                <w:rStyle w:val="FootnoteReference"/>
                <w:b w:val="0"/>
                <w:lang w:val="en-AU"/>
              </w:rPr>
              <w:footnoteReference w:id="14"/>
            </w:r>
          </w:p>
        </w:tc>
        <w:tc>
          <w:tcPr>
            <w:tcW w:w="0" w:type="auto"/>
            <w:tcBorders>
              <w:top w:val="single" w:sz="4" w:space="0" w:color="4BB3B5"/>
              <w:left w:val="nil"/>
              <w:bottom w:val="single" w:sz="4" w:space="0" w:color="4BB3B5"/>
              <w:right w:val="nil"/>
            </w:tcBorders>
          </w:tcPr>
          <w:p w14:paraId="03FFF1A9" w14:textId="77777777" w:rsidR="002B7642" w:rsidRPr="00420B37" w:rsidRDefault="002B7642" w:rsidP="002B7642">
            <w:pPr>
              <w:spacing w:before="40" w:after="40"/>
              <w:cnfStyle w:val="000000000000" w:firstRow="0" w:lastRow="0" w:firstColumn="0" w:lastColumn="0" w:oddVBand="0" w:evenVBand="0" w:oddHBand="0" w:evenHBand="0" w:firstRowFirstColumn="0" w:firstRowLastColumn="0" w:lastRowFirstColumn="0" w:lastRowLastColumn="0"/>
              <w:rPr>
                <w:rFonts w:cs="Segoe UI"/>
                <w:szCs w:val="21"/>
                <w:lang w:val="en-AU"/>
              </w:rPr>
            </w:pPr>
            <w:r w:rsidRPr="00420B37">
              <w:rPr>
                <w:rFonts w:cs="Segoe UI"/>
                <w:szCs w:val="21"/>
                <w:lang w:val="en-AU"/>
              </w:rPr>
              <w:t>1 October 2023</w:t>
            </w:r>
          </w:p>
        </w:tc>
      </w:tr>
      <w:tr w:rsidR="00223035" w:rsidRPr="00420B37" w14:paraId="20EA9073" w14:textId="77777777" w:rsidTr="0061307F">
        <w:trPr>
          <w:cnfStyle w:val="000000010000" w:firstRow="0" w:lastRow="0" w:firstColumn="0" w:lastColumn="0" w:oddVBand="0" w:evenVBand="0" w:oddHBand="0" w:evenHBand="1" w:firstRowFirstColumn="0" w:firstRowLastColumn="0" w:lastRowFirstColumn="0" w:lastRowLastColumn="0"/>
          <w:cantSplit/>
          <w:trHeight w:val="4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left w:val="nil"/>
              <w:bottom w:val="single" w:sz="4" w:space="0" w:color="4BB3B5"/>
              <w:right w:val="nil"/>
            </w:tcBorders>
            <w:hideMark/>
          </w:tcPr>
          <w:p w14:paraId="0384920B" w14:textId="77777777" w:rsidR="002B7642" w:rsidRPr="00420B37" w:rsidRDefault="003D2A1B" w:rsidP="003D2A1B">
            <w:pPr>
              <w:rPr>
                <w:b w:val="0"/>
                <w:lang w:val="en-AU"/>
              </w:rPr>
            </w:pPr>
            <w:r w:rsidRPr="00420B37">
              <w:rPr>
                <w:b w:val="0"/>
                <w:i/>
                <w:lang w:val="en-AU"/>
              </w:rPr>
              <w:t>Telecommunications (Customer Service Guarantee</w:t>
            </w:r>
            <w:r w:rsidRPr="00420B37">
              <w:rPr>
                <w:b w:val="0"/>
                <w:i/>
                <w:iCs/>
                <w:lang w:val="en-AU"/>
              </w:rPr>
              <w:t xml:space="preserve"> – Retail Performance Benchmarks) Instrument (No. 1) 2011</w:t>
            </w:r>
            <w:r w:rsidRPr="00420B37">
              <w:rPr>
                <w:rStyle w:val="Hyperlink"/>
                <w:b w:val="0"/>
                <w:i/>
                <w:iCs/>
                <w:color w:val="auto"/>
                <w:u w:val="none"/>
                <w:lang w:val="en-AU"/>
              </w:rPr>
              <w:t xml:space="preserve"> </w:t>
            </w:r>
            <w:r w:rsidRPr="00420B37">
              <w:rPr>
                <w:rStyle w:val="Hyperlink"/>
                <w:b w:val="0"/>
                <w:iCs/>
                <w:color w:val="auto"/>
                <w:u w:val="none"/>
                <w:lang w:val="en-AU"/>
              </w:rPr>
              <w:t xml:space="preserve">(the </w:t>
            </w:r>
            <w:hyperlink r:id="rId40" w:history="1">
              <w:r w:rsidRPr="00420B37">
                <w:rPr>
                  <w:rStyle w:val="Hyperlink"/>
                  <w:b w:val="0"/>
                  <w:i/>
                  <w:iCs/>
                  <w:lang w:val="en-AU"/>
                </w:rPr>
                <w:t>CSG Benchmarks Instrument</w:t>
              </w:r>
            </w:hyperlink>
            <w:r w:rsidRPr="00420B37">
              <w:rPr>
                <w:rStyle w:val="Hyperlink"/>
                <w:b w:val="0"/>
                <w:iCs/>
                <w:color w:val="auto"/>
                <w:u w:val="none"/>
                <w:lang w:val="en-AU"/>
              </w:rPr>
              <w:t>)</w:t>
            </w:r>
          </w:p>
        </w:tc>
        <w:tc>
          <w:tcPr>
            <w:tcW w:w="0" w:type="auto"/>
            <w:tcBorders>
              <w:top w:val="single" w:sz="4" w:space="0" w:color="4BB3B5"/>
              <w:left w:val="nil"/>
              <w:bottom w:val="single" w:sz="4" w:space="0" w:color="4BB3B5"/>
              <w:right w:val="nil"/>
            </w:tcBorders>
            <w:hideMark/>
          </w:tcPr>
          <w:p w14:paraId="0FE3601A" w14:textId="77777777" w:rsidR="002B7642" w:rsidRPr="00420B37" w:rsidRDefault="002B7642" w:rsidP="002B7642">
            <w:pPr>
              <w:spacing w:before="40" w:after="40"/>
              <w:cnfStyle w:val="000000010000" w:firstRow="0" w:lastRow="0" w:firstColumn="0" w:lastColumn="0" w:oddVBand="0" w:evenVBand="0" w:oddHBand="0" w:evenHBand="1" w:firstRowFirstColumn="0" w:firstRowLastColumn="0" w:lastRowFirstColumn="0" w:lastRowLastColumn="0"/>
              <w:rPr>
                <w:rFonts w:cs="Segoe UI"/>
                <w:szCs w:val="21"/>
                <w:lang w:val="en-AU"/>
              </w:rPr>
            </w:pPr>
            <w:r w:rsidRPr="00420B37">
              <w:rPr>
                <w:rFonts w:cs="Segoe UI"/>
                <w:szCs w:val="21"/>
                <w:lang w:val="en-AU"/>
              </w:rPr>
              <w:t>1 October 2023</w:t>
            </w:r>
          </w:p>
        </w:tc>
      </w:tr>
      <w:tr w:rsidR="00223035" w:rsidRPr="00420B37" w14:paraId="6F5857E0" w14:textId="77777777" w:rsidTr="0061307F">
        <w:trPr>
          <w:cantSplit/>
          <w:trHeight w:val="4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left w:val="nil"/>
              <w:bottom w:val="single" w:sz="4" w:space="0" w:color="4BB3B5"/>
              <w:right w:val="nil"/>
            </w:tcBorders>
          </w:tcPr>
          <w:p w14:paraId="61B45ECC" w14:textId="77777777" w:rsidR="00223035" w:rsidRPr="00420B37" w:rsidRDefault="003D2A1B" w:rsidP="003D2A1B">
            <w:pPr>
              <w:rPr>
                <w:b w:val="0"/>
                <w:color w:val="auto"/>
                <w:lang w:val="en-AU"/>
              </w:rPr>
            </w:pPr>
            <w:r w:rsidRPr="00420B37">
              <w:rPr>
                <w:b w:val="0"/>
                <w:i/>
                <w:lang w:val="en-AU"/>
              </w:rPr>
              <w:t>Telecommunications (Customer Service Guarantee) Record-Keeping Rules 2011</w:t>
            </w:r>
            <w:r w:rsidRPr="00420B37">
              <w:rPr>
                <w:rStyle w:val="Hyperlink"/>
                <w:b w:val="0"/>
                <w:i/>
                <w:u w:val="none"/>
                <w:lang w:val="en-AU"/>
              </w:rPr>
              <w:t xml:space="preserve"> </w:t>
            </w:r>
            <w:r w:rsidR="004413AF" w:rsidRPr="00420B37">
              <w:rPr>
                <w:rStyle w:val="Hyperlink"/>
                <w:b w:val="0"/>
                <w:i/>
                <w:u w:val="none"/>
                <w:lang w:val="en-AU"/>
              </w:rPr>
              <w:br/>
            </w:r>
            <w:r w:rsidRPr="00420B37">
              <w:rPr>
                <w:rStyle w:val="Hyperlink"/>
                <w:b w:val="0"/>
                <w:color w:val="auto"/>
                <w:u w:val="none"/>
                <w:lang w:val="en-AU"/>
              </w:rPr>
              <w:t xml:space="preserve">(the </w:t>
            </w:r>
            <w:hyperlink r:id="rId41" w:history="1">
              <w:r w:rsidRPr="00420B37">
                <w:rPr>
                  <w:rStyle w:val="Hyperlink"/>
                  <w:b w:val="0"/>
                  <w:i/>
                  <w:lang w:val="en-AU"/>
                </w:rPr>
                <w:t>CSG RKRs</w:t>
              </w:r>
            </w:hyperlink>
            <w:r w:rsidRPr="00420B37">
              <w:rPr>
                <w:rStyle w:val="Hyperlink"/>
                <w:b w:val="0"/>
                <w:color w:val="auto"/>
                <w:u w:val="none"/>
                <w:lang w:val="en-AU"/>
              </w:rPr>
              <w:t>)</w:t>
            </w:r>
          </w:p>
        </w:tc>
        <w:tc>
          <w:tcPr>
            <w:tcW w:w="0" w:type="auto"/>
            <w:tcBorders>
              <w:top w:val="single" w:sz="4" w:space="0" w:color="4BB3B5"/>
              <w:left w:val="nil"/>
              <w:bottom w:val="single" w:sz="4" w:space="0" w:color="4BB3B5"/>
              <w:right w:val="nil"/>
            </w:tcBorders>
          </w:tcPr>
          <w:p w14:paraId="5FA59BD6" w14:textId="77777777" w:rsidR="00223035" w:rsidRPr="00420B37" w:rsidRDefault="00223035" w:rsidP="00223035">
            <w:pPr>
              <w:spacing w:before="40" w:after="40"/>
              <w:cnfStyle w:val="000000000000" w:firstRow="0" w:lastRow="0" w:firstColumn="0" w:lastColumn="0" w:oddVBand="0" w:evenVBand="0" w:oddHBand="0" w:evenHBand="0" w:firstRowFirstColumn="0" w:firstRowLastColumn="0" w:lastRowFirstColumn="0" w:lastRowLastColumn="0"/>
              <w:rPr>
                <w:rFonts w:cs="Segoe UI"/>
                <w:szCs w:val="21"/>
                <w:lang w:val="en-AU"/>
              </w:rPr>
            </w:pPr>
            <w:r w:rsidRPr="00420B37">
              <w:rPr>
                <w:rFonts w:cs="Segoe UI"/>
                <w:szCs w:val="21"/>
                <w:lang w:val="en-AU"/>
              </w:rPr>
              <w:t>1 October 2023</w:t>
            </w:r>
          </w:p>
        </w:tc>
      </w:tr>
    </w:tbl>
    <w:p w14:paraId="2B30253C" w14:textId="77777777" w:rsidR="004413AF" w:rsidRPr="00420B37" w:rsidRDefault="004413AF" w:rsidP="00223035">
      <w:pPr>
        <w:pStyle w:val="Heading3"/>
        <w:spacing w:before="160" w:after="80"/>
        <w:rPr>
          <w:lang w:val="en-AU"/>
        </w:rPr>
      </w:pPr>
      <w:bookmarkStart w:id="45" w:name="_Toc127530732"/>
      <w:bookmarkEnd w:id="44"/>
      <w:r w:rsidRPr="00420B37">
        <w:rPr>
          <w:lang w:val="en-AU"/>
        </w:rPr>
        <w:t>The CSG Direction</w:t>
      </w:r>
      <w:bookmarkEnd w:id="45"/>
    </w:p>
    <w:p w14:paraId="7111482F" w14:textId="77777777" w:rsidR="00EF0638" w:rsidRPr="00420B37" w:rsidRDefault="00EF0638" w:rsidP="00EF0638">
      <w:pPr>
        <w:rPr>
          <w:lang w:val="en-AU"/>
        </w:rPr>
      </w:pPr>
      <w:r w:rsidRPr="00420B37">
        <w:rPr>
          <w:lang w:val="en-AU"/>
        </w:rPr>
        <w:t xml:space="preserve">The CSG Direction is a Ministerial direction that requires the ACMA to make CSG performance standards. </w:t>
      </w:r>
    </w:p>
    <w:p w14:paraId="3F0B27AA" w14:textId="77777777" w:rsidR="004413AF" w:rsidRPr="00420B37" w:rsidRDefault="00EF0638" w:rsidP="00EF0638">
      <w:pPr>
        <w:rPr>
          <w:lang w:val="en-AU"/>
        </w:rPr>
      </w:pPr>
      <w:r w:rsidRPr="00420B37">
        <w:rPr>
          <w:lang w:val="en-AU"/>
        </w:rPr>
        <w:t>Under section 124 of the TCPSS Act, the ACMA must comply with such a direction and it can only make (or vary) a CSG standard in accordance with such a Ministerial direction. The CSG Direction is exempt from sunsetting provisions.</w:t>
      </w:r>
    </w:p>
    <w:p w14:paraId="29FD7083" w14:textId="7BDDFD00" w:rsidR="00EF0638" w:rsidRPr="00420B37" w:rsidRDefault="00EF0638" w:rsidP="006B140E">
      <w:pPr>
        <w:rPr>
          <w:lang w:val="en-AU"/>
        </w:rPr>
      </w:pPr>
      <w:r w:rsidRPr="00420B37">
        <w:rPr>
          <w:lang w:val="en-AU"/>
        </w:rPr>
        <w:t xml:space="preserve">The CSG Direction is simple in that it directs the ACMA to make a standard in the same terms as the </w:t>
      </w:r>
      <w:r w:rsidRPr="00420B37">
        <w:rPr>
          <w:i/>
          <w:lang w:val="en-AU"/>
        </w:rPr>
        <w:t>Telecommunications (Customer Service Guarantee) Standard 2000 (No.2)</w:t>
      </w:r>
      <w:r w:rsidR="00D42A32" w:rsidRPr="00D51458">
        <w:rPr>
          <w:rStyle w:val="FootnoteReference"/>
          <w:lang w:val="en-AU"/>
        </w:rPr>
        <w:footnoteReference w:id="15"/>
      </w:r>
      <w:r w:rsidRPr="008920A0">
        <w:rPr>
          <w:lang w:val="en-AU"/>
        </w:rPr>
        <w:t>,</w:t>
      </w:r>
      <w:r w:rsidRPr="00420B37">
        <w:rPr>
          <w:lang w:val="en-AU"/>
        </w:rPr>
        <w:t xml:space="preserve"> as in force on </w:t>
      </w:r>
      <w:r w:rsidR="00D9357F">
        <w:rPr>
          <w:lang w:val="en-AU"/>
        </w:rPr>
        <w:br/>
      </w:r>
      <w:r w:rsidRPr="00420B37">
        <w:rPr>
          <w:lang w:val="en-AU"/>
        </w:rPr>
        <w:t xml:space="preserve">23 December 2009. As such, the full effect of the Direction can be ascertained from the outline of the CSG Standard </w:t>
      </w:r>
      <w:r w:rsidR="00EF53E3" w:rsidRPr="00420B37">
        <w:rPr>
          <w:lang w:val="en-AU"/>
        </w:rPr>
        <w:t>provided</w:t>
      </w:r>
      <w:r w:rsidRPr="00420B37">
        <w:rPr>
          <w:lang w:val="en-AU"/>
        </w:rPr>
        <w:t xml:space="preserve"> below. The Direction also means the substance </w:t>
      </w:r>
      <w:r w:rsidR="00D42A32" w:rsidRPr="00420B37">
        <w:rPr>
          <w:lang w:val="en-AU"/>
        </w:rPr>
        <w:t>of</w:t>
      </w:r>
      <w:r w:rsidRPr="00420B37">
        <w:rPr>
          <w:lang w:val="en-AU"/>
        </w:rPr>
        <w:t xml:space="preserve"> the CSG has not chang</w:t>
      </w:r>
      <w:r w:rsidR="00CD6013" w:rsidRPr="00420B37">
        <w:rPr>
          <w:lang w:val="en-AU"/>
        </w:rPr>
        <w:t>ed significantly</w:t>
      </w:r>
      <w:r w:rsidRPr="00420B37">
        <w:rPr>
          <w:lang w:val="en-AU"/>
        </w:rPr>
        <w:t xml:space="preserve"> since 2000.</w:t>
      </w:r>
    </w:p>
    <w:p w14:paraId="7AD21D90" w14:textId="77777777" w:rsidR="0022085A" w:rsidRPr="00420B37" w:rsidRDefault="0022085A" w:rsidP="00223035">
      <w:pPr>
        <w:pStyle w:val="Heading3"/>
        <w:spacing w:before="160" w:after="80"/>
        <w:rPr>
          <w:lang w:val="en-AU"/>
        </w:rPr>
      </w:pPr>
      <w:bookmarkStart w:id="46" w:name="_Toc127530733"/>
      <w:r w:rsidRPr="00420B37">
        <w:rPr>
          <w:lang w:val="en-AU"/>
        </w:rPr>
        <w:t>The CSG Standard</w:t>
      </w:r>
      <w:bookmarkEnd w:id="46"/>
    </w:p>
    <w:p w14:paraId="69C5248E" w14:textId="77777777" w:rsidR="00EF2241" w:rsidRPr="00420B37" w:rsidRDefault="00EF2241" w:rsidP="005D5D23">
      <w:pPr>
        <w:spacing w:after="80"/>
        <w:rPr>
          <w:lang w:val="en-AU"/>
        </w:rPr>
      </w:pPr>
      <w:r w:rsidRPr="00420B37">
        <w:rPr>
          <w:b/>
          <w:sz w:val="28"/>
          <w:szCs w:val="24"/>
          <w:lang w:val="en-AU"/>
        </w:rPr>
        <w:t>Performance standards</w:t>
      </w:r>
    </w:p>
    <w:p w14:paraId="4B18568B" w14:textId="77777777" w:rsidR="0022085A" w:rsidRPr="00420B37" w:rsidRDefault="001038D1" w:rsidP="001038D1">
      <w:pPr>
        <w:rPr>
          <w:lang w:val="en-AU"/>
        </w:rPr>
      </w:pPr>
      <w:r w:rsidRPr="00420B37">
        <w:rPr>
          <w:lang w:val="en-AU"/>
        </w:rPr>
        <w:t xml:space="preserve">Under the CSG Standard, </w:t>
      </w:r>
      <w:r w:rsidR="00F44B1C" w:rsidRPr="00420B37">
        <w:rPr>
          <w:lang w:val="en-AU"/>
        </w:rPr>
        <w:t>CSPs providing CSG</w:t>
      </w:r>
      <w:r w:rsidR="008F510E" w:rsidRPr="00420B37">
        <w:rPr>
          <w:lang w:val="en-AU"/>
        </w:rPr>
        <w:t>-</w:t>
      </w:r>
      <w:r w:rsidR="00F44B1C" w:rsidRPr="00420B37">
        <w:rPr>
          <w:lang w:val="en-AU"/>
        </w:rPr>
        <w:t xml:space="preserve">eligible services </w:t>
      </w:r>
      <w:r w:rsidRPr="00420B37">
        <w:rPr>
          <w:lang w:val="en-AU"/>
        </w:rPr>
        <w:t>are required to meet maximum timeframes for connection, fault rectification and appointment-keeping</w:t>
      </w:r>
      <w:r w:rsidR="005814F2" w:rsidRPr="00420B37">
        <w:rPr>
          <w:lang w:val="en-AU"/>
        </w:rPr>
        <w:t>,</w:t>
      </w:r>
      <w:r w:rsidRPr="00420B37">
        <w:rPr>
          <w:lang w:val="en-AU"/>
        </w:rPr>
        <w:t xml:space="preserve"> as set in the tables below. </w:t>
      </w:r>
    </w:p>
    <w:p w14:paraId="7FBCEF1B" w14:textId="77777777" w:rsidR="001038D1" w:rsidRPr="00420B37" w:rsidRDefault="001038D1" w:rsidP="001038D1">
      <w:pPr>
        <w:rPr>
          <w:lang w:val="en-AU"/>
        </w:rPr>
      </w:pPr>
      <w:r w:rsidRPr="00420B37">
        <w:rPr>
          <w:lang w:val="en-AU"/>
        </w:rPr>
        <w:t xml:space="preserve">Timeframes </w:t>
      </w:r>
      <w:r w:rsidR="00475D8D" w:rsidRPr="00420B37">
        <w:rPr>
          <w:lang w:val="en-AU"/>
        </w:rPr>
        <w:t xml:space="preserve">vary across urban, </w:t>
      </w:r>
      <w:r w:rsidRPr="00420B37">
        <w:rPr>
          <w:lang w:val="en-AU"/>
        </w:rPr>
        <w:t>rural and remote areas</w:t>
      </w:r>
      <w:r w:rsidR="005814F2" w:rsidRPr="00420B37">
        <w:rPr>
          <w:lang w:val="en-AU"/>
        </w:rPr>
        <w:t>,</w:t>
      </w:r>
      <w:r w:rsidRPr="00420B37">
        <w:rPr>
          <w:lang w:val="en-AU"/>
        </w:rPr>
        <w:t xml:space="preserve"> </w:t>
      </w:r>
      <w:r w:rsidR="00F44B1C" w:rsidRPr="00420B37">
        <w:rPr>
          <w:lang w:val="en-AU"/>
        </w:rPr>
        <w:t>recogni</w:t>
      </w:r>
      <w:r w:rsidR="00403E3F" w:rsidRPr="00420B37">
        <w:rPr>
          <w:lang w:val="en-AU"/>
        </w:rPr>
        <w:t>s</w:t>
      </w:r>
      <w:r w:rsidR="00F44B1C" w:rsidRPr="00420B37">
        <w:rPr>
          <w:lang w:val="en-AU"/>
        </w:rPr>
        <w:t xml:space="preserve">ing the distances involved </w:t>
      </w:r>
      <w:r w:rsidR="00403E3F" w:rsidRPr="00420B37">
        <w:rPr>
          <w:lang w:val="en-AU"/>
        </w:rPr>
        <w:t xml:space="preserve">and given </w:t>
      </w:r>
      <w:r w:rsidR="00F44B1C" w:rsidRPr="00420B37">
        <w:rPr>
          <w:lang w:val="en-AU"/>
        </w:rPr>
        <w:t xml:space="preserve">CSPs may need to arrange to </w:t>
      </w:r>
      <w:r w:rsidRPr="00420B37">
        <w:rPr>
          <w:lang w:val="en-AU"/>
        </w:rPr>
        <w:t xml:space="preserve">transport any necessary infrastructure or technicians to the location. </w:t>
      </w:r>
      <w:r w:rsidR="004F307A" w:rsidRPr="00420B37">
        <w:rPr>
          <w:lang w:val="en-AU"/>
        </w:rPr>
        <w:t>CSPs may</w:t>
      </w:r>
      <w:r w:rsidR="00A96F0D" w:rsidRPr="00420B37">
        <w:rPr>
          <w:lang w:val="en-AU"/>
        </w:rPr>
        <w:t xml:space="preserve"> also</w:t>
      </w:r>
      <w:r w:rsidR="004F307A" w:rsidRPr="00420B37">
        <w:rPr>
          <w:lang w:val="en-AU"/>
        </w:rPr>
        <w:t xml:space="preserve"> arrange </w:t>
      </w:r>
      <w:r w:rsidR="00E1619B" w:rsidRPr="00420B37">
        <w:rPr>
          <w:lang w:val="en-AU"/>
        </w:rPr>
        <w:t xml:space="preserve">to connect or repair services in a shorter timeframe than specified in the CSG Standard, while a customer may </w:t>
      </w:r>
      <w:r w:rsidR="00BE5C18" w:rsidRPr="00420B37">
        <w:rPr>
          <w:lang w:val="en-AU"/>
        </w:rPr>
        <w:t xml:space="preserve">also </w:t>
      </w:r>
      <w:r w:rsidR="00E1619B" w:rsidRPr="00420B37">
        <w:rPr>
          <w:lang w:val="en-AU"/>
        </w:rPr>
        <w:t>nominate or agree to a longer timeframe.</w:t>
      </w:r>
      <w:r w:rsidR="00E1619B" w:rsidRPr="00420B37">
        <w:rPr>
          <w:rStyle w:val="FootnoteReference"/>
          <w:lang w:val="en-AU"/>
        </w:rPr>
        <w:footnoteReference w:id="16"/>
      </w:r>
      <w:r w:rsidR="00E1619B" w:rsidRPr="00420B37">
        <w:rPr>
          <w:lang w:val="en-AU"/>
        </w:rPr>
        <w:t xml:space="preserve"> </w:t>
      </w:r>
    </w:p>
    <w:p w14:paraId="0E2DCC22" w14:textId="77777777" w:rsidR="00671DC5" w:rsidRPr="00420B37" w:rsidRDefault="00671DC5" w:rsidP="00671DC5">
      <w:pPr>
        <w:spacing w:before="160"/>
        <w:rPr>
          <w:lang w:val="en-AU"/>
        </w:rPr>
      </w:pPr>
      <w:r w:rsidRPr="00420B37">
        <w:rPr>
          <w:lang w:val="en-AU"/>
        </w:rPr>
        <w:lastRenderedPageBreak/>
        <w:t>CSPs do not have to meet the maximum timeframes or pay compensation if they have made a reasonable offer to supply an interim service (such as a mobile or satellite service at standard landline rates) or an alternative service (such as a call redirection to a mobile or additional landline service). When offering these services, a CSP must provide a range of information, including about the service features, charges payable, and the estimated period the service will be supplied for.</w:t>
      </w:r>
    </w:p>
    <w:p w14:paraId="0DFCE86E" w14:textId="73E0633F" w:rsidR="00671DC5" w:rsidRDefault="00671DC5" w:rsidP="001038D1">
      <w:pPr>
        <w:rPr>
          <w:lang w:val="en-AU"/>
        </w:rPr>
      </w:pPr>
      <w:r w:rsidRPr="00420B37">
        <w:rPr>
          <w:lang w:val="en-AU"/>
        </w:rPr>
        <w:t xml:space="preserve">While the CSG standard applies to services provided to individuals and small businesses, it does not cover ‘sophisticated business-oriented services’ or customers with more than </w:t>
      </w:r>
      <w:r w:rsidR="003B7082">
        <w:rPr>
          <w:lang w:val="en-AU"/>
        </w:rPr>
        <w:t>5</w:t>
      </w:r>
      <w:r w:rsidR="003B7082" w:rsidRPr="00420B37">
        <w:rPr>
          <w:lang w:val="en-AU"/>
        </w:rPr>
        <w:t xml:space="preserve"> </w:t>
      </w:r>
      <w:r w:rsidRPr="00420B37">
        <w:rPr>
          <w:lang w:val="en-AU"/>
        </w:rPr>
        <w:t>telephone lines.</w:t>
      </w:r>
    </w:p>
    <w:p w14:paraId="73EB6F6D" w14:textId="77777777" w:rsidR="00650CD4" w:rsidRPr="00650CD4" w:rsidRDefault="00650CD4" w:rsidP="00650CD4">
      <w:pPr>
        <w:pStyle w:val="Tablefigureheading"/>
      </w:pPr>
      <w:r w:rsidRPr="00650CD4">
        <w:rPr>
          <w:sz w:val="24"/>
          <w:szCs w:val="24"/>
        </w:rPr>
        <w:t>Maximum connection timeframes</w:t>
      </w:r>
    </w:p>
    <w:tbl>
      <w:tblPr>
        <w:tblStyle w:val="DefaultTable11"/>
        <w:tblW w:w="5000" w:type="pct"/>
        <w:tblLook w:val="04A0" w:firstRow="1" w:lastRow="0" w:firstColumn="1" w:lastColumn="0" w:noHBand="0" w:noVBand="1"/>
        <w:tblDescription w:val="Maximum connection timeframes"/>
      </w:tblPr>
      <w:tblGrid>
        <w:gridCol w:w="2266"/>
        <w:gridCol w:w="2270"/>
        <w:gridCol w:w="2268"/>
        <w:gridCol w:w="2268"/>
      </w:tblGrid>
      <w:tr w:rsidR="00650CD4" w:rsidRPr="00654F9E" w14:paraId="127EF042" w14:textId="77777777" w:rsidTr="00650C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9" w:type="pct"/>
          </w:tcPr>
          <w:p w14:paraId="2A1E9313" w14:textId="64D45CD0" w:rsidR="00650CD4" w:rsidRPr="00650CD4" w:rsidRDefault="00650CD4" w:rsidP="00650CD4">
            <w:pPr>
              <w:pStyle w:val="Tablerowcolumnheading"/>
              <w:rPr>
                <w:b/>
              </w:rPr>
            </w:pPr>
            <w:r w:rsidRPr="00650CD4">
              <w:rPr>
                <w:b/>
              </w:rPr>
              <w:t>Size of community</w:t>
            </w:r>
          </w:p>
        </w:tc>
        <w:tc>
          <w:tcPr>
            <w:tcW w:w="1251" w:type="pct"/>
          </w:tcPr>
          <w:p w14:paraId="71FCF7B9" w14:textId="245B3BC1" w:rsidR="00650CD4" w:rsidRPr="00650CD4" w:rsidRDefault="00650CD4" w:rsidP="00650CD4">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650CD4">
              <w:rPr>
                <w:b/>
              </w:rPr>
              <w:t>In place connections</w:t>
            </w:r>
          </w:p>
        </w:tc>
        <w:tc>
          <w:tcPr>
            <w:tcW w:w="1250" w:type="pct"/>
          </w:tcPr>
          <w:p w14:paraId="4EF75A9E" w14:textId="77777777" w:rsidR="00650CD4" w:rsidRPr="00650CD4" w:rsidRDefault="00650CD4" w:rsidP="00650CD4">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650CD4">
              <w:rPr>
                <w:b/>
              </w:rPr>
              <w:t>New service connections</w:t>
            </w:r>
          </w:p>
          <w:p w14:paraId="10B85A6A" w14:textId="06B7604B" w:rsidR="00650CD4" w:rsidRPr="00650CD4" w:rsidRDefault="00650CD4" w:rsidP="00650CD4">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650CD4">
              <w:rPr>
                <w:b/>
              </w:rPr>
              <w:t>Close to infrastructure and spare capacity</w:t>
            </w:r>
          </w:p>
        </w:tc>
        <w:tc>
          <w:tcPr>
            <w:tcW w:w="1250" w:type="pct"/>
          </w:tcPr>
          <w:p w14:paraId="33F47484" w14:textId="77777777" w:rsidR="00650CD4" w:rsidRPr="00650CD4" w:rsidRDefault="00650CD4" w:rsidP="00650CD4">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650CD4">
              <w:rPr>
                <w:b/>
              </w:rPr>
              <w:t>New Service connections</w:t>
            </w:r>
          </w:p>
          <w:p w14:paraId="0B713EB2" w14:textId="36C6076E" w:rsidR="00650CD4" w:rsidRPr="00650CD4" w:rsidRDefault="00650CD4" w:rsidP="00650CD4">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650CD4">
              <w:rPr>
                <w:b/>
              </w:rPr>
              <w:t>Without infrastructure or spare capacity</w:t>
            </w:r>
          </w:p>
        </w:tc>
      </w:tr>
      <w:tr w:rsidR="00650CD4" w:rsidRPr="00654F9E" w14:paraId="6C3EBCDA"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77AEE55E" w14:textId="77777777" w:rsidR="00650CD4" w:rsidRPr="00420B37" w:rsidRDefault="00650CD4" w:rsidP="00650CD4">
            <w:pPr>
              <w:jc w:val="center"/>
              <w:rPr>
                <w:b w:val="0"/>
                <w:szCs w:val="24"/>
                <w:lang w:val="en-AU"/>
              </w:rPr>
            </w:pPr>
            <w:r w:rsidRPr="00420B37">
              <w:rPr>
                <w:szCs w:val="24"/>
                <w:lang w:val="en-AU"/>
              </w:rPr>
              <w:t>Urban</w:t>
            </w:r>
          </w:p>
          <w:p w14:paraId="2AD3D34B" w14:textId="0BA22EDA" w:rsidR="00650CD4" w:rsidRPr="00650CD4" w:rsidRDefault="00650CD4" w:rsidP="00650CD4">
            <w:r w:rsidRPr="00420B37">
              <w:rPr>
                <w:lang w:val="en-AU"/>
              </w:rPr>
              <w:t>(10,000+ people)</w:t>
            </w:r>
          </w:p>
        </w:tc>
        <w:tc>
          <w:tcPr>
            <w:tcW w:w="1251" w:type="pct"/>
            <w:vAlign w:val="center"/>
          </w:tcPr>
          <w:p w14:paraId="1B5DAA62" w14:textId="67EC23A8"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bCs/>
                <w:lang w:val="en-AU"/>
              </w:rPr>
              <w:t xml:space="preserve">Up to 2 </w:t>
            </w:r>
            <w:r w:rsidRPr="00420B37">
              <w:rPr>
                <w:lang w:val="en-AU"/>
              </w:rPr>
              <w:t xml:space="preserve">business </w:t>
            </w:r>
            <w:r w:rsidRPr="00420B37">
              <w:rPr>
                <w:bCs/>
                <w:lang w:val="en-AU"/>
              </w:rPr>
              <w:t>days</w:t>
            </w:r>
          </w:p>
        </w:tc>
        <w:tc>
          <w:tcPr>
            <w:tcW w:w="1250" w:type="pct"/>
            <w:vAlign w:val="center"/>
          </w:tcPr>
          <w:p w14:paraId="735E25AD" w14:textId="6920C24A"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5 business days</w:t>
            </w:r>
          </w:p>
        </w:tc>
        <w:tc>
          <w:tcPr>
            <w:tcW w:w="1250" w:type="pct"/>
            <w:vAlign w:val="center"/>
          </w:tcPr>
          <w:p w14:paraId="7DD840E6" w14:textId="28CA7E0E"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20 business days</w:t>
            </w:r>
          </w:p>
        </w:tc>
      </w:tr>
      <w:tr w:rsidR="00650CD4" w:rsidRPr="00654F9E" w14:paraId="0F5178D2" w14:textId="77777777" w:rsidTr="00650C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7B52AB82" w14:textId="77777777" w:rsidR="00650CD4" w:rsidRPr="00420B37" w:rsidRDefault="00650CD4" w:rsidP="00650CD4">
            <w:pPr>
              <w:jc w:val="center"/>
              <w:rPr>
                <w:b w:val="0"/>
                <w:szCs w:val="24"/>
                <w:lang w:val="en-AU"/>
              </w:rPr>
            </w:pPr>
            <w:r w:rsidRPr="00420B37">
              <w:rPr>
                <w:szCs w:val="24"/>
                <w:lang w:val="en-AU"/>
              </w:rPr>
              <w:t>Major rural</w:t>
            </w:r>
          </w:p>
          <w:p w14:paraId="3DDFD66E" w14:textId="2D8AA4EC" w:rsidR="00650CD4" w:rsidRPr="00650CD4" w:rsidRDefault="00650CD4" w:rsidP="00650CD4">
            <w:r w:rsidRPr="00420B37">
              <w:rPr>
                <w:szCs w:val="24"/>
                <w:lang w:val="en-AU"/>
              </w:rPr>
              <w:t>(2501 to 9999 people)</w:t>
            </w:r>
          </w:p>
        </w:tc>
        <w:tc>
          <w:tcPr>
            <w:tcW w:w="1251" w:type="pct"/>
            <w:vAlign w:val="center"/>
          </w:tcPr>
          <w:p w14:paraId="4F320EB4" w14:textId="3AE5AD9A"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2 business days</w:t>
            </w:r>
          </w:p>
        </w:tc>
        <w:tc>
          <w:tcPr>
            <w:tcW w:w="1250" w:type="pct"/>
            <w:vAlign w:val="center"/>
          </w:tcPr>
          <w:p w14:paraId="4E6AF9F0" w14:textId="1841CBCF"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10 business days</w:t>
            </w:r>
          </w:p>
        </w:tc>
        <w:tc>
          <w:tcPr>
            <w:tcW w:w="1250" w:type="pct"/>
            <w:vAlign w:val="center"/>
          </w:tcPr>
          <w:p w14:paraId="79035143" w14:textId="2F347607"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20 business days</w:t>
            </w:r>
          </w:p>
        </w:tc>
      </w:tr>
      <w:tr w:rsidR="00650CD4" w:rsidRPr="00654F9E" w14:paraId="39D62619"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0AA0BC5E" w14:textId="77777777" w:rsidR="00650CD4" w:rsidRPr="00420B37" w:rsidRDefault="00650CD4" w:rsidP="00650CD4">
            <w:pPr>
              <w:jc w:val="center"/>
              <w:rPr>
                <w:b w:val="0"/>
                <w:szCs w:val="24"/>
                <w:lang w:val="en-AU"/>
              </w:rPr>
            </w:pPr>
            <w:r w:rsidRPr="00420B37">
              <w:rPr>
                <w:szCs w:val="24"/>
                <w:lang w:val="en-AU"/>
              </w:rPr>
              <w:t>Minor rural</w:t>
            </w:r>
          </w:p>
          <w:p w14:paraId="4394BEF8" w14:textId="5367231C" w:rsidR="00650CD4" w:rsidRPr="00650CD4" w:rsidRDefault="00650CD4" w:rsidP="00650CD4">
            <w:r w:rsidRPr="00420B37">
              <w:rPr>
                <w:szCs w:val="24"/>
                <w:lang w:val="en-AU"/>
              </w:rPr>
              <w:t>(201 to 2500 people)</w:t>
            </w:r>
          </w:p>
        </w:tc>
        <w:tc>
          <w:tcPr>
            <w:tcW w:w="1251" w:type="pct"/>
            <w:vAlign w:val="center"/>
          </w:tcPr>
          <w:p w14:paraId="3C6F1027" w14:textId="36BAD585"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2 business days</w:t>
            </w:r>
          </w:p>
        </w:tc>
        <w:tc>
          <w:tcPr>
            <w:tcW w:w="1250" w:type="pct"/>
            <w:vAlign w:val="center"/>
          </w:tcPr>
          <w:p w14:paraId="0BCB7CC4" w14:textId="389E1BD2"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15 business days</w:t>
            </w:r>
          </w:p>
        </w:tc>
        <w:tc>
          <w:tcPr>
            <w:tcW w:w="1250" w:type="pct"/>
            <w:vAlign w:val="center"/>
          </w:tcPr>
          <w:p w14:paraId="187E2174" w14:textId="249E0C3A"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20 business days</w:t>
            </w:r>
          </w:p>
        </w:tc>
      </w:tr>
      <w:tr w:rsidR="00650CD4" w:rsidRPr="00654F9E" w14:paraId="6B772CF3" w14:textId="77777777" w:rsidTr="00650C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5E47C4BE" w14:textId="77777777" w:rsidR="00650CD4" w:rsidRPr="00420B37" w:rsidRDefault="00650CD4" w:rsidP="00650CD4">
            <w:pPr>
              <w:jc w:val="center"/>
              <w:rPr>
                <w:b w:val="0"/>
                <w:szCs w:val="24"/>
                <w:lang w:val="en-AU"/>
              </w:rPr>
            </w:pPr>
            <w:r w:rsidRPr="00420B37">
              <w:rPr>
                <w:szCs w:val="24"/>
                <w:lang w:val="en-AU"/>
              </w:rPr>
              <w:t>Remote</w:t>
            </w:r>
          </w:p>
          <w:p w14:paraId="67806772" w14:textId="0253854B" w:rsidR="00650CD4" w:rsidRPr="00650CD4" w:rsidRDefault="00650CD4" w:rsidP="00650CD4">
            <w:r w:rsidRPr="00420B37">
              <w:rPr>
                <w:szCs w:val="24"/>
                <w:lang w:val="en-AU"/>
              </w:rPr>
              <w:t>(up to 200 people)</w:t>
            </w:r>
          </w:p>
        </w:tc>
        <w:tc>
          <w:tcPr>
            <w:tcW w:w="1251" w:type="pct"/>
            <w:vAlign w:val="center"/>
          </w:tcPr>
          <w:p w14:paraId="440D5C80" w14:textId="592D40AC"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2 business days</w:t>
            </w:r>
          </w:p>
        </w:tc>
        <w:tc>
          <w:tcPr>
            <w:tcW w:w="1250" w:type="pct"/>
            <w:vAlign w:val="center"/>
          </w:tcPr>
          <w:p w14:paraId="4FA27D68" w14:textId="3816E9B1"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15 business days</w:t>
            </w:r>
          </w:p>
        </w:tc>
        <w:tc>
          <w:tcPr>
            <w:tcW w:w="1250" w:type="pct"/>
            <w:vAlign w:val="center"/>
          </w:tcPr>
          <w:p w14:paraId="27B1CFA1" w14:textId="621008A9"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20 business days</w:t>
            </w:r>
          </w:p>
        </w:tc>
      </w:tr>
    </w:tbl>
    <w:p w14:paraId="1865525C" w14:textId="4960A3B6" w:rsidR="00650CD4" w:rsidRPr="00650CD4" w:rsidRDefault="00650CD4" w:rsidP="00650CD4">
      <w:pPr>
        <w:pStyle w:val="Tablefigureheading"/>
      </w:pPr>
      <w:r w:rsidRPr="00650CD4">
        <w:rPr>
          <w:sz w:val="24"/>
          <w:szCs w:val="24"/>
        </w:rPr>
        <w:t>Maximum fault rectification timeframes</w:t>
      </w:r>
    </w:p>
    <w:tbl>
      <w:tblPr>
        <w:tblStyle w:val="DefaultTable11"/>
        <w:tblW w:w="3593" w:type="pct"/>
        <w:tblLook w:val="04A0" w:firstRow="1" w:lastRow="0" w:firstColumn="1" w:lastColumn="0" w:noHBand="0" w:noVBand="1"/>
        <w:tblDescription w:val="Maximum fault rectification timeframes"/>
      </w:tblPr>
      <w:tblGrid>
        <w:gridCol w:w="3261"/>
        <w:gridCol w:w="3258"/>
      </w:tblGrid>
      <w:tr w:rsidR="00650CD4" w:rsidRPr="00654F9E" w14:paraId="7D285645" w14:textId="77777777" w:rsidTr="00650C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1" w:type="pct"/>
          </w:tcPr>
          <w:p w14:paraId="02155ECE" w14:textId="77777777" w:rsidR="00650CD4" w:rsidRPr="00650CD4" w:rsidRDefault="00650CD4" w:rsidP="00650CD4">
            <w:pPr>
              <w:pStyle w:val="Tablerowcolumnheading"/>
              <w:rPr>
                <w:b/>
              </w:rPr>
            </w:pPr>
            <w:r w:rsidRPr="00650CD4">
              <w:rPr>
                <w:b/>
              </w:rPr>
              <w:t>Size of community</w:t>
            </w:r>
          </w:p>
        </w:tc>
        <w:tc>
          <w:tcPr>
            <w:tcW w:w="2499" w:type="pct"/>
          </w:tcPr>
          <w:p w14:paraId="08E2ADFA" w14:textId="0FA153A8" w:rsidR="00650CD4" w:rsidRPr="00650CD4" w:rsidRDefault="00650CD4" w:rsidP="00650CD4">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Repair timeframe</w:t>
            </w:r>
          </w:p>
        </w:tc>
      </w:tr>
      <w:tr w:rsidR="00650CD4" w:rsidRPr="00654F9E" w14:paraId="3C49C2F2"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2501" w:type="pct"/>
            <w:vAlign w:val="center"/>
          </w:tcPr>
          <w:p w14:paraId="21519679" w14:textId="1F423932" w:rsidR="00650CD4" w:rsidRPr="00650CD4" w:rsidRDefault="00650CD4" w:rsidP="00650CD4">
            <w:r w:rsidRPr="00420B37">
              <w:rPr>
                <w:szCs w:val="24"/>
                <w:lang w:val="en-AU"/>
              </w:rPr>
              <w:t>Urban (10,000+ people)</w:t>
            </w:r>
          </w:p>
        </w:tc>
        <w:tc>
          <w:tcPr>
            <w:tcW w:w="2499" w:type="pct"/>
            <w:vAlign w:val="center"/>
          </w:tcPr>
          <w:p w14:paraId="520652C2" w14:textId="4A98FDA4"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bCs/>
                <w:lang w:val="en-AU"/>
              </w:rPr>
              <w:t>End of next business day</w:t>
            </w:r>
          </w:p>
        </w:tc>
      </w:tr>
      <w:tr w:rsidR="00650CD4" w:rsidRPr="00654F9E" w14:paraId="6908ACE8" w14:textId="77777777" w:rsidTr="00650C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1" w:type="pct"/>
            <w:vAlign w:val="center"/>
          </w:tcPr>
          <w:p w14:paraId="4B593C7B" w14:textId="6A476B8B" w:rsidR="00650CD4" w:rsidRPr="00650CD4" w:rsidRDefault="00650CD4" w:rsidP="00650CD4">
            <w:r w:rsidRPr="00420B37">
              <w:rPr>
                <w:lang w:val="en-AU"/>
              </w:rPr>
              <w:t>Rural (201 to 9999 people)</w:t>
            </w:r>
          </w:p>
        </w:tc>
        <w:tc>
          <w:tcPr>
            <w:tcW w:w="2499" w:type="pct"/>
            <w:vAlign w:val="center"/>
          </w:tcPr>
          <w:p w14:paraId="397206BD" w14:textId="50F5B413"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Up to 2 business days</w:t>
            </w:r>
          </w:p>
        </w:tc>
      </w:tr>
      <w:tr w:rsidR="00650CD4" w:rsidRPr="00654F9E" w14:paraId="4D48F2A1"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2501" w:type="pct"/>
            <w:vAlign w:val="center"/>
          </w:tcPr>
          <w:p w14:paraId="429F4646" w14:textId="7D0A0B0D" w:rsidR="00650CD4" w:rsidRPr="00650CD4" w:rsidRDefault="00650CD4" w:rsidP="00650CD4">
            <w:r w:rsidRPr="00420B37">
              <w:rPr>
                <w:szCs w:val="24"/>
                <w:lang w:val="en-AU"/>
              </w:rPr>
              <w:t>Remote (up to 200 people)</w:t>
            </w:r>
          </w:p>
        </w:tc>
        <w:tc>
          <w:tcPr>
            <w:tcW w:w="2499" w:type="pct"/>
            <w:vAlign w:val="center"/>
          </w:tcPr>
          <w:p w14:paraId="7357CCE9" w14:textId="0556DCE0"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Up to 3 business days</w:t>
            </w:r>
          </w:p>
        </w:tc>
      </w:tr>
    </w:tbl>
    <w:p w14:paraId="17DB0E53" w14:textId="56D7F7AA" w:rsidR="00650CD4" w:rsidRPr="00650CD4" w:rsidRDefault="00650CD4" w:rsidP="00650CD4">
      <w:pPr>
        <w:pStyle w:val="Tablefigureheading"/>
      </w:pPr>
      <w:r>
        <w:rPr>
          <w:sz w:val="24"/>
          <w:szCs w:val="24"/>
        </w:rPr>
        <w:t xml:space="preserve">Appointment keeping </w:t>
      </w:r>
      <w:r w:rsidRPr="00650CD4">
        <w:rPr>
          <w:sz w:val="24"/>
          <w:szCs w:val="24"/>
        </w:rPr>
        <w:t>timeframes</w:t>
      </w:r>
    </w:p>
    <w:tbl>
      <w:tblPr>
        <w:tblStyle w:val="DefaultTable11"/>
        <w:tblW w:w="4844" w:type="pct"/>
        <w:tblLook w:val="04A0" w:firstRow="1" w:lastRow="0" w:firstColumn="1" w:lastColumn="0" w:noHBand="0" w:noVBand="1"/>
        <w:tblDescription w:val="Appointment keeping timeframes"/>
      </w:tblPr>
      <w:tblGrid>
        <w:gridCol w:w="4254"/>
        <w:gridCol w:w="4535"/>
      </w:tblGrid>
      <w:tr w:rsidR="00650CD4" w:rsidRPr="00654F9E" w14:paraId="1B91E813" w14:textId="77777777" w:rsidTr="00650C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49C1482A" w14:textId="77777777" w:rsidR="00650CD4" w:rsidRPr="00650CD4" w:rsidRDefault="00650CD4" w:rsidP="00650CD4">
            <w:pPr>
              <w:pStyle w:val="Tablerowcolumnheading"/>
              <w:rPr>
                <w:b/>
              </w:rPr>
            </w:pPr>
            <w:r w:rsidRPr="00650CD4">
              <w:rPr>
                <w:b/>
              </w:rPr>
              <w:t>Size of community</w:t>
            </w:r>
          </w:p>
        </w:tc>
        <w:tc>
          <w:tcPr>
            <w:tcW w:w="2580" w:type="pct"/>
          </w:tcPr>
          <w:p w14:paraId="16FA4E13" w14:textId="77777777" w:rsidR="00650CD4" w:rsidRPr="00650CD4" w:rsidRDefault="00650CD4" w:rsidP="00650CD4">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Repair timeframe</w:t>
            </w:r>
          </w:p>
        </w:tc>
      </w:tr>
      <w:tr w:rsidR="00650CD4" w:rsidRPr="00654F9E" w14:paraId="757D3EE7"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2420" w:type="pct"/>
            <w:vAlign w:val="center"/>
          </w:tcPr>
          <w:p w14:paraId="4780EB15" w14:textId="432D2D20" w:rsidR="00650CD4" w:rsidRPr="00650CD4" w:rsidRDefault="00650CD4" w:rsidP="00650CD4">
            <w:r w:rsidRPr="00420B37">
              <w:rPr>
                <w:bCs/>
                <w:lang w:val="en-AU"/>
              </w:rPr>
              <w:t>Specific time</w:t>
            </w:r>
          </w:p>
        </w:tc>
        <w:tc>
          <w:tcPr>
            <w:tcW w:w="2580" w:type="pct"/>
            <w:vAlign w:val="center"/>
          </w:tcPr>
          <w:p w14:paraId="37C757BA" w14:textId="372902D0"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bCs/>
                <w:lang w:val="en-AU"/>
              </w:rPr>
              <w:t>Up to 15 minutes after the appointment time</w:t>
            </w:r>
          </w:p>
        </w:tc>
      </w:tr>
      <w:tr w:rsidR="00650CD4" w:rsidRPr="00654F9E" w14:paraId="5791DF54" w14:textId="77777777" w:rsidTr="00650C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vAlign w:val="center"/>
          </w:tcPr>
          <w:p w14:paraId="60E316EE" w14:textId="3B5DA567" w:rsidR="00650CD4" w:rsidRPr="00650CD4" w:rsidRDefault="00650CD4" w:rsidP="00650CD4">
            <w:r w:rsidRPr="00420B37">
              <w:rPr>
                <w:lang w:val="en-AU"/>
              </w:rPr>
              <w:t>Up to 4 hours</w:t>
            </w:r>
          </w:p>
        </w:tc>
        <w:tc>
          <w:tcPr>
            <w:tcW w:w="2580" w:type="pct"/>
            <w:vAlign w:val="center"/>
          </w:tcPr>
          <w:p w14:paraId="02F3A1C6" w14:textId="129F30F8" w:rsidR="00650CD4" w:rsidRPr="00650CD4" w:rsidRDefault="00650CD4" w:rsidP="00650CD4">
            <w:pPr>
              <w:cnfStyle w:val="000000010000" w:firstRow="0" w:lastRow="0" w:firstColumn="0" w:lastColumn="0" w:oddVBand="0" w:evenVBand="0" w:oddHBand="0" w:evenHBand="1" w:firstRowFirstColumn="0" w:firstRowLastColumn="0" w:lastRowFirstColumn="0" w:lastRowLastColumn="0"/>
            </w:pPr>
            <w:r w:rsidRPr="00420B37">
              <w:rPr>
                <w:lang w:val="en-AU"/>
              </w:rPr>
              <w:t>Within the appointment window (+15 minutes)</w:t>
            </w:r>
          </w:p>
        </w:tc>
      </w:tr>
      <w:tr w:rsidR="00650CD4" w:rsidRPr="00654F9E" w14:paraId="0E0279D7" w14:textId="77777777" w:rsidTr="00650CD4">
        <w:trPr>
          <w:cantSplit/>
        </w:trPr>
        <w:tc>
          <w:tcPr>
            <w:cnfStyle w:val="001000000000" w:firstRow="0" w:lastRow="0" w:firstColumn="1" w:lastColumn="0" w:oddVBand="0" w:evenVBand="0" w:oddHBand="0" w:evenHBand="0" w:firstRowFirstColumn="0" w:firstRowLastColumn="0" w:lastRowFirstColumn="0" w:lastRowLastColumn="0"/>
            <w:tcW w:w="2420" w:type="pct"/>
            <w:vAlign w:val="center"/>
          </w:tcPr>
          <w:p w14:paraId="12316E6A" w14:textId="002657B0" w:rsidR="00650CD4" w:rsidRPr="00650CD4" w:rsidRDefault="00650CD4" w:rsidP="00650CD4">
            <w:r w:rsidRPr="00420B37">
              <w:rPr>
                <w:lang w:val="en-AU"/>
              </w:rPr>
              <w:t>Between 4 and 5 hours</w:t>
            </w:r>
          </w:p>
        </w:tc>
        <w:tc>
          <w:tcPr>
            <w:tcW w:w="2580" w:type="pct"/>
            <w:vAlign w:val="center"/>
          </w:tcPr>
          <w:p w14:paraId="0D659B46" w14:textId="59FEBA40" w:rsidR="00650CD4" w:rsidRPr="00650CD4" w:rsidRDefault="00650CD4" w:rsidP="00650CD4">
            <w:pPr>
              <w:cnfStyle w:val="000000000000" w:firstRow="0" w:lastRow="0" w:firstColumn="0" w:lastColumn="0" w:oddVBand="0" w:evenVBand="0" w:oddHBand="0" w:evenHBand="0" w:firstRowFirstColumn="0" w:firstRowLastColumn="0" w:lastRowFirstColumn="0" w:lastRowLastColumn="0"/>
            </w:pPr>
            <w:r w:rsidRPr="00420B37">
              <w:rPr>
                <w:lang w:val="en-AU"/>
              </w:rPr>
              <w:t>Within the appointment window</w:t>
            </w:r>
          </w:p>
        </w:tc>
      </w:tr>
      <w:tr w:rsidR="00650CD4" w:rsidRPr="00654F9E" w14:paraId="549EB749" w14:textId="77777777" w:rsidTr="00650C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vAlign w:val="center"/>
          </w:tcPr>
          <w:p w14:paraId="67EA4FD9" w14:textId="77777777" w:rsidR="00650CD4" w:rsidRPr="00420B37" w:rsidRDefault="00650CD4" w:rsidP="00650CD4">
            <w:pPr>
              <w:spacing w:before="0" w:after="0"/>
              <w:jc w:val="center"/>
              <w:rPr>
                <w:b w:val="0"/>
                <w:lang w:val="en-AU"/>
              </w:rPr>
            </w:pPr>
            <w:r w:rsidRPr="00420B37">
              <w:rPr>
                <w:lang w:val="en-AU"/>
              </w:rPr>
              <w:t>Between 4 and 5 hours</w:t>
            </w:r>
          </w:p>
          <w:p w14:paraId="5508DAE0" w14:textId="230619FD" w:rsidR="00650CD4" w:rsidRPr="00420B37" w:rsidRDefault="00650CD4" w:rsidP="00650CD4">
            <w:pPr>
              <w:rPr>
                <w:lang w:val="en-AU"/>
              </w:rPr>
            </w:pPr>
            <w:r w:rsidRPr="00420B37">
              <w:rPr>
                <w:i/>
                <w:lang w:val="en-AU"/>
              </w:rPr>
              <w:t>Where a provider has to travel a long distance</w:t>
            </w:r>
          </w:p>
        </w:tc>
        <w:tc>
          <w:tcPr>
            <w:tcW w:w="2580" w:type="pct"/>
            <w:vAlign w:val="center"/>
          </w:tcPr>
          <w:p w14:paraId="4FC1B08B" w14:textId="3C1FD6CD" w:rsidR="00650CD4" w:rsidRPr="00420B37" w:rsidRDefault="00650CD4" w:rsidP="00650CD4">
            <w:pP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Within the appointment window (+45 minutes)</w:t>
            </w:r>
          </w:p>
        </w:tc>
      </w:tr>
    </w:tbl>
    <w:p w14:paraId="0EE8126F" w14:textId="77777777" w:rsidR="001038D1" w:rsidRPr="00420B37" w:rsidRDefault="0022085A" w:rsidP="00671DC5">
      <w:pPr>
        <w:spacing w:before="240" w:after="80"/>
        <w:rPr>
          <w:lang w:val="en-AU"/>
        </w:rPr>
      </w:pPr>
      <w:r w:rsidRPr="00420B37">
        <w:rPr>
          <w:b/>
          <w:sz w:val="28"/>
          <w:szCs w:val="24"/>
          <w:lang w:val="en-AU"/>
        </w:rPr>
        <w:t>Compensation</w:t>
      </w:r>
    </w:p>
    <w:p w14:paraId="7817E737" w14:textId="77777777" w:rsidR="00F44B1C" w:rsidRPr="00420B37" w:rsidRDefault="00F44B1C" w:rsidP="00F44B1C">
      <w:pPr>
        <w:rPr>
          <w:b/>
          <w:sz w:val="28"/>
          <w:szCs w:val="24"/>
          <w:u w:val="single"/>
          <w:lang w:val="en-AU"/>
        </w:rPr>
      </w:pPr>
      <w:r w:rsidRPr="00420B37">
        <w:rPr>
          <w:lang w:val="en-AU"/>
        </w:rPr>
        <w:t xml:space="preserve">Unless an interim or alternative service has been offered, where a CSP fails to meet a maximum timeframe within the CSG </w:t>
      </w:r>
      <w:r w:rsidR="006433DB" w:rsidRPr="00420B37">
        <w:rPr>
          <w:lang w:val="en-AU"/>
        </w:rPr>
        <w:t>s</w:t>
      </w:r>
      <w:r w:rsidRPr="00420B37">
        <w:rPr>
          <w:lang w:val="en-AU"/>
        </w:rPr>
        <w:t xml:space="preserve">tandard, it must pay </w:t>
      </w:r>
      <w:r w:rsidR="006433DB" w:rsidRPr="00420B37">
        <w:rPr>
          <w:lang w:val="en-AU"/>
        </w:rPr>
        <w:t>damages (c</w:t>
      </w:r>
      <w:r w:rsidRPr="00420B37">
        <w:rPr>
          <w:lang w:val="en-AU"/>
        </w:rPr>
        <w:t>ompensation</w:t>
      </w:r>
      <w:r w:rsidR="006433DB" w:rsidRPr="00420B37">
        <w:rPr>
          <w:lang w:val="en-AU"/>
        </w:rPr>
        <w:t>)</w:t>
      </w:r>
      <w:r w:rsidRPr="00420B37">
        <w:rPr>
          <w:lang w:val="en-AU"/>
        </w:rPr>
        <w:t xml:space="preserve"> to the relevant customer. </w:t>
      </w:r>
      <w:r w:rsidR="0022085A" w:rsidRPr="00420B37">
        <w:rPr>
          <w:lang w:val="en-AU"/>
        </w:rPr>
        <w:t xml:space="preserve">The amounts payable are set out </w:t>
      </w:r>
      <w:r w:rsidR="005814F2" w:rsidRPr="00420B37">
        <w:rPr>
          <w:lang w:val="en-AU"/>
        </w:rPr>
        <w:t xml:space="preserve">in </w:t>
      </w:r>
      <w:r w:rsidR="0022085A" w:rsidRPr="00420B37">
        <w:rPr>
          <w:lang w:val="en-AU"/>
        </w:rPr>
        <w:t xml:space="preserve">the tables below. </w:t>
      </w:r>
    </w:p>
    <w:p w14:paraId="480E2057" w14:textId="77777777" w:rsidR="00A96F0D" w:rsidRPr="00420B37" w:rsidRDefault="00F44B1C" w:rsidP="008A457F">
      <w:pPr>
        <w:rPr>
          <w:lang w:val="en-AU"/>
        </w:rPr>
      </w:pPr>
      <w:r w:rsidRPr="00420B37">
        <w:rPr>
          <w:lang w:val="en-AU"/>
        </w:rPr>
        <w:t xml:space="preserve">Compensation must be paid directly and automatically to end-users, with no requirement for an end-user to report the missed performance standard or request compensation. In practice, compensation may be in the form of credit on a customer’s bill, rather than a standalone payment. </w:t>
      </w:r>
    </w:p>
    <w:p w14:paraId="60FB9114" w14:textId="77777777" w:rsidR="008255E2" w:rsidRPr="00420B37" w:rsidRDefault="008255E2" w:rsidP="00C4146E">
      <w:pPr>
        <w:pStyle w:val="Tablefigureheading"/>
      </w:pPr>
      <w:r w:rsidRPr="00420B37">
        <w:lastRenderedPageBreak/>
        <w:t>Residential and charity customers</w:t>
      </w:r>
    </w:p>
    <w:tbl>
      <w:tblPr>
        <w:tblStyle w:val="DefaultTable1"/>
        <w:tblW w:w="0" w:type="auto"/>
        <w:jc w:val="center"/>
        <w:tblLook w:val="04A0" w:firstRow="1" w:lastRow="0" w:firstColumn="1" w:lastColumn="0" w:noHBand="0" w:noVBand="1"/>
        <w:tblDescription w:val="Residential and charity customers"/>
      </w:tblPr>
      <w:tblGrid>
        <w:gridCol w:w="3553"/>
        <w:gridCol w:w="2730"/>
        <w:gridCol w:w="2789"/>
      </w:tblGrid>
      <w:tr w:rsidR="0076040C" w:rsidRPr="00420B37" w14:paraId="0D2699EE" w14:textId="77777777" w:rsidTr="001C1FAF">
        <w:trPr>
          <w:cnfStyle w:val="100000000000" w:firstRow="1" w:lastRow="0" w:firstColumn="0" w:lastColumn="0" w:oddVBand="0" w:evenVBand="0" w:oddHBand="0" w:evenHBand="0" w:firstRowFirstColumn="0" w:firstRowLastColumn="0" w:lastRowFirstColumn="0" w:lastRowLastColumn="0"/>
          <w:cantSplit/>
          <w:trHeight w:val="80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081E3E"/>
            <w:vAlign w:val="center"/>
          </w:tcPr>
          <w:p w14:paraId="2DF9A68D" w14:textId="77777777" w:rsidR="008255E2" w:rsidRPr="00420B37" w:rsidRDefault="008255E2" w:rsidP="001C1FAF">
            <w:pPr>
              <w:jc w:val="center"/>
              <w:rPr>
                <w:lang w:val="en-AU"/>
              </w:rPr>
            </w:pPr>
            <w:r w:rsidRPr="00420B37">
              <w:rPr>
                <w:lang w:val="en-AU"/>
              </w:rPr>
              <w:t>Services delayed</w:t>
            </w:r>
          </w:p>
        </w:tc>
        <w:tc>
          <w:tcPr>
            <w:tcW w:w="0" w:type="auto"/>
            <w:shd w:val="clear" w:color="auto" w:fill="081E3E"/>
            <w:vAlign w:val="center"/>
          </w:tcPr>
          <w:p w14:paraId="5D77337B" w14:textId="77777777" w:rsidR="008255E2" w:rsidRPr="00420B37" w:rsidRDefault="008255E2" w:rsidP="001C1FAF">
            <w:pPr>
              <w:jc w:val="center"/>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 xml:space="preserve">Compensation for first 5 </w:t>
            </w:r>
            <w:r w:rsidR="0076040C" w:rsidRPr="00420B37">
              <w:rPr>
                <w:lang w:val="en-AU"/>
              </w:rPr>
              <w:t xml:space="preserve">business </w:t>
            </w:r>
            <w:r w:rsidRPr="00420B37">
              <w:rPr>
                <w:lang w:val="en-AU"/>
              </w:rPr>
              <w:t xml:space="preserve">days (per </w:t>
            </w:r>
            <w:r w:rsidR="0076040C" w:rsidRPr="00420B37">
              <w:rPr>
                <w:lang w:val="en-AU"/>
              </w:rPr>
              <w:t xml:space="preserve">business </w:t>
            </w:r>
            <w:r w:rsidRPr="00420B37">
              <w:rPr>
                <w:lang w:val="en-AU"/>
              </w:rPr>
              <w:t>day)</w:t>
            </w:r>
          </w:p>
        </w:tc>
        <w:tc>
          <w:tcPr>
            <w:tcW w:w="0" w:type="auto"/>
            <w:shd w:val="clear" w:color="auto" w:fill="081E3E"/>
            <w:vAlign w:val="center"/>
          </w:tcPr>
          <w:p w14:paraId="40FEE1BB" w14:textId="77777777" w:rsidR="008255E2" w:rsidRPr="00420B37" w:rsidRDefault="008255E2" w:rsidP="001C1FAF">
            <w:pPr>
              <w:jc w:val="center"/>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 xml:space="preserve">Compensation after first 5 </w:t>
            </w:r>
            <w:r w:rsidR="0076040C" w:rsidRPr="00420B37">
              <w:rPr>
                <w:lang w:val="en-AU"/>
              </w:rPr>
              <w:t>business</w:t>
            </w:r>
            <w:r w:rsidRPr="00420B37">
              <w:rPr>
                <w:lang w:val="en-AU"/>
              </w:rPr>
              <w:t xml:space="preserve"> days (per </w:t>
            </w:r>
            <w:r w:rsidR="0076040C" w:rsidRPr="00420B37">
              <w:rPr>
                <w:lang w:val="en-AU"/>
              </w:rPr>
              <w:t>business</w:t>
            </w:r>
            <w:r w:rsidRPr="00420B37">
              <w:rPr>
                <w:lang w:val="en-AU"/>
              </w:rPr>
              <w:t xml:space="preserve"> day)</w:t>
            </w:r>
          </w:p>
        </w:tc>
      </w:tr>
      <w:tr w:rsidR="0076040C" w:rsidRPr="00420B37" w14:paraId="75CDFE52" w14:textId="77777777" w:rsidTr="008255E2">
        <w:trPr>
          <w:cantSplit/>
          <w:trHeight w:val="36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vAlign w:val="center"/>
          </w:tcPr>
          <w:p w14:paraId="1CEBEE85" w14:textId="77777777" w:rsidR="008255E2" w:rsidRPr="00420B37" w:rsidRDefault="008255E2" w:rsidP="008255E2">
            <w:pPr>
              <w:jc w:val="center"/>
              <w:rPr>
                <w:lang w:val="en-AU"/>
              </w:rPr>
            </w:pPr>
            <w:r w:rsidRPr="00420B37">
              <w:rPr>
                <w:szCs w:val="24"/>
                <w:lang w:val="en-AU"/>
              </w:rPr>
              <w:t>Connection or repair of a standard telephone service</w:t>
            </w:r>
          </w:p>
        </w:tc>
        <w:tc>
          <w:tcPr>
            <w:tcW w:w="0" w:type="auto"/>
            <w:tcBorders>
              <w:top w:val="single" w:sz="4" w:space="0" w:color="4BB3B5"/>
              <w:bottom w:val="single" w:sz="4" w:space="0" w:color="4BB3B5"/>
            </w:tcBorders>
            <w:vAlign w:val="center"/>
          </w:tcPr>
          <w:p w14:paraId="222A1A7E"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bCs/>
                <w:lang w:val="en-AU"/>
              </w:rPr>
              <w:t>$14.52</w:t>
            </w:r>
          </w:p>
        </w:tc>
        <w:tc>
          <w:tcPr>
            <w:tcW w:w="0" w:type="auto"/>
            <w:tcBorders>
              <w:top w:val="single" w:sz="4" w:space="0" w:color="4BB3B5"/>
              <w:bottom w:val="single" w:sz="4" w:space="0" w:color="4BB3B5"/>
            </w:tcBorders>
            <w:vAlign w:val="center"/>
          </w:tcPr>
          <w:p w14:paraId="444713C3"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bCs/>
                <w:lang w:val="en-AU"/>
              </w:rPr>
            </w:pPr>
            <w:r w:rsidRPr="00420B37">
              <w:rPr>
                <w:bCs/>
                <w:lang w:val="en-AU"/>
              </w:rPr>
              <w:t>$48.40</w:t>
            </w:r>
          </w:p>
        </w:tc>
      </w:tr>
      <w:tr w:rsidR="0076040C" w:rsidRPr="00420B37" w14:paraId="24A93081" w14:textId="77777777" w:rsidTr="008255E2">
        <w:trPr>
          <w:cnfStyle w:val="000000010000" w:firstRow="0" w:lastRow="0" w:firstColumn="0" w:lastColumn="0" w:oddVBand="0" w:evenVBand="0" w:oddHBand="0" w:evenHBand="1" w:firstRowFirstColumn="0" w:firstRowLastColumn="0" w:lastRowFirstColumn="0" w:lastRowLastColumn="0"/>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shd w:val="clear" w:color="auto" w:fill="FFFFFF" w:themeFill="background1"/>
            <w:vAlign w:val="center"/>
          </w:tcPr>
          <w:p w14:paraId="7AA291DC" w14:textId="77777777" w:rsidR="008255E2" w:rsidRPr="00420B37" w:rsidRDefault="008255E2" w:rsidP="008255E2">
            <w:pPr>
              <w:jc w:val="center"/>
              <w:rPr>
                <w:lang w:val="en-AU"/>
              </w:rPr>
            </w:pPr>
            <w:r w:rsidRPr="00420B37">
              <w:rPr>
                <w:lang w:val="en-AU"/>
              </w:rPr>
              <w:t xml:space="preserve">Connection or repair of 1 enhanced call handling feature to an existing service </w:t>
            </w:r>
          </w:p>
        </w:tc>
        <w:tc>
          <w:tcPr>
            <w:tcW w:w="0" w:type="auto"/>
            <w:tcBorders>
              <w:top w:val="single" w:sz="4" w:space="0" w:color="4BB3B5"/>
              <w:bottom w:val="single" w:sz="4" w:space="0" w:color="4BB3B5"/>
            </w:tcBorders>
            <w:shd w:val="clear" w:color="auto" w:fill="FFFFFF" w:themeFill="background1"/>
            <w:vAlign w:val="center"/>
          </w:tcPr>
          <w:p w14:paraId="49C2B1B6" w14:textId="77777777" w:rsidR="008255E2" w:rsidRPr="00420B37" w:rsidRDefault="008255E2"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$7.26</w:t>
            </w:r>
          </w:p>
        </w:tc>
        <w:tc>
          <w:tcPr>
            <w:tcW w:w="0" w:type="auto"/>
            <w:tcBorders>
              <w:top w:val="single" w:sz="4" w:space="0" w:color="4BB3B5"/>
              <w:bottom w:val="single" w:sz="4" w:space="0" w:color="4BB3B5"/>
            </w:tcBorders>
            <w:shd w:val="clear" w:color="auto" w:fill="FFFFFF" w:themeFill="background1"/>
            <w:vAlign w:val="center"/>
          </w:tcPr>
          <w:p w14:paraId="4D2878A5" w14:textId="77777777" w:rsidR="008255E2" w:rsidRPr="00420B37" w:rsidRDefault="008255E2"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$24.20</w:t>
            </w:r>
          </w:p>
        </w:tc>
      </w:tr>
      <w:tr w:rsidR="0076040C" w:rsidRPr="00420B37" w14:paraId="5DA38539" w14:textId="77777777" w:rsidTr="008255E2">
        <w:trPr>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vAlign w:val="center"/>
          </w:tcPr>
          <w:p w14:paraId="09B6812F" w14:textId="77777777" w:rsidR="008255E2" w:rsidRPr="00420B37" w:rsidRDefault="008255E2" w:rsidP="008255E2">
            <w:pPr>
              <w:jc w:val="center"/>
              <w:rPr>
                <w:b w:val="0"/>
                <w:lang w:val="en-AU"/>
              </w:rPr>
            </w:pPr>
            <w:r w:rsidRPr="00420B37">
              <w:rPr>
                <w:lang w:val="en-AU"/>
              </w:rPr>
              <w:t>Connection or repair of 2 or more enhanced call handling feature to an existing service</w:t>
            </w:r>
          </w:p>
        </w:tc>
        <w:tc>
          <w:tcPr>
            <w:tcW w:w="0" w:type="auto"/>
            <w:tcBorders>
              <w:top w:val="single" w:sz="4" w:space="0" w:color="4BB3B5"/>
              <w:bottom w:val="single" w:sz="4" w:space="0" w:color="4BB3B5"/>
            </w:tcBorders>
            <w:vAlign w:val="center"/>
          </w:tcPr>
          <w:p w14:paraId="3986A404"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lang w:val="en-AU"/>
              </w:rPr>
              <w:t>$14.52</w:t>
            </w:r>
          </w:p>
        </w:tc>
        <w:tc>
          <w:tcPr>
            <w:tcW w:w="0" w:type="auto"/>
            <w:tcBorders>
              <w:top w:val="single" w:sz="4" w:space="0" w:color="4BB3B5"/>
              <w:bottom w:val="single" w:sz="4" w:space="0" w:color="4BB3B5"/>
            </w:tcBorders>
            <w:vAlign w:val="center"/>
          </w:tcPr>
          <w:p w14:paraId="7D4F1347"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lang w:val="en-AU"/>
              </w:rPr>
              <w:t>$48.40</w:t>
            </w:r>
          </w:p>
        </w:tc>
      </w:tr>
      <w:tr w:rsidR="00650CD4" w:rsidRPr="00420B37" w14:paraId="51BBDEC0" w14:textId="77777777" w:rsidTr="00650CD4">
        <w:trPr>
          <w:cnfStyle w:val="000000010000" w:firstRow="0" w:lastRow="0" w:firstColumn="0" w:lastColumn="0" w:oddVBand="0" w:evenVBand="0" w:oddHBand="0" w:evenHBand="1" w:firstRowFirstColumn="0" w:firstRowLastColumn="0" w:lastRowFirstColumn="0" w:lastRowLastColumn="0"/>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shd w:val="clear" w:color="auto" w:fill="FFFFFF" w:themeFill="background1"/>
            <w:vAlign w:val="center"/>
          </w:tcPr>
          <w:p w14:paraId="653AD46A" w14:textId="77777777" w:rsidR="00650CD4" w:rsidRPr="00420B37" w:rsidRDefault="00650CD4" w:rsidP="008255E2">
            <w:pPr>
              <w:jc w:val="center"/>
              <w:rPr>
                <w:lang w:val="en-AU"/>
              </w:rPr>
            </w:pPr>
            <w:r w:rsidRPr="00420B37">
              <w:rPr>
                <w:lang w:val="en-AU"/>
              </w:rPr>
              <w:t>Not keeping an appointment</w:t>
            </w:r>
          </w:p>
        </w:tc>
        <w:tc>
          <w:tcPr>
            <w:tcW w:w="0" w:type="auto"/>
            <w:tcBorders>
              <w:top w:val="single" w:sz="4" w:space="0" w:color="4BB3B5"/>
              <w:bottom w:val="single" w:sz="4" w:space="0" w:color="4BB3B5"/>
            </w:tcBorders>
            <w:shd w:val="clear" w:color="auto" w:fill="FFFFFF" w:themeFill="background1"/>
            <w:vAlign w:val="center"/>
          </w:tcPr>
          <w:p w14:paraId="5822C83F" w14:textId="77777777" w:rsidR="00650CD4" w:rsidRPr="00420B37" w:rsidRDefault="00650CD4"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$14.52 (for each missed appointment)</w:t>
            </w:r>
          </w:p>
        </w:tc>
        <w:tc>
          <w:tcPr>
            <w:tcW w:w="0" w:type="auto"/>
            <w:tcBorders>
              <w:top w:val="single" w:sz="4" w:space="0" w:color="4BB3B5"/>
              <w:bottom w:val="single" w:sz="4" w:space="0" w:color="4BB3B5"/>
            </w:tcBorders>
            <w:shd w:val="clear" w:color="auto" w:fill="FFFFFF" w:themeFill="background1"/>
            <w:vAlign w:val="center"/>
          </w:tcPr>
          <w:p w14:paraId="1CF3D840" w14:textId="33DA48AC" w:rsidR="00650CD4" w:rsidRPr="00420B37" w:rsidRDefault="00650CD4" w:rsidP="008255E2">
            <w:pPr>
              <w:jc w:val="center"/>
              <w:cnfStyle w:val="000000010000" w:firstRow="0" w:lastRow="0" w:firstColumn="0" w:lastColumn="0" w:oddVBand="0" w:evenVBand="0" w:oddHBand="0" w:evenHBand="1" w:firstRowFirstColumn="0" w:firstRowLastColumn="0" w:lastRowFirstColumn="0" w:lastRowLastColumn="0"/>
              <w:rPr>
                <w:lang w:val="en-AU"/>
              </w:rPr>
            </w:pPr>
          </w:p>
        </w:tc>
      </w:tr>
    </w:tbl>
    <w:p w14:paraId="2F5D3AE0" w14:textId="77777777" w:rsidR="008255E2" w:rsidRPr="00420B37" w:rsidRDefault="008255E2" w:rsidP="00C4146E">
      <w:pPr>
        <w:pStyle w:val="Tablefigureheading"/>
      </w:pPr>
      <w:r w:rsidRPr="00420B37">
        <w:t>Business customers</w:t>
      </w:r>
    </w:p>
    <w:tbl>
      <w:tblPr>
        <w:tblStyle w:val="DefaultTable1"/>
        <w:tblW w:w="0" w:type="auto"/>
        <w:jc w:val="center"/>
        <w:tblLook w:val="04A0" w:firstRow="1" w:lastRow="0" w:firstColumn="1" w:lastColumn="0" w:noHBand="0" w:noVBand="1"/>
        <w:tblDescription w:val="Business customers"/>
      </w:tblPr>
      <w:tblGrid>
        <w:gridCol w:w="3553"/>
        <w:gridCol w:w="2730"/>
        <w:gridCol w:w="2789"/>
      </w:tblGrid>
      <w:tr w:rsidR="0076040C" w:rsidRPr="00420B37" w14:paraId="45019235" w14:textId="77777777" w:rsidTr="001C1FAF">
        <w:trPr>
          <w:cnfStyle w:val="100000000000" w:firstRow="1" w:lastRow="0" w:firstColumn="0" w:lastColumn="0" w:oddVBand="0" w:evenVBand="0" w:oddHBand="0" w:evenHBand="0" w:firstRowFirstColumn="0" w:firstRowLastColumn="0" w:lastRowFirstColumn="0" w:lastRowLastColumn="0"/>
          <w:cantSplit/>
          <w:trHeight w:val="80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081E3E"/>
            <w:vAlign w:val="center"/>
          </w:tcPr>
          <w:p w14:paraId="26A87606" w14:textId="77777777" w:rsidR="008255E2" w:rsidRPr="00420B37" w:rsidRDefault="008255E2" w:rsidP="001C1FAF">
            <w:pPr>
              <w:jc w:val="center"/>
              <w:rPr>
                <w:lang w:val="en-AU"/>
              </w:rPr>
            </w:pPr>
            <w:r w:rsidRPr="00420B37">
              <w:rPr>
                <w:lang w:val="en-AU"/>
              </w:rPr>
              <w:t>Services delayed</w:t>
            </w:r>
          </w:p>
        </w:tc>
        <w:tc>
          <w:tcPr>
            <w:tcW w:w="0" w:type="auto"/>
            <w:shd w:val="clear" w:color="auto" w:fill="081E3E"/>
            <w:vAlign w:val="center"/>
          </w:tcPr>
          <w:p w14:paraId="27C48512" w14:textId="77777777" w:rsidR="008255E2" w:rsidRPr="00420B37" w:rsidRDefault="008255E2" w:rsidP="001C1FAF">
            <w:pPr>
              <w:jc w:val="center"/>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 xml:space="preserve">Compensation for first 5 </w:t>
            </w:r>
            <w:r w:rsidR="0076040C" w:rsidRPr="00420B37">
              <w:rPr>
                <w:lang w:val="en-AU"/>
              </w:rPr>
              <w:t xml:space="preserve">business </w:t>
            </w:r>
            <w:r w:rsidRPr="00420B37">
              <w:rPr>
                <w:lang w:val="en-AU"/>
              </w:rPr>
              <w:t xml:space="preserve">days (per </w:t>
            </w:r>
            <w:r w:rsidR="0076040C" w:rsidRPr="00420B37">
              <w:rPr>
                <w:lang w:val="en-AU"/>
              </w:rPr>
              <w:t xml:space="preserve">business </w:t>
            </w:r>
            <w:r w:rsidRPr="00420B37">
              <w:rPr>
                <w:lang w:val="en-AU"/>
              </w:rPr>
              <w:t>day)</w:t>
            </w:r>
          </w:p>
        </w:tc>
        <w:tc>
          <w:tcPr>
            <w:tcW w:w="0" w:type="auto"/>
            <w:shd w:val="clear" w:color="auto" w:fill="081E3E"/>
            <w:vAlign w:val="center"/>
          </w:tcPr>
          <w:p w14:paraId="3931C28E" w14:textId="77777777" w:rsidR="008255E2" w:rsidRPr="00420B37" w:rsidRDefault="008255E2" w:rsidP="001C1FAF">
            <w:pPr>
              <w:jc w:val="center"/>
              <w:cnfStyle w:val="100000000000" w:firstRow="1" w:lastRow="0" w:firstColumn="0" w:lastColumn="0" w:oddVBand="0" w:evenVBand="0" w:oddHBand="0" w:evenHBand="0" w:firstRowFirstColumn="0" w:firstRowLastColumn="0" w:lastRowFirstColumn="0" w:lastRowLastColumn="0"/>
              <w:rPr>
                <w:lang w:val="en-AU"/>
              </w:rPr>
            </w:pPr>
            <w:r w:rsidRPr="00420B37">
              <w:rPr>
                <w:lang w:val="en-AU"/>
              </w:rPr>
              <w:t xml:space="preserve">Compensation after first 5 </w:t>
            </w:r>
            <w:r w:rsidR="0076040C" w:rsidRPr="00420B37">
              <w:rPr>
                <w:lang w:val="en-AU"/>
              </w:rPr>
              <w:t>business</w:t>
            </w:r>
            <w:r w:rsidRPr="00420B37">
              <w:rPr>
                <w:lang w:val="en-AU"/>
              </w:rPr>
              <w:t xml:space="preserve"> days (per </w:t>
            </w:r>
            <w:r w:rsidR="0076040C" w:rsidRPr="00420B37">
              <w:rPr>
                <w:lang w:val="en-AU"/>
              </w:rPr>
              <w:t>business</w:t>
            </w:r>
            <w:r w:rsidRPr="00420B37">
              <w:rPr>
                <w:lang w:val="en-AU"/>
              </w:rPr>
              <w:t xml:space="preserve"> day)</w:t>
            </w:r>
          </w:p>
        </w:tc>
      </w:tr>
      <w:tr w:rsidR="0076040C" w:rsidRPr="00420B37" w14:paraId="4905934D" w14:textId="77777777" w:rsidTr="008255E2">
        <w:trPr>
          <w:cantSplit/>
          <w:trHeight w:val="36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vAlign w:val="center"/>
          </w:tcPr>
          <w:p w14:paraId="6852E62D" w14:textId="77777777" w:rsidR="008255E2" w:rsidRPr="00420B37" w:rsidRDefault="008255E2" w:rsidP="008255E2">
            <w:pPr>
              <w:jc w:val="center"/>
              <w:rPr>
                <w:lang w:val="en-AU"/>
              </w:rPr>
            </w:pPr>
            <w:r w:rsidRPr="00420B37">
              <w:rPr>
                <w:szCs w:val="24"/>
                <w:lang w:val="en-AU"/>
              </w:rPr>
              <w:t>Connection or repair of a standard telephone service</w:t>
            </w:r>
          </w:p>
        </w:tc>
        <w:tc>
          <w:tcPr>
            <w:tcW w:w="0" w:type="auto"/>
            <w:tcBorders>
              <w:top w:val="single" w:sz="4" w:space="0" w:color="4BB3B5"/>
              <w:bottom w:val="single" w:sz="4" w:space="0" w:color="4BB3B5"/>
            </w:tcBorders>
            <w:vAlign w:val="center"/>
          </w:tcPr>
          <w:p w14:paraId="4F552DE7"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bCs/>
                <w:lang w:val="en-AU"/>
              </w:rPr>
              <w:t>$24.20</w:t>
            </w:r>
          </w:p>
        </w:tc>
        <w:tc>
          <w:tcPr>
            <w:tcW w:w="0" w:type="auto"/>
            <w:tcBorders>
              <w:top w:val="single" w:sz="4" w:space="0" w:color="4BB3B5"/>
              <w:bottom w:val="single" w:sz="4" w:space="0" w:color="4BB3B5"/>
            </w:tcBorders>
            <w:vAlign w:val="center"/>
          </w:tcPr>
          <w:p w14:paraId="11CEE3CB"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bCs/>
                <w:lang w:val="en-AU"/>
              </w:rPr>
            </w:pPr>
            <w:r w:rsidRPr="00420B37">
              <w:rPr>
                <w:bCs/>
                <w:lang w:val="en-AU"/>
              </w:rPr>
              <w:t>$48.40</w:t>
            </w:r>
          </w:p>
        </w:tc>
      </w:tr>
      <w:tr w:rsidR="0076040C" w:rsidRPr="00420B37" w14:paraId="3679D296" w14:textId="77777777" w:rsidTr="008255E2">
        <w:trPr>
          <w:cnfStyle w:val="000000010000" w:firstRow="0" w:lastRow="0" w:firstColumn="0" w:lastColumn="0" w:oddVBand="0" w:evenVBand="0" w:oddHBand="0" w:evenHBand="1" w:firstRowFirstColumn="0" w:firstRowLastColumn="0" w:lastRowFirstColumn="0" w:lastRowLastColumn="0"/>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shd w:val="clear" w:color="auto" w:fill="FFFFFF" w:themeFill="background1"/>
            <w:vAlign w:val="center"/>
          </w:tcPr>
          <w:p w14:paraId="75F0BF6B" w14:textId="77777777" w:rsidR="008255E2" w:rsidRPr="00420B37" w:rsidRDefault="008255E2" w:rsidP="008255E2">
            <w:pPr>
              <w:jc w:val="center"/>
              <w:rPr>
                <w:lang w:val="en-AU"/>
              </w:rPr>
            </w:pPr>
            <w:r w:rsidRPr="00420B37">
              <w:rPr>
                <w:lang w:val="en-AU"/>
              </w:rPr>
              <w:t xml:space="preserve">Connection or repair of 1 enhanced call handling feature to an existing service </w:t>
            </w:r>
          </w:p>
        </w:tc>
        <w:tc>
          <w:tcPr>
            <w:tcW w:w="0" w:type="auto"/>
            <w:tcBorders>
              <w:top w:val="single" w:sz="4" w:space="0" w:color="4BB3B5"/>
              <w:bottom w:val="single" w:sz="4" w:space="0" w:color="4BB3B5"/>
            </w:tcBorders>
            <w:shd w:val="clear" w:color="auto" w:fill="FFFFFF" w:themeFill="background1"/>
            <w:vAlign w:val="center"/>
          </w:tcPr>
          <w:p w14:paraId="2FEC72E5" w14:textId="77777777" w:rsidR="008255E2" w:rsidRPr="00420B37" w:rsidRDefault="008255E2"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$12.10</w:t>
            </w:r>
          </w:p>
        </w:tc>
        <w:tc>
          <w:tcPr>
            <w:tcW w:w="0" w:type="auto"/>
            <w:tcBorders>
              <w:top w:val="single" w:sz="4" w:space="0" w:color="4BB3B5"/>
              <w:bottom w:val="single" w:sz="4" w:space="0" w:color="4BB3B5"/>
            </w:tcBorders>
            <w:shd w:val="clear" w:color="auto" w:fill="FFFFFF" w:themeFill="background1"/>
            <w:vAlign w:val="center"/>
          </w:tcPr>
          <w:p w14:paraId="1D007AF5" w14:textId="77777777" w:rsidR="008255E2" w:rsidRPr="00420B37" w:rsidRDefault="008255E2"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$24.20</w:t>
            </w:r>
          </w:p>
        </w:tc>
      </w:tr>
      <w:tr w:rsidR="0076040C" w:rsidRPr="00420B37" w14:paraId="0CC4D9F9" w14:textId="77777777" w:rsidTr="008255E2">
        <w:trPr>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vAlign w:val="center"/>
          </w:tcPr>
          <w:p w14:paraId="7A908633" w14:textId="77777777" w:rsidR="008255E2" w:rsidRPr="00420B37" w:rsidRDefault="008255E2" w:rsidP="008255E2">
            <w:pPr>
              <w:jc w:val="center"/>
              <w:rPr>
                <w:b w:val="0"/>
                <w:lang w:val="en-AU"/>
              </w:rPr>
            </w:pPr>
            <w:r w:rsidRPr="00420B37">
              <w:rPr>
                <w:lang w:val="en-AU"/>
              </w:rPr>
              <w:t>Connection or repair of 2 or more enhanced call handling feature to an existing service</w:t>
            </w:r>
          </w:p>
        </w:tc>
        <w:tc>
          <w:tcPr>
            <w:tcW w:w="0" w:type="auto"/>
            <w:tcBorders>
              <w:top w:val="single" w:sz="4" w:space="0" w:color="4BB3B5"/>
              <w:bottom w:val="single" w:sz="4" w:space="0" w:color="4BB3B5"/>
            </w:tcBorders>
            <w:vAlign w:val="center"/>
          </w:tcPr>
          <w:p w14:paraId="15795E32"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lang w:val="en-AU"/>
              </w:rPr>
              <w:t>$24.20</w:t>
            </w:r>
          </w:p>
        </w:tc>
        <w:tc>
          <w:tcPr>
            <w:tcW w:w="0" w:type="auto"/>
            <w:tcBorders>
              <w:top w:val="single" w:sz="4" w:space="0" w:color="4BB3B5"/>
              <w:bottom w:val="single" w:sz="4" w:space="0" w:color="4BB3B5"/>
            </w:tcBorders>
            <w:vAlign w:val="center"/>
          </w:tcPr>
          <w:p w14:paraId="6C1F6DD1" w14:textId="77777777" w:rsidR="008255E2" w:rsidRPr="00420B37" w:rsidRDefault="008255E2" w:rsidP="008255E2">
            <w:pPr>
              <w:jc w:val="center"/>
              <w:cnfStyle w:val="000000000000" w:firstRow="0" w:lastRow="0" w:firstColumn="0" w:lastColumn="0" w:oddVBand="0" w:evenVBand="0" w:oddHBand="0" w:evenHBand="0" w:firstRowFirstColumn="0" w:firstRowLastColumn="0" w:lastRowFirstColumn="0" w:lastRowLastColumn="0"/>
              <w:rPr>
                <w:lang w:val="en-AU"/>
              </w:rPr>
            </w:pPr>
            <w:r w:rsidRPr="00420B37">
              <w:rPr>
                <w:lang w:val="en-AU"/>
              </w:rPr>
              <w:t>$48.40</w:t>
            </w:r>
          </w:p>
        </w:tc>
      </w:tr>
      <w:tr w:rsidR="00650CD4" w:rsidRPr="00420B37" w14:paraId="2F33B0BE" w14:textId="77777777" w:rsidTr="00650CD4">
        <w:trPr>
          <w:cnfStyle w:val="000000010000" w:firstRow="0" w:lastRow="0" w:firstColumn="0" w:lastColumn="0" w:oddVBand="0" w:evenVBand="0" w:oddHBand="0" w:evenHBand="1" w:firstRowFirstColumn="0" w:firstRowLastColumn="0" w:lastRowFirstColumn="0" w:lastRowLastColumn="0"/>
          <w:cantSplit/>
          <w:trHeight w:val="35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shd w:val="clear" w:color="auto" w:fill="FFFFFF" w:themeFill="background1"/>
            <w:vAlign w:val="center"/>
          </w:tcPr>
          <w:p w14:paraId="76EAE06C" w14:textId="77777777" w:rsidR="00650CD4" w:rsidRPr="00420B37" w:rsidRDefault="00650CD4" w:rsidP="008255E2">
            <w:pPr>
              <w:jc w:val="center"/>
              <w:rPr>
                <w:lang w:val="en-AU"/>
              </w:rPr>
            </w:pPr>
            <w:r w:rsidRPr="00420B37">
              <w:rPr>
                <w:lang w:val="en-AU"/>
              </w:rPr>
              <w:t>Not keeping an appointment</w:t>
            </w:r>
          </w:p>
        </w:tc>
        <w:tc>
          <w:tcPr>
            <w:tcW w:w="0" w:type="auto"/>
            <w:tcBorders>
              <w:top w:val="single" w:sz="4" w:space="0" w:color="4BB3B5"/>
              <w:bottom w:val="single" w:sz="4" w:space="0" w:color="4BB3B5"/>
            </w:tcBorders>
            <w:shd w:val="clear" w:color="auto" w:fill="FFFFFF" w:themeFill="background1"/>
            <w:vAlign w:val="center"/>
          </w:tcPr>
          <w:p w14:paraId="2807A2FA" w14:textId="77777777" w:rsidR="00650CD4" w:rsidRPr="00420B37" w:rsidRDefault="00650CD4" w:rsidP="008255E2">
            <w:pPr>
              <w:jc w:val="cente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$24.20 (for each missed appointment)</w:t>
            </w:r>
          </w:p>
        </w:tc>
        <w:tc>
          <w:tcPr>
            <w:tcW w:w="0" w:type="auto"/>
            <w:tcBorders>
              <w:top w:val="single" w:sz="4" w:space="0" w:color="4BB3B5"/>
              <w:bottom w:val="single" w:sz="4" w:space="0" w:color="4BB3B5"/>
            </w:tcBorders>
            <w:shd w:val="clear" w:color="auto" w:fill="FFFFFF" w:themeFill="background1"/>
            <w:vAlign w:val="center"/>
          </w:tcPr>
          <w:p w14:paraId="2BB08D91" w14:textId="55729695" w:rsidR="00650CD4" w:rsidRPr="00420B37" w:rsidRDefault="00650CD4" w:rsidP="008255E2">
            <w:pPr>
              <w:jc w:val="center"/>
              <w:cnfStyle w:val="000000010000" w:firstRow="0" w:lastRow="0" w:firstColumn="0" w:lastColumn="0" w:oddVBand="0" w:evenVBand="0" w:oddHBand="0" w:evenHBand="1" w:firstRowFirstColumn="0" w:firstRowLastColumn="0" w:lastRowFirstColumn="0" w:lastRowLastColumn="0"/>
              <w:rPr>
                <w:lang w:val="en-AU"/>
              </w:rPr>
            </w:pPr>
          </w:p>
        </w:tc>
      </w:tr>
    </w:tbl>
    <w:p w14:paraId="6D104449" w14:textId="77777777" w:rsidR="00EF2241" w:rsidRPr="00420B37" w:rsidRDefault="00EF2241" w:rsidP="00EF2241">
      <w:pPr>
        <w:spacing w:before="160" w:after="80"/>
        <w:rPr>
          <w:lang w:val="en-AU"/>
        </w:rPr>
      </w:pPr>
      <w:r w:rsidRPr="00420B37">
        <w:rPr>
          <w:b/>
          <w:sz w:val="28"/>
          <w:szCs w:val="24"/>
          <w:lang w:val="en-AU"/>
        </w:rPr>
        <w:t>Exemptions and waivers</w:t>
      </w:r>
    </w:p>
    <w:p w14:paraId="24188780" w14:textId="77777777" w:rsidR="00EF2241" w:rsidRPr="00420B37" w:rsidRDefault="00EF2241" w:rsidP="00EF2241">
      <w:pPr>
        <w:rPr>
          <w:lang w:val="en-AU"/>
        </w:rPr>
      </w:pPr>
      <w:r w:rsidRPr="00420B37">
        <w:rPr>
          <w:lang w:val="en-AU"/>
        </w:rPr>
        <w:t xml:space="preserve">The CSG timeframes can be suspended where a CSP identifies circumstances beyond its reasonable control that prevent compliance with the CSG. Common examples can include extreme weather, a natural disaster or network damage caused by a third-party. Where a CSP claims such an exemption, it is required to either notify individual customers in writing, or if a large number of customers are affected (commonly referred to as a ‘mass service disruption’), the CSP must publish a specified range of information about the circumstances within certain timeframes, and provide a copy to the ACMA and the Telecommunications Industry Ombudsman. </w:t>
      </w:r>
    </w:p>
    <w:p w14:paraId="5C131164" w14:textId="77777777" w:rsidR="00EF2241" w:rsidRPr="00420B37" w:rsidRDefault="00EF2241" w:rsidP="00EF2241">
      <w:pPr>
        <w:rPr>
          <w:lang w:val="en-AU"/>
        </w:rPr>
      </w:pPr>
      <w:r w:rsidRPr="00420B37">
        <w:rPr>
          <w:lang w:val="en-AU"/>
        </w:rPr>
        <w:t xml:space="preserve">The CSG Standard also allows CSPs (except for Telstra given its USO obligations) to seek waivers from customers to give up some or all of their rights under the CSG. </w:t>
      </w:r>
      <w:r w:rsidR="00C642B4">
        <w:rPr>
          <w:lang w:val="en-AU"/>
        </w:rPr>
        <w:t>The Department understands that</w:t>
      </w:r>
      <w:r w:rsidR="00E41126">
        <w:rPr>
          <w:lang w:val="en-AU"/>
        </w:rPr>
        <w:t xml:space="preserve"> </w:t>
      </w:r>
      <w:r w:rsidR="00C642B4">
        <w:rPr>
          <w:lang w:val="en-AU"/>
        </w:rPr>
        <w:t xml:space="preserve">most providers of voice services now seek CSG waivers from new customers. </w:t>
      </w:r>
      <w:r w:rsidRPr="00420B37">
        <w:rPr>
          <w:lang w:val="en-AU"/>
        </w:rPr>
        <w:t>CSPs can accept both written and oral waivers, providing the customer has been provided with specified information, including information about their rights and the potential implications of signing a waiver.</w:t>
      </w:r>
      <w:r w:rsidR="00C642B4">
        <w:rPr>
          <w:lang w:val="en-AU"/>
        </w:rPr>
        <w:t xml:space="preserve"> </w:t>
      </w:r>
    </w:p>
    <w:p w14:paraId="628F05A3" w14:textId="77777777" w:rsidR="008F510E" w:rsidRPr="00420B37" w:rsidRDefault="008F510E" w:rsidP="00EF2241">
      <w:pPr>
        <w:pStyle w:val="Heading3"/>
        <w:spacing w:before="240" w:after="80"/>
        <w:rPr>
          <w:lang w:val="en-AU"/>
        </w:rPr>
      </w:pPr>
      <w:bookmarkStart w:id="47" w:name="_Toc117528552"/>
      <w:bookmarkStart w:id="48" w:name="_Toc127530734"/>
      <w:r w:rsidRPr="00420B37">
        <w:rPr>
          <w:lang w:val="en-AU"/>
        </w:rPr>
        <w:lastRenderedPageBreak/>
        <w:t>Performance benchmarks</w:t>
      </w:r>
      <w:bookmarkEnd w:id="47"/>
      <w:bookmarkEnd w:id="48"/>
    </w:p>
    <w:p w14:paraId="23D83607" w14:textId="77777777" w:rsidR="006B140E" w:rsidRPr="00420B37" w:rsidRDefault="0030328B" w:rsidP="00C4146E">
      <w:pPr>
        <w:keepNext/>
        <w:rPr>
          <w:lang w:val="en-AU"/>
        </w:rPr>
      </w:pPr>
      <w:r w:rsidRPr="00420B37">
        <w:rPr>
          <w:lang w:val="en-AU"/>
        </w:rPr>
        <w:t xml:space="preserve">The CSG </w:t>
      </w:r>
      <w:r w:rsidR="008F510E" w:rsidRPr="00420B37">
        <w:rPr>
          <w:lang w:val="en-AU"/>
        </w:rPr>
        <w:t>B</w:t>
      </w:r>
      <w:r w:rsidRPr="00420B37">
        <w:rPr>
          <w:lang w:val="en-AU"/>
        </w:rPr>
        <w:t xml:space="preserve">enchmarks instrument requires qualifying CSPs to exceed CSG timeframes in 90% of cases, on both a national basis and within urban, rural and remote areas. </w:t>
      </w:r>
    </w:p>
    <w:p w14:paraId="389D6F07" w14:textId="77614728" w:rsidR="0030328B" w:rsidRPr="00420B37" w:rsidRDefault="0030328B" w:rsidP="00132F0D">
      <w:pPr>
        <w:rPr>
          <w:lang w:val="en-AU"/>
        </w:rPr>
      </w:pPr>
      <w:r w:rsidRPr="00420B37">
        <w:rPr>
          <w:lang w:val="en-AU"/>
        </w:rPr>
        <w:t xml:space="preserve">A CSP is required to meet the benchmarks if it supplies at least 100,000 CSG services in </w:t>
      </w:r>
      <w:r w:rsidR="002021FA">
        <w:rPr>
          <w:lang w:val="en-AU"/>
        </w:rPr>
        <w:t xml:space="preserve">an </w:t>
      </w:r>
      <w:r w:rsidRPr="00420B37">
        <w:rPr>
          <w:lang w:val="en-AU"/>
        </w:rPr>
        <w:t xml:space="preserve">annual benchmark period. </w:t>
      </w:r>
      <w:r w:rsidR="000E3187">
        <w:rPr>
          <w:lang w:val="en-AU"/>
        </w:rPr>
        <w:t xml:space="preserve">The Department understands that </w:t>
      </w:r>
      <w:r w:rsidRPr="00420B37">
        <w:rPr>
          <w:lang w:val="en-AU"/>
        </w:rPr>
        <w:t>Telstra and Optus</w:t>
      </w:r>
      <w:r w:rsidR="000E3187">
        <w:rPr>
          <w:lang w:val="en-AU"/>
        </w:rPr>
        <w:t xml:space="preserve"> are currently the only two qualifying CSPs</w:t>
      </w:r>
      <w:r w:rsidR="00B0704C">
        <w:rPr>
          <w:lang w:val="en-AU"/>
        </w:rPr>
        <w:t xml:space="preserve"> subject to CSG benchmarks</w:t>
      </w:r>
      <w:r w:rsidRPr="00420B37">
        <w:rPr>
          <w:lang w:val="en-AU"/>
        </w:rPr>
        <w:t xml:space="preserve">. Qualifying CSPs must meet </w:t>
      </w:r>
      <w:r w:rsidR="00C642B4">
        <w:rPr>
          <w:lang w:val="en-AU"/>
        </w:rPr>
        <w:t>a</w:t>
      </w:r>
      <w:r w:rsidR="00C642B4" w:rsidRPr="00420B37">
        <w:rPr>
          <w:lang w:val="en-AU"/>
        </w:rPr>
        <w:t xml:space="preserve"> </w:t>
      </w:r>
      <w:r w:rsidRPr="00420B37">
        <w:rPr>
          <w:lang w:val="en-AU"/>
        </w:rPr>
        <w:t xml:space="preserve">90% performance benchmark for </w:t>
      </w:r>
      <w:r w:rsidR="00C642B4">
        <w:rPr>
          <w:lang w:val="en-AU"/>
        </w:rPr>
        <w:t xml:space="preserve">each of </w:t>
      </w:r>
      <w:r w:rsidRPr="00420B37">
        <w:rPr>
          <w:lang w:val="en-AU"/>
        </w:rPr>
        <w:t>the following activities:</w:t>
      </w:r>
    </w:p>
    <w:p w14:paraId="0AB93A23" w14:textId="77777777" w:rsidR="0030328B" w:rsidRPr="00420B37" w:rsidRDefault="0030328B" w:rsidP="0030328B">
      <w:pPr>
        <w:pStyle w:val="ListParagraph"/>
        <w:numPr>
          <w:ilvl w:val="0"/>
          <w:numId w:val="33"/>
        </w:numPr>
        <w:rPr>
          <w:lang w:val="en-AU"/>
        </w:rPr>
      </w:pPr>
      <w:r w:rsidRPr="00420B37">
        <w:rPr>
          <w:lang w:val="en-AU"/>
        </w:rPr>
        <w:t>new connections for each of urban, major rural, minor rural and remote areas</w:t>
      </w:r>
    </w:p>
    <w:p w14:paraId="7EF7F4FA" w14:textId="77777777" w:rsidR="0030328B" w:rsidRPr="00420B37" w:rsidRDefault="0030328B" w:rsidP="0030328B">
      <w:pPr>
        <w:pStyle w:val="ListParagraph"/>
        <w:numPr>
          <w:ilvl w:val="0"/>
          <w:numId w:val="33"/>
        </w:numPr>
        <w:rPr>
          <w:lang w:val="en-AU"/>
        </w:rPr>
      </w:pPr>
      <w:r w:rsidRPr="00420B37">
        <w:rPr>
          <w:lang w:val="en-AU"/>
        </w:rPr>
        <w:t>in-place connections in all areas</w:t>
      </w:r>
    </w:p>
    <w:p w14:paraId="097E17BB" w14:textId="77777777" w:rsidR="0030328B" w:rsidRPr="00420B37" w:rsidRDefault="0030328B" w:rsidP="0030328B">
      <w:pPr>
        <w:pStyle w:val="ListParagraph"/>
        <w:numPr>
          <w:ilvl w:val="0"/>
          <w:numId w:val="33"/>
        </w:numPr>
        <w:rPr>
          <w:lang w:val="en-AU"/>
        </w:rPr>
      </w:pPr>
      <w:r w:rsidRPr="00420B37">
        <w:rPr>
          <w:lang w:val="en-AU"/>
        </w:rPr>
        <w:t>fault rectifications for each of urban, rural and remote areas</w:t>
      </w:r>
    </w:p>
    <w:p w14:paraId="45610C9E" w14:textId="77777777" w:rsidR="0030328B" w:rsidRPr="00420B37" w:rsidRDefault="0030328B" w:rsidP="0030328B">
      <w:pPr>
        <w:pStyle w:val="ListParagraph"/>
        <w:numPr>
          <w:ilvl w:val="0"/>
          <w:numId w:val="33"/>
        </w:numPr>
        <w:ind w:left="714" w:hanging="357"/>
        <w:contextualSpacing w:val="0"/>
        <w:rPr>
          <w:lang w:val="en-AU"/>
        </w:rPr>
      </w:pPr>
      <w:r w:rsidRPr="00420B37">
        <w:rPr>
          <w:lang w:val="en-AU"/>
        </w:rPr>
        <w:t>appointment-keeping in all areas</w:t>
      </w:r>
    </w:p>
    <w:p w14:paraId="372DDF44" w14:textId="5FF84614" w:rsidR="00AA4BDC" w:rsidRDefault="00E065EA" w:rsidP="008F510E">
      <w:pPr>
        <w:rPr>
          <w:lang w:val="en-AU"/>
        </w:rPr>
      </w:pPr>
      <w:r w:rsidRPr="00420B37">
        <w:rPr>
          <w:lang w:val="en-AU"/>
        </w:rPr>
        <w:t>Additional thresholds apply to the location-specific benchmarks, as detailed in the table below.</w:t>
      </w:r>
    </w:p>
    <w:p w14:paraId="5575591F" w14:textId="77777777" w:rsidR="00C4146E" w:rsidRPr="00650CD4" w:rsidRDefault="00C4146E" w:rsidP="00C4146E">
      <w:pPr>
        <w:pStyle w:val="Tablefigureheading"/>
      </w:pPr>
      <w:r>
        <w:rPr>
          <w:sz w:val="24"/>
          <w:szCs w:val="24"/>
        </w:rPr>
        <w:t xml:space="preserve">Appointment keeping </w:t>
      </w:r>
      <w:r w:rsidRPr="00650CD4">
        <w:rPr>
          <w:sz w:val="24"/>
          <w:szCs w:val="24"/>
        </w:rPr>
        <w:t>timeframes</w:t>
      </w:r>
    </w:p>
    <w:tbl>
      <w:tblPr>
        <w:tblStyle w:val="DefaultTable11"/>
        <w:tblW w:w="4063" w:type="pct"/>
        <w:tblLook w:val="04A0" w:firstRow="1" w:lastRow="0" w:firstColumn="1" w:lastColumn="0" w:noHBand="0" w:noVBand="1"/>
        <w:tblDescription w:val="Appointment keeping timeframes"/>
      </w:tblPr>
      <w:tblGrid>
        <w:gridCol w:w="4255"/>
        <w:gridCol w:w="3117"/>
      </w:tblGrid>
      <w:tr w:rsidR="00C4146E" w:rsidRPr="00654F9E" w14:paraId="77643B94" w14:textId="77777777" w:rsidTr="00C41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6" w:type="pct"/>
          </w:tcPr>
          <w:p w14:paraId="11E8E9D5" w14:textId="6E0ACEBE" w:rsidR="00C4146E" w:rsidRPr="00650CD4" w:rsidRDefault="00C4146E" w:rsidP="00B3784F">
            <w:pPr>
              <w:pStyle w:val="Tablerowcolumnheading"/>
              <w:rPr>
                <w:b/>
              </w:rPr>
            </w:pPr>
            <w:r>
              <w:rPr>
                <w:b/>
              </w:rPr>
              <w:t>Community</w:t>
            </w:r>
          </w:p>
        </w:tc>
        <w:tc>
          <w:tcPr>
            <w:tcW w:w="2114" w:type="pct"/>
          </w:tcPr>
          <w:p w14:paraId="2F5F559D" w14:textId="00890FDA" w:rsidR="00C4146E" w:rsidRPr="00650CD4"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Qualification threshold</w:t>
            </w:r>
          </w:p>
        </w:tc>
      </w:tr>
      <w:tr w:rsidR="00C4146E" w:rsidRPr="00654F9E" w14:paraId="3534F3AF" w14:textId="77777777" w:rsidTr="00C4146E">
        <w:trPr>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5B4E8AE9" w14:textId="0EB5EFB7" w:rsidR="00C4146E" w:rsidRPr="00650CD4" w:rsidRDefault="00C4146E" w:rsidP="00C4146E">
            <w:r w:rsidRPr="00420B37">
              <w:rPr>
                <w:szCs w:val="24"/>
                <w:lang w:val="en-AU"/>
              </w:rPr>
              <w:t>Urban (10,000+ people)</w:t>
            </w:r>
          </w:p>
        </w:tc>
        <w:tc>
          <w:tcPr>
            <w:tcW w:w="2114" w:type="pct"/>
            <w:vAlign w:val="center"/>
          </w:tcPr>
          <w:p w14:paraId="6F33E715" w14:textId="74B9EEDF"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420B37">
              <w:rPr>
                <w:bCs/>
                <w:lang w:val="en-AU"/>
              </w:rPr>
              <w:t>10,000 CSG services</w:t>
            </w:r>
          </w:p>
        </w:tc>
      </w:tr>
      <w:tr w:rsidR="00C4146E" w:rsidRPr="00654F9E" w14:paraId="0A82ECAB" w14:textId="77777777" w:rsidTr="00C4146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4B755F82" w14:textId="1C0DC9BA" w:rsidR="00C4146E" w:rsidRPr="00650CD4" w:rsidRDefault="00C4146E" w:rsidP="00C4146E">
            <w:r w:rsidRPr="00420B37">
              <w:rPr>
                <w:lang w:val="en-AU"/>
              </w:rPr>
              <w:t>Major rural (2501-9999 people)</w:t>
            </w:r>
          </w:p>
        </w:tc>
        <w:tc>
          <w:tcPr>
            <w:tcW w:w="2114" w:type="pct"/>
            <w:vAlign w:val="center"/>
          </w:tcPr>
          <w:p w14:paraId="70DDDD62" w14:textId="5800A53B"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sidRPr="00420B37">
              <w:rPr>
                <w:lang w:val="en-AU"/>
              </w:rPr>
              <w:t>1</w:t>
            </w:r>
            <w:r>
              <w:rPr>
                <w:lang w:val="en-AU"/>
              </w:rPr>
              <w:t>,</w:t>
            </w:r>
            <w:r w:rsidRPr="00420B37">
              <w:rPr>
                <w:lang w:val="en-AU"/>
              </w:rPr>
              <w:t>000 CSG services</w:t>
            </w:r>
          </w:p>
        </w:tc>
      </w:tr>
      <w:tr w:rsidR="00C4146E" w:rsidRPr="00654F9E" w14:paraId="6EE2B0AA" w14:textId="77777777" w:rsidTr="00C4146E">
        <w:trPr>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5BBE1D88" w14:textId="2BCFBF45" w:rsidR="00C4146E" w:rsidRPr="00650CD4" w:rsidRDefault="00C4146E" w:rsidP="00C4146E">
            <w:r w:rsidRPr="00420B37">
              <w:rPr>
                <w:szCs w:val="24"/>
                <w:lang w:val="en-AU"/>
              </w:rPr>
              <w:t>Minor rural (201 to 2500 people)</w:t>
            </w:r>
          </w:p>
        </w:tc>
        <w:tc>
          <w:tcPr>
            <w:tcW w:w="2114" w:type="pct"/>
            <w:vAlign w:val="center"/>
          </w:tcPr>
          <w:p w14:paraId="277FDA33" w14:textId="5BE9970D"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420B37">
              <w:rPr>
                <w:lang w:val="en-AU"/>
              </w:rPr>
              <w:t>1</w:t>
            </w:r>
            <w:r>
              <w:rPr>
                <w:lang w:val="en-AU"/>
              </w:rPr>
              <w:t>,</w:t>
            </w:r>
            <w:r w:rsidRPr="00420B37">
              <w:rPr>
                <w:lang w:val="en-AU"/>
              </w:rPr>
              <w:t>000 CSG services</w:t>
            </w:r>
          </w:p>
        </w:tc>
      </w:tr>
      <w:tr w:rsidR="00C4146E" w:rsidRPr="00654F9E" w14:paraId="5E2C4EB2" w14:textId="77777777" w:rsidTr="00C4146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67421464" w14:textId="2B54B786" w:rsidR="00C4146E" w:rsidRPr="00420B37" w:rsidRDefault="00C4146E" w:rsidP="00C4146E">
            <w:pPr>
              <w:rPr>
                <w:lang w:val="en-AU"/>
              </w:rPr>
            </w:pPr>
            <w:r w:rsidRPr="00420B37">
              <w:rPr>
                <w:szCs w:val="24"/>
                <w:lang w:val="en-AU"/>
              </w:rPr>
              <w:t>Rural (201-9999 people)</w:t>
            </w:r>
          </w:p>
        </w:tc>
        <w:tc>
          <w:tcPr>
            <w:tcW w:w="2114" w:type="pct"/>
            <w:vAlign w:val="center"/>
          </w:tcPr>
          <w:p w14:paraId="6D151DFC" w14:textId="6C115570"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420B37">
              <w:rPr>
                <w:lang w:val="en-AU"/>
              </w:rPr>
              <w:t>1</w:t>
            </w:r>
            <w:r>
              <w:rPr>
                <w:lang w:val="en-AU"/>
              </w:rPr>
              <w:t>,</w:t>
            </w:r>
            <w:r w:rsidRPr="00420B37">
              <w:rPr>
                <w:lang w:val="en-AU"/>
              </w:rPr>
              <w:t>000 CSG services</w:t>
            </w:r>
          </w:p>
        </w:tc>
      </w:tr>
      <w:tr w:rsidR="00C4146E" w:rsidRPr="00654F9E" w14:paraId="5A32305F" w14:textId="77777777" w:rsidTr="00C4146E">
        <w:trPr>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4DB4FCAC" w14:textId="5276A5AC" w:rsidR="00C4146E" w:rsidRPr="00420B37" w:rsidRDefault="00C4146E" w:rsidP="00C4146E">
            <w:pPr>
              <w:rPr>
                <w:szCs w:val="24"/>
                <w:lang w:val="en-AU"/>
              </w:rPr>
            </w:pPr>
            <w:r w:rsidRPr="00420B37">
              <w:rPr>
                <w:szCs w:val="24"/>
                <w:lang w:val="en-AU"/>
              </w:rPr>
              <w:t>Remote (up to 200 people)</w:t>
            </w:r>
          </w:p>
        </w:tc>
        <w:tc>
          <w:tcPr>
            <w:tcW w:w="2114" w:type="pct"/>
            <w:vAlign w:val="center"/>
          </w:tcPr>
          <w:p w14:paraId="334E341E" w14:textId="2CBE864F"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420B37">
              <w:rPr>
                <w:lang w:val="en-AU"/>
              </w:rPr>
              <w:t>500 CSG services</w:t>
            </w:r>
          </w:p>
        </w:tc>
      </w:tr>
    </w:tbl>
    <w:p w14:paraId="18139BA2" w14:textId="77777777" w:rsidR="0030328B" w:rsidRPr="00420B37" w:rsidRDefault="00BE5C18" w:rsidP="00E065EA">
      <w:pPr>
        <w:spacing w:before="160"/>
        <w:rPr>
          <w:lang w:val="en-AU"/>
        </w:rPr>
      </w:pPr>
      <w:r w:rsidRPr="00420B37">
        <w:rPr>
          <w:lang w:val="en-AU"/>
        </w:rPr>
        <w:t xml:space="preserve">There have been no recent </w:t>
      </w:r>
      <w:r w:rsidR="00C22C73" w:rsidRPr="00420B37">
        <w:rPr>
          <w:lang w:val="en-AU"/>
        </w:rPr>
        <w:t xml:space="preserve">cases </w:t>
      </w:r>
      <w:r w:rsidRPr="00420B37">
        <w:rPr>
          <w:lang w:val="en-AU"/>
        </w:rPr>
        <w:t xml:space="preserve">of </w:t>
      </w:r>
      <w:r w:rsidR="00B0704C">
        <w:rPr>
          <w:lang w:val="en-AU"/>
        </w:rPr>
        <w:t xml:space="preserve">qualifying </w:t>
      </w:r>
      <w:r w:rsidRPr="00420B37">
        <w:rPr>
          <w:lang w:val="en-AU"/>
        </w:rPr>
        <w:t>providers failing to meet</w:t>
      </w:r>
      <w:r w:rsidR="0030328B" w:rsidRPr="00420B37">
        <w:rPr>
          <w:lang w:val="en-AU"/>
        </w:rPr>
        <w:t xml:space="preserve"> these benchmarks</w:t>
      </w:r>
      <w:r w:rsidR="00C642B4">
        <w:rPr>
          <w:lang w:val="en-AU"/>
        </w:rPr>
        <w:t>.</w:t>
      </w:r>
      <w:r w:rsidR="00B0704C">
        <w:rPr>
          <w:rStyle w:val="FootnoteReference"/>
          <w:lang w:val="en-AU"/>
        </w:rPr>
        <w:footnoteReference w:id="17"/>
      </w:r>
      <w:r w:rsidRPr="00420B37">
        <w:rPr>
          <w:lang w:val="en-AU"/>
        </w:rPr>
        <w:t xml:space="preserve"> Although</w:t>
      </w:r>
      <w:r w:rsidR="00602DAB" w:rsidRPr="00420B37">
        <w:rPr>
          <w:lang w:val="en-AU"/>
        </w:rPr>
        <w:t xml:space="preserve"> the benchmarks require CSPs to comply with performance standards in 90% of cases,</w:t>
      </w:r>
      <w:r w:rsidRPr="00420B37">
        <w:rPr>
          <w:lang w:val="en-AU"/>
        </w:rPr>
        <w:t xml:space="preserve"> </w:t>
      </w:r>
      <w:r w:rsidR="00602DAB" w:rsidRPr="00420B37">
        <w:rPr>
          <w:lang w:val="en-AU"/>
        </w:rPr>
        <w:t xml:space="preserve">there is limited </w:t>
      </w:r>
      <w:r w:rsidRPr="00420B37">
        <w:rPr>
          <w:lang w:val="en-AU"/>
        </w:rPr>
        <w:t>visibility of</w:t>
      </w:r>
      <w:r w:rsidR="00602DAB" w:rsidRPr="00420B37">
        <w:rPr>
          <w:lang w:val="en-AU"/>
        </w:rPr>
        <w:t xml:space="preserve"> ‘tail’ compliance (i.e. the specific performance of CSPs where maximum timeframes are not met) and the extent to which customers are left waiting for delayed service connections and fault repairs after the timeframes have been missed. </w:t>
      </w:r>
    </w:p>
    <w:p w14:paraId="434647C1" w14:textId="77777777" w:rsidR="0030328B" w:rsidRPr="00420B37" w:rsidRDefault="0030328B" w:rsidP="0030328B">
      <w:pPr>
        <w:pStyle w:val="Heading3"/>
        <w:rPr>
          <w:lang w:val="en-AU"/>
        </w:rPr>
      </w:pPr>
      <w:bookmarkStart w:id="49" w:name="_Toc117528553"/>
      <w:bookmarkStart w:id="50" w:name="_Toc127530735"/>
      <w:r w:rsidRPr="00420B37">
        <w:rPr>
          <w:lang w:val="en-AU"/>
        </w:rPr>
        <w:t>Record-keeping rules</w:t>
      </w:r>
      <w:bookmarkEnd w:id="49"/>
      <w:bookmarkEnd w:id="50"/>
    </w:p>
    <w:p w14:paraId="7A3B8FE6" w14:textId="77777777" w:rsidR="001841E8" w:rsidRPr="00420B37" w:rsidRDefault="001841E8" w:rsidP="0030328B">
      <w:pPr>
        <w:spacing w:line="259" w:lineRule="auto"/>
        <w:rPr>
          <w:lang w:val="en-AU"/>
        </w:rPr>
      </w:pPr>
      <w:r w:rsidRPr="00420B37">
        <w:rPr>
          <w:lang w:val="en-AU"/>
        </w:rPr>
        <w:t>The CSG RKRs</w:t>
      </w:r>
      <w:r w:rsidR="0030328B" w:rsidRPr="00420B37">
        <w:rPr>
          <w:lang w:val="en-AU"/>
        </w:rPr>
        <w:t xml:space="preserve"> </w:t>
      </w:r>
      <w:r w:rsidRPr="00420B37">
        <w:rPr>
          <w:lang w:val="en-AU"/>
        </w:rPr>
        <w:t xml:space="preserve">require </w:t>
      </w:r>
      <w:r w:rsidR="0030328B" w:rsidRPr="00420B37">
        <w:rPr>
          <w:lang w:val="en-AU"/>
        </w:rPr>
        <w:t>larger CSPs that are subject to the CSG benchmarks to keep and retain information about compliance with the maximum timeframes set out in the CSG standard. CSPs must also provide annual compliance reports to the ACMA.</w:t>
      </w:r>
      <w:r w:rsidR="0030328B" w:rsidRPr="00420B37">
        <w:rPr>
          <w:rStyle w:val="FootnoteReference"/>
          <w:lang w:val="en-AU"/>
        </w:rPr>
        <w:footnoteReference w:id="18"/>
      </w:r>
      <w:r w:rsidR="0030328B" w:rsidRPr="00420B37">
        <w:rPr>
          <w:lang w:val="en-AU"/>
        </w:rPr>
        <w:t xml:space="preserve"> This is intended to assist the ACMA to monitor and enforce compliance with the CSG benchmarks. </w:t>
      </w:r>
    </w:p>
    <w:p w14:paraId="5A0C741F" w14:textId="77777777" w:rsidR="0030328B" w:rsidRPr="00420B37" w:rsidRDefault="0030328B" w:rsidP="0030328B">
      <w:pPr>
        <w:spacing w:line="259" w:lineRule="auto"/>
        <w:rPr>
          <w:lang w:val="en-AU"/>
        </w:rPr>
      </w:pPr>
      <w:r w:rsidRPr="00420B37">
        <w:rPr>
          <w:lang w:val="en-AU"/>
        </w:rPr>
        <w:t xml:space="preserve">The CSG RKRs also include provisions that allow the ACMA to require a CSP to undertake an external audit of its compliance with the RKRs and provide the associated report to the ACMA. </w:t>
      </w:r>
    </w:p>
    <w:p w14:paraId="2ACFB5FC" w14:textId="77777777" w:rsidR="00CC23D7" w:rsidRPr="00C4146E" w:rsidRDefault="00CC23D7" w:rsidP="00C4146E">
      <w:r w:rsidRPr="00C4146E">
        <w:br w:type="page"/>
      </w:r>
    </w:p>
    <w:p w14:paraId="7D854D86" w14:textId="307FB039" w:rsidR="00CC23D7" w:rsidRDefault="00CC23D7" w:rsidP="00CC23D7">
      <w:pPr>
        <w:pStyle w:val="Heading2"/>
        <w:keepNext w:val="0"/>
        <w:spacing w:after="80"/>
        <w:rPr>
          <w:lang w:val="en-AU"/>
        </w:rPr>
      </w:pPr>
      <w:bookmarkStart w:id="51" w:name="_Toc127530736"/>
      <w:r>
        <w:rPr>
          <w:lang w:val="en-AU"/>
        </w:rPr>
        <w:lastRenderedPageBreak/>
        <w:t>Appendix B: Service level commitments in NBN Co’s proposed SAU</w:t>
      </w:r>
      <w:r w:rsidR="00736742">
        <w:rPr>
          <w:lang w:val="en-AU"/>
        </w:rPr>
        <w:t xml:space="preserve"> variation</w:t>
      </w:r>
      <w:bookmarkEnd w:id="51"/>
    </w:p>
    <w:p w14:paraId="7DFC0ABB" w14:textId="0CC88DA1" w:rsidR="00834B2E" w:rsidRDefault="00CC23D7" w:rsidP="00CC23D7">
      <w:pPr>
        <w:rPr>
          <w:lang w:val="en-AU"/>
        </w:rPr>
      </w:pPr>
      <w:r w:rsidRPr="00132F0D">
        <w:rPr>
          <w:lang w:val="en-AU"/>
        </w:rPr>
        <w:t xml:space="preserve">NBN Co’s </w:t>
      </w:r>
      <w:r>
        <w:rPr>
          <w:lang w:val="en-AU"/>
        </w:rPr>
        <w:t>S</w:t>
      </w:r>
      <w:r w:rsidR="00090BE2">
        <w:rPr>
          <w:lang w:val="en-AU"/>
        </w:rPr>
        <w:t xml:space="preserve">pecial </w:t>
      </w:r>
      <w:r>
        <w:rPr>
          <w:lang w:val="en-AU"/>
        </w:rPr>
        <w:t>A</w:t>
      </w:r>
      <w:r w:rsidR="00090BE2">
        <w:rPr>
          <w:lang w:val="en-AU"/>
        </w:rPr>
        <w:t xml:space="preserve">ccess </w:t>
      </w:r>
      <w:r>
        <w:rPr>
          <w:lang w:val="en-AU"/>
        </w:rPr>
        <w:t>U</w:t>
      </w:r>
      <w:r w:rsidR="00090BE2">
        <w:rPr>
          <w:lang w:val="en-AU"/>
        </w:rPr>
        <w:t>ndertaking (SAU)</w:t>
      </w:r>
      <w:r w:rsidRPr="00420B37">
        <w:rPr>
          <w:lang w:val="en-AU"/>
        </w:rPr>
        <w:t xml:space="preserve"> </w:t>
      </w:r>
      <w:r w:rsidR="006E20E1">
        <w:rPr>
          <w:lang w:val="en-AU"/>
        </w:rPr>
        <w:t xml:space="preserve">variation </w:t>
      </w:r>
      <w:r>
        <w:rPr>
          <w:lang w:val="en-AU"/>
        </w:rPr>
        <w:t xml:space="preserve">sets out a number of </w:t>
      </w:r>
      <w:bookmarkStart w:id="52" w:name="_Hlk121399071"/>
      <w:r>
        <w:rPr>
          <w:lang w:val="en-AU"/>
        </w:rPr>
        <w:t xml:space="preserve">proposed </w:t>
      </w:r>
      <w:r w:rsidR="00495425">
        <w:rPr>
          <w:lang w:val="en-AU"/>
        </w:rPr>
        <w:t xml:space="preserve">benchmark </w:t>
      </w:r>
      <w:r>
        <w:rPr>
          <w:lang w:val="en-AU"/>
        </w:rPr>
        <w:t>service standards</w:t>
      </w:r>
      <w:bookmarkEnd w:id="52"/>
      <w:r w:rsidR="00834B2E">
        <w:rPr>
          <w:lang w:val="en-AU"/>
        </w:rPr>
        <w:t xml:space="preserve"> for connection, repair and appointment-keeping for its wholesale services.</w:t>
      </w:r>
      <w:r w:rsidR="00A76FA6" w:rsidRPr="00A76FA6">
        <w:rPr>
          <w:lang w:val="en-AU"/>
        </w:rPr>
        <w:t xml:space="preserve"> </w:t>
      </w:r>
      <w:r w:rsidR="00A76FA6">
        <w:rPr>
          <w:lang w:val="en-AU"/>
        </w:rPr>
        <w:t xml:space="preserve">NBN Co states it will aim to meet each of the service standards in at least 90% of cases. </w:t>
      </w:r>
      <w:r w:rsidR="00834B2E">
        <w:rPr>
          <w:lang w:val="en-AU"/>
        </w:rPr>
        <w:t xml:space="preserve"> Similar</w:t>
      </w:r>
      <w:r w:rsidR="00A76FA6">
        <w:rPr>
          <w:lang w:val="en-AU"/>
        </w:rPr>
        <w:t>ly</w:t>
      </w:r>
      <w:r w:rsidR="00834B2E">
        <w:rPr>
          <w:lang w:val="en-AU"/>
        </w:rPr>
        <w:t xml:space="preserve"> matters </w:t>
      </w:r>
      <w:r w:rsidR="00A76FA6">
        <w:rPr>
          <w:lang w:val="en-AU"/>
        </w:rPr>
        <w:t>relating to connection, repair and appointments related to</w:t>
      </w:r>
      <w:r w:rsidR="00D369F4">
        <w:rPr>
          <w:lang w:val="en-AU"/>
        </w:rPr>
        <w:t xml:space="preserve"> </w:t>
      </w:r>
      <w:r w:rsidR="00A76FA6">
        <w:rPr>
          <w:lang w:val="en-AU"/>
        </w:rPr>
        <w:t xml:space="preserve">supply of </w:t>
      </w:r>
      <w:r w:rsidR="00D369F4">
        <w:rPr>
          <w:lang w:val="en-AU"/>
        </w:rPr>
        <w:t xml:space="preserve">voice </w:t>
      </w:r>
      <w:r w:rsidR="00A76FA6">
        <w:rPr>
          <w:lang w:val="en-AU"/>
        </w:rPr>
        <w:t xml:space="preserve">services </w:t>
      </w:r>
      <w:r w:rsidR="00834B2E">
        <w:rPr>
          <w:lang w:val="en-AU"/>
        </w:rPr>
        <w:t xml:space="preserve">have historically been dealt with via retail obligations set out in the CSG. </w:t>
      </w:r>
    </w:p>
    <w:p w14:paraId="4934AE48" w14:textId="6DF40290" w:rsidR="00CC23D7" w:rsidRPr="00FB22D6" w:rsidRDefault="00495425">
      <w:pPr>
        <w:rPr>
          <w:lang w:val="en-AU"/>
        </w:rPr>
      </w:pPr>
      <w:r>
        <w:rPr>
          <w:lang w:val="en-AU"/>
        </w:rPr>
        <w:t xml:space="preserve">NBN Co would be required to offer access seekers service levels that are no less favourable than the benchmark standards in the SAU. </w:t>
      </w:r>
      <w:r w:rsidR="00CC23D7">
        <w:rPr>
          <w:lang w:val="en-AU"/>
        </w:rPr>
        <w:t xml:space="preserve">NBN Co’s proposed service levels in these areas are briefly summarised below, but stakeholders </w:t>
      </w:r>
      <w:r w:rsidR="006E20E1">
        <w:rPr>
          <w:lang w:val="en-AU"/>
        </w:rPr>
        <w:t>should</w:t>
      </w:r>
      <w:r w:rsidR="00CC23D7">
        <w:rPr>
          <w:lang w:val="en-AU"/>
        </w:rPr>
        <w:t xml:space="preserve"> refer to the proposed SAU </w:t>
      </w:r>
      <w:r w:rsidR="006E20E1">
        <w:rPr>
          <w:lang w:val="en-AU"/>
        </w:rPr>
        <w:t xml:space="preserve">variation </w:t>
      </w:r>
      <w:r w:rsidR="00CC23D7">
        <w:rPr>
          <w:lang w:val="en-AU"/>
        </w:rPr>
        <w:t xml:space="preserve">and associated documents available from the </w:t>
      </w:r>
      <w:hyperlink r:id="rId42" w:history="1">
        <w:r w:rsidR="00CC23D7" w:rsidRPr="00CC23D7">
          <w:rPr>
            <w:rStyle w:val="Hyperlink"/>
            <w:lang w:val="en-AU"/>
          </w:rPr>
          <w:t>ACCC website</w:t>
        </w:r>
      </w:hyperlink>
      <w:r w:rsidR="00CC23D7">
        <w:rPr>
          <w:lang w:val="en-AU"/>
        </w:rPr>
        <w:t>.</w:t>
      </w:r>
    </w:p>
    <w:p w14:paraId="050ECDDC" w14:textId="77777777" w:rsidR="00083C1F" w:rsidRDefault="00AA6360" w:rsidP="00F21639">
      <w:pPr>
        <w:spacing w:before="160"/>
        <w:rPr>
          <w:lang w:val="en-AU"/>
        </w:rPr>
      </w:pPr>
      <w:r>
        <w:rPr>
          <w:lang w:val="en-AU"/>
        </w:rPr>
        <w:t xml:space="preserve">For the first regulatory cycle (commencing 1 July 2023), NBN Co proposes to include </w:t>
      </w:r>
      <w:r w:rsidR="00090BE2">
        <w:rPr>
          <w:lang w:val="en-AU"/>
        </w:rPr>
        <w:t xml:space="preserve">benchmark </w:t>
      </w:r>
      <w:r>
        <w:rPr>
          <w:lang w:val="en-AU"/>
        </w:rPr>
        <w:t>service</w:t>
      </w:r>
      <w:r w:rsidR="00090BE2">
        <w:rPr>
          <w:lang w:val="en-AU"/>
        </w:rPr>
        <w:t xml:space="preserve"> standards mostly </w:t>
      </w:r>
      <w:r>
        <w:rPr>
          <w:lang w:val="en-AU"/>
        </w:rPr>
        <w:t xml:space="preserve">based on </w:t>
      </w:r>
      <w:r w:rsidR="00090BE2">
        <w:rPr>
          <w:lang w:val="en-AU"/>
        </w:rPr>
        <w:t>the service levels it offers in its existing</w:t>
      </w:r>
      <w:r>
        <w:rPr>
          <w:lang w:val="en-AU"/>
        </w:rPr>
        <w:t xml:space="preserve"> Wholesale Broadband Agreement (WBA4). </w:t>
      </w:r>
    </w:p>
    <w:p w14:paraId="23FC3243" w14:textId="77777777" w:rsidR="00F958B3" w:rsidRDefault="00435A4A" w:rsidP="00F21639">
      <w:pPr>
        <w:spacing w:before="160"/>
        <w:rPr>
          <w:lang w:val="en-AU"/>
        </w:rPr>
      </w:pPr>
      <w:r>
        <w:rPr>
          <w:lang w:val="en-AU"/>
        </w:rPr>
        <w:t xml:space="preserve">In contrast to the </w:t>
      </w:r>
      <w:r w:rsidR="00F21639">
        <w:rPr>
          <w:lang w:val="en-AU"/>
        </w:rPr>
        <w:t>CSG</w:t>
      </w:r>
      <w:r>
        <w:rPr>
          <w:lang w:val="en-AU"/>
        </w:rPr>
        <w:t xml:space="preserve"> (where timeframes are set according to different geographic categories)</w:t>
      </w:r>
      <w:r w:rsidR="00F21639">
        <w:rPr>
          <w:lang w:val="en-AU"/>
        </w:rPr>
        <w:t xml:space="preserve">, </w:t>
      </w:r>
      <w:r w:rsidR="00834B2E">
        <w:rPr>
          <w:lang w:val="en-AU"/>
        </w:rPr>
        <w:t>NBN</w:t>
      </w:r>
      <w:r>
        <w:rPr>
          <w:lang w:val="en-AU"/>
        </w:rPr>
        <w:t> </w:t>
      </w:r>
      <w:r w:rsidR="00834B2E">
        <w:rPr>
          <w:lang w:val="en-AU"/>
        </w:rPr>
        <w:t xml:space="preserve">Co’s service levels </w:t>
      </w:r>
      <w:r w:rsidR="00A76FA6">
        <w:rPr>
          <w:lang w:val="en-AU"/>
        </w:rPr>
        <w:t xml:space="preserve">for connection and faults </w:t>
      </w:r>
      <w:r w:rsidR="00843C3E">
        <w:rPr>
          <w:lang w:val="en-AU"/>
        </w:rPr>
        <w:t xml:space="preserve">also </w:t>
      </w:r>
      <w:r w:rsidR="00834B2E">
        <w:rPr>
          <w:lang w:val="en-AU"/>
        </w:rPr>
        <w:t xml:space="preserve">differ depending on the </w:t>
      </w:r>
      <w:r w:rsidR="00A76FA6">
        <w:rPr>
          <w:lang w:val="en-AU"/>
        </w:rPr>
        <w:t xml:space="preserve">access </w:t>
      </w:r>
      <w:r w:rsidR="00834B2E">
        <w:rPr>
          <w:lang w:val="en-AU"/>
        </w:rPr>
        <w:t xml:space="preserve">technology </w:t>
      </w:r>
      <w:r w:rsidR="004F16B5">
        <w:rPr>
          <w:lang w:val="en-AU"/>
        </w:rPr>
        <w:t xml:space="preserve">used </w:t>
      </w:r>
      <w:r w:rsidR="00834B2E">
        <w:rPr>
          <w:lang w:val="en-AU"/>
        </w:rPr>
        <w:t>(i.e. whether it is within the fixed</w:t>
      </w:r>
      <w:r w:rsidR="00A76FA6">
        <w:rPr>
          <w:lang w:val="en-AU"/>
        </w:rPr>
        <w:t xml:space="preserve"> line, fixed wireless</w:t>
      </w:r>
      <w:r w:rsidR="00834B2E">
        <w:rPr>
          <w:lang w:val="en-AU"/>
        </w:rPr>
        <w:t xml:space="preserve"> or satellite </w:t>
      </w:r>
      <w:r w:rsidR="00A76FA6">
        <w:rPr>
          <w:lang w:val="en-AU"/>
        </w:rPr>
        <w:t>footprint</w:t>
      </w:r>
      <w:r w:rsidR="00834B2E">
        <w:rPr>
          <w:lang w:val="en-AU"/>
        </w:rPr>
        <w:t>).</w:t>
      </w:r>
      <w:r w:rsidR="00834B2E">
        <w:rPr>
          <w:rStyle w:val="FootnoteReference"/>
          <w:lang w:val="en-AU"/>
        </w:rPr>
        <w:footnoteReference w:id="19"/>
      </w:r>
      <w:r w:rsidR="00834B2E">
        <w:rPr>
          <w:lang w:val="en-AU"/>
        </w:rPr>
        <w:t xml:space="preserve">  </w:t>
      </w:r>
    </w:p>
    <w:p w14:paraId="1D20F6CE" w14:textId="5C1FCCCB" w:rsidR="00A76FA6" w:rsidRDefault="00A76FA6" w:rsidP="005A3260">
      <w:pPr>
        <w:pStyle w:val="Heading3"/>
        <w:spacing w:after="60"/>
      </w:pPr>
      <w:bookmarkStart w:id="53" w:name="_Toc127530737"/>
      <w:r>
        <w:t>Fault</w:t>
      </w:r>
      <w:r w:rsidR="00435A4A">
        <w:t xml:space="preserve"> rectification timeframes</w:t>
      </w:r>
      <w:bookmarkEnd w:id="53"/>
    </w:p>
    <w:p w14:paraId="14A8F4BC" w14:textId="6FCC3EDA" w:rsidR="00F958B3" w:rsidRDefault="00F958B3" w:rsidP="00C4146E">
      <w:pPr>
        <w:pStyle w:val="Tablefigureheading"/>
      </w:pPr>
      <w:r>
        <w:t>Proposed maximu</w:t>
      </w:r>
      <w:r w:rsidRPr="00420B37">
        <w:t>m fault rectification timeframes</w:t>
      </w:r>
    </w:p>
    <w:tbl>
      <w:tblPr>
        <w:tblStyle w:val="DefaultTable11"/>
        <w:tblW w:w="4922" w:type="pct"/>
        <w:tblLook w:val="04A0" w:firstRow="1" w:lastRow="0" w:firstColumn="1" w:lastColumn="0" w:noHBand="0" w:noVBand="1"/>
        <w:tblDescription w:val="Proposed maximum fault rectification timeframes"/>
      </w:tblPr>
      <w:tblGrid>
        <w:gridCol w:w="2695"/>
        <w:gridCol w:w="3401"/>
        <w:gridCol w:w="2834"/>
      </w:tblGrid>
      <w:tr w:rsidR="00C4146E" w:rsidRPr="00654F9E" w14:paraId="119DCAB2" w14:textId="3047F77B" w:rsidTr="00C41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9" w:type="pct"/>
          </w:tcPr>
          <w:p w14:paraId="3D29DB98" w14:textId="5E70B357" w:rsidR="00C4146E" w:rsidRPr="00650CD4" w:rsidRDefault="00C4146E" w:rsidP="00B3784F">
            <w:pPr>
              <w:pStyle w:val="Tablerowcolumnheading"/>
              <w:rPr>
                <w:b/>
              </w:rPr>
            </w:pPr>
            <w:r>
              <w:rPr>
                <w:b/>
              </w:rPr>
              <w:t>Type of community</w:t>
            </w:r>
          </w:p>
        </w:tc>
        <w:tc>
          <w:tcPr>
            <w:tcW w:w="1904" w:type="pct"/>
          </w:tcPr>
          <w:p w14:paraId="5F83D0CE" w14:textId="77777777" w:rsidR="00C4146E"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pPr>
            <w:r>
              <w:rPr>
                <w:b/>
              </w:rPr>
              <w:t>Fault rectification timeframe</w:t>
            </w:r>
          </w:p>
          <w:p w14:paraId="09DA2A84" w14:textId="005283F3" w:rsidR="00C4146E" w:rsidRPr="00C4146E" w:rsidRDefault="00C4146E" w:rsidP="00C4146E">
            <w:pPr>
              <w:cnfStyle w:val="100000000000" w:firstRow="1" w:lastRow="0" w:firstColumn="0" w:lastColumn="0" w:oddVBand="0" w:evenVBand="0" w:oddHBand="0" w:evenHBand="0" w:firstRowFirstColumn="0" w:firstRowLastColumn="0" w:lastRowFirstColumn="0" w:lastRowLastColumn="0"/>
              <w:rPr>
                <w:lang w:val="en-AU"/>
              </w:rPr>
            </w:pPr>
            <w:r>
              <w:rPr>
                <w:lang w:val="en-AU"/>
              </w:rPr>
              <w:t>Fixed line and fixed wireless networks</w:t>
            </w:r>
          </w:p>
        </w:tc>
        <w:tc>
          <w:tcPr>
            <w:tcW w:w="1587" w:type="pct"/>
          </w:tcPr>
          <w:p w14:paraId="54017AED" w14:textId="77777777" w:rsidR="00C4146E" w:rsidRDefault="00C4146E" w:rsidP="00C4146E">
            <w:pPr>
              <w:pStyle w:val="Tablerowcolumnheading"/>
              <w:cnfStyle w:val="100000000000" w:firstRow="1" w:lastRow="0" w:firstColumn="0" w:lastColumn="0" w:oddVBand="0" w:evenVBand="0" w:oddHBand="0" w:evenHBand="0" w:firstRowFirstColumn="0" w:firstRowLastColumn="0" w:lastRowFirstColumn="0" w:lastRowLastColumn="0"/>
            </w:pPr>
            <w:r>
              <w:rPr>
                <w:b/>
              </w:rPr>
              <w:t>Fault rectification timeframe</w:t>
            </w:r>
          </w:p>
          <w:p w14:paraId="53EDFB6E" w14:textId="06ADF93A" w:rsidR="00C4146E"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Satellite network</w:t>
            </w:r>
          </w:p>
        </w:tc>
      </w:tr>
      <w:tr w:rsidR="00C4146E" w:rsidRPr="00654F9E" w14:paraId="7BAD52C9" w14:textId="6BD38B51" w:rsidTr="00C4146E">
        <w:trPr>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6D75BFBD" w14:textId="23C41E34" w:rsidR="00C4146E" w:rsidRPr="00650CD4" w:rsidRDefault="00C4146E" w:rsidP="00C4146E">
            <w:r w:rsidRPr="006B2ACB">
              <w:rPr>
                <w:lang w:val="en-AU"/>
              </w:rPr>
              <w:t>No</w:t>
            </w:r>
            <w:r>
              <w:rPr>
                <w:lang w:val="en-AU"/>
              </w:rPr>
              <w:t xml:space="preserve"> attendance required</w:t>
            </w:r>
          </w:p>
        </w:tc>
        <w:tc>
          <w:tcPr>
            <w:tcW w:w="1904" w:type="pct"/>
            <w:vAlign w:val="center"/>
          </w:tcPr>
          <w:p w14:paraId="5949B4E3" w14:textId="35C769E9"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 business day</w:t>
            </w:r>
          </w:p>
        </w:tc>
        <w:tc>
          <w:tcPr>
            <w:tcW w:w="1587" w:type="pct"/>
            <w:vAlign w:val="center"/>
          </w:tcPr>
          <w:p w14:paraId="2D9492E5" w14:textId="3E36F240"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 business day</w:t>
            </w:r>
          </w:p>
        </w:tc>
      </w:tr>
      <w:tr w:rsidR="00C4146E" w:rsidRPr="00654F9E" w14:paraId="40412379" w14:textId="37D42765" w:rsidTr="00C4146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434DDF8E" w14:textId="5CF85C96" w:rsidR="00C4146E" w:rsidRPr="00650CD4" w:rsidRDefault="00C4146E" w:rsidP="00C4146E">
            <w:r w:rsidRPr="006B2ACB">
              <w:rPr>
                <w:lang w:val="en-AU"/>
              </w:rPr>
              <w:t>Urban</w:t>
            </w:r>
          </w:p>
        </w:tc>
        <w:tc>
          <w:tcPr>
            <w:tcW w:w="1904" w:type="pct"/>
            <w:vAlign w:val="center"/>
          </w:tcPr>
          <w:p w14:paraId="1D863237" w14:textId="3F04D071"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sidRPr="006B2ACB">
              <w:rPr>
                <w:lang w:val="en-AU"/>
              </w:rPr>
              <w:t>1 business day</w:t>
            </w:r>
          </w:p>
        </w:tc>
        <w:tc>
          <w:tcPr>
            <w:tcW w:w="1587" w:type="pct"/>
            <w:vAlign w:val="center"/>
          </w:tcPr>
          <w:p w14:paraId="60F81D1D" w14:textId="36BD52BF"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Pr>
                <w:lang w:val="en-AU"/>
              </w:rPr>
              <w:t>3</w:t>
            </w:r>
            <w:r w:rsidRPr="006B2ACB">
              <w:rPr>
                <w:lang w:val="en-AU"/>
              </w:rPr>
              <w:t xml:space="preserve"> business days</w:t>
            </w:r>
          </w:p>
        </w:tc>
      </w:tr>
      <w:tr w:rsidR="00C4146E" w:rsidRPr="00654F9E" w14:paraId="733AB294" w14:textId="2981D00E" w:rsidTr="00C4146E">
        <w:trPr>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1DFABB57" w14:textId="181C3F1C" w:rsidR="00C4146E" w:rsidRPr="00650CD4" w:rsidRDefault="00C4146E" w:rsidP="00C4146E">
            <w:r>
              <w:rPr>
                <w:lang w:val="en-AU"/>
              </w:rPr>
              <w:t>Rural</w:t>
            </w:r>
          </w:p>
        </w:tc>
        <w:tc>
          <w:tcPr>
            <w:tcW w:w="1904" w:type="pct"/>
            <w:vAlign w:val="center"/>
          </w:tcPr>
          <w:p w14:paraId="36F1BF0A" w14:textId="0EADC0DC"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lang w:val="en-AU"/>
              </w:rPr>
              <w:t>2 business days</w:t>
            </w:r>
          </w:p>
        </w:tc>
        <w:tc>
          <w:tcPr>
            <w:tcW w:w="1587" w:type="pct"/>
            <w:vAlign w:val="center"/>
          </w:tcPr>
          <w:p w14:paraId="74177FDA" w14:textId="3ACC676D"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lang w:val="en-AU"/>
              </w:rPr>
              <w:t>3 business days</w:t>
            </w:r>
          </w:p>
        </w:tc>
      </w:tr>
      <w:tr w:rsidR="00C4146E" w:rsidRPr="00654F9E" w14:paraId="49F8D6F0" w14:textId="4490B512" w:rsidTr="00C4146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2DE1D0B4" w14:textId="4EA8A095" w:rsidR="00C4146E" w:rsidRPr="00420B37" w:rsidRDefault="00C4146E" w:rsidP="00C4146E">
            <w:pPr>
              <w:rPr>
                <w:lang w:val="en-AU"/>
              </w:rPr>
            </w:pPr>
            <w:r>
              <w:rPr>
                <w:lang w:val="en-AU"/>
              </w:rPr>
              <w:t>Remote</w:t>
            </w:r>
          </w:p>
        </w:tc>
        <w:tc>
          <w:tcPr>
            <w:tcW w:w="1904" w:type="pct"/>
            <w:vAlign w:val="center"/>
          </w:tcPr>
          <w:p w14:paraId="4B104376" w14:textId="362541C1"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3 business days</w:t>
            </w:r>
          </w:p>
        </w:tc>
        <w:tc>
          <w:tcPr>
            <w:tcW w:w="1587" w:type="pct"/>
            <w:vAlign w:val="center"/>
          </w:tcPr>
          <w:p w14:paraId="7E7F5C83" w14:textId="4E5869D8"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4 business days</w:t>
            </w:r>
          </w:p>
        </w:tc>
      </w:tr>
      <w:tr w:rsidR="00C4146E" w:rsidRPr="00654F9E" w14:paraId="131D5A6A" w14:textId="770CF9C9" w:rsidTr="00C4146E">
        <w:trPr>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6A5AA38E" w14:textId="30E1706A" w:rsidR="00C4146E" w:rsidRPr="00420B37" w:rsidRDefault="00C4146E" w:rsidP="00C4146E">
            <w:pPr>
              <w:rPr>
                <w:szCs w:val="24"/>
                <w:lang w:val="en-AU"/>
              </w:rPr>
            </w:pPr>
            <w:r>
              <w:rPr>
                <w:lang w:val="en-AU"/>
              </w:rPr>
              <w:t>Isolated</w:t>
            </w:r>
            <w:r w:rsidRPr="00A04A97">
              <w:rPr>
                <w:rFonts w:cstheme="minorHAnsi"/>
              </w:rPr>
              <w:t>^</w:t>
            </w:r>
          </w:p>
        </w:tc>
        <w:tc>
          <w:tcPr>
            <w:tcW w:w="1904" w:type="pct"/>
            <w:vAlign w:val="center"/>
          </w:tcPr>
          <w:p w14:paraId="32416DC8" w14:textId="53A27064"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N/A – as isolated areas are a subset of the satellite footprint</w:t>
            </w:r>
          </w:p>
        </w:tc>
        <w:tc>
          <w:tcPr>
            <w:tcW w:w="1587" w:type="pct"/>
            <w:vAlign w:val="center"/>
          </w:tcPr>
          <w:p w14:paraId="47D778F3" w14:textId="19BE9D06"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10 business days</w:t>
            </w:r>
          </w:p>
        </w:tc>
      </w:tr>
      <w:tr w:rsidR="00C4146E" w:rsidRPr="00654F9E" w14:paraId="282579A2" w14:textId="77777777" w:rsidTr="00C4146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155BBC5A" w14:textId="40B7F58C" w:rsidR="00C4146E" w:rsidRDefault="00C4146E" w:rsidP="00C4146E">
            <w:pPr>
              <w:rPr>
                <w:lang w:val="en-AU"/>
              </w:rPr>
            </w:pPr>
            <w:r>
              <w:rPr>
                <w:lang w:val="en-AU"/>
              </w:rPr>
              <w:t>Limited access</w:t>
            </w:r>
            <w:r w:rsidRPr="00A04A97">
              <w:rPr>
                <w:rFonts w:cstheme="minorHAnsi"/>
              </w:rPr>
              <w:t>^</w:t>
            </w:r>
          </w:p>
        </w:tc>
        <w:tc>
          <w:tcPr>
            <w:tcW w:w="1904" w:type="pct"/>
            <w:vAlign w:val="center"/>
          </w:tcPr>
          <w:p w14:paraId="7B557546" w14:textId="6C53D073"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N/A – as limited access areas as a subset of the satellite footprint</w:t>
            </w:r>
          </w:p>
        </w:tc>
        <w:tc>
          <w:tcPr>
            <w:tcW w:w="1587" w:type="pct"/>
            <w:vAlign w:val="center"/>
          </w:tcPr>
          <w:p w14:paraId="1881018F" w14:textId="6670CEC0"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N/A</w:t>
            </w:r>
            <w:r w:rsidRPr="00473AAF">
              <w:rPr>
                <w:vertAlign w:val="superscript"/>
                <w:lang w:val="en-AU"/>
              </w:rPr>
              <w:t>#</w:t>
            </w:r>
          </w:p>
        </w:tc>
      </w:tr>
    </w:tbl>
    <w:p w14:paraId="0C595F02" w14:textId="77777777" w:rsidR="004F16B5" w:rsidRDefault="004F16B5" w:rsidP="005A3260">
      <w:pPr>
        <w:spacing w:before="160"/>
        <w:rPr>
          <w:i/>
          <w:lang w:val="en-AU"/>
        </w:rPr>
      </w:pPr>
      <w:r w:rsidRPr="005A3260">
        <w:rPr>
          <w:i/>
          <w:lang w:val="en-AU"/>
        </w:rPr>
        <w:t xml:space="preserve">^ and # are explained </w:t>
      </w:r>
      <w:r>
        <w:rPr>
          <w:i/>
          <w:lang w:val="en-AU"/>
        </w:rPr>
        <w:t>under</w:t>
      </w:r>
      <w:r w:rsidRPr="005A3260">
        <w:rPr>
          <w:i/>
          <w:lang w:val="en-AU"/>
        </w:rPr>
        <w:t xml:space="preserve"> the </w:t>
      </w:r>
      <w:r>
        <w:rPr>
          <w:i/>
          <w:lang w:val="en-AU"/>
        </w:rPr>
        <w:t>C</w:t>
      </w:r>
      <w:r w:rsidRPr="004F16B5">
        <w:rPr>
          <w:i/>
          <w:lang w:val="en-AU"/>
        </w:rPr>
        <w:t>onnections</w:t>
      </w:r>
      <w:r>
        <w:rPr>
          <w:i/>
          <w:lang w:val="en-AU"/>
        </w:rPr>
        <w:t xml:space="preserve"> timeframe </w:t>
      </w:r>
      <w:r w:rsidRPr="005A3260">
        <w:rPr>
          <w:i/>
          <w:lang w:val="en-AU"/>
        </w:rPr>
        <w:t>table below.</w:t>
      </w:r>
    </w:p>
    <w:p w14:paraId="5B9E7FE7" w14:textId="77777777" w:rsidR="005A3260" w:rsidRPr="005A3260" w:rsidRDefault="005A3260" w:rsidP="005A3260">
      <w:pPr>
        <w:pStyle w:val="Heading3"/>
        <w:spacing w:after="60"/>
      </w:pPr>
      <w:bookmarkStart w:id="54" w:name="_Toc127530738"/>
      <w:r>
        <w:lastRenderedPageBreak/>
        <w:t>Connection timeframes</w:t>
      </w:r>
      <w:bookmarkEnd w:id="54"/>
    </w:p>
    <w:p w14:paraId="6A9DB940" w14:textId="1622E826" w:rsidR="00F958B3" w:rsidRDefault="00A76FA6" w:rsidP="00C4146E">
      <w:pPr>
        <w:keepNext/>
        <w:rPr>
          <w:lang w:val="en-AU"/>
        </w:rPr>
      </w:pPr>
      <w:r>
        <w:rPr>
          <w:lang w:val="en-AU"/>
        </w:rPr>
        <w:t xml:space="preserve">NBN Co’s proposed SAU </w:t>
      </w:r>
      <w:r w:rsidR="006E20E1">
        <w:rPr>
          <w:lang w:val="en-AU"/>
        </w:rPr>
        <w:t xml:space="preserve">variation </w:t>
      </w:r>
      <w:r>
        <w:rPr>
          <w:lang w:val="en-AU"/>
        </w:rPr>
        <w:t xml:space="preserve">details </w:t>
      </w:r>
      <w:r w:rsidR="005A3260">
        <w:rPr>
          <w:lang w:val="en-AU"/>
        </w:rPr>
        <w:t xml:space="preserve">both </w:t>
      </w:r>
      <w:r>
        <w:rPr>
          <w:lang w:val="en-AU"/>
        </w:rPr>
        <w:t>standard and accelerated connection timeframes</w:t>
      </w:r>
      <w:r w:rsidR="006E20E1">
        <w:rPr>
          <w:lang w:val="en-AU"/>
        </w:rPr>
        <w:t>. A</w:t>
      </w:r>
      <w:r>
        <w:rPr>
          <w:lang w:val="en-AU"/>
        </w:rPr>
        <w:t>ccelerated connections are set at one business day shorter than equivalent connection timeframes under the CSG, but are only available within NBN Co’s fixed line footprint.</w:t>
      </w:r>
    </w:p>
    <w:p w14:paraId="21CC6991" w14:textId="178C832D" w:rsidR="00C4146E" w:rsidRPr="00C4146E" w:rsidRDefault="00C4146E" w:rsidP="00C4146E">
      <w:pPr>
        <w:pStyle w:val="Tablefigureheading"/>
      </w:pPr>
      <w:r w:rsidRPr="00C4146E">
        <w:t xml:space="preserve">Proposed maximum </w:t>
      </w:r>
      <w:r w:rsidRPr="00C4146E">
        <w:rPr>
          <w:sz w:val="24"/>
          <w:szCs w:val="24"/>
        </w:rPr>
        <w:t>timeframes—standard connections</w:t>
      </w:r>
    </w:p>
    <w:tbl>
      <w:tblPr>
        <w:tblStyle w:val="DefaultTable11"/>
        <w:tblW w:w="5000" w:type="pct"/>
        <w:tblLook w:val="04A0" w:firstRow="1" w:lastRow="0" w:firstColumn="1" w:lastColumn="0" w:noHBand="0" w:noVBand="1"/>
        <w:tblDescription w:val="Proposed maximum timeframes—standard connections"/>
      </w:tblPr>
      <w:tblGrid>
        <w:gridCol w:w="2194"/>
        <w:gridCol w:w="2586"/>
        <w:gridCol w:w="2146"/>
        <w:gridCol w:w="2146"/>
      </w:tblGrid>
      <w:tr w:rsidR="00C4146E" w:rsidRPr="00654F9E" w14:paraId="089D168E" w14:textId="26031E5F" w:rsidTr="00C41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9" w:type="pct"/>
          </w:tcPr>
          <w:p w14:paraId="39FAA06A" w14:textId="3CCAFADA" w:rsidR="00C4146E" w:rsidRPr="00650CD4" w:rsidRDefault="00C4146E" w:rsidP="00B3784F">
            <w:pPr>
              <w:pStyle w:val="Tablerowcolumnheading"/>
              <w:rPr>
                <w:b/>
              </w:rPr>
            </w:pPr>
            <w:r>
              <w:rPr>
                <w:b/>
              </w:rPr>
              <w:t>Community/connection</w:t>
            </w:r>
          </w:p>
        </w:tc>
        <w:tc>
          <w:tcPr>
            <w:tcW w:w="1425" w:type="pct"/>
          </w:tcPr>
          <w:p w14:paraId="2A5E511A" w14:textId="77777777" w:rsidR="00C4146E" w:rsidRDefault="00C4146E" w:rsidP="00B3784F">
            <w:pPr>
              <w:cnfStyle w:val="100000000000" w:firstRow="1" w:lastRow="0" w:firstColumn="0" w:lastColumn="0" w:oddVBand="0" w:evenVBand="0" w:oddHBand="0" w:evenHBand="0" w:firstRowFirstColumn="0" w:firstRowLastColumn="0" w:lastRowFirstColumn="0" w:lastRowLastColumn="0"/>
              <w:rPr>
                <w:b w:val="0"/>
                <w:lang w:val="en-AU"/>
              </w:rPr>
            </w:pPr>
            <w:r>
              <w:rPr>
                <w:lang w:val="en-AU"/>
              </w:rPr>
              <w:t>Connection timeframe</w:t>
            </w:r>
          </w:p>
          <w:p w14:paraId="25FE1825" w14:textId="6BC9AC1D" w:rsidR="00C4146E" w:rsidRPr="00C4146E" w:rsidRDefault="00C4146E" w:rsidP="00B3784F">
            <w:pPr>
              <w:cnfStyle w:val="100000000000" w:firstRow="1" w:lastRow="0" w:firstColumn="0" w:lastColumn="0" w:oddVBand="0" w:evenVBand="0" w:oddHBand="0" w:evenHBand="0" w:firstRowFirstColumn="0" w:firstRowLastColumn="0" w:lastRowFirstColumn="0" w:lastRowLastColumn="0"/>
              <w:rPr>
                <w:lang w:val="en-AU"/>
              </w:rPr>
            </w:pPr>
            <w:r>
              <w:rPr>
                <w:lang w:val="en-AU"/>
              </w:rPr>
              <w:t>Fixed line network</w:t>
            </w:r>
          </w:p>
        </w:tc>
        <w:tc>
          <w:tcPr>
            <w:tcW w:w="1183" w:type="pct"/>
          </w:tcPr>
          <w:p w14:paraId="560336D0" w14:textId="77777777" w:rsidR="00C4146E"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pPr>
            <w:r>
              <w:rPr>
                <w:b/>
              </w:rPr>
              <w:t>Connection timeframe</w:t>
            </w:r>
          </w:p>
          <w:p w14:paraId="7CB00AD9" w14:textId="3A38D9AC" w:rsidR="00C4146E" w:rsidRPr="00C4146E" w:rsidRDefault="00C4146E" w:rsidP="00C4146E">
            <w:pPr>
              <w:cnfStyle w:val="100000000000" w:firstRow="1" w:lastRow="0" w:firstColumn="0" w:lastColumn="0" w:oddVBand="0" w:evenVBand="0" w:oddHBand="0" w:evenHBand="0" w:firstRowFirstColumn="0" w:firstRowLastColumn="0" w:lastRowFirstColumn="0" w:lastRowLastColumn="0"/>
              <w:rPr>
                <w:lang w:val="en-AU"/>
              </w:rPr>
            </w:pPr>
            <w:r>
              <w:rPr>
                <w:lang w:val="en-AU"/>
              </w:rPr>
              <w:t>Fixed wireless network</w:t>
            </w:r>
          </w:p>
        </w:tc>
        <w:tc>
          <w:tcPr>
            <w:tcW w:w="1183" w:type="pct"/>
          </w:tcPr>
          <w:p w14:paraId="3E0FA957" w14:textId="77777777" w:rsidR="00C4146E"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pPr>
            <w:r>
              <w:rPr>
                <w:b/>
              </w:rPr>
              <w:t>Connection timeframe</w:t>
            </w:r>
          </w:p>
          <w:p w14:paraId="60B0F48E" w14:textId="3814E02A" w:rsidR="00C4146E" w:rsidRPr="00C4146E" w:rsidRDefault="00C4146E" w:rsidP="00C4146E">
            <w:pPr>
              <w:cnfStyle w:val="100000000000" w:firstRow="1" w:lastRow="0" w:firstColumn="0" w:lastColumn="0" w:oddVBand="0" w:evenVBand="0" w:oddHBand="0" w:evenHBand="0" w:firstRowFirstColumn="0" w:firstRowLastColumn="0" w:lastRowFirstColumn="0" w:lastRowLastColumn="0"/>
              <w:rPr>
                <w:lang w:val="en-AU"/>
              </w:rPr>
            </w:pPr>
            <w:r>
              <w:rPr>
                <w:lang w:val="en-AU"/>
              </w:rPr>
              <w:t>Satellite network</w:t>
            </w:r>
          </w:p>
        </w:tc>
      </w:tr>
      <w:tr w:rsidR="00C4146E" w:rsidRPr="00654F9E" w14:paraId="72090711" w14:textId="7FA2E7D0" w:rsidTr="00CA29DC">
        <w:trPr>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0D76F279" w14:textId="15F4BA94" w:rsidR="00C4146E" w:rsidRPr="00650CD4" w:rsidRDefault="00C4146E" w:rsidP="00C4146E">
            <w:r>
              <w:rPr>
                <w:lang w:val="en-AU"/>
              </w:rPr>
              <w:t>No attendance required</w:t>
            </w:r>
          </w:p>
        </w:tc>
        <w:tc>
          <w:tcPr>
            <w:tcW w:w="1425" w:type="pct"/>
            <w:vAlign w:val="center"/>
          </w:tcPr>
          <w:p w14:paraId="2740B7DE" w14:textId="68A67749"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 business day</w:t>
            </w:r>
          </w:p>
        </w:tc>
        <w:tc>
          <w:tcPr>
            <w:tcW w:w="1183" w:type="pct"/>
            <w:vAlign w:val="center"/>
          </w:tcPr>
          <w:p w14:paraId="78DA840E" w14:textId="553B1C36"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 business day</w:t>
            </w:r>
          </w:p>
        </w:tc>
        <w:tc>
          <w:tcPr>
            <w:tcW w:w="1183" w:type="pct"/>
            <w:vAlign w:val="center"/>
          </w:tcPr>
          <w:p w14:paraId="27A41CE9" w14:textId="57B624A6"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 business day</w:t>
            </w:r>
          </w:p>
        </w:tc>
      </w:tr>
      <w:tr w:rsidR="00C4146E" w:rsidRPr="00654F9E" w14:paraId="64718460" w14:textId="5DF5E458" w:rsidTr="00CA29D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01A8D6C4" w14:textId="77777777" w:rsidR="00C4146E" w:rsidRPr="006B2ACB" w:rsidRDefault="00C4146E" w:rsidP="00C4146E">
            <w:pPr>
              <w:spacing w:before="60" w:after="60"/>
              <w:jc w:val="center"/>
              <w:rPr>
                <w:lang w:val="en-AU"/>
              </w:rPr>
            </w:pPr>
            <w:r w:rsidRPr="006B2ACB">
              <w:rPr>
                <w:lang w:val="en-AU"/>
              </w:rPr>
              <w:t xml:space="preserve">Urban </w:t>
            </w:r>
            <w:r>
              <w:rPr>
                <w:lang w:val="en-AU"/>
              </w:rPr>
              <w:t>(10,000+)</w:t>
            </w:r>
          </w:p>
          <w:p w14:paraId="5F610C4A" w14:textId="4543C43E" w:rsidR="00C4146E" w:rsidRPr="00650CD4" w:rsidRDefault="00C4146E" w:rsidP="00C4146E">
            <w:r w:rsidRPr="006B2ACB">
              <w:rPr>
                <w:b w:val="0"/>
                <w:i/>
                <w:lang w:val="en-AU"/>
              </w:rPr>
              <w:t>Premises has network connection but needs additional equipment</w:t>
            </w:r>
          </w:p>
        </w:tc>
        <w:tc>
          <w:tcPr>
            <w:tcW w:w="1425" w:type="pct"/>
            <w:vAlign w:val="center"/>
          </w:tcPr>
          <w:p w14:paraId="29214921" w14:textId="53CC4A5A"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sidRPr="006B2ACB">
              <w:rPr>
                <w:lang w:val="en-AU"/>
              </w:rPr>
              <w:t>9 business days</w:t>
            </w:r>
          </w:p>
        </w:tc>
        <w:tc>
          <w:tcPr>
            <w:tcW w:w="1183" w:type="pct"/>
            <w:vAlign w:val="center"/>
          </w:tcPr>
          <w:p w14:paraId="7CFF2D15" w14:textId="5F4D3D1A"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Pr>
                <w:lang w:val="en-AU"/>
              </w:rPr>
              <w:t>9 business days</w:t>
            </w:r>
          </w:p>
        </w:tc>
        <w:tc>
          <w:tcPr>
            <w:tcW w:w="1183" w:type="pct"/>
            <w:vAlign w:val="center"/>
          </w:tcPr>
          <w:p w14:paraId="3D45EBAC" w14:textId="312E098E"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sidRPr="006B2ACB">
              <w:rPr>
                <w:lang w:val="en-AU"/>
              </w:rPr>
              <w:t>20 business days</w:t>
            </w:r>
          </w:p>
        </w:tc>
      </w:tr>
      <w:tr w:rsidR="00C4146E" w:rsidRPr="00654F9E" w14:paraId="75EF1F19" w14:textId="3E6EE7F2" w:rsidTr="00CA29DC">
        <w:trPr>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4E3150C5" w14:textId="77777777" w:rsidR="00C4146E" w:rsidRPr="006B2ACB" w:rsidRDefault="00C4146E" w:rsidP="00C4146E">
            <w:pPr>
              <w:spacing w:before="60" w:after="60"/>
              <w:jc w:val="center"/>
              <w:rPr>
                <w:lang w:val="en-AU"/>
              </w:rPr>
            </w:pPr>
            <w:r w:rsidRPr="006B2ACB">
              <w:rPr>
                <w:lang w:val="en-AU"/>
              </w:rPr>
              <w:t xml:space="preserve">Urban </w:t>
            </w:r>
            <w:r>
              <w:rPr>
                <w:lang w:val="en-AU"/>
              </w:rPr>
              <w:t>(10,000+)</w:t>
            </w:r>
          </w:p>
          <w:p w14:paraId="71F0398E" w14:textId="54F47AA5" w:rsidR="00C4146E" w:rsidRPr="00650CD4" w:rsidRDefault="00C4146E" w:rsidP="00C4146E">
            <w:r w:rsidRPr="006B2ACB">
              <w:rPr>
                <w:b w:val="0"/>
                <w:i/>
                <w:lang w:val="en-AU"/>
              </w:rPr>
              <w:t>Routine work required to connect premises to the network</w:t>
            </w:r>
          </w:p>
        </w:tc>
        <w:tc>
          <w:tcPr>
            <w:tcW w:w="1425" w:type="pct"/>
            <w:vAlign w:val="center"/>
          </w:tcPr>
          <w:p w14:paraId="27DCDEE5" w14:textId="4211E70E"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sidRPr="006B2ACB">
              <w:rPr>
                <w:lang w:val="en-AU"/>
              </w:rPr>
              <w:t>14 business days</w:t>
            </w:r>
          </w:p>
        </w:tc>
        <w:tc>
          <w:tcPr>
            <w:tcW w:w="1183" w:type="pct"/>
            <w:vAlign w:val="center"/>
          </w:tcPr>
          <w:p w14:paraId="5F5FB6A7" w14:textId="43D9D921"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lang w:val="en-AU"/>
              </w:rPr>
              <w:t>9 business days</w:t>
            </w:r>
          </w:p>
        </w:tc>
        <w:tc>
          <w:tcPr>
            <w:tcW w:w="1183" w:type="pct"/>
            <w:vAlign w:val="center"/>
          </w:tcPr>
          <w:p w14:paraId="3FC50D2D" w14:textId="176BA70D"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lang w:val="en-AU"/>
              </w:rPr>
              <w:t>20 business days</w:t>
            </w:r>
          </w:p>
        </w:tc>
      </w:tr>
      <w:tr w:rsidR="00C4146E" w:rsidRPr="00654F9E" w14:paraId="03AFA41C" w14:textId="05973E29" w:rsidTr="00CA29D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17F44BF5" w14:textId="77777777" w:rsidR="00C4146E" w:rsidRPr="006B2ACB" w:rsidRDefault="00C4146E" w:rsidP="00C4146E">
            <w:pPr>
              <w:spacing w:before="60" w:after="60"/>
              <w:jc w:val="center"/>
              <w:rPr>
                <w:lang w:val="en-AU"/>
              </w:rPr>
            </w:pPr>
            <w:r w:rsidRPr="00420B37">
              <w:rPr>
                <w:szCs w:val="24"/>
                <w:lang w:val="en-AU"/>
              </w:rPr>
              <w:t>Rural (20</w:t>
            </w:r>
            <w:r>
              <w:rPr>
                <w:szCs w:val="24"/>
                <w:lang w:val="en-AU"/>
              </w:rPr>
              <w:t>0</w:t>
            </w:r>
            <w:r w:rsidRPr="00420B37">
              <w:rPr>
                <w:szCs w:val="24"/>
                <w:lang w:val="en-AU"/>
              </w:rPr>
              <w:t>-9</w:t>
            </w:r>
            <w:r>
              <w:rPr>
                <w:szCs w:val="24"/>
                <w:lang w:val="en-AU"/>
              </w:rPr>
              <w:t>,</w:t>
            </w:r>
            <w:r w:rsidRPr="00420B37">
              <w:rPr>
                <w:szCs w:val="24"/>
                <w:lang w:val="en-AU"/>
              </w:rPr>
              <w:t>999 people)</w:t>
            </w:r>
          </w:p>
          <w:p w14:paraId="7188FAA4" w14:textId="1212AC41" w:rsidR="00C4146E" w:rsidRPr="00420B37" w:rsidRDefault="00C4146E" w:rsidP="00C4146E">
            <w:pPr>
              <w:rPr>
                <w:lang w:val="en-AU"/>
              </w:rPr>
            </w:pPr>
            <w:r w:rsidRPr="006B2ACB">
              <w:rPr>
                <w:b w:val="0"/>
                <w:i/>
                <w:lang w:val="en-AU"/>
              </w:rPr>
              <w:t>Premises has network connection but needs additional equipment</w:t>
            </w:r>
          </w:p>
        </w:tc>
        <w:tc>
          <w:tcPr>
            <w:tcW w:w="1425" w:type="pct"/>
            <w:vAlign w:val="center"/>
          </w:tcPr>
          <w:p w14:paraId="2F044975" w14:textId="71670091"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6B2ACB">
              <w:rPr>
                <w:lang w:val="en-AU"/>
              </w:rPr>
              <w:t>14 business days</w:t>
            </w:r>
          </w:p>
        </w:tc>
        <w:tc>
          <w:tcPr>
            <w:tcW w:w="1183" w:type="pct"/>
            <w:vAlign w:val="center"/>
          </w:tcPr>
          <w:p w14:paraId="5282EC4A" w14:textId="178DBB68"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14 business days</w:t>
            </w:r>
          </w:p>
        </w:tc>
        <w:tc>
          <w:tcPr>
            <w:tcW w:w="1183" w:type="pct"/>
            <w:vAlign w:val="center"/>
          </w:tcPr>
          <w:p w14:paraId="163850F6" w14:textId="335B3AA8" w:rsidR="00C4146E" w:rsidRPr="00420B37"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6B2ACB">
              <w:rPr>
                <w:lang w:val="en-AU"/>
              </w:rPr>
              <w:t>20 business days</w:t>
            </w:r>
          </w:p>
        </w:tc>
      </w:tr>
      <w:tr w:rsidR="00C4146E" w:rsidRPr="00654F9E" w14:paraId="229E014D" w14:textId="0986AB56" w:rsidTr="00CA29DC">
        <w:trPr>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4DE60982" w14:textId="77777777" w:rsidR="00C4146E" w:rsidRPr="006B2ACB" w:rsidRDefault="00C4146E" w:rsidP="00C4146E">
            <w:pPr>
              <w:spacing w:before="60" w:after="60"/>
              <w:jc w:val="center"/>
              <w:rPr>
                <w:lang w:val="en-AU"/>
              </w:rPr>
            </w:pPr>
            <w:r w:rsidRPr="00420B37">
              <w:rPr>
                <w:szCs w:val="24"/>
                <w:lang w:val="en-AU"/>
              </w:rPr>
              <w:t>Rural (20</w:t>
            </w:r>
            <w:r>
              <w:rPr>
                <w:szCs w:val="24"/>
                <w:lang w:val="en-AU"/>
              </w:rPr>
              <w:t>0</w:t>
            </w:r>
            <w:r w:rsidRPr="00420B37">
              <w:rPr>
                <w:szCs w:val="24"/>
                <w:lang w:val="en-AU"/>
              </w:rPr>
              <w:t>-9</w:t>
            </w:r>
            <w:r>
              <w:rPr>
                <w:szCs w:val="24"/>
                <w:lang w:val="en-AU"/>
              </w:rPr>
              <w:t>,</w:t>
            </w:r>
            <w:r w:rsidRPr="00420B37">
              <w:rPr>
                <w:szCs w:val="24"/>
                <w:lang w:val="en-AU"/>
              </w:rPr>
              <w:t>999 people)</w:t>
            </w:r>
          </w:p>
          <w:p w14:paraId="043775C1" w14:textId="0D07AF33" w:rsidR="00C4146E" w:rsidRPr="00420B37" w:rsidRDefault="00C4146E" w:rsidP="00C4146E">
            <w:pPr>
              <w:rPr>
                <w:szCs w:val="24"/>
                <w:lang w:val="en-AU"/>
              </w:rPr>
            </w:pPr>
            <w:r w:rsidRPr="006B2ACB">
              <w:rPr>
                <w:b w:val="0"/>
                <w:i/>
                <w:lang w:val="en-AU"/>
              </w:rPr>
              <w:t>Routine work required to connect premises to the network</w:t>
            </w:r>
          </w:p>
        </w:tc>
        <w:tc>
          <w:tcPr>
            <w:tcW w:w="1425" w:type="pct"/>
            <w:vAlign w:val="center"/>
          </w:tcPr>
          <w:p w14:paraId="5EAD2DB3" w14:textId="7AD8EB60"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6B2ACB">
              <w:rPr>
                <w:lang w:val="en-AU"/>
              </w:rPr>
              <w:t>19 business days</w:t>
            </w:r>
          </w:p>
        </w:tc>
        <w:tc>
          <w:tcPr>
            <w:tcW w:w="1183" w:type="pct"/>
            <w:vAlign w:val="center"/>
          </w:tcPr>
          <w:p w14:paraId="34BF1BE5" w14:textId="6ECAB663"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14 business days</w:t>
            </w:r>
          </w:p>
        </w:tc>
        <w:tc>
          <w:tcPr>
            <w:tcW w:w="1183" w:type="pct"/>
            <w:vAlign w:val="center"/>
          </w:tcPr>
          <w:p w14:paraId="0E67BE0A" w14:textId="71C3DF2F" w:rsidR="00C4146E" w:rsidRPr="00420B37"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20 business days</w:t>
            </w:r>
          </w:p>
        </w:tc>
      </w:tr>
      <w:tr w:rsidR="00C4146E" w:rsidRPr="00654F9E" w14:paraId="7AD84205" w14:textId="3CF23729" w:rsidTr="00CA29D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02560B95" w14:textId="77777777" w:rsidR="00C4146E" w:rsidRPr="006B2ACB" w:rsidRDefault="00C4146E" w:rsidP="00C4146E">
            <w:pPr>
              <w:spacing w:before="60" w:after="60"/>
              <w:jc w:val="center"/>
              <w:rPr>
                <w:lang w:val="en-AU"/>
              </w:rPr>
            </w:pPr>
            <w:r w:rsidRPr="00420B37">
              <w:rPr>
                <w:szCs w:val="24"/>
                <w:lang w:val="en-AU"/>
              </w:rPr>
              <w:t xml:space="preserve">Remote (up to </w:t>
            </w:r>
            <w:r>
              <w:rPr>
                <w:szCs w:val="24"/>
                <w:lang w:val="en-AU"/>
              </w:rPr>
              <w:t>199</w:t>
            </w:r>
            <w:r w:rsidRPr="00420B37">
              <w:rPr>
                <w:szCs w:val="24"/>
                <w:lang w:val="en-AU"/>
              </w:rPr>
              <w:t xml:space="preserve"> people)</w:t>
            </w:r>
          </w:p>
          <w:p w14:paraId="22A4AA09" w14:textId="3A071032" w:rsidR="00C4146E" w:rsidRDefault="00C4146E" w:rsidP="00C4146E">
            <w:pPr>
              <w:rPr>
                <w:lang w:val="en-AU"/>
              </w:rPr>
            </w:pPr>
            <w:r w:rsidRPr="006B2ACB">
              <w:rPr>
                <w:b w:val="0"/>
                <w:i/>
                <w:lang w:val="en-AU"/>
              </w:rPr>
              <w:t>Premises has network connection but needs additional equipment</w:t>
            </w:r>
          </w:p>
        </w:tc>
        <w:tc>
          <w:tcPr>
            <w:tcW w:w="1425" w:type="pct"/>
            <w:vAlign w:val="center"/>
          </w:tcPr>
          <w:p w14:paraId="221BE48D" w14:textId="3C05296E"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6B2ACB">
              <w:rPr>
                <w:lang w:val="en-AU"/>
              </w:rPr>
              <w:t>19 business days</w:t>
            </w:r>
          </w:p>
        </w:tc>
        <w:tc>
          <w:tcPr>
            <w:tcW w:w="1183" w:type="pct"/>
            <w:vAlign w:val="center"/>
          </w:tcPr>
          <w:p w14:paraId="231BC16D" w14:textId="2D133495"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19 business days</w:t>
            </w:r>
          </w:p>
        </w:tc>
        <w:tc>
          <w:tcPr>
            <w:tcW w:w="1183" w:type="pct"/>
            <w:vAlign w:val="center"/>
          </w:tcPr>
          <w:p w14:paraId="333AFC35" w14:textId="54D506E1"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6B2ACB">
              <w:rPr>
                <w:lang w:val="en-AU"/>
              </w:rPr>
              <w:t>20 business days</w:t>
            </w:r>
          </w:p>
        </w:tc>
      </w:tr>
      <w:tr w:rsidR="00C4146E" w:rsidRPr="00654F9E" w14:paraId="6009FBC7" w14:textId="77777777" w:rsidTr="00CA29DC">
        <w:trPr>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7A0CDF8D" w14:textId="77777777" w:rsidR="00C4146E" w:rsidRPr="006B2ACB" w:rsidRDefault="00C4146E" w:rsidP="00C4146E">
            <w:pPr>
              <w:spacing w:before="60" w:after="60"/>
              <w:jc w:val="center"/>
              <w:rPr>
                <w:lang w:val="en-AU"/>
              </w:rPr>
            </w:pPr>
            <w:r w:rsidRPr="00420B37">
              <w:rPr>
                <w:szCs w:val="24"/>
                <w:lang w:val="en-AU"/>
              </w:rPr>
              <w:t xml:space="preserve">Remote (up to </w:t>
            </w:r>
            <w:r>
              <w:rPr>
                <w:szCs w:val="24"/>
                <w:lang w:val="en-AU"/>
              </w:rPr>
              <w:t>199</w:t>
            </w:r>
            <w:r w:rsidRPr="00420B37">
              <w:rPr>
                <w:szCs w:val="24"/>
                <w:lang w:val="en-AU"/>
              </w:rPr>
              <w:t xml:space="preserve"> people)</w:t>
            </w:r>
          </w:p>
          <w:p w14:paraId="33410985" w14:textId="5AE91164" w:rsidR="00C4146E" w:rsidRPr="00420B37" w:rsidRDefault="00C4146E" w:rsidP="00C4146E">
            <w:pPr>
              <w:spacing w:before="60" w:after="60"/>
              <w:jc w:val="center"/>
              <w:rPr>
                <w:szCs w:val="24"/>
                <w:lang w:val="en-AU"/>
              </w:rPr>
            </w:pPr>
            <w:r w:rsidRPr="006B2ACB">
              <w:rPr>
                <w:b w:val="0"/>
                <w:i/>
                <w:lang w:val="en-AU"/>
              </w:rPr>
              <w:t>Routine work required to connect premises to the network</w:t>
            </w:r>
          </w:p>
        </w:tc>
        <w:tc>
          <w:tcPr>
            <w:tcW w:w="1425" w:type="pct"/>
            <w:vAlign w:val="center"/>
          </w:tcPr>
          <w:p w14:paraId="61171279" w14:textId="3A4D1C32" w:rsidR="00C4146E" w:rsidRPr="006B2ACB"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6B2ACB">
              <w:rPr>
                <w:lang w:val="en-AU"/>
              </w:rPr>
              <w:t>19 business days</w:t>
            </w:r>
          </w:p>
        </w:tc>
        <w:tc>
          <w:tcPr>
            <w:tcW w:w="1183" w:type="pct"/>
            <w:vAlign w:val="center"/>
          </w:tcPr>
          <w:p w14:paraId="4D2CA005" w14:textId="3B3F6F19" w:rsidR="00C4146E"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19 business days</w:t>
            </w:r>
          </w:p>
        </w:tc>
        <w:tc>
          <w:tcPr>
            <w:tcW w:w="1183" w:type="pct"/>
            <w:vAlign w:val="center"/>
          </w:tcPr>
          <w:p w14:paraId="4403C784" w14:textId="0B95F01F" w:rsidR="00C4146E" w:rsidRPr="006B2ACB"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Pr>
                <w:lang w:val="en-AU"/>
              </w:rPr>
              <w:t>20 business days</w:t>
            </w:r>
          </w:p>
        </w:tc>
      </w:tr>
      <w:tr w:rsidR="00C4146E" w:rsidRPr="00654F9E" w14:paraId="5C8C891A" w14:textId="77777777" w:rsidTr="00CA29D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4D2F5153" w14:textId="1674A541" w:rsidR="00C4146E" w:rsidRPr="00420B37" w:rsidRDefault="00C4146E" w:rsidP="00C4146E">
            <w:pPr>
              <w:spacing w:before="60" w:after="60"/>
              <w:jc w:val="center"/>
              <w:rPr>
                <w:szCs w:val="24"/>
                <w:lang w:val="en-AU"/>
              </w:rPr>
            </w:pPr>
            <w:r w:rsidRPr="006B2ACB">
              <w:rPr>
                <w:lang w:val="en-AU"/>
              </w:rPr>
              <w:t>Isolated</w:t>
            </w:r>
            <w:r w:rsidRPr="00A04A97">
              <w:rPr>
                <w:rFonts w:cstheme="minorHAnsi"/>
              </w:rPr>
              <w:t>^</w:t>
            </w:r>
            <w:r w:rsidRPr="00A04A97">
              <w:rPr>
                <w:rFonts w:cstheme="minorHAnsi"/>
                <w:lang w:val="en-AU"/>
              </w:rPr>
              <w:t xml:space="preserve"> </w:t>
            </w:r>
          </w:p>
        </w:tc>
        <w:tc>
          <w:tcPr>
            <w:tcW w:w="1425" w:type="pct"/>
            <w:vAlign w:val="center"/>
          </w:tcPr>
          <w:p w14:paraId="2B4FBAE4" w14:textId="13F47D4A" w:rsidR="00C4146E" w:rsidRPr="006B2ACB"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sidRPr="006B2ACB">
              <w:rPr>
                <w:lang w:val="en-AU"/>
              </w:rPr>
              <w:t>N/A</w:t>
            </w:r>
          </w:p>
        </w:tc>
        <w:tc>
          <w:tcPr>
            <w:tcW w:w="1183" w:type="pct"/>
            <w:vAlign w:val="center"/>
          </w:tcPr>
          <w:p w14:paraId="2CC17939" w14:textId="25774F15"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N/A</w:t>
            </w:r>
          </w:p>
        </w:tc>
        <w:tc>
          <w:tcPr>
            <w:tcW w:w="1183" w:type="pct"/>
            <w:vAlign w:val="center"/>
          </w:tcPr>
          <w:p w14:paraId="1554429F" w14:textId="6D21B23E" w:rsidR="00C4146E" w:rsidRDefault="00C4146E" w:rsidP="00C4146E">
            <w:pPr>
              <w:cnfStyle w:val="000000010000" w:firstRow="0" w:lastRow="0" w:firstColumn="0" w:lastColumn="0" w:oddVBand="0" w:evenVBand="0" w:oddHBand="0" w:evenHBand="1" w:firstRowFirstColumn="0" w:firstRowLastColumn="0" w:lastRowFirstColumn="0" w:lastRowLastColumn="0"/>
              <w:rPr>
                <w:lang w:val="en-AU"/>
              </w:rPr>
            </w:pPr>
            <w:r>
              <w:rPr>
                <w:lang w:val="en-AU"/>
              </w:rPr>
              <w:t>35 business days</w:t>
            </w:r>
          </w:p>
        </w:tc>
      </w:tr>
      <w:tr w:rsidR="00C4146E" w:rsidRPr="00654F9E" w14:paraId="201B286A" w14:textId="77777777" w:rsidTr="00CA29DC">
        <w:trPr>
          <w:cantSplit/>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1447D5A9" w14:textId="6645A143" w:rsidR="00C4146E" w:rsidRPr="006B2ACB" w:rsidRDefault="00C4146E" w:rsidP="00C4146E">
            <w:pPr>
              <w:spacing w:before="60" w:after="60"/>
              <w:jc w:val="center"/>
              <w:rPr>
                <w:lang w:val="en-AU"/>
              </w:rPr>
            </w:pPr>
            <w:r w:rsidRPr="006B2ACB">
              <w:rPr>
                <w:lang w:val="en-AU"/>
              </w:rPr>
              <w:t xml:space="preserve">Limited </w:t>
            </w:r>
            <w:r>
              <w:rPr>
                <w:lang w:val="en-AU"/>
              </w:rPr>
              <w:t>a</w:t>
            </w:r>
            <w:r w:rsidRPr="006B2ACB">
              <w:rPr>
                <w:lang w:val="en-AU"/>
              </w:rPr>
              <w:t>ccess</w:t>
            </w:r>
            <w:r w:rsidRPr="00A04A97">
              <w:rPr>
                <w:rFonts w:cstheme="minorHAnsi"/>
              </w:rPr>
              <w:t>^</w:t>
            </w:r>
          </w:p>
        </w:tc>
        <w:tc>
          <w:tcPr>
            <w:tcW w:w="1425" w:type="pct"/>
            <w:vAlign w:val="center"/>
          </w:tcPr>
          <w:p w14:paraId="22DC6CD1" w14:textId="50E58C2B" w:rsidR="00C4146E" w:rsidRPr="006B2ACB"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6B2ACB">
              <w:rPr>
                <w:lang w:val="en-AU"/>
              </w:rPr>
              <w:t>N/A</w:t>
            </w:r>
          </w:p>
        </w:tc>
        <w:tc>
          <w:tcPr>
            <w:tcW w:w="1183" w:type="pct"/>
            <w:vAlign w:val="center"/>
          </w:tcPr>
          <w:p w14:paraId="7D475F25" w14:textId="113F376C" w:rsidR="00C4146E"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6B2ACB">
              <w:rPr>
                <w:lang w:val="en-AU"/>
              </w:rPr>
              <w:t>N/A</w:t>
            </w:r>
          </w:p>
        </w:tc>
        <w:tc>
          <w:tcPr>
            <w:tcW w:w="1183" w:type="pct"/>
            <w:vAlign w:val="center"/>
          </w:tcPr>
          <w:p w14:paraId="361A0AC0" w14:textId="413DEFFE" w:rsidR="00C4146E" w:rsidRDefault="00C4146E" w:rsidP="00C4146E">
            <w:pPr>
              <w:cnfStyle w:val="000000000000" w:firstRow="0" w:lastRow="0" w:firstColumn="0" w:lastColumn="0" w:oddVBand="0" w:evenVBand="0" w:oddHBand="0" w:evenHBand="0" w:firstRowFirstColumn="0" w:firstRowLastColumn="0" w:lastRowFirstColumn="0" w:lastRowLastColumn="0"/>
              <w:rPr>
                <w:lang w:val="en-AU"/>
              </w:rPr>
            </w:pPr>
            <w:r w:rsidRPr="006B2ACB">
              <w:rPr>
                <w:lang w:val="en-AU"/>
              </w:rPr>
              <w:t>N/A</w:t>
            </w:r>
            <w:r w:rsidRPr="009C62A7">
              <w:rPr>
                <w:vertAlign w:val="superscript"/>
                <w:lang w:val="en-AU"/>
              </w:rPr>
              <w:t>#</w:t>
            </w:r>
          </w:p>
        </w:tc>
      </w:tr>
    </w:tbl>
    <w:p w14:paraId="6656053C" w14:textId="77777777" w:rsidR="00435A4A" w:rsidRPr="007A5EB0" w:rsidRDefault="00435A4A" w:rsidP="0074096F">
      <w:pPr>
        <w:spacing w:before="160" w:after="60"/>
        <w:rPr>
          <w:rFonts w:cstheme="minorHAnsi"/>
          <w:i/>
          <w:sz w:val="21"/>
          <w:szCs w:val="21"/>
        </w:rPr>
      </w:pPr>
      <w:r w:rsidRPr="007A5EB0">
        <w:rPr>
          <w:rFonts w:cstheme="minorHAnsi"/>
          <w:i/>
          <w:sz w:val="21"/>
          <w:szCs w:val="21"/>
        </w:rPr>
        <w:t xml:space="preserve">^ NBN Co defines an Isolated </w:t>
      </w:r>
      <w:r>
        <w:rPr>
          <w:rFonts w:cstheme="minorHAnsi"/>
          <w:i/>
          <w:sz w:val="21"/>
          <w:szCs w:val="21"/>
        </w:rPr>
        <w:t>a</w:t>
      </w:r>
      <w:r w:rsidRPr="007A5EB0">
        <w:rPr>
          <w:rFonts w:cstheme="minorHAnsi"/>
          <w:i/>
          <w:sz w:val="21"/>
          <w:szCs w:val="21"/>
        </w:rPr>
        <w:t xml:space="preserve">rea as any area within its satellite footprint which is considered ‘very remote’ or ‘remote’ using the ARIA+ remoteness index. NBN Co defines a </w:t>
      </w:r>
      <w:r>
        <w:rPr>
          <w:rFonts w:cstheme="minorHAnsi"/>
          <w:i/>
          <w:sz w:val="21"/>
          <w:szCs w:val="21"/>
        </w:rPr>
        <w:t>l</w:t>
      </w:r>
      <w:r w:rsidRPr="007A5EB0">
        <w:rPr>
          <w:rFonts w:cstheme="minorHAnsi"/>
          <w:i/>
          <w:sz w:val="21"/>
          <w:szCs w:val="21"/>
        </w:rPr>
        <w:t xml:space="preserve">imited </w:t>
      </w:r>
      <w:r>
        <w:rPr>
          <w:rFonts w:cstheme="minorHAnsi"/>
          <w:i/>
          <w:sz w:val="21"/>
          <w:szCs w:val="21"/>
        </w:rPr>
        <w:t>a</w:t>
      </w:r>
      <w:r w:rsidRPr="007A5EB0">
        <w:rPr>
          <w:rFonts w:cstheme="minorHAnsi"/>
          <w:i/>
          <w:sz w:val="21"/>
          <w:szCs w:val="21"/>
        </w:rPr>
        <w:t xml:space="preserve">ccess area as an area within its satellite footprint that cannot be reasonably accessed via road (i.e. requires access by sea or air). </w:t>
      </w:r>
    </w:p>
    <w:p w14:paraId="0D13B920" w14:textId="5947FF66" w:rsidR="00435A4A" w:rsidRPr="007A5EB0" w:rsidRDefault="00435A4A" w:rsidP="00435A4A">
      <w:pPr>
        <w:spacing w:before="160"/>
        <w:rPr>
          <w:rFonts w:cstheme="minorHAnsi"/>
          <w:i/>
          <w:sz w:val="21"/>
          <w:szCs w:val="21"/>
          <w:lang w:val="en-AU"/>
        </w:rPr>
      </w:pPr>
      <w:r w:rsidRPr="007A5EB0">
        <w:rPr>
          <w:rFonts w:cstheme="minorHAnsi"/>
          <w:i/>
          <w:sz w:val="21"/>
          <w:szCs w:val="21"/>
          <w:vertAlign w:val="superscript"/>
          <w:lang w:val="en-AU"/>
        </w:rPr>
        <w:t>#</w:t>
      </w:r>
      <w:r w:rsidRPr="007A5EB0">
        <w:rPr>
          <w:rFonts w:cstheme="minorHAnsi"/>
          <w:i/>
          <w:sz w:val="21"/>
          <w:szCs w:val="21"/>
          <w:lang w:val="en-AU"/>
        </w:rPr>
        <w:t xml:space="preserve"> NBN Co’s </w:t>
      </w:r>
      <w:r w:rsidR="00E9685A">
        <w:rPr>
          <w:rFonts w:cstheme="minorHAnsi"/>
          <w:i/>
          <w:sz w:val="21"/>
          <w:szCs w:val="21"/>
          <w:lang w:val="en-AU"/>
        </w:rPr>
        <w:t xml:space="preserve">proposed </w:t>
      </w:r>
      <w:r w:rsidRPr="007A5EB0">
        <w:rPr>
          <w:rFonts w:cstheme="minorHAnsi"/>
          <w:i/>
          <w:sz w:val="21"/>
          <w:szCs w:val="21"/>
          <w:lang w:val="en-AU"/>
        </w:rPr>
        <w:t xml:space="preserve">SAU </w:t>
      </w:r>
      <w:r w:rsidR="00E9685A">
        <w:rPr>
          <w:rFonts w:cstheme="minorHAnsi"/>
          <w:i/>
          <w:sz w:val="21"/>
          <w:szCs w:val="21"/>
          <w:lang w:val="en-AU"/>
        </w:rPr>
        <w:t xml:space="preserve">variation </w:t>
      </w:r>
      <w:r w:rsidRPr="007A5EB0">
        <w:rPr>
          <w:rFonts w:cstheme="minorHAnsi"/>
          <w:i/>
          <w:sz w:val="21"/>
          <w:szCs w:val="21"/>
          <w:lang w:val="en-AU"/>
        </w:rPr>
        <w:t>does not include any service levels for limited access areas, however under WBA4 it aims to meet an operational target of 90 calendar days for both connections and fault rectification.</w:t>
      </w:r>
    </w:p>
    <w:p w14:paraId="1653A5F4" w14:textId="369A23E5" w:rsidR="00861A6F" w:rsidRDefault="00861A6F" w:rsidP="00C4146E">
      <w:pPr>
        <w:pStyle w:val="Tablefigureheading"/>
        <w:rPr>
          <w:rFonts w:cstheme="minorHAnsi"/>
          <w:bCs/>
          <w:color w:val="202124"/>
          <w:sz w:val="21"/>
          <w:szCs w:val="21"/>
          <w:shd w:val="clear" w:color="auto" w:fill="FFFFFF"/>
        </w:rPr>
      </w:pPr>
      <w:r>
        <w:lastRenderedPageBreak/>
        <w:t xml:space="preserve">Proposed maximum </w:t>
      </w:r>
      <w:r w:rsidRPr="00420B37">
        <w:t>timeframes</w:t>
      </w:r>
      <w:r>
        <w:t xml:space="preserve"> – accelerated connections</w:t>
      </w:r>
      <w:r w:rsidR="007A5EB0" w:rsidRPr="007A5EB0">
        <w:rPr>
          <w:rFonts w:cstheme="minorHAnsi"/>
          <w:bCs/>
          <w:color w:val="202124"/>
          <w:sz w:val="21"/>
          <w:szCs w:val="21"/>
          <w:shd w:val="clear" w:color="auto" w:fill="FFFFFF"/>
          <w:vertAlign w:val="superscript"/>
        </w:rPr>
        <w:t>†</w:t>
      </w:r>
    </w:p>
    <w:tbl>
      <w:tblPr>
        <w:tblStyle w:val="DefaultTable11"/>
        <w:tblW w:w="4063" w:type="pct"/>
        <w:tblLook w:val="04A0" w:firstRow="1" w:lastRow="0" w:firstColumn="1" w:lastColumn="0" w:noHBand="0" w:noVBand="1"/>
        <w:tblDescription w:val="Proposed maximum timeframes – accelerated connections†"/>
      </w:tblPr>
      <w:tblGrid>
        <w:gridCol w:w="4255"/>
        <w:gridCol w:w="3117"/>
      </w:tblGrid>
      <w:tr w:rsidR="00C4146E" w:rsidRPr="00654F9E" w14:paraId="044942D9" w14:textId="77777777" w:rsidTr="00B3784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6" w:type="pct"/>
          </w:tcPr>
          <w:p w14:paraId="67A92A2F" w14:textId="77777777" w:rsidR="00C4146E" w:rsidRPr="00650CD4" w:rsidRDefault="00C4146E" w:rsidP="00B3784F">
            <w:pPr>
              <w:pStyle w:val="Tablerowcolumnheading"/>
              <w:rPr>
                <w:b/>
              </w:rPr>
            </w:pPr>
            <w:r>
              <w:rPr>
                <w:b/>
              </w:rPr>
              <w:t>Community</w:t>
            </w:r>
          </w:p>
        </w:tc>
        <w:tc>
          <w:tcPr>
            <w:tcW w:w="2114" w:type="pct"/>
          </w:tcPr>
          <w:p w14:paraId="5FC42EEE" w14:textId="05D73A2F" w:rsidR="00C4146E" w:rsidRPr="00650CD4" w:rsidRDefault="00C4146E" w:rsidP="00B3784F">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Accelerated connection timeframe</w:t>
            </w:r>
          </w:p>
        </w:tc>
      </w:tr>
      <w:tr w:rsidR="00C4146E" w:rsidRPr="00654F9E" w14:paraId="429A3E38" w14:textId="77777777" w:rsidTr="00B3784F">
        <w:trPr>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09961EE8" w14:textId="33EEBC39" w:rsidR="00C4146E" w:rsidRPr="00650CD4" w:rsidRDefault="00C4146E" w:rsidP="00C4146E">
            <w:r w:rsidRPr="00420B37">
              <w:rPr>
                <w:szCs w:val="24"/>
                <w:lang w:val="en-AU"/>
              </w:rPr>
              <w:t>Urban (10,000+ people)</w:t>
            </w:r>
          </w:p>
        </w:tc>
        <w:tc>
          <w:tcPr>
            <w:tcW w:w="2114" w:type="pct"/>
            <w:vAlign w:val="center"/>
          </w:tcPr>
          <w:p w14:paraId="5F2C53DD" w14:textId="68B79605"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bCs/>
                <w:lang w:val="en-AU"/>
              </w:rPr>
              <w:t>4 business days</w:t>
            </w:r>
          </w:p>
        </w:tc>
      </w:tr>
      <w:tr w:rsidR="00C4146E" w:rsidRPr="00654F9E" w14:paraId="0B96DB60" w14:textId="77777777" w:rsidTr="00B378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3251CAA1" w14:textId="66032A50" w:rsidR="00C4146E" w:rsidRPr="00650CD4" w:rsidRDefault="00C4146E" w:rsidP="00C4146E">
            <w:r w:rsidRPr="00420B37">
              <w:rPr>
                <w:lang w:val="en-AU"/>
              </w:rPr>
              <w:t>Major rural (2</w:t>
            </w:r>
            <w:r>
              <w:rPr>
                <w:lang w:val="en-AU"/>
              </w:rPr>
              <w:t>,</w:t>
            </w:r>
            <w:r w:rsidRPr="00420B37">
              <w:rPr>
                <w:lang w:val="en-AU"/>
              </w:rPr>
              <w:t>501-9</w:t>
            </w:r>
            <w:r>
              <w:rPr>
                <w:lang w:val="en-AU"/>
              </w:rPr>
              <w:t>,</w:t>
            </w:r>
            <w:r w:rsidRPr="00420B37">
              <w:rPr>
                <w:lang w:val="en-AU"/>
              </w:rPr>
              <w:t>999 people)</w:t>
            </w:r>
          </w:p>
        </w:tc>
        <w:tc>
          <w:tcPr>
            <w:tcW w:w="2114" w:type="pct"/>
            <w:vAlign w:val="center"/>
          </w:tcPr>
          <w:p w14:paraId="06D745A1" w14:textId="227B1981" w:rsidR="00C4146E" w:rsidRPr="00650CD4" w:rsidRDefault="00C4146E" w:rsidP="00C4146E">
            <w:pPr>
              <w:cnfStyle w:val="000000010000" w:firstRow="0" w:lastRow="0" w:firstColumn="0" w:lastColumn="0" w:oddVBand="0" w:evenVBand="0" w:oddHBand="0" w:evenHBand="1" w:firstRowFirstColumn="0" w:firstRowLastColumn="0" w:lastRowFirstColumn="0" w:lastRowLastColumn="0"/>
            </w:pPr>
            <w:r>
              <w:rPr>
                <w:lang w:val="en-AU"/>
              </w:rPr>
              <w:t>9 business days</w:t>
            </w:r>
          </w:p>
        </w:tc>
      </w:tr>
      <w:tr w:rsidR="00C4146E" w:rsidRPr="00654F9E" w14:paraId="186D9279" w14:textId="77777777" w:rsidTr="00B3784F">
        <w:trPr>
          <w:cantSplit/>
        </w:trPr>
        <w:tc>
          <w:tcPr>
            <w:cnfStyle w:val="001000000000" w:firstRow="0" w:lastRow="0" w:firstColumn="1" w:lastColumn="0" w:oddVBand="0" w:evenVBand="0" w:oddHBand="0" w:evenHBand="0" w:firstRowFirstColumn="0" w:firstRowLastColumn="0" w:lastRowFirstColumn="0" w:lastRowLastColumn="0"/>
            <w:tcW w:w="2886" w:type="pct"/>
            <w:vAlign w:val="center"/>
          </w:tcPr>
          <w:p w14:paraId="356AB9F5" w14:textId="678E268E" w:rsidR="00C4146E" w:rsidRPr="00650CD4" w:rsidRDefault="00C4146E" w:rsidP="00C4146E">
            <w:r w:rsidRPr="00420B37">
              <w:rPr>
                <w:szCs w:val="24"/>
                <w:lang w:val="en-AU"/>
              </w:rPr>
              <w:t>Minor rural (201 to 2</w:t>
            </w:r>
            <w:r>
              <w:rPr>
                <w:szCs w:val="24"/>
                <w:lang w:val="en-AU"/>
              </w:rPr>
              <w:t>,</w:t>
            </w:r>
            <w:r w:rsidRPr="00420B37">
              <w:rPr>
                <w:szCs w:val="24"/>
                <w:lang w:val="en-AU"/>
              </w:rPr>
              <w:t>500 people)</w:t>
            </w:r>
          </w:p>
        </w:tc>
        <w:tc>
          <w:tcPr>
            <w:tcW w:w="2114" w:type="pct"/>
            <w:vAlign w:val="center"/>
          </w:tcPr>
          <w:p w14:paraId="5A6CBBCD" w14:textId="5369F45F" w:rsidR="00C4146E" w:rsidRPr="00650CD4" w:rsidRDefault="00C4146E" w:rsidP="00C4146E">
            <w:pPr>
              <w:cnfStyle w:val="000000000000" w:firstRow="0" w:lastRow="0" w:firstColumn="0" w:lastColumn="0" w:oddVBand="0" w:evenVBand="0" w:oddHBand="0" w:evenHBand="0" w:firstRowFirstColumn="0" w:firstRowLastColumn="0" w:lastRowFirstColumn="0" w:lastRowLastColumn="0"/>
            </w:pPr>
            <w:r>
              <w:rPr>
                <w:lang w:val="en-AU"/>
              </w:rPr>
              <w:t>14 business days</w:t>
            </w:r>
          </w:p>
        </w:tc>
      </w:tr>
    </w:tbl>
    <w:p w14:paraId="00DF59BE" w14:textId="77777777" w:rsidR="00435A4A" w:rsidRDefault="00435A4A" w:rsidP="00146C90">
      <w:pPr>
        <w:spacing w:before="160"/>
        <w:ind w:right="-284"/>
        <w:rPr>
          <w:rFonts w:cstheme="minorHAnsi"/>
          <w:bCs/>
          <w:i/>
          <w:color w:val="202124"/>
          <w:sz w:val="21"/>
          <w:szCs w:val="21"/>
          <w:shd w:val="clear" w:color="auto" w:fill="FFFFFF"/>
        </w:rPr>
      </w:pPr>
      <w:r w:rsidRPr="007A5EB0">
        <w:rPr>
          <w:rFonts w:cstheme="minorHAnsi"/>
          <w:bCs/>
          <w:color w:val="202124"/>
          <w:sz w:val="21"/>
          <w:szCs w:val="21"/>
          <w:shd w:val="clear" w:color="auto" w:fill="FFFFFF"/>
        </w:rPr>
        <w:t>†</w:t>
      </w:r>
      <w:r>
        <w:rPr>
          <w:rFonts w:cstheme="minorHAnsi"/>
          <w:bCs/>
          <w:color w:val="202124"/>
          <w:sz w:val="21"/>
          <w:szCs w:val="21"/>
          <w:shd w:val="clear" w:color="auto" w:fill="FFFFFF"/>
        </w:rPr>
        <w:t xml:space="preserve"> </w:t>
      </w:r>
      <w:r>
        <w:rPr>
          <w:rFonts w:cstheme="minorHAnsi"/>
          <w:bCs/>
          <w:i/>
          <w:color w:val="202124"/>
          <w:sz w:val="21"/>
          <w:szCs w:val="21"/>
          <w:shd w:val="clear" w:color="auto" w:fill="FFFFFF"/>
        </w:rPr>
        <w:t xml:space="preserve">As accelerated connections are only available for connections within the NBN fixed-line footprint, no service level commitments are provided for accelerated connections in remote, isolated or limited access areas. </w:t>
      </w:r>
    </w:p>
    <w:p w14:paraId="13826F85" w14:textId="77777777" w:rsidR="00435A4A" w:rsidRDefault="00435A4A" w:rsidP="00435A4A">
      <w:pPr>
        <w:pStyle w:val="Heading3"/>
        <w:rPr>
          <w:lang w:val="en-AU"/>
        </w:rPr>
      </w:pPr>
      <w:bookmarkStart w:id="55" w:name="_Toc127530739"/>
      <w:r>
        <w:rPr>
          <w:lang w:val="en-AU"/>
        </w:rPr>
        <w:t>Appointment keeping</w:t>
      </w:r>
      <w:bookmarkEnd w:id="55"/>
    </w:p>
    <w:p w14:paraId="0DFCFC37" w14:textId="77777777" w:rsidR="00435A4A" w:rsidRDefault="00435A4A" w:rsidP="00435A4A">
      <w:pPr>
        <w:spacing w:before="160"/>
        <w:rPr>
          <w:lang w:val="en-AU"/>
        </w:rPr>
      </w:pPr>
      <w:r>
        <w:rPr>
          <w:lang w:val="en-AU"/>
        </w:rPr>
        <w:t xml:space="preserve">NBN Co’s proposed maximum timeframes for appointment-keeping are the same as the CSG requirements set out in </w:t>
      </w:r>
      <w:r w:rsidRPr="009A7B19">
        <w:rPr>
          <w:b/>
          <w:lang w:val="en-AU"/>
        </w:rPr>
        <w:t>Appendix A</w:t>
      </w:r>
      <w:r>
        <w:rPr>
          <w:lang w:val="en-AU"/>
        </w:rPr>
        <w:t xml:space="preserve">. </w:t>
      </w:r>
    </w:p>
    <w:sectPr w:rsidR="00435A4A" w:rsidSect="00D6206E">
      <w:pgSz w:w="11906" w:h="16838"/>
      <w:pgMar w:top="1440" w:right="1274" w:bottom="1134"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46E7" w14:textId="77777777" w:rsidR="00650CD4" w:rsidRDefault="00650CD4" w:rsidP="004D4B0F">
      <w:r>
        <w:separator/>
      </w:r>
    </w:p>
  </w:endnote>
  <w:endnote w:type="continuationSeparator" w:id="0">
    <w:p w14:paraId="43E8A953" w14:textId="77777777" w:rsidR="00650CD4" w:rsidRDefault="00650CD4" w:rsidP="004D4B0F">
      <w:r>
        <w:continuationSeparator/>
      </w:r>
    </w:p>
  </w:endnote>
  <w:endnote w:type="continuationNotice" w:id="1">
    <w:p w14:paraId="603468C2" w14:textId="77777777" w:rsidR="00650CD4" w:rsidRDefault="00650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2818" w14:textId="50BCD388" w:rsidR="00650CD4" w:rsidRDefault="00650CD4" w:rsidP="009E4331">
    <w:pPr>
      <w:pStyle w:val="Footer"/>
      <w:spacing w:after="120"/>
    </w:pPr>
    <w:r>
      <w:t>Thematic r</w:t>
    </w:r>
    <w:r w:rsidRPr="00E50CDF">
      <w:t xml:space="preserve">eview of </w:t>
    </w:r>
    <w:r>
      <w:t>the Customer Service Guarantee</w:t>
    </w:r>
    <w:r w:rsidRPr="00E50CDF">
      <w:t>—</w:t>
    </w:r>
    <w:r>
      <w:t>C</w:t>
    </w:r>
    <w:r w:rsidRPr="00E50CDF">
      <w:t xml:space="preserve">onsultation </w:t>
    </w:r>
    <w:r>
      <w:t>P</w:t>
    </w:r>
    <w:r w:rsidRPr="00E50CDF">
      <w:t>aper</w:t>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3AE11AED" w14:textId="77777777" w:rsidR="00650CD4" w:rsidRDefault="00650CD4" w:rsidP="006D7C61">
    <w:pPr>
      <w:pStyle w:val="Footer"/>
      <w:tabs>
        <w:tab w:val="clear" w:pos="9026"/>
      </w:tabs>
      <w:ind w:left="-2268" w:right="-1440"/>
    </w:pPr>
    <w:r>
      <w:rPr>
        <w:noProof/>
        <w:lang w:val="en-AU" w:eastAsia="en-AU"/>
      </w:rPr>
      <w:drawing>
        <wp:inline distT="0" distB="0" distL="0" distR="0" wp14:anchorId="1405D1AB" wp14:editId="3E493CB3">
          <wp:extent cx="8064000" cy="138201"/>
          <wp:effectExtent l="0" t="0" r="0" b="0"/>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20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2620" w14:textId="77777777" w:rsidR="00650CD4" w:rsidRDefault="00650CD4" w:rsidP="006D7C61">
    <w:pPr>
      <w:pStyle w:val="Footer"/>
      <w:ind w:left="-2268"/>
    </w:pPr>
    <w:r>
      <w:rPr>
        <w:noProof/>
        <w:lang w:val="en-AU" w:eastAsia="en-AU"/>
      </w:rPr>
      <w:drawing>
        <wp:inline distT="0" distB="0" distL="0" distR="0" wp14:anchorId="1AAA85FB" wp14:editId="1AE2B7B1">
          <wp:extent cx="7812262" cy="3594100"/>
          <wp:effectExtent l="0" t="0" r="0" b="6350"/>
          <wp:docPr id="12" name="Picture 12"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0769" w14:textId="623B5695" w:rsidR="00650CD4" w:rsidRDefault="00650CD4" w:rsidP="001165EB">
    <w:pPr>
      <w:pStyle w:val="Footer"/>
      <w:tabs>
        <w:tab w:val="clear" w:pos="4513"/>
        <w:tab w:val="clear" w:pos="9026"/>
        <w:tab w:val="center" w:pos="6946"/>
        <w:tab w:val="right" w:pos="13892"/>
      </w:tabs>
      <w:spacing w:after="120"/>
    </w:pPr>
    <w:r>
      <w:t>Thematic r</w:t>
    </w:r>
    <w:r w:rsidRPr="00E50CDF">
      <w:t xml:space="preserve">eview of </w:t>
    </w:r>
    <w:r>
      <w:t>the Customer Service Guarantee</w:t>
    </w:r>
    <w:r w:rsidRPr="00E50CDF">
      <w:t>—</w:t>
    </w:r>
    <w:r>
      <w:t>C</w:t>
    </w:r>
    <w:r w:rsidRPr="00E50CDF">
      <w:t xml:space="preserve">onsultation </w:t>
    </w:r>
    <w:r>
      <w:t>P</w:t>
    </w:r>
    <w:r w:rsidRPr="00E50CDF">
      <w:t>aper</w:t>
    </w:r>
    <w:r>
      <w:tab/>
    </w:r>
    <w:r>
      <w:tab/>
    </w:r>
    <w:sdt>
      <w:sdtPr>
        <w:id w:val="11689068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76BBF226" w14:textId="77777777" w:rsidR="00650CD4" w:rsidRDefault="00650CD4" w:rsidP="006D7C61">
    <w:pPr>
      <w:pStyle w:val="Footer"/>
      <w:tabs>
        <w:tab w:val="clear" w:pos="9026"/>
      </w:tabs>
      <w:ind w:left="-2268" w:right="-1440"/>
    </w:pPr>
    <w:r>
      <w:rPr>
        <w:noProof/>
        <w:lang w:val="en-AU" w:eastAsia="en-AU"/>
      </w:rPr>
      <w:drawing>
        <wp:inline distT="0" distB="0" distL="0" distR="0" wp14:anchorId="06ADBC0C" wp14:editId="5213DB6B">
          <wp:extent cx="8064000" cy="138199"/>
          <wp:effectExtent l="0" t="0" r="0" b="0"/>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0" cy="138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5317" w14:textId="77777777" w:rsidR="00650CD4" w:rsidRDefault="00650CD4" w:rsidP="004D4B0F">
      <w:r>
        <w:separator/>
      </w:r>
    </w:p>
  </w:footnote>
  <w:footnote w:type="continuationSeparator" w:id="0">
    <w:p w14:paraId="0C1EA2BD" w14:textId="77777777" w:rsidR="00650CD4" w:rsidRDefault="00650CD4" w:rsidP="004D4B0F">
      <w:r>
        <w:continuationSeparator/>
      </w:r>
    </w:p>
  </w:footnote>
  <w:footnote w:type="continuationNotice" w:id="1">
    <w:p w14:paraId="0EC6B8ED" w14:textId="77777777" w:rsidR="00650CD4" w:rsidRDefault="00650CD4">
      <w:pPr>
        <w:spacing w:after="0"/>
      </w:pPr>
    </w:p>
  </w:footnote>
  <w:footnote w:id="2">
    <w:p w14:paraId="5ED58783" w14:textId="77777777" w:rsidR="00650CD4" w:rsidRPr="009B51A7" w:rsidRDefault="00650CD4" w:rsidP="002A137C">
      <w:pPr>
        <w:pStyle w:val="FootnoteText"/>
        <w:rPr>
          <w:lang w:val="en-US"/>
        </w:rPr>
      </w:pPr>
      <w:r>
        <w:rPr>
          <w:rStyle w:val="FootnoteReference"/>
        </w:rPr>
        <w:footnoteRef/>
      </w:r>
      <w:r>
        <w:t xml:space="preserve"> </w:t>
      </w:r>
      <w:hyperlink r:id="rId1" w:history="1">
        <w:r w:rsidRPr="009B51A7">
          <w:rPr>
            <w:rStyle w:val="Hyperlink"/>
            <w:i/>
          </w:rPr>
          <w:t>Legislation (Telecommunications Customer Service Guarantee Instruments) Sunset‑altering Declaration 2021</w:t>
        </w:r>
      </w:hyperlink>
    </w:p>
  </w:footnote>
  <w:footnote w:id="3">
    <w:p w14:paraId="40BC9F28" w14:textId="77777777" w:rsidR="00650CD4" w:rsidRPr="006B140E" w:rsidRDefault="00650CD4">
      <w:pPr>
        <w:pStyle w:val="FootnoteText"/>
        <w:rPr>
          <w:lang w:val="en-US"/>
        </w:rPr>
      </w:pPr>
      <w:r>
        <w:rPr>
          <w:rStyle w:val="FootnoteReference"/>
        </w:rPr>
        <w:footnoteRef/>
      </w:r>
      <w:r>
        <w:t xml:space="preserve"> The </w:t>
      </w:r>
      <w:hyperlink r:id="rId2" w:history="1">
        <w:r w:rsidRPr="006B140E">
          <w:rPr>
            <w:rStyle w:val="Hyperlink"/>
            <w:i/>
          </w:rPr>
          <w:t>Legislation (Exemptions and Other Matters) Regulation 2015</w:t>
        </w:r>
      </w:hyperlink>
      <w:r>
        <w:t xml:space="preserve"> provides that Ministerial directions are exempt from sunsetting</w:t>
      </w:r>
    </w:p>
  </w:footnote>
  <w:footnote w:id="4">
    <w:p w14:paraId="796A0160" w14:textId="0B305DA4" w:rsidR="00650CD4" w:rsidRDefault="00650CD4">
      <w:pPr>
        <w:pStyle w:val="FootnoteText"/>
      </w:pPr>
      <w:r>
        <w:rPr>
          <w:rStyle w:val="FootnoteReference"/>
        </w:rPr>
        <w:footnoteRef/>
      </w:r>
      <w:r>
        <w:t xml:space="preserve"> </w:t>
      </w:r>
      <w:hyperlink r:id="rId3" w:history="1">
        <w:r w:rsidRPr="003B657B">
          <w:rPr>
            <w:rStyle w:val="Hyperlink"/>
          </w:rPr>
          <w:t>nbn Special Access Undertaking Variation 2022 – Supporting submission</w:t>
        </w:r>
      </w:hyperlink>
      <w:r>
        <w:t>, p.19</w:t>
      </w:r>
    </w:p>
  </w:footnote>
  <w:footnote w:id="5">
    <w:p w14:paraId="1F3290F5" w14:textId="77777777" w:rsidR="00650CD4" w:rsidRPr="00CB32E8" w:rsidRDefault="00650CD4" w:rsidP="00CF5FCF">
      <w:pPr>
        <w:spacing w:after="0"/>
        <w:rPr>
          <w:rFonts w:cstheme="minorHAnsi"/>
          <w:i/>
          <w:sz w:val="20"/>
          <w:szCs w:val="20"/>
          <w:highlight w:val="yellow"/>
        </w:rPr>
      </w:pPr>
      <w:r w:rsidRPr="00FC379A">
        <w:rPr>
          <w:rStyle w:val="FootnoteReference"/>
          <w:rFonts w:cstheme="minorHAnsi"/>
          <w:sz w:val="20"/>
          <w:szCs w:val="20"/>
        </w:rPr>
        <w:footnoteRef/>
      </w:r>
      <w:r>
        <w:rPr>
          <w:rFonts w:cstheme="minorHAnsi"/>
          <w:i/>
          <w:sz w:val="20"/>
          <w:szCs w:val="20"/>
        </w:rPr>
        <w:t xml:space="preserve"> </w:t>
      </w:r>
      <w:r w:rsidRPr="00CB32E8">
        <w:rPr>
          <w:rFonts w:cstheme="minorHAnsi"/>
          <w:sz w:val="20"/>
          <w:szCs w:val="20"/>
        </w:rPr>
        <w:t>See s115 and s124</w:t>
      </w:r>
      <w:r w:rsidRPr="00C22C73">
        <w:rPr>
          <w:rStyle w:val="Hyperlink"/>
          <w:rFonts w:cstheme="minorHAnsi"/>
          <w:color w:val="auto"/>
          <w:sz w:val="20"/>
          <w:szCs w:val="20"/>
          <w:u w:val="none"/>
        </w:rPr>
        <w:t xml:space="preserve"> of the </w:t>
      </w:r>
      <w:hyperlink r:id="rId4" w:history="1">
        <w:r w:rsidRPr="004549DB">
          <w:rPr>
            <w:rStyle w:val="Hyperlink"/>
            <w:rFonts w:cstheme="minorHAnsi"/>
            <w:sz w:val="20"/>
            <w:szCs w:val="20"/>
          </w:rPr>
          <w:t>TPCSS Act</w:t>
        </w:r>
      </w:hyperlink>
    </w:p>
  </w:footnote>
  <w:footnote w:id="6">
    <w:p w14:paraId="71EFCF28" w14:textId="77777777" w:rsidR="00650CD4" w:rsidRPr="00BE1C4B" w:rsidRDefault="00650CD4" w:rsidP="007D29EE">
      <w:pPr>
        <w:pStyle w:val="FootnoteText"/>
        <w:rPr>
          <w:i/>
          <w:lang w:val="en-US"/>
        </w:rPr>
      </w:pPr>
      <w:r w:rsidRPr="00CB32E8">
        <w:rPr>
          <w:rStyle w:val="FootnoteReference"/>
        </w:rPr>
        <w:footnoteRef/>
      </w:r>
      <w:r w:rsidRPr="00CB32E8">
        <w:t xml:space="preserve"> </w:t>
      </w:r>
      <w:hyperlink r:id="rId5" w:history="1">
        <w:r w:rsidRPr="00CB32E8">
          <w:rPr>
            <w:rStyle w:val="Hyperlink"/>
            <w:i/>
            <w:lang w:val="en-US"/>
          </w:rPr>
          <w:t>Telecommunications Legislation Amendment (Competition and Consumer Safeguards) Act 2010</w:t>
        </w:r>
      </w:hyperlink>
    </w:p>
  </w:footnote>
  <w:footnote w:id="7">
    <w:p w14:paraId="17EB2EAA" w14:textId="77777777" w:rsidR="00650CD4" w:rsidRPr="002B58F1" w:rsidRDefault="00650CD4" w:rsidP="008D3A29">
      <w:pPr>
        <w:pStyle w:val="FootnoteText"/>
        <w:rPr>
          <w:lang w:val="en-US"/>
        </w:rPr>
      </w:pPr>
      <w:r>
        <w:rPr>
          <w:rStyle w:val="FootnoteReference"/>
        </w:rPr>
        <w:footnoteRef/>
      </w:r>
      <w:r>
        <w:t xml:space="preserve"> </w:t>
      </w:r>
      <w:r>
        <w:rPr>
          <w:bCs/>
          <w:color w:val="000000"/>
          <w:shd w:val="clear" w:color="auto" w:fill="FFFFFF"/>
        </w:rPr>
        <w:t>Once</w:t>
      </w:r>
      <w:r w:rsidRPr="00C648E8">
        <w:rPr>
          <w:bCs/>
          <w:color w:val="000000"/>
          <w:shd w:val="clear" w:color="auto" w:fill="FFFFFF"/>
        </w:rPr>
        <w:t xml:space="preserve"> a CSP accepts liability</w:t>
      </w:r>
      <w:r>
        <w:rPr>
          <w:bCs/>
          <w:color w:val="000000"/>
          <w:shd w:val="clear" w:color="auto" w:fill="FFFFFF"/>
        </w:rPr>
        <w:t>,</w:t>
      </w:r>
      <w:r w:rsidRPr="00C648E8">
        <w:rPr>
          <w:bCs/>
          <w:color w:val="000000"/>
          <w:shd w:val="clear" w:color="auto" w:fill="FFFFFF"/>
        </w:rPr>
        <w:t xml:space="preserve"> </w:t>
      </w:r>
      <w:r>
        <w:rPr>
          <w:bCs/>
          <w:color w:val="000000"/>
          <w:shd w:val="clear" w:color="auto" w:fill="FFFFFF"/>
        </w:rPr>
        <w:t>it must automatically remit compensation</w:t>
      </w:r>
      <w:r w:rsidRPr="00C648E8">
        <w:rPr>
          <w:bCs/>
          <w:color w:val="000000"/>
          <w:shd w:val="clear" w:color="auto" w:fill="FFFFFF"/>
        </w:rPr>
        <w:t xml:space="preserve"> without the consumer needing to take further action.</w:t>
      </w:r>
      <w:r w:rsidRPr="002B58F1">
        <w:rPr>
          <w:color w:val="000000"/>
        </w:rPr>
        <w:t xml:space="preserve"> </w:t>
      </w:r>
      <w:r w:rsidRPr="00C648E8">
        <w:rPr>
          <w:color w:val="000000"/>
        </w:rPr>
        <w:t xml:space="preserve">However, </w:t>
      </w:r>
      <w:r>
        <w:t>CSPs must actively seek to</w:t>
      </w:r>
      <w:r>
        <w:rPr>
          <w:color w:val="000000"/>
        </w:rPr>
        <w:t xml:space="preserve"> recover compensation from a second CSP</w:t>
      </w:r>
      <w:r w:rsidRPr="00C648E8">
        <w:rPr>
          <w:color w:val="000000"/>
        </w:rPr>
        <w:t xml:space="preserve"> </w:t>
      </w:r>
      <w:r>
        <w:rPr>
          <w:color w:val="000000"/>
        </w:rPr>
        <w:t>(i.e. it is</w:t>
      </w:r>
      <w:r w:rsidRPr="00C648E8">
        <w:rPr>
          <w:color w:val="000000"/>
        </w:rPr>
        <w:t xml:space="preserve"> not automatic</w:t>
      </w:r>
      <w:r>
        <w:rPr>
          <w:color w:val="000000"/>
        </w:rPr>
        <w:t>).</w:t>
      </w:r>
    </w:p>
  </w:footnote>
  <w:footnote w:id="8">
    <w:p w14:paraId="3469F06C" w14:textId="77777777" w:rsidR="00650CD4" w:rsidRPr="000B03F0" w:rsidRDefault="00650CD4" w:rsidP="005866EA">
      <w:pPr>
        <w:pStyle w:val="FootnoteText"/>
        <w:rPr>
          <w:lang w:val="en-US"/>
        </w:rPr>
      </w:pPr>
      <w:r>
        <w:rPr>
          <w:rStyle w:val="FootnoteReference"/>
        </w:rPr>
        <w:footnoteRef/>
      </w:r>
      <w:r>
        <w:t xml:space="preserve"> </w:t>
      </w:r>
      <w:r>
        <w:rPr>
          <w:lang w:val="en-US"/>
        </w:rPr>
        <w:t xml:space="preserve">ACMA, </w:t>
      </w:r>
      <w:hyperlink r:id="rId6" w:history="1">
        <w:r>
          <w:rPr>
            <w:rStyle w:val="Hyperlink"/>
          </w:rPr>
          <w:t>How Australians make voice calls at home,</w:t>
        </w:r>
      </w:hyperlink>
      <w:r w:rsidDel="00C960E4">
        <w:rPr>
          <w:i/>
          <w:lang w:val="en-US"/>
        </w:rPr>
        <w:t xml:space="preserve"> </w:t>
      </w:r>
      <w:r>
        <w:rPr>
          <w:lang w:val="en-US"/>
        </w:rPr>
        <w:t xml:space="preserve">20 October 2022 </w:t>
      </w:r>
    </w:p>
  </w:footnote>
  <w:footnote w:id="9">
    <w:p w14:paraId="5F392FB5" w14:textId="77777777" w:rsidR="00650CD4" w:rsidRPr="007C2A73" w:rsidRDefault="00650CD4">
      <w:pPr>
        <w:pStyle w:val="FootnoteText"/>
        <w:rPr>
          <w:lang w:val="en-US"/>
        </w:rPr>
      </w:pPr>
      <w:r>
        <w:rPr>
          <w:rStyle w:val="FootnoteReference"/>
        </w:rPr>
        <w:footnoteRef/>
      </w:r>
      <w:r>
        <w:t xml:space="preserve"> Since 12 September 2022, Optus has sought CSG waivers from new customers of fixed telephone services but the Department understands Optus is continuing to provide CSG services to pre-existing customers. </w:t>
      </w:r>
    </w:p>
  </w:footnote>
  <w:footnote w:id="10">
    <w:p w14:paraId="0C7996DF" w14:textId="46DC8EA5" w:rsidR="00650CD4" w:rsidRPr="00D51458" w:rsidRDefault="00650CD4">
      <w:pPr>
        <w:pStyle w:val="FootnoteText"/>
        <w:rPr>
          <w:lang w:val="en-US"/>
        </w:rPr>
      </w:pPr>
      <w:r>
        <w:rPr>
          <w:rStyle w:val="FootnoteReference"/>
        </w:rPr>
        <w:footnoteRef/>
      </w:r>
      <w:r>
        <w:t xml:space="preserve"> </w:t>
      </w:r>
      <w:hyperlink r:id="rId7" w:history="1">
        <w:r w:rsidRPr="00DC18A5">
          <w:rPr>
            <w:rStyle w:val="Hyperlink"/>
            <w:i/>
          </w:rPr>
          <w:t>Telstra Corporation and Other Legislation Amendment Act 2021</w:t>
        </w:r>
      </w:hyperlink>
    </w:p>
  </w:footnote>
  <w:footnote w:id="11">
    <w:p w14:paraId="2FE80FBE" w14:textId="277F0035" w:rsidR="00650CD4" w:rsidRPr="00B42358" w:rsidRDefault="00650CD4" w:rsidP="00E41126">
      <w:pPr>
        <w:pStyle w:val="FootnoteText"/>
        <w:rPr>
          <w:lang w:val="en-US"/>
        </w:rPr>
      </w:pPr>
      <w:r>
        <w:rPr>
          <w:rStyle w:val="FootnoteReference"/>
        </w:rPr>
        <w:footnoteRef/>
      </w:r>
      <w:r>
        <w:t xml:space="preserve"> </w:t>
      </w:r>
      <w:r>
        <w:rPr>
          <w:lang w:val="en-US"/>
        </w:rPr>
        <w:t xml:space="preserve">NBN Co has proposed a mechanism where it can propose benchmark service standards for each regulatory cycle (3 to 5 years) under its Replacement Module Application, with the ACCC able to set new or alternative standards if the application is rejected. There will also be scope for the ACCC to set standards mid-cycle, either where NBN Co proposes improvements or the ACCC identifies that changes are necessary to address specific circumstances that have impacted retailers (i.e. new retail-level regulation or another systemic issue that has a material adverse impact). </w:t>
      </w:r>
    </w:p>
  </w:footnote>
  <w:footnote w:id="12">
    <w:p w14:paraId="74B0AF75" w14:textId="77777777" w:rsidR="00650CD4" w:rsidRPr="005A3260" w:rsidRDefault="00650CD4">
      <w:pPr>
        <w:pStyle w:val="FootnoteText"/>
        <w:rPr>
          <w:lang w:val="en-US"/>
        </w:rPr>
      </w:pPr>
      <w:r>
        <w:rPr>
          <w:rStyle w:val="FootnoteReference"/>
        </w:rPr>
        <w:footnoteRef/>
      </w:r>
      <w:r>
        <w:t xml:space="preserve"> ACCC, </w:t>
      </w:r>
      <w:hyperlink r:id="rId8" w:history="1">
        <w:r w:rsidRPr="002903F9">
          <w:rPr>
            <w:rStyle w:val="Hyperlink"/>
            <w:lang w:val="en-US"/>
          </w:rPr>
          <w:t>Service quality and network performance Record Keeping Rule for superfast broadband networks</w:t>
        </w:r>
      </w:hyperlink>
    </w:p>
  </w:footnote>
  <w:footnote w:id="13">
    <w:p w14:paraId="394807A0" w14:textId="77777777" w:rsidR="00650CD4" w:rsidRPr="00DF3CEE" w:rsidRDefault="00650CD4" w:rsidP="00835CD6">
      <w:pPr>
        <w:pStyle w:val="FootnoteText"/>
        <w:rPr>
          <w:lang w:val="en-US"/>
        </w:rPr>
      </w:pPr>
      <w:r>
        <w:rPr>
          <w:rStyle w:val="FootnoteReference"/>
        </w:rPr>
        <w:footnoteRef/>
      </w:r>
      <w:r>
        <w:t xml:space="preserve"> In many cases, </w:t>
      </w:r>
      <w:r>
        <w:rPr>
          <w:lang w:val="en-US"/>
        </w:rPr>
        <w:t xml:space="preserve">CSPs will contract directly with wholesaler providers such as NBN Co, however in some cases there may be intermediaries or aggregators involved. </w:t>
      </w:r>
    </w:p>
  </w:footnote>
  <w:footnote w:id="14">
    <w:p w14:paraId="1B59632A" w14:textId="77777777" w:rsidR="00650CD4" w:rsidRPr="00BB5F4F" w:rsidRDefault="00650CD4" w:rsidP="003D2A1B">
      <w:pPr>
        <w:pStyle w:val="FootnoteText"/>
        <w:rPr>
          <w:lang w:val="en-US"/>
        </w:rPr>
      </w:pPr>
      <w:r>
        <w:rPr>
          <w:rStyle w:val="FootnoteReference"/>
        </w:rPr>
        <w:footnoteRef/>
      </w:r>
      <w:r>
        <w:t xml:space="preserve"> </w:t>
      </w:r>
      <w:r>
        <w:rPr>
          <w:lang w:val="en-US"/>
        </w:rPr>
        <w:t xml:space="preserve">The CSG Amendment Standard does not need to be remade as it had the effect of amending the waiver requirements within the CSG Standard. </w:t>
      </w:r>
    </w:p>
  </w:footnote>
  <w:footnote w:id="15">
    <w:p w14:paraId="4F3DF429" w14:textId="77777777" w:rsidR="00650CD4" w:rsidRPr="00C05569" w:rsidRDefault="00650CD4">
      <w:pPr>
        <w:pStyle w:val="FootnoteText"/>
        <w:rPr>
          <w:lang w:val="en-US"/>
        </w:rPr>
      </w:pPr>
      <w:r>
        <w:rPr>
          <w:rStyle w:val="FootnoteReference"/>
        </w:rPr>
        <w:footnoteRef/>
      </w:r>
      <w:r>
        <w:t xml:space="preserve"> </w:t>
      </w:r>
      <w:hyperlink r:id="rId9" w:anchor="search=%22publications/tabledpapers/HSTP09970_1998-01%22" w:history="1">
        <w:r w:rsidRPr="002B75CF">
          <w:rPr>
            <w:rStyle w:val="Hyperlink"/>
          </w:rPr>
          <w:t>https://parlinfo.aph.gov.au/parlInfo/download/publications/tabledpapers/HSTP09970_1998-01/upload_pdf/9970_1998-01.pdf;fileType=application%2Fpdf#search=%22publications/tabledpapers/</w:t>
        </w:r>
        <w:r w:rsidRPr="002B75CF">
          <w:rPr>
            <w:rStyle w:val="Hyperlink"/>
          </w:rPr>
          <w:br/>
          <w:t>HSTP09970_1998-01%22</w:t>
        </w:r>
      </w:hyperlink>
      <w:r>
        <w:t xml:space="preserve"> </w:t>
      </w:r>
    </w:p>
  </w:footnote>
  <w:footnote w:id="16">
    <w:p w14:paraId="16CCA1B0" w14:textId="77777777" w:rsidR="00650CD4" w:rsidRPr="00E1619B" w:rsidRDefault="00650CD4">
      <w:pPr>
        <w:pStyle w:val="FootnoteText"/>
        <w:rPr>
          <w:lang w:val="en-US"/>
        </w:rPr>
      </w:pPr>
      <w:r>
        <w:rPr>
          <w:rStyle w:val="FootnoteReference"/>
        </w:rPr>
        <w:footnoteRef/>
      </w:r>
      <w:r>
        <w:t xml:space="preserve"> Longer timeframes may be arranged where a customer requests a connection or repair be made on a specific day after the specified timeframe, or where a customer accepts an offer by a CSP for a longer timeframe and the customer would obtain substantial benefit as a result (i.e. cheaper price). </w:t>
      </w:r>
    </w:p>
  </w:footnote>
  <w:footnote w:id="17">
    <w:p w14:paraId="436399C8" w14:textId="77777777" w:rsidR="00650CD4" w:rsidRPr="00C642B4" w:rsidRDefault="00650CD4">
      <w:pPr>
        <w:pStyle w:val="FootnoteText"/>
      </w:pPr>
      <w:r>
        <w:rPr>
          <w:rStyle w:val="FootnoteReference"/>
        </w:rPr>
        <w:footnoteRef/>
      </w:r>
      <w:r>
        <w:t xml:space="preserve"> </w:t>
      </w:r>
      <w:r w:rsidRPr="00B0704C">
        <w:t xml:space="preserve">Telstra was </w:t>
      </w:r>
      <w:r>
        <w:t>issued with an</w:t>
      </w:r>
      <w:r w:rsidRPr="00B0704C">
        <w:t xml:space="preserve"> </w:t>
      </w:r>
      <w:r>
        <w:t>i</w:t>
      </w:r>
      <w:r w:rsidRPr="00B0704C">
        <w:t xml:space="preserve">nfringement </w:t>
      </w:r>
      <w:r>
        <w:t>n</w:t>
      </w:r>
      <w:r w:rsidRPr="00B0704C">
        <w:t>otice and paid a $510,000 penalty in January 2014 for failing to meet the new connection benchmark in urban areas (88.6%) in 2012-13. In that same year, Telstra was given a formal warning for not meeting the new connection benchmark in remote areas (89%).</w:t>
      </w:r>
    </w:p>
  </w:footnote>
  <w:footnote w:id="18">
    <w:p w14:paraId="5F0F5403" w14:textId="77777777" w:rsidR="00650CD4" w:rsidRPr="00B539FA" w:rsidRDefault="00650CD4" w:rsidP="0030328B">
      <w:pPr>
        <w:pStyle w:val="FootnoteText"/>
        <w:rPr>
          <w:lang w:val="en-US"/>
        </w:rPr>
      </w:pPr>
      <w:r>
        <w:rPr>
          <w:rStyle w:val="FootnoteReference"/>
        </w:rPr>
        <w:footnoteRef/>
      </w:r>
      <w:r>
        <w:t xml:space="preserve"> </w:t>
      </w:r>
      <w:r>
        <w:rPr>
          <w:lang w:val="en-US"/>
        </w:rPr>
        <w:t xml:space="preserve">A CSP qualifies for the RKRs for a given financial year (‘benchmark period’) if it supplied 100,000 CSG services on the last day of the previous financial year. </w:t>
      </w:r>
    </w:p>
  </w:footnote>
  <w:footnote w:id="19">
    <w:p w14:paraId="6A16E66E" w14:textId="77777777" w:rsidR="00650CD4" w:rsidRPr="00834B2E" w:rsidRDefault="00650CD4">
      <w:pPr>
        <w:pStyle w:val="FootnoteText"/>
        <w:rPr>
          <w:lang w:val="en-US"/>
        </w:rPr>
      </w:pPr>
      <w:r>
        <w:rPr>
          <w:rStyle w:val="FootnoteReference"/>
        </w:rPr>
        <w:footnoteRef/>
      </w:r>
      <w:r>
        <w:t xml:space="preserve"> </w:t>
      </w:r>
      <w:r>
        <w:rPr>
          <w:lang w:val="en-US"/>
        </w:rPr>
        <w:t xml:space="preserve">NBN Co’s connection timeframes generally differ depending on the type of connection, such as whether it can be made without attending the premise or if it requires additional equipment or routine construction.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8F04" w14:textId="5DAAD5FE" w:rsidR="00650CD4" w:rsidRPr="00F176A8" w:rsidRDefault="00650CD4"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8C4A2B">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7FAE" w14:textId="3B20BBA1" w:rsidR="00650CD4" w:rsidRPr="00F176A8" w:rsidRDefault="005B03BB"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8C4A2B">
      <w:rPr>
        <w:noProof/>
        <w:sz w:val="20"/>
        <w:szCs w:val="20"/>
      </w:rPr>
      <w:t>Appendix B: Service level commitments in NBN Co’s proposed SAU variation</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3432E"/>
    <w:multiLevelType w:val="hybridMultilevel"/>
    <w:tmpl w:val="034A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AF37FCC"/>
    <w:multiLevelType w:val="hybridMultilevel"/>
    <w:tmpl w:val="7AA22958"/>
    <w:lvl w:ilvl="0" w:tplc="6D0E31A4">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1E7A5F50"/>
    <w:multiLevelType w:val="hybridMultilevel"/>
    <w:tmpl w:val="943C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B1C09"/>
    <w:multiLevelType w:val="hybridMultilevel"/>
    <w:tmpl w:val="9BF81C98"/>
    <w:lvl w:ilvl="0" w:tplc="61B62318">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10097"/>
    <w:multiLevelType w:val="hybridMultilevel"/>
    <w:tmpl w:val="A4C8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65823"/>
    <w:multiLevelType w:val="hybridMultilevel"/>
    <w:tmpl w:val="1522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8656F"/>
    <w:multiLevelType w:val="hybridMultilevel"/>
    <w:tmpl w:val="AC9447B6"/>
    <w:lvl w:ilvl="0" w:tplc="84287088">
      <w:start w:val="1"/>
      <w:numFmt w:val="decimal"/>
      <w:lvlText w:val="%1."/>
      <w:lvlJc w:val="left"/>
      <w:pPr>
        <w:ind w:left="360" w:hanging="360"/>
      </w:pPr>
      <w:rPr>
        <w:rFonts w:hint="default"/>
        <w:b w:val="0"/>
        <w:i w:val="0"/>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E94111"/>
    <w:multiLevelType w:val="hybridMultilevel"/>
    <w:tmpl w:val="C79C296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 w15:restartNumberingAfterBreak="0">
    <w:nsid w:val="3C9F6512"/>
    <w:multiLevelType w:val="hybridMultilevel"/>
    <w:tmpl w:val="6CCA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80390"/>
    <w:multiLevelType w:val="hybridMultilevel"/>
    <w:tmpl w:val="CA78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B1930"/>
    <w:multiLevelType w:val="hybridMultilevel"/>
    <w:tmpl w:val="5834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A0425"/>
    <w:multiLevelType w:val="hybridMultilevel"/>
    <w:tmpl w:val="FB188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3C81173"/>
    <w:multiLevelType w:val="hybridMultilevel"/>
    <w:tmpl w:val="45F42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40170"/>
    <w:multiLevelType w:val="hybridMultilevel"/>
    <w:tmpl w:val="B492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85CD2"/>
    <w:multiLevelType w:val="multilevel"/>
    <w:tmpl w:val="7D7ED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35192"/>
    <w:multiLevelType w:val="hybridMultilevel"/>
    <w:tmpl w:val="4A12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23148"/>
    <w:multiLevelType w:val="hybridMultilevel"/>
    <w:tmpl w:val="B0543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C300F5"/>
    <w:multiLevelType w:val="hybridMultilevel"/>
    <w:tmpl w:val="EA94AFC2"/>
    <w:lvl w:ilvl="0" w:tplc="EA6611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DE396C"/>
    <w:multiLevelType w:val="hybridMultilevel"/>
    <w:tmpl w:val="4E34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4C3009"/>
    <w:multiLevelType w:val="hybridMultilevel"/>
    <w:tmpl w:val="FA60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081E6E"/>
    <w:multiLevelType w:val="multilevel"/>
    <w:tmpl w:val="4B66F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78C7F96"/>
    <w:multiLevelType w:val="hybridMultilevel"/>
    <w:tmpl w:val="F7145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D05A2"/>
    <w:multiLevelType w:val="hybridMultilevel"/>
    <w:tmpl w:val="697E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41"/>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4"/>
  </w:num>
  <w:num w:numId="17">
    <w:abstractNumId w:val="38"/>
  </w:num>
  <w:num w:numId="18">
    <w:abstractNumId w:val="35"/>
    <w:lvlOverride w:ilvl="0">
      <w:startOverride w:val="1"/>
    </w:lvlOverride>
  </w:num>
  <w:num w:numId="19">
    <w:abstractNumId w:val="29"/>
  </w:num>
  <w:num w:numId="20">
    <w:abstractNumId w:val="12"/>
  </w:num>
  <w:num w:numId="21">
    <w:abstractNumId w:val="10"/>
  </w:num>
  <w:num w:numId="22">
    <w:abstractNumId w:val="37"/>
  </w:num>
  <w:num w:numId="23">
    <w:abstractNumId w:val="27"/>
  </w:num>
  <w:num w:numId="24">
    <w:abstractNumId w:val="32"/>
  </w:num>
  <w:num w:numId="25">
    <w:abstractNumId w:val="39"/>
  </w:num>
  <w:num w:numId="26">
    <w:abstractNumId w:val="31"/>
  </w:num>
  <w:num w:numId="27">
    <w:abstractNumId w:val="20"/>
  </w:num>
  <w:num w:numId="28">
    <w:abstractNumId w:val="26"/>
  </w:num>
  <w:num w:numId="29">
    <w:abstractNumId w:val="22"/>
  </w:num>
  <w:num w:numId="30">
    <w:abstractNumId w:val="14"/>
  </w:num>
  <w:num w:numId="31">
    <w:abstractNumId w:val="19"/>
  </w:num>
  <w:num w:numId="32">
    <w:abstractNumId w:val="21"/>
  </w:num>
  <w:num w:numId="33">
    <w:abstractNumId w:val="30"/>
  </w:num>
  <w:num w:numId="34">
    <w:abstractNumId w:val="40"/>
  </w:num>
  <w:num w:numId="35">
    <w:abstractNumId w:val="18"/>
  </w:num>
  <w:num w:numId="36">
    <w:abstractNumId w:val="15"/>
  </w:num>
  <w:num w:numId="37">
    <w:abstractNumId w:val="23"/>
  </w:num>
  <w:num w:numId="38">
    <w:abstractNumId w:val="33"/>
  </w:num>
  <w:num w:numId="39">
    <w:abstractNumId w:val="16"/>
  </w:num>
  <w:num w:numId="40">
    <w:abstractNumId w:val="28"/>
  </w:num>
  <w:num w:numId="41">
    <w:abstractNumId w:val="25"/>
  </w:num>
  <w:num w:numId="42">
    <w:abstractNumId w:val="13"/>
  </w:num>
  <w:num w:numId="43">
    <w:abstractNumId w:val="35"/>
  </w:num>
  <w:num w:numId="44">
    <w:abstractNumId w:val="35"/>
  </w:num>
  <w:num w:numId="45">
    <w:abstractNumId w:val="1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002C2"/>
    <w:rsid w:val="0000261F"/>
    <w:rsid w:val="00012F7A"/>
    <w:rsid w:val="00013470"/>
    <w:rsid w:val="00013928"/>
    <w:rsid w:val="00013D7A"/>
    <w:rsid w:val="00014869"/>
    <w:rsid w:val="00014CAC"/>
    <w:rsid w:val="00015009"/>
    <w:rsid w:val="0002202F"/>
    <w:rsid w:val="000277DB"/>
    <w:rsid w:val="00027C1B"/>
    <w:rsid w:val="00031BB9"/>
    <w:rsid w:val="00035A89"/>
    <w:rsid w:val="0003798E"/>
    <w:rsid w:val="00043588"/>
    <w:rsid w:val="00045440"/>
    <w:rsid w:val="00046459"/>
    <w:rsid w:val="00046C96"/>
    <w:rsid w:val="00050E0A"/>
    <w:rsid w:val="00053957"/>
    <w:rsid w:val="000566F3"/>
    <w:rsid w:val="00061007"/>
    <w:rsid w:val="00061F6D"/>
    <w:rsid w:val="00062FC6"/>
    <w:rsid w:val="00064722"/>
    <w:rsid w:val="00071507"/>
    <w:rsid w:val="00071C15"/>
    <w:rsid w:val="0007432E"/>
    <w:rsid w:val="000746B4"/>
    <w:rsid w:val="00076179"/>
    <w:rsid w:val="00077308"/>
    <w:rsid w:val="00083C1F"/>
    <w:rsid w:val="000855B7"/>
    <w:rsid w:val="00086FD8"/>
    <w:rsid w:val="00090B4F"/>
    <w:rsid w:val="00090BE2"/>
    <w:rsid w:val="00095AE6"/>
    <w:rsid w:val="00095F4C"/>
    <w:rsid w:val="00095FF5"/>
    <w:rsid w:val="000A4ED2"/>
    <w:rsid w:val="000A5030"/>
    <w:rsid w:val="000A5EEE"/>
    <w:rsid w:val="000B03F0"/>
    <w:rsid w:val="000B1A9F"/>
    <w:rsid w:val="000B2316"/>
    <w:rsid w:val="000B3A51"/>
    <w:rsid w:val="000B4BE6"/>
    <w:rsid w:val="000B5D4B"/>
    <w:rsid w:val="000B66FC"/>
    <w:rsid w:val="000C00D1"/>
    <w:rsid w:val="000C170B"/>
    <w:rsid w:val="000C20E9"/>
    <w:rsid w:val="000C44C5"/>
    <w:rsid w:val="000D2B97"/>
    <w:rsid w:val="000D7259"/>
    <w:rsid w:val="000E0859"/>
    <w:rsid w:val="000E194C"/>
    <w:rsid w:val="000E30EB"/>
    <w:rsid w:val="000E3187"/>
    <w:rsid w:val="000E34CA"/>
    <w:rsid w:val="000E40DD"/>
    <w:rsid w:val="000E4F16"/>
    <w:rsid w:val="000E50E4"/>
    <w:rsid w:val="000E673B"/>
    <w:rsid w:val="000E779D"/>
    <w:rsid w:val="000F0E2E"/>
    <w:rsid w:val="000F3581"/>
    <w:rsid w:val="000F4493"/>
    <w:rsid w:val="000F5B77"/>
    <w:rsid w:val="000F61B1"/>
    <w:rsid w:val="000F6811"/>
    <w:rsid w:val="000F6D0F"/>
    <w:rsid w:val="00102390"/>
    <w:rsid w:val="001038B4"/>
    <w:rsid w:val="001038D1"/>
    <w:rsid w:val="00104B38"/>
    <w:rsid w:val="001112EA"/>
    <w:rsid w:val="00111798"/>
    <w:rsid w:val="00111EFB"/>
    <w:rsid w:val="0011236F"/>
    <w:rsid w:val="00113060"/>
    <w:rsid w:val="00115C4A"/>
    <w:rsid w:val="00115F68"/>
    <w:rsid w:val="001165EB"/>
    <w:rsid w:val="00117A47"/>
    <w:rsid w:val="00120693"/>
    <w:rsid w:val="001207F8"/>
    <w:rsid w:val="0012108D"/>
    <w:rsid w:val="001221E3"/>
    <w:rsid w:val="0012354F"/>
    <w:rsid w:val="00125FE9"/>
    <w:rsid w:val="00127106"/>
    <w:rsid w:val="00132F0D"/>
    <w:rsid w:val="001355F6"/>
    <w:rsid w:val="0014191E"/>
    <w:rsid w:val="00146C90"/>
    <w:rsid w:val="00150618"/>
    <w:rsid w:val="00152FA6"/>
    <w:rsid w:val="00162A61"/>
    <w:rsid w:val="0016343D"/>
    <w:rsid w:val="00163977"/>
    <w:rsid w:val="001706B9"/>
    <w:rsid w:val="00171CD9"/>
    <w:rsid w:val="00171D90"/>
    <w:rsid w:val="00174245"/>
    <w:rsid w:val="00175F4B"/>
    <w:rsid w:val="00177DC5"/>
    <w:rsid w:val="00177F8A"/>
    <w:rsid w:val="00180159"/>
    <w:rsid w:val="00182B57"/>
    <w:rsid w:val="00182CEF"/>
    <w:rsid w:val="00183A87"/>
    <w:rsid w:val="001841E8"/>
    <w:rsid w:val="00186AD6"/>
    <w:rsid w:val="00197943"/>
    <w:rsid w:val="001A293B"/>
    <w:rsid w:val="001A3143"/>
    <w:rsid w:val="001A4FBA"/>
    <w:rsid w:val="001A5395"/>
    <w:rsid w:val="001A5B8D"/>
    <w:rsid w:val="001A7894"/>
    <w:rsid w:val="001B1A5E"/>
    <w:rsid w:val="001B2A15"/>
    <w:rsid w:val="001B4422"/>
    <w:rsid w:val="001B4B66"/>
    <w:rsid w:val="001B5326"/>
    <w:rsid w:val="001C09FD"/>
    <w:rsid w:val="001C0EA4"/>
    <w:rsid w:val="001C1287"/>
    <w:rsid w:val="001C1FAF"/>
    <w:rsid w:val="001C23CD"/>
    <w:rsid w:val="001C28CB"/>
    <w:rsid w:val="001C3921"/>
    <w:rsid w:val="001C4888"/>
    <w:rsid w:val="001C4F26"/>
    <w:rsid w:val="001C59FE"/>
    <w:rsid w:val="001C656A"/>
    <w:rsid w:val="001D08A1"/>
    <w:rsid w:val="001D2D3A"/>
    <w:rsid w:val="001D3153"/>
    <w:rsid w:val="001D3211"/>
    <w:rsid w:val="001D7842"/>
    <w:rsid w:val="001D7D43"/>
    <w:rsid w:val="001E17E4"/>
    <w:rsid w:val="001E7544"/>
    <w:rsid w:val="001E768B"/>
    <w:rsid w:val="001F4762"/>
    <w:rsid w:val="002021FA"/>
    <w:rsid w:val="00203B5F"/>
    <w:rsid w:val="0021350C"/>
    <w:rsid w:val="00217E86"/>
    <w:rsid w:val="0022085A"/>
    <w:rsid w:val="00223035"/>
    <w:rsid w:val="00223C1E"/>
    <w:rsid w:val="00225249"/>
    <w:rsid w:val="00225ACB"/>
    <w:rsid w:val="00233893"/>
    <w:rsid w:val="00235C29"/>
    <w:rsid w:val="0024315F"/>
    <w:rsid w:val="00247B74"/>
    <w:rsid w:val="00252888"/>
    <w:rsid w:val="0025569B"/>
    <w:rsid w:val="0026183D"/>
    <w:rsid w:val="002623D6"/>
    <w:rsid w:val="0026305F"/>
    <w:rsid w:val="00264250"/>
    <w:rsid w:val="00274491"/>
    <w:rsid w:val="00277062"/>
    <w:rsid w:val="002777F4"/>
    <w:rsid w:val="00280261"/>
    <w:rsid w:val="00287E04"/>
    <w:rsid w:val="002903F9"/>
    <w:rsid w:val="00291461"/>
    <w:rsid w:val="00292794"/>
    <w:rsid w:val="002974D1"/>
    <w:rsid w:val="002A137C"/>
    <w:rsid w:val="002B0E3F"/>
    <w:rsid w:val="002B28C4"/>
    <w:rsid w:val="002B343D"/>
    <w:rsid w:val="002B58F1"/>
    <w:rsid w:val="002B6187"/>
    <w:rsid w:val="002B7642"/>
    <w:rsid w:val="002C0D15"/>
    <w:rsid w:val="002C23D7"/>
    <w:rsid w:val="002C3079"/>
    <w:rsid w:val="002C3AEF"/>
    <w:rsid w:val="002D0823"/>
    <w:rsid w:val="002D1FF3"/>
    <w:rsid w:val="002D272D"/>
    <w:rsid w:val="002D3072"/>
    <w:rsid w:val="002D3DE9"/>
    <w:rsid w:val="002D48B0"/>
    <w:rsid w:val="002D6760"/>
    <w:rsid w:val="002D738F"/>
    <w:rsid w:val="002D7701"/>
    <w:rsid w:val="002E222A"/>
    <w:rsid w:val="002E302E"/>
    <w:rsid w:val="002E34D7"/>
    <w:rsid w:val="002E6852"/>
    <w:rsid w:val="002F0F2D"/>
    <w:rsid w:val="002F2EA4"/>
    <w:rsid w:val="002F71E6"/>
    <w:rsid w:val="0030328B"/>
    <w:rsid w:val="0031150F"/>
    <w:rsid w:val="00311975"/>
    <w:rsid w:val="00312A43"/>
    <w:rsid w:val="00315154"/>
    <w:rsid w:val="00315C89"/>
    <w:rsid w:val="00315F2C"/>
    <w:rsid w:val="00321F8F"/>
    <w:rsid w:val="00326F6D"/>
    <w:rsid w:val="00327A6D"/>
    <w:rsid w:val="003307E3"/>
    <w:rsid w:val="00332F92"/>
    <w:rsid w:val="00334854"/>
    <w:rsid w:val="00334EA9"/>
    <w:rsid w:val="00336024"/>
    <w:rsid w:val="003424F8"/>
    <w:rsid w:val="00346BD5"/>
    <w:rsid w:val="003502C0"/>
    <w:rsid w:val="0035149D"/>
    <w:rsid w:val="0035531C"/>
    <w:rsid w:val="0035767C"/>
    <w:rsid w:val="0036106B"/>
    <w:rsid w:val="00362C39"/>
    <w:rsid w:val="00365C47"/>
    <w:rsid w:val="00371B66"/>
    <w:rsid w:val="00371C99"/>
    <w:rsid w:val="00374401"/>
    <w:rsid w:val="00377E3A"/>
    <w:rsid w:val="00381DF3"/>
    <w:rsid w:val="00381EFB"/>
    <w:rsid w:val="00382B67"/>
    <w:rsid w:val="00382E45"/>
    <w:rsid w:val="003857F5"/>
    <w:rsid w:val="00385AE4"/>
    <w:rsid w:val="0038662C"/>
    <w:rsid w:val="0039042D"/>
    <w:rsid w:val="003904BC"/>
    <w:rsid w:val="003925F7"/>
    <w:rsid w:val="003A66CD"/>
    <w:rsid w:val="003A6C8F"/>
    <w:rsid w:val="003A738F"/>
    <w:rsid w:val="003B657B"/>
    <w:rsid w:val="003B6F47"/>
    <w:rsid w:val="003B7082"/>
    <w:rsid w:val="003C28EB"/>
    <w:rsid w:val="003C512F"/>
    <w:rsid w:val="003C5251"/>
    <w:rsid w:val="003C7100"/>
    <w:rsid w:val="003C7E49"/>
    <w:rsid w:val="003D1AA2"/>
    <w:rsid w:val="003D2A1B"/>
    <w:rsid w:val="003D56D0"/>
    <w:rsid w:val="003D771C"/>
    <w:rsid w:val="003E1B41"/>
    <w:rsid w:val="003E610A"/>
    <w:rsid w:val="003E67E1"/>
    <w:rsid w:val="003F0B40"/>
    <w:rsid w:val="003F0FFD"/>
    <w:rsid w:val="003F2AE7"/>
    <w:rsid w:val="003F3975"/>
    <w:rsid w:val="003F6329"/>
    <w:rsid w:val="00403CEB"/>
    <w:rsid w:val="00403E3F"/>
    <w:rsid w:val="00406BF0"/>
    <w:rsid w:val="004137D6"/>
    <w:rsid w:val="00420B37"/>
    <w:rsid w:val="00423807"/>
    <w:rsid w:val="00423F15"/>
    <w:rsid w:val="00432B31"/>
    <w:rsid w:val="004356A2"/>
    <w:rsid w:val="00435A4A"/>
    <w:rsid w:val="0043635B"/>
    <w:rsid w:val="00440234"/>
    <w:rsid w:val="004413AF"/>
    <w:rsid w:val="00442FAF"/>
    <w:rsid w:val="0044405C"/>
    <w:rsid w:val="004471E0"/>
    <w:rsid w:val="00452E23"/>
    <w:rsid w:val="00452F73"/>
    <w:rsid w:val="00453264"/>
    <w:rsid w:val="004532E1"/>
    <w:rsid w:val="004549DB"/>
    <w:rsid w:val="00454D24"/>
    <w:rsid w:val="00455199"/>
    <w:rsid w:val="004559C6"/>
    <w:rsid w:val="00461A98"/>
    <w:rsid w:val="004644C9"/>
    <w:rsid w:val="00465A20"/>
    <w:rsid w:val="0047586B"/>
    <w:rsid w:val="00475D8D"/>
    <w:rsid w:val="00482F49"/>
    <w:rsid w:val="0048400E"/>
    <w:rsid w:val="00485680"/>
    <w:rsid w:val="00495425"/>
    <w:rsid w:val="004A1322"/>
    <w:rsid w:val="004A14BD"/>
    <w:rsid w:val="004A58A9"/>
    <w:rsid w:val="004A65F5"/>
    <w:rsid w:val="004B072E"/>
    <w:rsid w:val="004B30A5"/>
    <w:rsid w:val="004B3861"/>
    <w:rsid w:val="004B3E07"/>
    <w:rsid w:val="004B65B9"/>
    <w:rsid w:val="004C4647"/>
    <w:rsid w:val="004C4BC2"/>
    <w:rsid w:val="004C6DAD"/>
    <w:rsid w:val="004D06FB"/>
    <w:rsid w:val="004D07ED"/>
    <w:rsid w:val="004D0AD8"/>
    <w:rsid w:val="004D4630"/>
    <w:rsid w:val="004D470E"/>
    <w:rsid w:val="004D4B0F"/>
    <w:rsid w:val="004E078F"/>
    <w:rsid w:val="004E26B3"/>
    <w:rsid w:val="004E3A9A"/>
    <w:rsid w:val="004F16B5"/>
    <w:rsid w:val="004F307A"/>
    <w:rsid w:val="005002DB"/>
    <w:rsid w:val="00500720"/>
    <w:rsid w:val="0050377E"/>
    <w:rsid w:val="005038A3"/>
    <w:rsid w:val="00505551"/>
    <w:rsid w:val="00506F21"/>
    <w:rsid w:val="00507172"/>
    <w:rsid w:val="00514BA0"/>
    <w:rsid w:val="00515288"/>
    <w:rsid w:val="0051555D"/>
    <w:rsid w:val="0052037A"/>
    <w:rsid w:val="005209FA"/>
    <w:rsid w:val="00520F66"/>
    <w:rsid w:val="005211B8"/>
    <w:rsid w:val="00525ED0"/>
    <w:rsid w:val="005271A0"/>
    <w:rsid w:val="0053025C"/>
    <w:rsid w:val="00532E54"/>
    <w:rsid w:val="005344AC"/>
    <w:rsid w:val="005358EE"/>
    <w:rsid w:val="0053594C"/>
    <w:rsid w:val="00536BEA"/>
    <w:rsid w:val="00536C18"/>
    <w:rsid w:val="0054461A"/>
    <w:rsid w:val="00544E8E"/>
    <w:rsid w:val="00547CBD"/>
    <w:rsid w:val="00552C20"/>
    <w:rsid w:val="0056296F"/>
    <w:rsid w:val="005632E8"/>
    <w:rsid w:val="0056518E"/>
    <w:rsid w:val="00572174"/>
    <w:rsid w:val="005740A3"/>
    <w:rsid w:val="00576F09"/>
    <w:rsid w:val="00580CFB"/>
    <w:rsid w:val="005814F2"/>
    <w:rsid w:val="00584015"/>
    <w:rsid w:val="00584DF0"/>
    <w:rsid w:val="005866EA"/>
    <w:rsid w:val="00596D29"/>
    <w:rsid w:val="005A053E"/>
    <w:rsid w:val="005A0A89"/>
    <w:rsid w:val="005A0BB9"/>
    <w:rsid w:val="005A3260"/>
    <w:rsid w:val="005B03BB"/>
    <w:rsid w:val="005B573A"/>
    <w:rsid w:val="005B7644"/>
    <w:rsid w:val="005C0F06"/>
    <w:rsid w:val="005C13DD"/>
    <w:rsid w:val="005C16C1"/>
    <w:rsid w:val="005C3197"/>
    <w:rsid w:val="005C404F"/>
    <w:rsid w:val="005D29C0"/>
    <w:rsid w:val="005D2DF0"/>
    <w:rsid w:val="005D4E94"/>
    <w:rsid w:val="005D5D23"/>
    <w:rsid w:val="005D6A02"/>
    <w:rsid w:val="005D6E37"/>
    <w:rsid w:val="005E1AF2"/>
    <w:rsid w:val="005E5881"/>
    <w:rsid w:val="005E657A"/>
    <w:rsid w:val="005E7817"/>
    <w:rsid w:val="005F26B6"/>
    <w:rsid w:val="005F3A7A"/>
    <w:rsid w:val="005F66C8"/>
    <w:rsid w:val="005F7A18"/>
    <w:rsid w:val="0060005C"/>
    <w:rsid w:val="00600092"/>
    <w:rsid w:val="006015DE"/>
    <w:rsid w:val="00602C7C"/>
    <w:rsid w:val="00602DAB"/>
    <w:rsid w:val="00602F62"/>
    <w:rsid w:val="00610619"/>
    <w:rsid w:val="00611A44"/>
    <w:rsid w:val="0061307F"/>
    <w:rsid w:val="00616BE8"/>
    <w:rsid w:val="0062082B"/>
    <w:rsid w:val="00621823"/>
    <w:rsid w:val="006226D8"/>
    <w:rsid w:val="006230A5"/>
    <w:rsid w:val="006361D1"/>
    <w:rsid w:val="006433DB"/>
    <w:rsid w:val="00644113"/>
    <w:rsid w:val="0064478E"/>
    <w:rsid w:val="00646E0D"/>
    <w:rsid w:val="00647B9F"/>
    <w:rsid w:val="00650CD4"/>
    <w:rsid w:val="00651114"/>
    <w:rsid w:val="00654DCA"/>
    <w:rsid w:val="00671DC5"/>
    <w:rsid w:val="00677F93"/>
    <w:rsid w:val="00681B2B"/>
    <w:rsid w:val="00681E7C"/>
    <w:rsid w:val="006848D3"/>
    <w:rsid w:val="00687567"/>
    <w:rsid w:val="00696DCE"/>
    <w:rsid w:val="00697326"/>
    <w:rsid w:val="006A037E"/>
    <w:rsid w:val="006A18F0"/>
    <w:rsid w:val="006A2989"/>
    <w:rsid w:val="006A3941"/>
    <w:rsid w:val="006A65C9"/>
    <w:rsid w:val="006B140E"/>
    <w:rsid w:val="006B276A"/>
    <w:rsid w:val="006B2ACB"/>
    <w:rsid w:val="006B2DFF"/>
    <w:rsid w:val="006B56F7"/>
    <w:rsid w:val="006B5CC1"/>
    <w:rsid w:val="006B79E2"/>
    <w:rsid w:val="006C0013"/>
    <w:rsid w:val="006C5A1C"/>
    <w:rsid w:val="006C782E"/>
    <w:rsid w:val="006D2A2F"/>
    <w:rsid w:val="006D358E"/>
    <w:rsid w:val="006D56BA"/>
    <w:rsid w:val="006D7C61"/>
    <w:rsid w:val="006E20E1"/>
    <w:rsid w:val="006E37FD"/>
    <w:rsid w:val="006F17F6"/>
    <w:rsid w:val="006F3703"/>
    <w:rsid w:val="006F3719"/>
    <w:rsid w:val="006F4586"/>
    <w:rsid w:val="00700B5D"/>
    <w:rsid w:val="00701C89"/>
    <w:rsid w:val="007021E0"/>
    <w:rsid w:val="00705227"/>
    <w:rsid w:val="00705B18"/>
    <w:rsid w:val="00706279"/>
    <w:rsid w:val="007077E0"/>
    <w:rsid w:val="00715524"/>
    <w:rsid w:val="00717842"/>
    <w:rsid w:val="007312D8"/>
    <w:rsid w:val="007323A7"/>
    <w:rsid w:val="0073258F"/>
    <w:rsid w:val="00733E5A"/>
    <w:rsid w:val="00736742"/>
    <w:rsid w:val="0074096F"/>
    <w:rsid w:val="00750AC8"/>
    <w:rsid w:val="00752769"/>
    <w:rsid w:val="00753FA5"/>
    <w:rsid w:val="00756427"/>
    <w:rsid w:val="007564A2"/>
    <w:rsid w:val="00757518"/>
    <w:rsid w:val="0076040C"/>
    <w:rsid w:val="00761FFB"/>
    <w:rsid w:val="00763777"/>
    <w:rsid w:val="007655EA"/>
    <w:rsid w:val="007672AB"/>
    <w:rsid w:val="00767354"/>
    <w:rsid w:val="00767746"/>
    <w:rsid w:val="00776979"/>
    <w:rsid w:val="007772A6"/>
    <w:rsid w:val="00782767"/>
    <w:rsid w:val="00782E7E"/>
    <w:rsid w:val="00783907"/>
    <w:rsid w:val="00783C46"/>
    <w:rsid w:val="007849CB"/>
    <w:rsid w:val="00784F9C"/>
    <w:rsid w:val="0078517E"/>
    <w:rsid w:val="00787793"/>
    <w:rsid w:val="007878E7"/>
    <w:rsid w:val="00787C06"/>
    <w:rsid w:val="00787F6D"/>
    <w:rsid w:val="007908A8"/>
    <w:rsid w:val="00793843"/>
    <w:rsid w:val="00796757"/>
    <w:rsid w:val="007A1A70"/>
    <w:rsid w:val="007A296B"/>
    <w:rsid w:val="007A52B4"/>
    <w:rsid w:val="007A5EB0"/>
    <w:rsid w:val="007B0E1D"/>
    <w:rsid w:val="007B21D1"/>
    <w:rsid w:val="007B3297"/>
    <w:rsid w:val="007B3EEF"/>
    <w:rsid w:val="007B4A22"/>
    <w:rsid w:val="007B5F1D"/>
    <w:rsid w:val="007B64AB"/>
    <w:rsid w:val="007B65B9"/>
    <w:rsid w:val="007C2A73"/>
    <w:rsid w:val="007C326B"/>
    <w:rsid w:val="007C63DD"/>
    <w:rsid w:val="007C662E"/>
    <w:rsid w:val="007D105A"/>
    <w:rsid w:val="007D29EE"/>
    <w:rsid w:val="007D32FD"/>
    <w:rsid w:val="007D516A"/>
    <w:rsid w:val="007D7358"/>
    <w:rsid w:val="007D7759"/>
    <w:rsid w:val="007E3C92"/>
    <w:rsid w:val="007E41A8"/>
    <w:rsid w:val="007E4700"/>
    <w:rsid w:val="007E5509"/>
    <w:rsid w:val="007E6AE7"/>
    <w:rsid w:val="007F1BF8"/>
    <w:rsid w:val="007F1E36"/>
    <w:rsid w:val="007F24EC"/>
    <w:rsid w:val="008004D6"/>
    <w:rsid w:val="0080054C"/>
    <w:rsid w:val="00806153"/>
    <w:rsid w:val="00812E56"/>
    <w:rsid w:val="00817660"/>
    <w:rsid w:val="00817968"/>
    <w:rsid w:val="00821F15"/>
    <w:rsid w:val="00822CCC"/>
    <w:rsid w:val="008255E2"/>
    <w:rsid w:val="00834B2E"/>
    <w:rsid w:val="00835CD6"/>
    <w:rsid w:val="00835F14"/>
    <w:rsid w:val="00837184"/>
    <w:rsid w:val="0084053A"/>
    <w:rsid w:val="0084094D"/>
    <w:rsid w:val="00840F37"/>
    <w:rsid w:val="008416D1"/>
    <w:rsid w:val="00843672"/>
    <w:rsid w:val="00843C3E"/>
    <w:rsid w:val="00860C22"/>
    <w:rsid w:val="008616D0"/>
    <w:rsid w:val="00861A6F"/>
    <w:rsid w:val="00863EAC"/>
    <w:rsid w:val="0087153A"/>
    <w:rsid w:val="00871E58"/>
    <w:rsid w:val="00873090"/>
    <w:rsid w:val="0087556E"/>
    <w:rsid w:val="00883E7D"/>
    <w:rsid w:val="00887659"/>
    <w:rsid w:val="008919D8"/>
    <w:rsid w:val="008920A0"/>
    <w:rsid w:val="00895163"/>
    <w:rsid w:val="008A212A"/>
    <w:rsid w:val="008A270C"/>
    <w:rsid w:val="008A457F"/>
    <w:rsid w:val="008A4D71"/>
    <w:rsid w:val="008A7F8E"/>
    <w:rsid w:val="008B071B"/>
    <w:rsid w:val="008B4EED"/>
    <w:rsid w:val="008B6AB7"/>
    <w:rsid w:val="008C0178"/>
    <w:rsid w:val="008C0D77"/>
    <w:rsid w:val="008C29B9"/>
    <w:rsid w:val="008C2DE0"/>
    <w:rsid w:val="008C4A2B"/>
    <w:rsid w:val="008C7225"/>
    <w:rsid w:val="008D0A2D"/>
    <w:rsid w:val="008D1DFA"/>
    <w:rsid w:val="008D2A21"/>
    <w:rsid w:val="008D3A29"/>
    <w:rsid w:val="008D4296"/>
    <w:rsid w:val="008D4AB2"/>
    <w:rsid w:val="008D5547"/>
    <w:rsid w:val="008E04F4"/>
    <w:rsid w:val="008E1710"/>
    <w:rsid w:val="008F1633"/>
    <w:rsid w:val="008F3C05"/>
    <w:rsid w:val="008F510E"/>
    <w:rsid w:val="008F5FF9"/>
    <w:rsid w:val="00903427"/>
    <w:rsid w:val="00903F7C"/>
    <w:rsid w:val="0090726E"/>
    <w:rsid w:val="00914A81"/>
    <w:rsid w:val="00916969"/>
    <w:rsid w:val="0092002A"/>
    <w:rsid w:val="00922B4D"/>
    <w:rsid w:val="00923752"/>
    <w:rsid w:val="009238DC"/>
    <w:rsid w:val="009243E2"/>
    <w:rsid w:val="00924A17"/>
    <w:rsid w:val="00924E72"/>
    <w:rsid w:val="009265CD"/>
    <w:rsid w:val="009276A3"/>
    <w:rsid w:val="00930408"/>
    <w:rsid w:val="0093195B"/>
    <w:rsid w:val="00931D6C"/>
    <w:rsid w:val="0093277A"/>
    <w:rsid w:val="00933116"/>
    <w:rsid w:val="00934795"/>
    <w:rsid w:val="009347A2"/>
    <w:rsid w:val="009425A6"/>
    <w:rsid w:val="0094362E"/>
    <w:rsid w:val="00943963"/>
    <w:rsid w:val="00943A05"/>
    <w:rsid w:val="00945F27"/>
    <w:rsid w:val="00953FE0"/>
    <w:rsid w:val="009549CF"/>
    <w:rsid w:val="00956BFB"/>
    <w:rsid w:val="00956C4A"/>
    <w:rsid w:val="00961546"/>
    <w:rsid w:val="00964626"/>
    <w:rsid w:val="00966EBC"/>
    <w:rsid w:val="0097327F"/>
    <w:rsid w:val="00973AC3"/>
    <w:rsid w:val="00975DD9"/>
    <w:rsid w:val="0098446C"/>
    <w:rsid w:val="00985A82"/>
    <w:rsid w:val="009862AA"/>
    <w:rsid w:val="009956E5"/>
    <w:rsid w:val="009A14F6"/>
    <w:rsid w:val="009A370C"/>
    <w:rsid w:val="009A4FAE"/>
    <w:rsid w:val="009A7B19"/>
    <w:rsid w:val="009B23FC"/>
    <w:rsid w:val="009B53D6"/>
    <w:rsid w:val="009C39AE"/>
    <w:rsid w:val="009C62A7"/>
    <w:rsid w:val="009C6932"/>
    <w:rsid w:val="009D0084"/>
    <w:rsid w:val="009D04AA"/>
    <w:rsid w:val="009D309B"/>
    <w:rsid w:val="009D4B59"/>
    <w:rsid w:val="009D6FB4"/>
    <w:rsid w:val="009E0059"/>
    <w:rsid w:val="009E4331"/>
    <w:rsid w:val="009E612B"/>
    <w:rsid w:val="009E7747"/>
    <w:rsid w:val="009E7CF3"/>
    <w:rsid w:val="009F2531"/>
    <w:rsid w:val="009F2A46"/>
    <w:rsid w:val="009F4CFC"/>
    <w:rsid w:val="009F5748"/>
    <w:rsid w:val="00A03C60"/>
    <w:rsid w:val="00A04A97"/>
    <w:rsid w:val="00A051FC"/>
    <w:rsid w:val="00A06136"/>
    <w:rsid w:val="00A07A7D"/>
    <w:rsid w:val="00A11A51"/>
    <w:rsid w:val="00A143ED"/>
    <w:rsid w:val="00A1797B"/>
    <w:rsid w:val="00A17B08"/>
    <w:rsid w:val="00A227B8"/>
    <w:rsid w:val="00A247E5"/>
    <w:rsid w:val="00A35CF4"/>
    <w:rsid w:val="00A41800"/>
    <w:rsid w:val="00A43C51"/>
    <w:rsid w:val="00A4458B"/>
    <w:rsid w:val="00A44AE4"/>
    <w:rsid w:val="00A462A2"/>
    <w:rsid w:val="00A4743A"/>
    <w:rsid w:val="00A47720"/>
    <w:rsid w:val="00A5444D"/>
    <w:rsid w:val="00A64292"/>
    <w:rsid w:val="00A652AD"/>
    <w:rsid w:val="00A67FF9"/>
    <w:rsid w:val="00A72B61"/>
    <w:rsid w:val="00A748DE"/>
    <w:rsid w:val="00A75A6D"/>
    <w:rsid w:val="00A767A1"/>
    <w:rsid w:val="00A76FA6"/>
    <w:rsid w:val="00A81003"/>
    <w:rsid w:val="00A81A05"/>
    <w:rsid w:val="00A8641D"/>
    <w:rsid w:val="00A86CA6"/>
    <w:rsid w:val="00A912E4"/>
    <w:rsid w:val="00A94179"/>
    <w:rsid w:val="00A95E10"/>
    <w:rsid w:val="00A96D2F"/>
    <w:rsid w:val="00A96F0D"/>
    <w:rsid w:val="00AA0BC3"/>
    <w:rsid w:val="00AA4BDC"/>
    <w:rsid w:val="00AA6323"/>
    <w:rsid w:val="00AA6360"/>
    <w:rsid w:val="00AB1400"/>
    <w:rsid w:val="00AB4ACE"/>
    <w:rsid w:val="00AB4B56"/>
    <w:rsid w:val="00AB58CE"/>
    <w:rsid w:val="00AC1026"/>
    <w:rsid w:val="00AC3A93"/>
    <w:rsid w:val="00AC5592"/>
    <w:rsid w:val="00AD06B0"/>
    <w:rsid w:val="00AD06EA"/>
    <w:rsid w:val="00AD1839"/>
    <w:rsid w:val="00AD1CB4"/>
    <w:rsid w:val="00AD7863"/>
    <w:rsid w:val="00AD7ED9"/>
    <w:rsid w:val="00AE14A3"/>
    <w:rsid w:val="00AE1B1A"/>
    <w:rsid w:val="00AE23B2"/>
    <w:rsid w:val="00AE4227"/>
    <w:rsid w:val="00AE69D0"/>
    <w:rsid w:val="00AF0EE1"/>
    <w:rsid w:val="00AF3EFD"/>
    <w:rsid w:val="00AF422C"/>
    <w:rsid w:val="00AF778B"/>
    <w:rsid w:val="00B016DA"/>
    <w:rsid w:val="00B0321D"/>
    <w:rsid w:val="00B03A2A"/>
    <w:rsid w:val="00B04644"/>
    <w:rsid w:val="00B0704C"/>
    <w:rsid w:val="00B13480"/>
    <w:rsid w:val="00B14D85"/>
    <w:rsid w:val="00B224AA"/>
    <w:rsid w:val="00B22E65"/>
    <w:rsid w:val="00B36A99"/>
    <w:rsid w:val="00B40BA5"/>
    <w:rsid w:val="00B42358"/>
    <w:rsid w:val="00B4270A"/>
    <w:rsid w:val="00B43A33"/>
    <w:rsid w:val="00B45F52"/>
    <w:rsid w:val="00B47BC9"/>
    <w:rsid w:val="00B5200A"/>
    <w:rsid w:val="00B539FA"/>
    <w:rsid w:val="00B570C9"/>
    <w:rsid w:val="00B6169E"/>
    <w:rsid w:val="00B662C8"/>
    <w:rsid w:val="00B67646"/>
    <w:rsid w:val="00B74DA1"/>
    <w:rsid w:val="00B753DA"/>
    <w:rsid w:val="00B76696"/>
    <w:rsid w:val="00B769FA"/>
    <w:rsid w:val="00B80AB3"/>
    <w:rsid w:val="00B82DD3"/>
    <w:rsid w:val="00B84CF0"/>
    <w:rsid w:val="00B86B50"/>
    <w:rsid w:val="00B9073B"/>
    <w:rsid w:val="00B9293F"/>
    <w:rsid w:val="00B9337E"/>
    <w:rsid w:val="00B935FE"/>
    <w:rsid w:val="00B97737"/>
    <w:rsid w:val="00BA2439"/>
    <w:rsid w:val="00BA2CB2"/>
    <w:rsid w:val="00BA304F"/>
    <w:rsid w:val="00BA7225"/>
    <w:rsid w:val="00BB1DFB"/>
    <w:rsid w:val="00BB220A"/>
    <w:rsid w:val="00BB5F4F"/>
    <w:rsid w:val="00BC3F70"/>
    <w:rsid w:val="00BC5050"/>
    <w:rsid w:val="00BD1CD2"/>
    <w:rsid w:val="00BD37E2"/>
    <w:rsid w:val="00BD7CF5"/>
    <w:rsid w:val="00BE083B"/>
    <w:rsid w:val="00BE0F28"/>
    <w:rsid w:val="00BE172C"/>
    <w:rsid w:val="00BE1915"/>
    <w:rsid w:val="00BE1C4B"/>
    <w:rsid w:val="00BE34C9"/>
    <w:rsid w:val="00BE38C0"/>
    <w:rsid w:val="00BE4B6B"/>
    <w:rsid w:val="00BE5C18"/>
    <w:rsid w:val="00BE63A9"/>
    <w:rsid w:val="00BF01F6"/>
    <w:rsid w:val="00BF137E"/>
    <w:rsid w:val="00BF3B2E"/>
    <w:rsid w:val="00BF472C"/>
    <w:rsid w:val="00BF5C12"/>
    <w:rsid w:val="00BF7ACD"/>
    <w:rsid w:val="00BF7D26"/>
    <w:rsid w:val="00C03A86"/>
    <w:rsid w:val="00C04205"/>
    <w:rsid w:val="00C05569"/>
    <w:rsid w:val="00C05807"/>
    <w:rsid w:val="00C079A3"/>
    <w:rsid w:val="00C07E42"/>
    <w:rsid w:val="00C1081F"/>
    <w:rsid w:val="00C1147B"/>
    <w:rsid w:val="00C140B2"/>
    <w:rsid w:val="00C146F0"/>
    <w:rsid w:val="00C204D2"/>
    <w:rsid w:val="00C20C5C"/>
    <w:rsid w:val="00C221C9"/>
    <w:rsid w:val="00C22C73"/>
    <w:rsid w:val="00C3017E"/>
    <w:rsid w:val="00C31270"/>
    <w:rsid w:val="00C31C38"/>
    <w:rsid w:val="00C31D3A"/>
    <w:rsid w:val="00C402F6"/>
    <w:rsid w:val="00C40BB1"/>
    <w:rsid w:val="00C40FB1"/>
    <w:rsid w:val="00C4146E"/>
    <w:rsid w:val="00C42F67"/>
    <w:rsid w:val="00C4451C"/>
    <w:rsid w:val="00C44E6B"/>
    <w:rsid w:val="00C4564A"/>
    <w:rsid w:val="00C501AC"/>
    <w:rsid w:val="00C51E83"/>
    <w:rsid w:val="00C52A7B"/>
    <w:rsid w:val="00C53665"/>
    <w:rsid w:val="00C54E00"/>
    <w:rsid w:val="00C57EE6"/>
    <w:rsid w:val="00C605D2"/>
    <w:rsid w:val="00C617E6"/>
    <w:rsid w:val="00C642B4"/>
    <w:rsid w:val="00C648E8"/>
    <w:rsid w:val="00C66A5F"/>
    <w:rsid w:val="00C67C48"/>
    <w:rsid w:val="00C704CE"/>
    <w:rsid w:val="00C7182C"/>
    <w:rsid w:val="00C71ED7"/>
    <w:rsid w:val="00C72BCC"/>
    <w:rsid w:val="00C75C3A"/>
    <w:rsid w:val="00C858FE"/>
    <w:rsid w:val="00C86519"/>
    <w:rsid w:val="00C90FA1"/>
    <w:rsid w:val="00C92929"/>
    <w:rsid w:val="00C93473"/>
    <w:rsid w:val="00C94E4B"/>
    <w:rsid w:val="00C960E4"/>
    <w:rsid w:val="00C97835"/>
    <w:rsid w:val="00C97881"/>
    <w:rsid w:val="00CA14CF"/>
    <w:rsid w:val="00CA2CC1"/>
    <w:rsid w:val="00CA5D58"/>
    <w:rsid w:val="00CA7388"/>
    <w:rsid w:val="00CB32E8"/>
    <w:rsid w:val="00CB3505"/>
    <w:rsid w:val="00CB388C"/>
    <w:rsid w:val="00CB4676"/>
    <w:rsid w:val="00CB7720"/>
    <w:rsid w:val="00CB7AAB"/>
    <w:rsid w:val="00CC18A5"/>
    <w:rsid w:val="00CC23D7"/>
    <w:rsid w:val="00CC2589"/>
    <w:rsid w:val="00CC337D"/>
    <w:rsid w:val="00CC3842"/>
    <w:rsid w:val="00CC3B74"/>
    <w:rsid w:val="00CC76F8"/>
    <w:rsid w:val="00CD0708"/>
    <w:rsid w:val="00CD0781"/>
    <w:rsid w:val="00CD28EE"/>
    <w:rsid w:val="00CD6013"/>
    <w:rsid w:val="00CE296C"/>
    <w:rsid w:val="00CE2D9F"/>
    <w:rsid w:val="00CE33AD"/>
    <w:rsid w:val="00CF0D48"/>
    <w:rsid w:val="00CF203A"/>
    <w:rsid w:val="00CF2463"/>
    <w:rsid w:val="00CF5FCF"/>
    <w:rsid w:val="00CF70D6"/>
    <w:rsid w:val="00D00625"/>
    <w:rsid w:val="00D13DAA"/>
    <w:rsid w:val="00D15127"/>
    <w:rsid w:val="00D20E41"/>
    <w:rsid w:val="00D212DC"/>
    <w:rsid w:val="00D23272"/>
    <w:rsid w:val="00D2602F"/>
    <w:rsid w:val="00D27791"/>
    <w:rsid w:val="00D27F17"/>
    <w:rsid w:val="00D305C4"/>
    <w:rsid w:val="00D32F26"/>
    <w:rsid w:val="00D333A9"/>
    <w:rsid w:val="00D34F80"/>
    <w:rsid w:val="00D366B9"/>
    <w:rsid w:val="00D369F4"/>
    <w:rsid w:val="00D37442"/>
    <w:rsid w:val="00D41841"/>
    <w:rsid w:val="00D42597"/>
    <w:rsid w:val="00D425A2"/>
    <w:rsid w:val="00D42A32"/>
    <w:rsid w:val="00D458EC"/>
    <w:rsid w:val="00D51458"/>
    <w:rsid w:val="00D51696"/>
    <w:rsid w:val="00D559E1"/>
    <w:rsid w:val="00D60D20"/>
    <w:rsid w:val="00D61485"/>
    <w:rsid w:val="00D6206E"/>
    <w:rsid w:val="00D667BF"/>
    <w:rsid w:val="00D67CE2"/>
    <w:rsid w:val="00D75324"/>
    <w:rsid w:val="00D75A16"/>
    <w:rsid w:val="00D77ECC"/>
    <w:rsid w:val="00D815CA"/>
    <w:rsid w:val="00D85DE6"/>
    <w:rsid w:val="00D925E2"/>
    <w:rsid w:val="00D9357F"/>
    <w:rsid w:val="00D9675D"/>
    <w:rsid w:val="00DA02EC"/>
    <w:rsid w:val="00DA0C9F"/>
    <w:rsid w:val="00DA1817"/>
    <w:rsid w:val="00DA2F29"/>
    <w:rsid w:val="00DA37DE"/>
    <w:rsid w:val="00DB0E2C"/>
    <w:rsid w:val="00DB2C81"/>
    <w:rsid w:val="00DB3098"/>
    <w:rsid w:val="00DB63EB"/>
    <w:rsid w:val="00DC0B46"/>
    <w:rsid w:val="00DC18A5"/>
    <w:rsid w:val="00DC6E89"/>
    <w:rsid w:val="00DD1430"/>
    <w:rsid w:val="00DD418B"/>
    <w:rsid w:val="00DD4300"/>
    <w:rsid w:val="00DD7443"/>
    <w:rsid w:val="00DD779E"/>
    <w:rsid w:val="00DE327F"/>
    <w:rsid w:val="00DE4EAA"/>
    <w:rsid w:val="00DF3CEE"/>
    <w:rsid w:val="00DF4FD9"/>
    <w:rsid w:val="00E01783"/>
    <w:rsid w:val="00E02577"/>
    <w:rsid w:val="00E035A8"/>
    <w:rsid w:val="00E065EA"/>
    <w:rsid w:val="00E1619B"/>
    <w:rsid w:val="00E17122"/>
    <w:rsid w:val="00E222B1"/>
    <w:rsid w:val="00E227FF"/>
    <w:rsid w:val="00E23DD4"/>
    <w:rsid w:val="00E24F61"/>
    <w:rsid w:val="00E254AE"/>
    <w:rsid w:val="00E26126"/>
    <w:rsid w:val="00E268D4"/>
    <w:rsid w:val="00E27455"/>
    <w:rsid w:val="00E30E04"/>
    <w:rsid w:val="00E3143A"/>
    <w:rsid w:val="00E31DB6"/>
    <w:rsid w:val="00E32DD0"/>
    <w:rsid w:val="00E3694E"/>
    <w:rsid w:val="00E36F1E"/>
    <w:rsid w:val="00E402E1"/>
    <w:rsid w:val="00E4078D"/>
    <w:rsid w:val="00E40F84"/>
    <w:rsid w:val="00E41126"/>
    <w:rsid w:val="00E427EF"/>
    <w:rsid w:val="00E43FFC"/>
    <w:rsid w:val="00E471CE"/>
    <w:rsid w:val="00E50CDF"/>
    <w:rsid w:val="00E5224C"/>
    <w:rsid w:val="00E53709"/>
    <w:rsid w:val="00E566FF"/>
    <w:rsid w:val="00E6157A"/>
    <w:rsid w:val="00E62EE4"/>
    <w:rsid w:val="00E647DB"/>
    <w:rsid w:val="00E64D42"/>
    <w:rsid w:val="00E66899"/>
    <w:rsid w:val="00E671D5"/>
    <w:rsid w:val="00E71021"/>
    <w:rsid w:val="00E74AF6"/>
    <w:rsid w:val="00E76409"/>
    <w:rsid w:val="00E77D74"/>
    <w:rsid w:val="00E82208"/>
    <w:rsid w:val="00E84AB8"/>
    <w:rsid w:val="00E94BE1"/>
    <w:rsid w:val="00E9685A"/>
    <w:rsid w:val="00EA12F2"/>
    <w:rsid w:val="00EA1C57"/>
    <w:rsid w:val="00EA2912"/>
    <w:rsid w:val="00EA2EDB"/>
    <w:rsid w:val="00EA5AC0"/>
    <w:rsid w:val="00EB2808"/>
    <w:rsid w:val="00EB780D"/>
    <w:rsid w:val="00EC3CBF"/>
    <w:rsid w:val="00EC6931"/>
    <w:rsid w:val="00ED06F1"/>
    <w:rsid w:val="00ED3F5E"/>
    <w:rsid w:val="00ED534F"/>
    <w:rsid w:val="00EE0805"/>
    <w:rsid w:val="00EE29FB"/>
    <w:rsid w:val="00EE49E3"/>
    <w:rsid w:val="00EF0638"/>
    <w:rsid w:val="00EF2241"/>
    <w:rsid w:val="00EF53E3"/>
    <w:rsid w:val="00F013B2"/>
    <w:rsid w:val="00F0516A"/>
    <w:rsid w:val="00F13969"/>
    <w:rsid w:val="00F13D21"/>
    <w:rsid w:val="00F176A8"/>
    <w:rsid w:val="00F17F32"/>
    <w:rsid w:val="00F21639"/>
    <w:rsid w:val="00F230DF"/>
    <w:rsid w:val="00F23228"/>
    <w:rsid w:val="00F268BD"/>
    <w:rsid w:val="00F27417"/>
    <w:rsid w:val="00F31DF3"/>
    <w:rsid w:val="00F35495"/>
    <w:rsid w:val="00F37FE3"/>
    <w:rsid w:val="00F431DB"/>
    <w:rsid w:val="00F4469C"/>
    <w:rsid w:val="00F44B1C"/>
    <w:rsid w:val="00F467E9"/>
    <w:rsid w:val="00F4739B"/>
    <w:rsid w:val="00F47BBA"/>
    <w:rsid w:val="00F503C2"/>
    <w:rsid w:val="00F50BDD"/>
    <w:rsid w:val="00F51A26"/>
    <w:rsid w:val="00F537FA"/>
    <w:rsid w:val="00F53D36"/>
    <w:rsid w:val="00F5421A"/>
    <w:rsid w:val="00F649A6"/>
    <w:rsid w:val="00F66A3B"/>
    <w:rsid w:val="00F6755D"/>
    <w:rsid w:val="00F71E4C"/>
    <w:rsid w:val="00F72928"/>
    <w:rsid w:val="00F75B86"/>
    <w:rsid w:val="00F82189"/>
    <w:rsid w:val="00F842DD"/>
    <w:rsid w:val="00F850A1"/>
    <w:rsid w:val="00F85D30"/>
    <w:rsid w:val="00F90A65"/>
    <w:rsid w:val="00F9282C"/>
    <w:rsid w:val="00F92AEB"/>
    <w:rsid w:val="00F93DF2"/>
    <w:rsid w:val="00F93F5D"/>
    <w:rsid w:val="00F94767"/>
    <w:rsid w:val="00F948CB"/>
    <w:rsid w:val="00F958B3"/>
    <w:rsid w:val="00FA2A61"/>
    <w:rsid w:val="00FA2B50"/>
    <w:rsid w:val="00FA433B"/>
    <w:rsid w:val="00FB17F2"/>
    <w:rsid w:val="00FB22D6"/>
    <w:rsid w:val="00FB349B"/>
    <w:rsid w:val="00FB4733"/>
    <w:rsid w:val="00FC379A"/>
    <w:rsid w:val="00FC7301"/>
    <w:rsid w:val="00FD01DF"/>
    <w:rsid w:val="00FD2123"/>
    <w:rsid w:val="00FD4283"/>
    <w:rsid w:val="00FD5732"/>
    <w:rsid w:val="00FE0B1A"/>
    <w:rsid w:val="00FE5D59"/>
    <w:rsid w:val="00FE6333"/>
    <w:rsid w:val="00FF3A43"/>
    <w:rsid w:val="00FF3CF5"/>
    <w:rsid w:val="00FF61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912A71"/>
  <w15:chartTrackingRefBased/>
  <w15:docId w15:val="{0824F3E6-6AF5-4BBC-9FC1-B2D97D0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01"/>
    <w:pPr>
      <w:spacing w:line="240" w:lineRule="auto"/>
    </w:pPr>
    <w:rPr>
      <w:lang w:val="en-US"/>
    </w:rPr>
  </w:style>
  <w:style w:type="paragraph" w:styleId="Heading1">
    <w:name w:val="heading 1"/>
    <w:basedOn w:val="Normal"/>
    <w:next w:val="Normal"/>
    <w:link w:val="Heading1Char"/>
    <w:uiPriority w:val="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757518"/>
    <w:pPr>
      <w:keepNext/>
      <w:keepLines/>
      <w:spacing w:before="40" w:after="0"/>
      <w:outlineLvl w:val="6"/>
    </w:pPr>
    <w:rPr>
      <w:rFonts w:ascii="Segoe UI Semibold" w:eastAsiaTheme="majorEastAsia" w:hAnsi="Segoe UI Semibold" w:cs="Segoe UI Semibold"/>
      <w:iCs/>
      <w:color w:val="4C5564"/>
      <w:sz w:val="18"/>
      <w:szCs w:val="18"/>
      <w:lang w:val="en-AU"/>
    </w:rPr>
  </w:style>
  <w:style w:type="paragraph" w:styleId="Heading8">
    <w:name w:val="heading 8"/>
    <w:basedOn w:val="Normal"/>
    <w:next w:val="Normal"/>
    <w:link w:val="Heading8Char"/>
    <w:uiPriority w:val="9"/>
    <w:unhideWhenUsed/>
    <w:qFormat/>
    <w:rsid w:val="00757518"/>
    <w:pPr>
      <w:keepNext/>
      <w:keepLines/>
      <w:spacing w:before="40" w:after="0"/>
      <w:outlineLvl w:val="7"/>
    </w:pPr>
    <w:rPr>
      <w:rFonts w:asciiTheme="majorHAnsi" w:eastAsiaTheme="majorEastAsia" w:hAnsiTheme="majorHAnsi" w:cstheme="majorBidi"/>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1D7D43"/>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4356A2"/>
    <w:pPr>
      <w:keepLines/>
      <w:tabs>
        <w:tab w:val="right" w:pos="8896"/>
      </w:tabs>
      <w:suppressAutoHyphens/>
      <w:spacing w:after="0"/>
      <w:ind w:left="567" w:right="851" w:hanging="567"/>
    </w:pPr>
    <w:rPr>
      <w:b/>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C4146E"/>
    <w:pPr>
      <w:keepNext/>
      <w:spacing w:before="240"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5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757518"/>
    <w:rPr>
      <w:rFonts w:ascii="Segoe UI Semibold" w:eastAsiaTheme="majorEastAsia" w:hAnsi="Segoe UI Semibold" w:cs="Segoe UI Semibold"/>
      <w:iCs/>
      <w:color w:val="4C5564"/>
      <w:sz w:val="18"/>
      <w:szCs w:val="18"/>
    </w:rPr>
  </w:style>
  <w:style w:type="character" w:customStyle="1" w:styleId="Heading8Char">
    <w:name w:val="Heading 8 Char"/>
    <w:basedOn w:val="DefaultParagraphFont"/>
    <w:link w:val="Heading8"/>
    <w:uiPriority w:val="9"/>
    <w:rsid w:val="00757518"/>
    <w:rPr>
      <w:rFonts w:asciiTheme="majorHAnsi" w:eastAsiaTheme="majorEastAsia" w:hAnsiTheme="majorHAnsi" w:cstheme="majorBidi"/>
      <w:color w:val="272727" w:themeColor="text1" w:themeTint="D8"/>
      <w:sz w:val="21"/>
      <w:szCs w:val="21"/>
    </w:rPr>
  </w:style>
  <w:style w:type="paragraph" w:customStyle="1" w:styleId="Tabletextcentred0">
    <w:name w:val="Table text centred"/>
    <w:basedOn w:val="Tabletext"/>
    <w:next w:val="NoSpacing"/>
    <w:rsid w:val="00757518"/>
    <w:pPr>
      <w:spacing w:before="0" w:after="0"/>
      <w:jc w:val="center"/>
    </w:pPr>
    <w:rPr>
      <w:rFonts w:ascii="Segoe UI" w:hAnsi="Segoe UI"/>
    </w:rPr>
  </w:style>
  <w:style w:type="paragraph" w:customStyle="1" w:styleId="Tablerowcolumnheadingcentred0">
    <w:name w:val="Table row/column heading centred"/>
    <w:basedOn w:val="Tablerowcolumnheading"/>
    <w:next w:val="Normal"/>
    <w:rsid w:val="00757518"/>
    <w:pPr>
      <w:spacing w:before="0" w:after="0"/>
      <w:jc w:val="center"/>
    </w:pPr>
    <w:rPr>
      <w:rFonts w:ascii="Segoe UI" w:eastAsia="Times New Roman" w:hAnsi="Segoe UI" w:cs="Times New Roman"/>
      <w:color w:val="002D72"/>
      <w:sz w:val="20"/>
    </w:rPr>
  </w:style>
  <w:style w:type="table" w:styleId="PlainTable1">
    <w:name w:val="Plain Table 1"/>
    <w:basedOn w:val="TableNormal"/>
    <w:uiPriority w:val="41"/>
    <w:rsid w:val="007575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757518"/>
    <w:pPr>
      <w:spacing w:after="120"/>
    </w:pPr>
    <w:rPr>
      <w:rFonts w:ascii="Segoe UI" w:hAnsi="Segoe UI"/>
      <w:sz w:val="20"/>
      <w:szCs w:val="20"/>
      <w:lang w:val="en-AU"/>
    </w:rPr>
  </w:style>
  <w:style w:type="character" w:styleId="CommentReference">
    <w:name w:val="annotation reference"/>
    <w:basedOn w:val="DefaultParagraphFont"/>
    <w:uiPriority w:val="99"/>
    <w:semiHidden/>
    <w:unhideWhenUsed/>
    <w:rsid w:val="00757518"/>
    <w:rPr>
      <w:sz w:val="16"/>
      <w:szCs w:val="16"/>
    </w:rPr>
  </w:style>
  <w:style w:type="paragraph" w:styleId="CommentText">
    <w:name w:val="annotation text"/>
    <w:basedOn w:val="Normal"/>
    <w:link w:val="CommentTextChar"/>
    <w:uiPriority w:val="99"/>
    <w:unhideWhenUsed/>
    <w:rsid w:val="00757518"/>
    <w:rPr>
      <w:rFonts w:ascii="Segoe UI" w:hAnsi="Segoe UI"/>
      <w:sz w:val="20"/>
      <w:szCs w:val="20"/>
      <w:lang w:val="en-AU"/>
    </w:rPr>
  </w:style>
  <w:style w:type="character" w:customStyle="1" w:styleId="CommentTextChar">
    <w:name w:val="Comment Text Char"/>
    <w:basedOn w:val="DefaultParagraphFont"/>
    <w:link w:val="CommentText"/>
    <w:uiPriority w:val="99"/>
    <w:rsid w:val="0075751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57518"/>
    <w:rPr>
      <w:b/>
      <w:bCs/>
    </w:rPr>
  </w:style>
  <w:style w:type="character" w:customStyle="1" w:styleId="CommentSubjectChar">
    <w:name w:val="Comment Subject Char"/>
    <w:basedOn w:val="CommentTextChar"/>
    <w:link w:val="CommentSubject"/>
    <w:uiPriority w:val="99"/>
    <w:semiHidden/>
    <w:rsid w:val="00757518"/>
    <w:rPr>
      <w:rFonts w:ascii="Segoe UI" w:hAnsi="Segoe UI"/>
      <w:b/>
      <w:bCs/>
      <w:sz w:val="20"/>
      <w:szCs w:val="20"/>
    </w:rPr>
  </w:style>
  <w:style w:type="paragraph" w:styleId="Revision">
    <w:name w:val="Revision"/>
    <w:hidden/>
    <w:uiPriority w:val="99"/>
    <w:semiHidden/>
    <w:rsid w:val="00757518"/>
    <w:pPr>
      <w:spacing w:after="0" w:line="240" w:lineRule="auto"/>
    </w:pPr>
    <w:rPr>
      <w:rFonts w:ascii="Segoe UI" w:hAnsi="Segoe UI"/>
      <w:sz w:val="21"/>
    </w:rPr>
  </w:style>
  <w:style w:type="character" w:styleId="FollowedHyperlink">
    <w:name w:val="FollowedHyperlink"/>
    <w:basedOn w:val="DefaultParagraphFont"/>
    <w:uiPriority w:val="99"/>
    <w:semiHidden/>
    <w:unhideWhenUsed/>
    <w:rsid w:val="00757518"/>
    <w:rPr>
      <w:color w:val="954F72" w:themeColor="followedHyperlink"/>
      <w:u w:val="single"/>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link w:val="ListParagraph"/>
    <w:uiPriority w:val="34"/>
    <w:qFormat/>
    <w:rsid w:val="00757518"/>
    <w:rPr>
      <w:lang w:val="en-US"/>
    </w:rPr>
  </w:style>
  <w:style w:type="paragraph" w:customStyle="1" w:styleId="subsection">
    <w:name w:val="subsection"/>
    <w:aliases w:val="ss,Subsection"/>
    <w:basedOn w:val="Normal"/>
    <w:link w:val="subsectionChar"/>
    <w:rsid w:val="00757518"/>
    <w:pPr>
      <w:tabs>
        <w:tab w:val="right" w:pos="1021"/>
      </w:tabs>
      <w:spacing w:before="180" w:after="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757518"/>
    <w:rPr>
      <w:rFonts w:ascii="Times New Roman" w:eastAsia="Times New Roman" w:hAnsi="Times New Roman" w:cs="Times New Roman"/>
      <w:szCs w:val="20"/>
      <w:lang w:eastAsia="en-AU"/>
    </w:rPr>
  </w:style>
  <w:style w:type="paragraph" w:styleId="NormalWeb">
    <w:name w:val="Normal (Web)"/>
    <w:basedOn w:val="Normal"/>
    <w:uiPriority w:val="99"/>
    <w:semiHidden/>
    <w:unhideWhenUsed/>
    <w:rsid w:val="00757518"/>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57518"/>
    <w:rPr>
      <w:b/>
      <w:bCs/>
    </w:rPr>
  </w:style>
  <w:style w:type="paragraph" w:customStyle="1" w:styleId="xmsonormal">
    <w:name w:val="x_msonormal"/>
    <w:basedOn w:val="Normal"/>
    <w:uiPriority w:val="99"/>
    <w:rsid w:val="00757518"/>
    <w:pPr>
      <w:spacing w:after="0"/>
    </w:pPr>
    <w:rPr>
      <w:rFonts w:ascii="Calibri" w:hAnsi="Calibri" w:cs="Calibri"/>
      <w:lang w:val="en-AU" w:eastAsia="en-AU"/>
    </w:rPr>
  </w:style>
  <w:style w:type="character" w:styleId="UnresolvedMention">
    <w:name w:val="Unresolved Mention"/>
    <w:basedOn w:val="DefaultParagraphFont"/>
    <w:uiPriority w:val="99"/>
    <w:semiHidden/>
    <w:unhideWhenUsed/>
    <w:rsid w:val="007672AB"/>
    <w:rPr>
      <w:color w:val="605E5C"/>
      <w:shd w:val="clear" w:color="auto" w:fill="E1DFDD"/>
    </w:rPr>
  </w:style>
  <w:style w:type="paragraph" w:customStyle="1" w:styleId="paragraph">
    <w:name w:val="paragraph"/>
    <w:basedOn w:val="Normal"/>
    <w:rsid w:val="00C7182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ubsection2">
    <w:name w:val="subsection2"/>
    <w:basedOn w:val="Normal"/>
    <w:rsid w:val="00C7182C"/>
    <w:pPr>
      <w:spacing w:before="100" w:beforeAutospacing="1" w:after="100" w:afterAutospacing="1"/>
    </w:pPr>
    <w:rPr>
      <w:rFonts w:ascii="Times New Roman" w:eastAsia="Times New Roman" w:hAnsi="Times New Roman" w:cs="Times New Roman"/>
      <w:sz w:val="24"/>
      <w:szCs w:val="24"/>
      <w:lang w:val="en-AU" w:eastAsia="en-AU"/>
    </w:rPr>
  </w:style>
  <w:style w:type="paragraph" w:styleId="EndnoteText">
    <w:name w:val="endnote text"/>
    <w:basedOn w:val="Normal"/>
    <w:link w:val="EndnoteTextChar"/>
    <w:uiPriority w:val="99"/>
    <w:semiHidden/>
    <w:unhideWhenUsed/>
    <w:rsid w:val="00A06136"/>
    <w:pPr>
      <w:spacing w:after="0"/>
    </w:pPr>
    <w:rPr>
      <w:sz w:val="20"/>
      <w:szCs w:val="20"/>
    </w:rPr>
  </w:style>
  <w:style w:type="character" w:customStyle="1" w:styleId="EndnoteTextChar">
    <w:name w:val="Endnote Text Char"/>
    <w:basedOn w:val="DefaultParagraphFont"/>
    <w:link w:val="EndnoteText"/>
    <w:uiPriority w:val="99"/>
    <w:semiHidden/>
    <w:rsid w:val="00A06136"/>
    <w:rPr>
      <w:sz w:val="20"/>
      <w:szCs w:val="20"/>
      <w:lang w:val="en-US"/>
    </w:rPr>
  </w:style>
  <w:style w:type="character" w:styleId="EndnoteReference">
    <w:name w:val="endnote reference"/>
    <w:basedOn w:val="DefaultParagraphFont"/>
    <w:uiPriority w:val="99"/>
    <w:semiHidden/>
    <w:unhideWhenUsed/>
    <w:rsid w:val="00A06136"/>
    <w:rPr>
      <w:vertAlign w:val="superscript"/>
    </w:rPr>
  </w:style>
  <w:style w:type="table" w:customStyle="1" w:styleId="DefaultTable11">
    <w:name w:val="Default Table 11"/>
    <w:basedOn w:val="TableNormal"/>
    <w:uiPriority w:val="99"/>
    <w:rsid w:val="00650CD4"/>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872">
      <w:bodyDiv w:val="1"/>
      <w:marLeft w:val="0"/>
      <w:marRight w:val="0"/>
      <w:marTop w:val="0"/>
      <w:marBottom w:val="0"/>
      <w:divBdr>
        <w:top w:val="none" w:sz="0" w:space="0" w:color="auto"/>
        <w:left w:val="none" w:sz="0" w:space="0" w:color="auto"/>
        <w:bottom w:val="none" w:sz="0" w:space="0" w:color="auto"/>
        <w:right w:val="none" w:sz="0" w:space="0" w:color="auto"/>
      </w:divBdr>
    </w:div>
    <w:div w:id="370492811">
      <w:bodyDiv w:val="1"/>
      <w:marLeft w:val="0"/>
      <w:marRight w:val="0"/>
      <w:marTop w:val="0"/>
      <w:marBottom w:val="0"/>
      <w:divBdr>
        <w:top w:val="none" w:sz="0" w:space="0" w:color="auto"/>
        <w:left w:val="none" w:sz="0" w:space="0" w:color="auto"/>
        <w:bottom w:val="none" w:sz="0" w:space="0" w:color="auto"/>
        <w:right w:val="none" w:sz="0" w:space="0" w:color="auto"/>
      </w:divBdr>
    </w:div>
    <w:div w:id="633678915">
      <w:bodyDiv w:val="1"/>
      <w:marLeft w:val="0"/>
      <w:marRight w:val="0"/>
      <w:marTop w:val="0"/>
      <w:marBottom w:val="0"/>
      <w:divBdr>
        <w:top w:val="none" w:sz="0" w:space="0" w:color="auto"/>
        <w:left w:val="none" w:sz="0" w:space="0" w:color="auto"/>
        <w:bottom w:val="none" w:sz="0" w:space="0" w:color="auto"/>
        <w:right w:val="none" w:sz="0" w:space="0" w:color="auto"/>
      </w:divBdr>
    </w:div>
    <w:div w:id="20122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ublishing@infrastructure.gov.au" TargetMode="External"/><Relationship Id="rId26" Type="http://schemas.openxmlformats.org/officeDocument/2006/relationships/hyperlink" Target="mailto:usb@communications.gov.au" TargetMode="External"/><Relationship Id="rId39" Type="http://schemas.openxmlformats.org/officeDocument/2006/relationships/hyperlink" Target="https://www.legislation.gov.au/Details/F2011L01704/" TargetMode="External"/><Relationship Id="rId3" Type="http://schemas.openxmlformats.org/officeDocument/2006/relationships/customXml" Target="../customXml/item3.xml"/><Relationship Id="rId21" Type="http://schemas.openxmlformats.org/officeDocument/2006/relationships/hyperlink" Target="https://www.legislation.gov.au/Details/F2011L01704/" TargetMode="External"/><Relationship Id="rId34" Type="http://schemas.openxmlformats.org/officeDocument/2006/relationships/hyperlink" Target="mailto:usb@communications.gov.au" TargetMode="External"/><Relationship Id="rId42" Type="http://schemas.openxmlformats.org/officeDocument/2006/relationships/hyperlink" Target="https://www.accc.gov.au/regulated-infrastructure/telecommunications-and-internet/national-broadband-network-nbn-access-regulation/nbn-co-sau-variation-november-2022" TargetMode="External"/><Relationship Id="rId7" Type="http://schemas.openxmlformats.org/officeDocument/2006/relationships/settings" Target="settings.xml"/><Relationship Id="rId12" Type="http://schemas.openxmlformats.org/officeDocument/2006/relationships/hyperlink" Target="mailto:usb@communications.gov.au." TargetMode="External"/><Relationship Id="rId17" Type="http://schemas.openxmlformats.org/officeDocument/2006/relationships/hyperlink" Target="http://www.pmc.gov.au/" TargetMode="External"/><Relationship Id="rId25" Type="http://schemas.openxmlformats.org/officeDocument/2006/relationships/hyperlink" Target="https://www.accc.gov.au/regulated-infrastructure/telecommunications-and-internet/national-broadband-network-nbn-access-regulation/nbn-co-sau-variation-november-2022" TargetMode="External"/><Relationship Id="rId33" Type="http://schemas.openxmlformats.org/officeDocument/2006/relationships/hyperlink" Target="https://www.legislation.gov.au/Latest/C2020C00268" TargetMode="External"/><Relationship Id="rId38" Type="http://schemas.openxmlformats.org/officeDocument/2006/relationships/hyperlink" Target="https://www.legislation.gov.au/Details/F2011C00791"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legislation.gov.au/Details/F2011C00791" TargetMode="External"/><Relationship Id="rId29" Type="http://schemas.openxmlformats.org/officeDocument/2006/relationships/hyperlink" Target="https://www.legislation.gov.au/Details/F2011C00791" TargetMode="External"/><Relationship Id="rId41" Type="http://schemas.openxmlformats.org/officeDocument/2006/relationships/hyperlink" Target="https://www.legislation.gov.au/Details/F2014C010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Details/F2011L00402" TargetMode="External"/><Relationship Id="rId32" Type="http://schemas.openxmlformats.org/officeDocument/2006/relationships/hyperlink" Target="https://www.legislation.gov.au/Details/F2022C00120" TargetMode="External"/><Relationship Id="rId37" Type="http://schemas.openxmlformats.org/officeDocument/2006/relationships/hyperlink" Target="https://www.legislation.gov.au/Details/F2011L00402" TargetMode="External"/><Relationship Id="rId40" Type="http://schemas.openxmlformats.org/officeDocument/2006/relationships/hyperlink" Target="https://www.legislation.gov.au/Details/F2012C0062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Details/F2014C01096" TargetMode="External"/><Relationship Id="rId28" Type="http://schemas.openxmlformats.org/officeDocument/2006/relationships/hyperlink" Target="https://www.legislation.gov.au/Details/F2011L00402"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infrastructure.gov.au/" TargetMode="External"/><Relationship Id="rId31" Type="http://schemas.openxmlformats.org/officeDocument/2006/relationships/hyperlink" Target="https://www.legislation.gov.au/Details/F2014C0109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au/Details/F2012C00625" TargetMode="External"/><Relationship Id="rId27" Type="http://schemas.openxmlformats.org/officeDocument/2006/relationships/hyperlink" Target="https://www.infrastructure.gov.au/have-your-say" TargetMode="External"/><Relationship Id="rId30" Type="http://schemas.openxmlformats.org/officeDocument/2006/relationships/hyperlink" Target="https://www.legislation.gov.au/Details/F2012C00625" TargetMode="External"/><Relationship Id="rId35" Type="http://schemas.openxmlformats.org/officeDocument/2006/relationships/header" Target="header2.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regulated-infrastructure/about-regulated-infrastructure/regulatory-projects/service-quality-and-network-performance-record-keeping-rule-for-superfast-broadband-networks?utm_source=ACCC+subscribers&amp;utm_campaign=fb4ecc3b2f-EMAIL_CAMPAIGN_2022_12_07_02_18&amp;utm_medium=email&amp;utm_term=0_-fb4ecc3b2f-%5BLIST_EMAIL_ID%5D" TargetMode="External"/><Relationship Id="rId3" Type="http://schemas.openxmlformats.org/officeDocument/2006/relationships/hyperlink" Target="https://www.accc.gov.au/system/files/SAU%20supporting%20submission%20%28executive%20summary%20and%20key%20narratives%29.pdf" TargetMode="External"/><Relationship Id="rId7" Type="http://schemas.openxmlformats.org/officeDocument/2006/relationships/hyperlink" Target="https://www.legislation.gov.au/Details/C2021A00140" TargetMode="External"/><Relationship Id="rId2" Type="http://schemas.openxmlformats.org/officeDocument/2006/relationships/hyperlink" Target="https://www.legislation.gov.au/Details/F2022C00441" TargetMode="External"/><Relationship Id="rId1" Type="http://schemas.openxmlformats.org/officeDocument/2006/relationships/hyperlink" Target="https://www.legislation.gov.au/Details/F2021L00277" TargetMode="External"/><Relationship Id="rId6" Type="http://schemas.openxmlformats.org/officeDocument/2006/relationships/hyperlink" Target="https://www.acma.gov.au/publications/2022-10/report/how-australians-make-voice-calls-home" TargetMode="External"/><Relationship Id="rId5" Type="http://schemas.openxmlformats.org/officeDocument/2006/relationships/hyperlink" Target="https://www.legislation.gov.au/Details/C2012C00891" TargetMode="External"/><Relationship Id="rId4" Type="http://schemas.openxmlformats.org/officeDocument/2006/relationships/hyperlink" Target="https://www.legislation.gov.au/Details/C2021C00551" TargetMode="External"/><Relationship Id="rId9" Type="http://schemas.openxmlformats.org/officeDocument/2006/relationships/hyperlink" Target="https://parlinfo.aph.gov.au/parlInfo/download/publications/tabledpapers/HSTP09970_1998-01/upload_pdf/9970_1998-01.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EDD2BC1136E49A18E74E8682CFA3E" ma:contentTypeVersion="0" ma:contentTypeDescription="Create a new document." ma:contentTypeScope="" ma:versionID="fcbeaa579fd036877767e0ddc3cac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15E3-5542-45A5-A025-CDFD767B84E5}">
  <ds:schemaRefs>
    <ds:schemaRef ds:uri="http://schemas.microsoft.com/sharepoint/v3/contenttype/forms"/>
  </ds:schemaRefs>
</ds:datastoreItem>
</file>

<file path=customXml/itemProps2.xml><?xml version="1.0" encoding="utf-8"?>
<ds:datastoreItem xmlns:ds="http://schemas.openxmlformats.org/officeDocument/2006/customXml" ds:itemID="{97D5705C-A894-4D0D-A66A-039AC798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7AFC4F-A7EC-474D-9497-62D6CB7FBD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F47438E-687E-4E19-A1A6-A9042040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8729</Words>
  <Characters>47224</Characters>
  <Application>Microsoft Office Word</Application>
  <DocSecurity>0</DocSecurity>
  <Lines>925</Lines>
  <Paragraphs>508</Paragraphs>
  <ScaleCrop>false</ScaleCrop>
  <HeadingPairs>
    <vt:vector size="2" baseType="variant">
      <vt:variant>
        <vt:lpstr>Title</vt:lpstr>
      </vt:variant>
      <vt:variant>
        <vt:i4>1</vt:i4>
      </vt:variant>
    </vt:vector>
  </HeadingPairs>
  <TitlesOfParts>
    <vt:vector size="1" baseType="lpstr">
      <vt:lpstr>Thematic review of the Customer Service Guarantee (CSG)</vt:lpstr>
    </vt:vector>
  </TitlesOfParts>
  <Company>Department of Infrastructure, Transport, Regional Development, Communications and the Arts</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review of the Customer Service Guarantee (CSG)</dc:title>
  <dc:subject/>
  <dc:creator>Department of Infrastructure, Transport, Regional Development, Communications and the Arts</dc:creator>
  <cp:keywords/>
  <dc:description/>
  <cp:lastModifiedBy>HALL Theresa</cp:lastModifiedBy>
  <cp:revision>5</cp:revision>
  <cp:lastPrinted>2021-02-16T05:43:00Z</cp:lastPrinted>
  <dcterms:created xsi:type="dcterms:W3CDTF">2023-02-17T01:47:00Z</dcterms:created>
  <dcterms:modified xsi:type="dcterms:W3CDTF">2023-02-17T01:55:00Z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0x010100D6BEDD2BC1136E49A18E74E8682CFA3E</vt:lpwstr>
  </property>
  <property fmtid="{D5CDD505-2E9C-101B-9397-08002B2CF9AE}" pid="3" name="TrimRevisionNumber">
    <vt:i4>3</vt:i4>
  </property>
</Properties>
</file>